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8987B" w14:textId="77777777" w:rsidR="004727A0" w:rsidRDefault="004727A0" w:rsidP="004727A0">
      <w:pPr>
        <w:pStyle w:val="NoSpacing"/>
        <w:rPr>
          <w:caps/>
        </w:rPr>
      </w:pPr>
    </w:p>
    <w:p w14:paraId="0E7E96A1" w14:textId="77777777" w:rsidR="00A50007" w:rsidRPr="0008176F" w:rsidRDefault="0008176F" w:rsidP="0008176F">
      <w:pPr>
        <w:pStyle w:val="NoSpacing"/>
        <w:jc w:val="center"/>
        <w:rPr>
          <w:caps/>
        </w:rPr>
      </w:pPr>
      <w:r w:rsidRPr="0008176F">
        <w:rPr>
          <w:caps/>
        </w:rPr>
        <w:t>University of Oklahoma</w:t>
      </w:r>
    </w:p>
    <w:p w14:paraId="29656034" w14:textId="77777777" w:rsidR="0008176F" w:rsidRPr="0008176F" w:rsidRDefault="0008176F" w:rsidP="0008176F">
      <w:pPr>
        <w:pStyle w:val="NoSpacing"/>
        <w:jc w:val="center"/>
        <w:rPr>
          <w:caps/>
        </w:rPr>
      </w:pPr>
    </w:p>
    <w:p w14:paraId="312869D5" w14:textId="77777777" w:rsidR="0008176F" w:rsidRPr="0008176F" w:rsidRDefault="0008176F" w:rsidP="0008176F">
      <w:pPr>
        <w:pStyle w:val="NoSpacing"/>
        <w:jc w:val="center"/>
        <w:rPr>
          <w:caps/>
        </w:rPr>
      </w:pPr>
      <w:r w:rsidRPr="0008176F">
        <w:rPr>
          <w:caps/>
        </w:rPr>
        <w:t>Graduate College</w:t>
      </w:r>
    </w:p>
    <w:p w14:paraId="7670DA08" w14:textId="77777777" w:rsidR="0008176F" w:rsidRPr="0008176F" w:rsidRDefault="0008176F" w:rsidP="0008176F">
      <w:pPr>
        <w:pStyle w:val="NoSpacing"/>
        <w:jc w:val="center"/>
        <w:rPr>
          <w:caps/>
        </w:rPr>
      </w:pPr>
    </w:p>
    <w:p w14:paraId="626953F3" w14:textId="77777777" w:rsidR="0008176F" w:rsidRPr="0008176F" w:rsidRDefault="0008176F" w:rsidP="0008176F">
      <w:pPr>
        <w:pStyle w:val="NoSpacing"/>
        <w:jc w:val="center"/>
        <w:rPr>
          <w:caps/>
        </w:rPr>
      </w:pPr>
    </w:p>
    <w:p w14:paraId="7DC6729B" w14:textId="77777777" w:rsidR="0008176F" w:rsidRPr="0008176F" w:rsidRDefault="0008176F" w:rsidP="0008176F">
      <w:pPr>
        <w:pStyle w:val="NoSpacing"/>
        <w:jc w:val="center"/>
        <w:rPr>
          <w:caps/>
        </w:rPr>
      </w:pPr>
    </w:p>
    <w:p w14:paraId="4127A2A3" w14:textId="77777777" w:rsidR="0008176F" w:rsidRPr="0008176F" w:rsidRDefault="0008176F" w:rsidP="0008176F">
      <w:pPr>
        <w:pStyle w:val="NoSpacing"/>
        <w:jc w:val="center"/>
        <w:rPr>
          <w:caps/>
        </w:rPr>
      </w:pPr>
    </w:p>
    <w:p w14:paraId="28972AA5" w14:textId="77777777" w:rsidR="0008176F" w:rsidRPr="0008176F" w:rsidRDefault="0008176F" w:rsidP="0008176F">
      <w:pPr>
        <w:pStyle w:val="NoSpacing"/>
        <w:jc w:val="center"/>
        <w:rPr>
          <w:caps/>
        </w:rPr>
      </w:pPr>
    </w:p>
    <w:p w14:paraId="4A4BD734" w14:textId="77777777" w:rsidR="0008176F" w:rsidRPr="0008176F" w:rsidRDefault="0008176F" w:rsidP="0008176F">
      <w:pPr>
        <w:pStyle w:val="NoSpacing"/>
        <w:jc w:val="center"/>
        <w:rPr>
          <w:caps/>
        </w:rPr>
      </w:pPr>
    </w:p>
    <w:p w14:paraId="5A8BC8DF" w14:textId="77777777" w:rsidR="0008176F" w:rsidRPr="0008176F" w:rsidRDefault="0008176F" w:rsidP="0008176F">
      <w:pPr>
        <w:pStyle w:val="NoSpacing"/>
        <w:jc w:val="center"/>
        <w:rPr>
          <w:caps/>
        </w:rPr>
      </w:pPr>
    </w:p>
    <w:p w14:paraId="3FA5EAD4" w14:textId="5B1923E5" w:rsidR="0008176F" w:rsidRPr="0008176F" w:rsidRDefault="00A62DEC" w:rsidP="004B4C91">
      <w:pPr>
        <w:pStyle w:val="NoSpacing"/>
        <w:spacing w:line="480" w:lineRule="auto"/>
        <w:jc w:val="center"/>
        <w:rPr>
          <w:caps/>
        </w:rPr>
      </w:pPr>
      <w:r>
        <w:rPr>
          <w:caps/>
        </w:rPr>
        <w:t xml:space="preserve">The caseinolytic protease P system in </w:t>
      </w:r>
      <w:r w:rsidR="00AB3480" w:rsidRPr="00AB3480">
        <w:rPr>
          <w:i/>
          <w:caps/>
        </w:rPr>
        <w:t>Clostridium difficile</w:t>
      </w:r>
    </w:p>
    <w:p w14:paraId="5B2E9C5C" w14:textId="77777777" w:rsidR="0008176F" w:rsidRPr="0008176F" w:rsidRDefault="0008176F" w:rsidP="0008176F">
      <w:pPr>
        <w:pStyle w:val="NoSpacing"/>
        <w:jc w:val="center"/>
        <w:rPr>
          <w:caps/>
        </w:rPr>
      </w:pPr>
    </w:p>
    <w:p w14:paraId="26314AFE" w14:textId="77777777" w:rsidR="0008176F" w:rsidRPr="0008176F" w:rsidRDefault="0008176F" w:rsidP="0008176F">
      <w:pPr>
        <w:pStyle w:val="NoSpacing"/>
        <w:jc w:val="center"/>
        <w:rPr>
          <w:caps/>
        </w:rPr>
      </w:pPr>
    </w:p>
    <w:p w14:paraId="4C16B662" w14:textId="77777777" w:rsidR="0008176F" w:rsidRPr="0008176F" w:rsidRDefault="0008176F" w:rsidP="0008176F">
      <w:pPr>
        <w:pStyle w:val="NoSpacing"/>
        <w:jc w:val="center"/>
        <w:rPr>
          <w:caps/>
        </w:rPr>
      </w:pPr>
    </w:p>
    <w:p w14:paraId="1E5FABB7" w14:textId="77777777" w:rsidR="0008176F" w:rsidRPr="0008176F" w:rsidRDefault="0008176F" w:rsidP="0008176F">
      <w:pPr>
        <w:pStyle w:val="NoSpacing"/>
        <w:jc w:val="center"/>
        <w:rPr>
          <w:caps/>
        </w:rPr>
      </w:pPr>
    </w:p>
    <w:p w14:paraId="574B445A" w14:textId="77777777" w:rsidR="0008176F" w:rsidRPr="0008176F" w:rsidRDefault="0008176F" w:rsidP="0008176F">
      <w:pPr>
        <w:pStyle w:val="NoSpacing"/>
        <w:jc w:val="center"/>
        <w:rPr>
          <w:caps/>
        </w:rPr>
      </w:pPr>
    </w:p>
    <w:p w14:paraId="7D8A055C" w14:textId="77777777" w:rsidR="0008176F" w:rsidRPr="0008176F" w:rsidRDefault="0008176F" w:rsidP="0008176F">
      <w:pPr>
        <w:pStyle w:val="NoSpacing"/>
        <w:jc w:val="center"/>
        <w:rPr>
          <w:caps/>
        </w:rPr>
      </w:pPr>
    </w:p>
    <w:p w14:paraId="32FCA45E" w14:textId="77777777" w:rsidR="0008176F" w:rsidRPr="0008176F" w:rsidRDefault="0008176F" w:rsidP="0008176F">
      <w:pPr>
        <w:pStyle w:val="NoSpacing"/>
        <w:jc w:val="center"/>
        <w:rPr>
          <w:caps/>
        </w:rPr>
      </w:pPr>
      <w:r w:rsidRPr="0008176F">
        <w:rPr>
          <w:caps/>
        </w:rPr>
        <w:t xml:space="preserve">A </w:t>
      </w:r>
      <w:r w:rsidR="004B4C91">
        <w:rPr>
          <w:caps/>
        </w:rPr>
        <w:t>Dissertation</w:t>
      </w:r>
    </w:p>
    <w:p w14:paraId="213A6D10" w14:textId="77777777" w:rsidR="0008176F" w:rsidRPr="0008176F" w:rsidRDefault="0008176F" w:rsidP="0008176F">
      <w:pPr>
        <w:pStyle w:val="NoSpacing"/>
        <w:jc w:val="center"/>
        <w:rPr>
          <w:caps/>
        </w:rPr>
      </w:pPr>
    </w:p>
    <w:p w14:paraId="5976BA28" w14:textId="77777777" w:rsidR="0008176F" w:rsidRPr="0008176F" w:rsidRDefault="0008176F" w:rsidP="0008176F">
      <w:pPr>
        <w:pStyle w:val="NoSpacing"/>
        <w:jc w:val="center"/>
        <w:rPr>
          <w:caps/>
        </w:rPr>
      </w:pPr>
      <w:r w:rsidRPr="0008176F">
        <w:rPr>
          <w:caps/>
        </w:rPr>
        <w:t>submitted to the Graduate Faculty</w:t>
      </w:r>
    </w:p>
    <w:p w14:paraId="3AD064FA" w14:textId="77777777" w:rsidR="0008176F" w:rsidRDefault="0008176F" w:rsidP="0008176F">
      <w:pPr>
        <w:pStyle w:val="NoSpacing"/>
        <w:jc w:val="center"/>
      </w:pPr>
    </w:p>
    <w:p w14:paraId="67BE997E" w14:textId="77777777" w:rsidR="0008176F" w:rsidRDefault="0008176F" w:rsidP="0008176F">
      <w:pPr>
        <w:pStyle w:val="NoSpacing"/>
        <w:jc w:val="center"/>
      </w:pPr>
      <w:r>
        <w:t>in partial fulfillment of the requirements for the</w:t>
      </w:r>
    </w:p>
    <w:p w14:paraId="16136C57" w14:textId="77777777" w:rsidR="0008176F" w:rsidRDefault="0008176F" w:rsidP="0008176F">
      <w:pPr>
        <w:pStyle w:val="NoSpacing"/>
        <w:jc w:val="center"/>
      </w:pPr>
    </w:p>
    <w:p w14:paraId="022FF8DC" w14:textId="77777777" w:rsidR="0008176F" w:rsidRDefault="0008176F" w:rsidP="0008176F">
      <w:pPr>
        <w:pStyle w:val="NoSpacing"/>
        <w:jc w:val="center"/>
      </w:pPr>
      <w:r>
        <w:t>Degree of</w:t>
      </w:r>
    </w:p>
    <w:p w14:paraId="056ACCB1" w14:textId="77777777" w:rsidR="0008176F" w:rsidRDefault="0008176F" w:rsidP="0008176F">
      <w:pPr>
        <w:pStyle w:val="NoSpacing"/>
        <w:jc w:val="center"/>
      </w:pPr>
    </w:p>
    <w:p w14:paraId="6D3B61B1" w14:textId="34BCFD4F" w:rsidR="00746E16" w:rsidRDefault="004B4C91" w:rsidP="00746E16">
      <w:pPr>
        <w:pStyle w:val="NoSpacing"/>
        <w:spacing w:line="480" w:lineRule="auto"/>
        <w:jc w:val="center"/>
        <w:rPr>
          <w:caps/>
        </w:rPr>
      </w:pPr>
      <w:r>
        <w:rPr>
          <w:caps/>
        </w:rPr>
        <w:t>Doctor of Philosophy</w:t>
      </w:r>
    </w:p>
    <w:p w14:paraId="1A1FA766" w14:textId="77777777" w:rsidR="00730F0A" w:rsidRDefault="00730F0A" w:rsidP="0008176F">
      <w:pPr>
        <w:pStyle w:val="NoSpacing"/>
        <w:jc w:val="center"/>
      </w:pPr>
    </w:p>
    <w:p w14:paraId="4B65B22B" w14:textId="77777777" w:rsidR="00730F0A" w:rsidRDefault="00730F0A" w:rsidP="0008176F">
      <w:pPr>
        <w:pStyle w:val="NoSpacing"/>
        <w:jc w:val="center"/>
      </w:pPr>
    </w:p>
    <w:p w14:paraId="17710BB7" w14:textId="77777777" w:rsidR="00730F0A" w:rsidRDefault="00730F0A" w:rsidP="0008176F">
      <w:pPr>
        <w:pStyle w:val="NoSpacing"/>
        <w:jc w:val="center"/>
      </w:pPr>
    </w:p>
    <w:p w14:paraId="66DB3B21" w14:textId="77777777" w:rsidR="00730F0A" w:rsidRDefault="00730F0A" w:rsidP="0008176F">
      <w:pPr>
        <w:pStyle w:val="NoSpacing"/>
        <w:jc w:val="center"/>
      </w:pPr>
    </w:p>
    <w:p w14:paraId="03783E0E" w14:textId="77777777" w:rsidR="00730F0A" w:rsidRDefault="00730F0A" w:rsidP="0008176F">
      <w:pPr>
        <w:pStyle w:val="NoSpacing"/>
        <w:jc w:val="center"/>
      </w:pPr>
    </w:p>
    <w:p w14:paraId="36F14321" w14:textId="77777777" w:rsidR="00730F0A" w:rsidRDefault="00730F0A" w:rsidP="0008176F">
      <w:pPr>
        <w:pStyle w:val="NoSpacing"/>
        <w:jc w:val="center"/>
      </w:pPr>
    </w:p>
    <w:p w14:paraId="60A90AA0" w14:textId="77777777" w:rsidR="00730F0A" w:rsidRDefault="00730F0A" w:rsidP="0008176F">
      <w:pPr>
        <w:pStyle w:val="NoSpacing"/>
        <w:jc w:val="center"/>
      </w:pPr>
    </w:p>
    <w:p w14:paraId="50097A76" w14:textId="77777777" w:rsidR="00730F0A" w:rsidRDefault="00730F0A" w:rsidP="0008176F">
      <w:pPr>
        <w:pStyle w:val="NoSpacing"/>
        <w:jc w:val="center"/>
      </w:pPr>
    </w:p>
    <w:p w14:paraId="16ABCEA5" w14:textId="77777777" w:rsidR="00730F0A" w:rsidRDefault="00730F0A" w:rsidP="0008176F">
      <w:pPr>
        <w:pStyle w:val="NoSpacing"/>
        <w:jc w:val="center"/>
      </w:pPr>
    </w:p>
    <w:p w14:paraId="5823583F" w14:textId="77777777" w:rsidR="00730F0A" w:rsidRDefault="00730F0A" w:rsidP="0008176F">
      <w:pPr>
        <w:pStyle w:val="NoSpacing"/>
        <w:jc w:val="center"/>
      </w:pPr>
      <w:r>
        <w:t>By</w:t>
      </w:r>
    </w:p>
    <w:p w14:paraId="5EFD4D97" w14:textId="77777777" w:rsidR="00730F0A" w:rsidRDefault="00730F0A" w:rsidP="0008176F">
      <w:pPr>
        <w:pStyle w:val="NoSpacing"/>
        <w:jc w:val="center"/>
      </w:pPr>
    </w:p>
    <w:p w14:paraId="3696787E" w14:textId="77777777" w:rsidR="00746E16" w:rsidRDefault="004B4C91" w:rsidP="004B4C91">
      <w:pPr>
        <w:pStyle w:val="NoSpacing"/>
        <w:jc w:val="center"/>
        <w:rPr>
          <w:caps/>
        </w:rPr>
      </w:pPr>
      <w:r>
        <w:rPr>
          <w:caps/>
        </w:rPr>
        <w:t>nathan paul lavey</w:t>
      </w:r>
    </w:p>
    <w:p w14:paraId="45993D0F" w14:textId="77777777" w:rsidR="00730F0A" w:rsidRDefault="00746E16" w:rsidP="00746E16">
      <w:pPr>
        <w:pStyle w:val="NoSpacing"/>
        <w:jc w:val="center"/>
      </w:pPr>
      <w:r>
        <w:t xml:space="preserve"> </w:t>
      </w:r>
      <w:r w:rsidR="00730F0A">
        <w:t>Norman, Oklahoma</w:t>
      </w:r>
    </w:p>
    <w:p w14:paraId="22C846A3" w14:textId="77777777" w:rsidR="00730F0A" w:rsidRDefault="004B4C91" w:rsidP="00730F0A">
      <w:pPr>
        <w:pStyle w:val="NoSpacing"/>
        <w:jc w:val="center"/>
      </w:pPr>
      <w:r>
        <w:t>2019</w:t>
      </w:r>
    </w:p>
    <w:p w14:paraId="784A9B0D" w14:textId="77777777" w:rsidR="004959A8" w:rsidRDefault="004959A8" w:rsidP="00730F0A">
      <w:pPr>
        <w:pStyle w:val="NoSpacing"/>
        <w:jc w:val="center"/>
        <w:sectPr w:rsidR="004959A8" w:rsidSect="004959A8">
          <w:headerReference w:type="default" r:id="rId8"/>
          <w:footerReference w:type="even" r:id="rId9"/>
          <w:footerReference w:type="default" r:id="rId10"/>
          <w:headerReference w:type="first" r:id="rId11"/>
          <w:footerReference w:type="first" r:id="rId12"/>
          <w:pgSz w:w="12240" w:h="15840" w:code="1"/>
          <w:pgMar w:top="1440" w:right="1440" w:bottom="1440" w:left="2304" w:header="720" w:footer="720" w:gutter="0"/>
          <w:pgNumType w:fmt="lowerRoman"/>
          <w:cols w:space="720"/>
          <w:titlePg/>
          <w:docGrid w:linePitch="360"/>
        </w:sectPr>
      </w:pPr>
    </w:p>
    <w:p w14:paraId="612B38A2" w14:textId="77777777" w:rsidR="00730F0A" w:rsidRDefault="00730F0A" w:rsidP="00730F0A">
      <w:pPr>
        <w:pStyle w:val="NoSpacing"/>
        <w:jc w:val="center"/>
      </w:pPr>
    </w:p>
    <w:p w14:paraId="522882E1" w14:textId="77777777" w:rsidR="00730F0A" w:rsidRDefault="00730F0A" w:rsidP="00730F0A">
      <w:pPr>
        <w:pStyle w:val="NoSpacing"/>
        <w:jc w:val="center"/>
      </w:pPr>
    </w:p>
    <w:p w14:paraId="7731DE62" w14:textId="77777777" w:rsidR="00F93475" w:rsidRDefault="00F93475" w:rsidP="00730F0A">
      <w:pPr>
        <w:pStyle w:val="NoSpacing"/>
        <w:jc w:val="center"/>
      </w:pPr>
    </w:p>
    <w:p w14:paraId="4F2D3DFA" w14:textId="77777777" w:rsidR="00F93475" w:rsidRDefault="00F93475" w:rsidP="00730F0A">
      <w:pPr>
        <w:pStyle w:val="NoSpacing"/>
        <w:jc w:val="center"/>
      </w:pPr>
    </w:p>
    <w:p w14:paraId="15AF7AB6" w14:textId="77777777" w:rsidR="00730F0A" w:rsidRDefault="00730F0A" w:rsidP="00730F0A">
      <w:pPr>
        <w:pStyle w:val="NoSpacing"/>
        <w:jc w:val="center"/>
      </w:pPr>
    </w:p>
    <w:p w14:paraId="08035842" w14:textId="77777777" w:rsidR="00730F0A" w:rsidRDefault="00730F0A" w:rsidP="00730F0A">
      <w:pPr>
        <w:pStyle w:val="NoSpacing"/>
        <w:jc w:val="center"/>
      </w:pPr>
    </w:p>
    <w:p w14:paraId="035DA20A" w14:textId="2EEF5587" w:rsidR="00730F0A" w:rsidRPr="00730F0A" w:rsidRDefault="00A62DEC" w:rsidP="00BF6B67">
      <w:pPr>
        <w:pStyle w:val="NoSpacing"/>
        <w:jc w:val="center"/>
        <w:rPr>
          <w:caps/>
        </w:rPr>
      </w:pPr>
      <w:r>
        <w:rPr>
          <w:caps/>
        </w:rPr>
        <w:t xml:space="preserve">The </w:t>
      </w:r>
      <w:r w:rsidR="00BF6B67">
        <w:rPr>
          <w:caps/>
        </w:rPr>
        <w:t>caseinolytic protease p</w:t>
      </w:r>
      <w:r>
        <w:rPr>
          <w:caps/>
        </w:rPr>
        <w:t xml:space="preserve"> System</w:t>
      </w:r>
      <w:r w:rsidR="00BF6B67">
        <w:rPr>
          <w:caps/>
        </w:rPr>
        <w:t xml:space="preserve"> in </w:t>
      </w:r>
      <w:r w:rsidR="00AB3480" w:rsidRPr="00AB3480">
        <w:rPr>
          <w:i/>
          <w:caps/>
        </w:rPr>
        <w:t>Clostridium difficile</w:t>
      </w:r>
    </w:p>
    <w:p w14:paraId="3A1E06BE" w14:textId="77777777" w:rsidR="00730F0A" w:rsidRPr="00730F0A" w:rsidRDefault="00730F0A" w:rsidP="00730F0A">
      <w:pPr>
        <w:pStyle w:val="NoSpacing"/>
        <w:jc w:val="center"/>
        <w:rPr>
          <w:caps/>
        </w:rPr>
      </w:pPr>
    </w:p>
    <w:p w14:paraId="2CF567D7" w14:textId="77777777" w:rsidR="00730F0A" w:rsidRPr="00730F0A" w:rsidRDefault="00730F0A" w:rsidP="00730F0A">
      <w:pPr>
        <w:pStyle w:val="NoSpacing"/>
        <w:jc w:val="center"/>
        <w:rPr>
          <w:caps/>
        </w:rPr>
      </w:pPr>
    </w:p>
    <w:p w14:paraId="5D9D5B26" w14:textId="77777777" w:rsidR="00730F0A" w:rsidRPr="00730F0A" w:rsidRDefault="00730F0A" w:rsidP="00730F0A">
      <w:pPr>
        <w:pStyle w:val="NoSpacing"/>
        <w:jc w:val="center"/>
        <w:rPr>
          <w:caps/>
        </w:rPr>
      </w:pPr>
      <w:r w:rsidRPr="00730F0A">
        <w:rPr>
          <w:caps/>
        </w:rPr>
        <w:t xml:space="preserve">A </w:t>
      </w:r>
      <w:r w:rsidR="004B4C91">
        <w:rPr>
          <w:caps/>
        </w:rPr>
        <w:t>Dissertation</w:t>
      </w:r>
      <w:r w:rsidRPr="00730F0A">
        <w:rPr>
          <w:caps/>
        </w:rPr>
        <w:t xml:space="preserve"> approved for the</w:t>
      </w:r>
    </w:p>
    <w:p w14:paraId="78BEBBE9" w14:textId="77777777" w:rsidR="00746E16" w:rsidRDefault="004B4C91" w:rsidP="00746E16">
      <w:pPr>
        <w:pStyle w:val="NoSpacing"/>
        <w:jc w:val="center"/>
        <w:rPr>
          <w:caps/>
        </w:rPr>
      </w:pPr>
      <w:r>
        <w:rPr>
          <w:caps/>
        </w:rPr>
        <w:t>Department of Chemistry and Biochemistry</w:t>
      </w:r>
    </w:p>
    <w:p w14:paraId="483BC431" w14:textId="77777777" w:rsidR="00730F0A" w:rsidRPr="00730F0A" w:rsidRDefault="00730F0A" w:rsidP="00730F0A">
      <w:pPr>
        <w:pStyle w:val="NoSpacing"/>
        <w:jc w:val="center"/>
        <w:rPr>
          <w:caps/>
        </w:rPr>
      </w:pPr>
    </w:p>
    <w:p w14:paraId="37E27108" w14:textId="77777777" w:rsidR="00730F0A" w:rsidRPr="00730F0A" w:rsidRDefault="00730F0A" w:rsidP="00730F0A">
      <w:pPr>
        <w:pStyle w:val="NoSpacing"/>
        <w:jc w:val="center"/>
        <w:rPr>
          <w:caps/>
        </w:rPr>
      </w:pPr>
    </w:p>
    <w:p w14:paraId="05170299" w14:textId="77777777" w:rsidR="00730F0A" w:rsidRPr="00730F0A" w:rsidRDefault="00730F0A" w:rsidP="00730F0A">
      <w:pPr>
        <w:pStyle w:val="NoSpacing"/>
        <w:jc w:val="center"/>
        <w:rPr>
          <w:caps/>
        </w:rPr>
      </w:pPr>
    </w:p>
    <w:p w14:paraId="5ECB4E05" w14:textId="77777777" w:rsidR="00730F0A" w:rsidRDefault="00730F0A" w:rsidP="00730F0A">
      <w:pPr>
        <w:pStyle w:val="NoSpacing"/>
        <w:jc w:val="center"/>
        <w:rPr>
          <w:caps/>
        </w:rPr>
      </w:pPr>
    </w:p>
    <w:p w14:paraId="387CF6A0" w14:textId="77777777" w:rsidR="00730F0A" w:rsidRPr="00730F0A" w:rsidRDefault="00730F0A" w:rsidP="00730F0A">
      <w:pPr>
        <w:pStyle w:val="NoSpacing"/>
        <w:jc w:val="center"/>
        <w:rPr>
          <w:caps/>
        </w:rPr>
      </w:pPr>
    </w:p>
    <w:p w14:paraId="2D0E25AD" w14:textId="77777777" w:rsidR="00730F0A" w:rsidRPr="00730F0A" w:rsidRDefault="00730F0A" w:rsidP="00730F0A">
      <w:pPr>
        <w:pStyle w:val="NoSpacing"/>
        <w:jc w:val="center"/>
        <w:rPr>
          <w:caps/>
        </w:rPr>
      </w:pPr>
    </w:p>
    <w:p w14:paraId="12C8379D" w14:textId="77777777" w:rsidR="00730F0A" w:rsidRPr="00730F0A" w:rsidRDefault="00730F0A" w:rsidP="00730F0A">
      <w:pPr>
        <w:pStyle w:val="NoSpacing"/>
        <w:jc w:val="center"/>
        <w:rPr>
          <w:caps/>
        </w:rPr>
      </w:pPr>
    </w:p>
    <w:p w14:paraId="260A4CBE" w14:textId="77777777" w:rsidR="00730F0A" w:rsidRPr="00730F0A" w:rsidRDefault="00730F0A" w:rsidP="00730F0A">
      <w:pPr>
        <w:pStyle w:val="NoSpacing"/>
        <w:jc w:val="center"/>
        <w:rPr>
          <w:caps/>
        </w:rPr>
      </w:pPr>
    </w:p>
    <w:p w14:paraId="742ECC2B" w14:textId="77777777" w:rsidR="00730F0A" w:rsidRPr="00730F0A" w:rsidRDefault="00730F0A" w:rsidP="00730F0A">
      <w:pPr>
        <w:pStyle w:val="NoSpacing"/>
        <w:jc w:val="center"/>
        <w:rPr>
          <w:caps/>
        </w:rPr>
      </w:pPr>
      <w:r w:rsidRPr="00730F0A">
        <w:rPr>
          <w:caps/>
        </w:rPr>
        <w:t>By</w:t>
      </w:r>
    </w:p>
    <w:p w14:paraId="425B81D6" w14:textId="77777777" w:rsidR="00730F0A" w:rsidRDefault="00730F0A" w:rsidP="00730F0A">
      <w:pPr>
        <w:pStyle w:val="NoSpacing"/>
        <w:jc w:val="center"/>
      </w:pPr>
    </w:p>
    <w:p w14:paraId="4B90BE17" w14:textId="77777777" w:rsidR="00730F0A" w:rsidRDefault="00730F0A" w:rsidP="00730F0A">
      <w:pPr>
        <w:pStyle w:val="NoSpacing"/>
        <w:jc w:val="center"/>
      </w:pPr>
    </w:p>
    <w:p w14:paraId="0AD95FE9" w14:textId="77777777" w:rsidR="00730F0A" w:rsidRDefault="00730F0A" w:rsidP="00730F0A">
      <w:pPr>
        <w:pStyle w:val="NoSpacing"/>
        <w:jc w:val="center"/>
      </w:pPr>
    </w:p>
    <w:p w14:paraId="5041222B" w14:textId="514E7F63" w:rsidR="00730F0A" w:rsidRPr="006B4721" w:rsidRDefault="00730F0A" w:rsidP="00730F0A">
      <w:pPr>
        <w:pStyle w:val="NoSpacing"/>
        <w:jc w:val="right"/>
      </w:pPr>
      <w:r>
        <w:tab/>
      </w:r>
      <w:r>
        <w:tab/>
      </w:r>
      <w:r>
        <w:tab/>
      </w:r>
      <w:r>
        <w:tab/>
      </w:r>
    </w:p>
    <w:p w14:paraId="6DC8B21F" w14:textId="77777777" w:rsidR="00730F0A" w:rsidRDefault="00FF0F0F" w:rsidP="00730F0A">
      <w:pPr>
        <w:pStyle w:val="NoSpacing"/>
        <w:jc w:val="right"/>
      </w:pPr>
      <w:r>
        <w:t xml:space="preserve">Dr. </w:t>
      </w:r>
      <w:r w:rsidR="004B4C91">
        <w:t>Adam S. Duerfeldt</w:t>
      </w:r>
      <w:r w:rsidR="00730F0A">
        <w:t>, Chair</w:t>
      </w:r>
    </w:p>
    <w:p w14:paraId="47663BAF" w14:textId="77777777" w:rsidR="00730F0A" w:rsidRDefault="00730F0A" w:rsidP="00730F0A">
      <w:pPr>
        <w:pStyle w:val="NoSpacing"/>
        <w:jc w:val="right"/>
      </w:pPr>
    </w:p>
    <w:p w14:paraId="380C7C1F" w14:textId="4B79E1F0" w:rsidR="00730F0A" w:rsidRDefault="00730F0A" w:rsidP="00730F0A">
      <w:pPr>
        <w:pStyle w:val="NoSpacing"/>
        <w:jc w:val="right"/>
      </w:pPr>
    </w:p>
    <w:p w14:paraId="1DDDA063" w14:textId="77777777" w:rsidR="007D5BF8" w:rsidRDefault="007D5BF8" w:rsidP="00730F0A">
      <w:pPr>
        <w:pStyle w:val="NoSpacing"/>
        <w:jc w:val="right"/>
      </w:pPr>
    </w:p>
    <w:p w14:paraId="43EA7549" w14:textId="77777777" w:rsidR="00730F0A" w:rsidRDefault="004B4C91" w:rsidP="00D40BD1">
      <w:pPr>
        <w:pStyle w:val="NoSpacing"/>
        <w:jc w:val="right"/>
      </w:pPr>
      <w:r>
        <w:t>Dr.</w:t>
      </w:r>
      <w:r w:rsidR="00730F0A">
        <w:t xml:space="preserve"> </w:t>
      </w:r>
      <w:r w:rsidR="00D40BD1">
        <w:t>Ann H. West</w:t>
      </w:r>
    </w:p>
    <w:p w14:paraId="14A246A4" w14:textId="77777777" w:rsidR="00730F0A" w:rsidRDefault="00730F0A" w:rsidP="00730F0A">
      <w:pPr>
        <w:pStyle w:val="NoSpacing"/>
        <w:jc w:val="right"/>
      </w:pPr>
    </w:p>
    <w:p w14:paraId="307CC23E" w14:textId="5A5EB487" w:rsidR="00730F0A" w:rsidRDefault="00730F0A" w:rsidP="00730F0A">
      <w:pPr>
        <w:pStyle w:val="NoSpacing"/>
        <w:jc w:val="right"/>
      </w:pPr>
    </w:p>
    <w:p w14:paraId="7E409294" w14:textId="77777777" w:rsidR="007D5BF8" w:rsidRDefault="007D5BF8" w:rsidP="00730F0A">
      <w:pPr>
        <w:pStyle w:val="NoSpacing"/>
        <w:jc w:val="right"/>
      </w:pPr>
    </w:p>
    <w:p w14:paraId="2544D7A0" w14:textId="77777777" w:rsidR="00730F0A" w:rsidRDefault="004B4C91" w:rsidP="00A73C5B">
      <w:pPr>
        <w:pStyle w:val="NoSpacing"/>
        <w:jc w:val="right"/>
      </w:pPr>
      <w:r>
        <w:t>Dr.</w:t>
      </w:r>
      <w:r w:rsidR="00746E16">
        <w:t xml:space="preserve"> </w:t>
      </w:r>
      <w:r w:rsidR="00A73C5B">
        <w:t>Charles V. Rice III</w:t>
      </w:r>
    </w:p>
    <w:p w14:paraId="5D10D88F" w14:textId="77777777" w:rsidR="00730F0A" w:rsidRDefault="00730F0A" w:rsidP="00730F0A">
      <w:pPr>
        <w:pStyle w:val="NoSpacing"/>
        <w:jc w:val="right"/>
      </w:pPr>
    </w:p>
    <w:p w14:paraId="6A50D212" w14:textId="0E443B6B" w:rsidR="00730F0A" w:rsidRDefault="00730F0A" w:rsidP="00730F0A">
      <w:pPr>
        <w:pStyle w:val="NoSpacing"/>
        <w:jc w:val="right"/>
      </w:pPr>
    </w:p>
    <w:p w14:paraId="6AA830E4" w14:textId="77777777" w:rsidR="007D5BF8" w:rsidRDefault="007D5BF8" w:rsidP="00730F0A">
      <w:pPr>
        <w:pStyle w:val="NoSpacing"/>
        <w:jc w:val="right"/>
      </w:pPr>
    </w:p>
    <w:p w14:paraId="11A631CD" w14:textId="77777777" w:rsidR="00FF0F0F" w:rsidRDefault="004B4C91" w:rsidP="00FF0F0F">
      <w:pPr>
        <w:pStyle w:val="NoSpacing"/>
        <w:jc w:val="right"/>
      </w:pPr>
      <w:r>
        <w:t>Dr.</w:t>
      </w:r>
      <w:r w:rsidR="00730F0A">
        <w:t xml:space="preserve"> </w:t>
      </w:r>
      <w:r w:rsidR="00A73C5B">
        <w:t>Christina R. Bourne</w:t>
      </w:r>
    </w:p>
    <w:p w14:paraId="2FD13C06" w14:textId="77777777" w:rsidR="00FF0F0F" w:rsidRDefault="00FF0F0F" w:rsidP="00FF0F0F">
      <w:pPr>
        <w:pStyle w:val="NoSpacing"/>
        <w:jc w:val="right"/>
      </w:pPr>
    </w:p>
    <w:p w14:paraId="08F86EA7" w14:textId="51687D6F" w:rsidR="00FF0F0F" w:rsidRDefault="00FF0F0F" w:rsidP="00FF0F0F">
      <w:pPr>
        <w:pStyle w:val="NoSpacing"/>
        <w:jc w:val="right"/>
      </w:pPr>
    </w:p>
    <w:p w14:paraId="30A0E6AA" w14:textId="77777777" w:rsidR="007D5BF8" w:rsidRDefault="007D5BF8" w:rsidP="00FF0F0F">
      <w:pPr>
        <w:pStyle w:val="NoSpacing"/>
        <w:jc w:val="right"/>
      </w:pPr>
    </w:p>
    <w:p w14:paraId="154308AA" w14:textId="77777777" w:rsidR="00FF0F0F" w:rsidRDefault="004B4C91" w:rsidP="00A73C5B">
      <w:pPr>
        <w:pStyle w:val="NoSpacing"/>
        <w:jc w:val="right"/>
      </w:pPr>
      <w:r>
        <w:t>Dr.</w:t>
      </w:r>
      <w:r w:rsidR="00FF0F0F">
        <w:t xml:space="preserve"> </w:t>
      </w:r>
      <w:r w:rsidR="00A73C5B">
        <w:t>Laura E. Bartley</w:t>
      </w:r>
    </w:p>
    <w:p w14:paraId="47B01037" w14:textId="77777777" w:rsidR="00730F0A" w:rsidRDefault="00730F0A" w:rsidP="00730F0A">
      <w:pPr>
        <w:pStyle w:val="NoSpacing"/>
        <w:jc w:val="right"/>
      </w:pPr>
    </w:p>
    <w:p w14:paraId="486AD922" w14:textId="77777777" w:rsidR="00730F0A" w:rsidRDefault="00730F0A" w:rsidP="00730F0A">
      <w:pPr>
        <w:pStyle w:val="NoSpacing"/>
        <w:jc w:val="center"/>
      </w:pPr>
    </w:p>
    <w:p w14:paraId="4618CE4F" w14:textId="77777777" w:rsidR="00730F0A" w:rsidRDefault="00730F0A" w:rsidP="00730F0A">
      <w:pPr>
        <w:pStyle w:val="NoSpacing"/>
        <w:jc w:val="center"/>
      </w:pPr>
    </w:p>
    <w:p w14:paraId="40AF8830" w14:textId="77777777" w:rsidR="004959A8" w:rsidRDefault="004959A8" w:rsidP="00730F0A">
      <w:pPr>
        <w:pStyle w:val="NoSpacing"/>
        <w:jc w:val="center"/>
        <w:sectPr w:rsidR="004959A8" w:rsidSect="004959A8">
          <w:headerReference w:type="default" r:id="rId13"/>
          <w:headerReference w:type="first" r:id="rId14"/>
          <w:footerReference w:type="first" r:id="rId15"/>
          <w:pgSz w:w="12240" w:h="15840" w:code="1"/>
          <w:pgMar w:top="1440" w:right="1440" w:bottom="1440" w:left="2304" w:header="720" w:footer="720" w:gutter="0"/>
          <w:pgNumType w:fmt="lowerRoman"/>
          <w:cols w:space="720"/>
          <w:titlePg/>
          <w:docGrid w:linePitch="360"/>
        </w:sectPr>
      </w:pPr>
    </w:p>
    <w:p w14:paraId="29086AF6" w14:textId="77777777" w:rsidR="00730F0A" w:rsidRDefault="00730F0A" w:rsidP="00730F0A">
      <w:pPr>
        <w:pStyle w:val="NoSpacing"/>
        <w:jc w:val="center"/>
      </w:pPr>
    </w:p>
    <w:p w14:paraId="42FC2AD2" w14:textId="77777777" w:rsidR="00BB4049" w:rsidRDefault="00BB4049">
      <w:pPr>
        <w:spacing w:line="240" w:lineRule="auto"/>
        <w:rPr>
          <w:szCs w:val="32"/>
        </w:rPr>
      </w:pPr>
    </w:p>
    <w:p w14:paraId="5F0390C1" w14:textId="77777777" w:rsidR="00730F0A" w:rsidRDefault="00730F0A" w:rsidP="00730F0A">
      <w:pPr>
        <w:pStyle w:val="NoSpacing"/>
        <w:jc w:val="center"/>
      </w:pPr>
    </w:p>
    <w:p w14:paraId="26D52D7B" w14:textId="77777777" w:rsidR="00730F0A" w:rsidRDefault="00730F0A" w:rsidP="00730F0A">
      <w:pPr>
        <w:pStyle w:val="NoSpacing"/>
        <w:jc w:val="center"/>
      </w:pPr>
    </w:p>
    <w:p w14:paraId="5B3E9AB4" w14:textId="77777777" w:rsidR="00730F0A" w:rsidRDefault="00730F0A" w:rsidP="00730F0A">
      <w:pPr>
        <w:pStyle w:val="NoSpacing"/>
        <w:jc w:val="center"/>
      </w:pPr>
    </w:p>
    <w:p w14:paraId="0BC1CF20" w14:textId="77777777" w:rsidR="00730F0A" w:rsidRDefault="00730F0A" w:rsidP="00730F0A">
      <w:pPr>
        <w:pStyle w:val="NoSpacing"/>
        <w:jc w:val="center"/>
      </w:pPr>
    </w:p>
    <w:p w14:paraId="2533A909" w14:textId="77777777" w:rsidR="00730F0A" w:rsidRDefault="00730F0A" w:rsidP="00730F0A">
      <w:pPr>
        <w:pStyle w:val="NoSpacing"/>
        <w:jc w:val="center"/>
      </w:pPr>
    </w:p>
    <w:p w14:paraId="49E890C4" w14:textId="77777777" w:rsidR="00730F0A" w:rsidRDefault="00730F0A" w:rsidP="00730F0A">
      <w:pPr>
        <w:pStyle w:val="NoSpacing"/>
        <w:jc w:val="center"/>
      </w:pPr>
    </w:p>
    <w:p w14:paraId="7A068884" w14:textId="77777777" w:rsidR="00730F0A" w:rsidRDefault="00730F0A" w:rsidP="00730F0A">
      <w:pPr>
        <w:pStyle w:val="NoSpacing"/>
        <w:jc w:val="center"/>
      </w:pPr>
    </w:p>
    <w:p w14:paraId="67B01D92" w14:textId="77777777" w:rsidR="00730F0A" w:rsidRDefault="00730F0A" w:rsidP="00730F0A">
      <w:pPr>
        <w:pStyle w:val="NoSpacing"/>
        <w:jc w:val="center"/>
      </w:pPr>
    </w:p>
    <w:p w14:paraId="6A6B6059" w14:textId="77777777" w:rsidR="00730F0A" w:rsidRDefault="00730F0A" w:rsidP="00730F0A">
      <w:pPr>
        <w:pStyle w:val="NoSpacing"/>
        <w:jc w:val="center"/>
      </w:pPr>
    </w:p>
    <w:p w14:paraId="345C2F44" w14:textId="77777777" w:rsidR="00730F0A" w:rsidRDefault="00730F0A" w:rsidP="00730F0A">
      <w:pPr>
        <w:pStyle w:val="NoSpacing"/>
        <w:jc w:val="center"/>
      </w:pPr>
    </w:p>
    <w:p w14:paraId="4F8E23FC" w14:textId="77777777" w:rsidR="00730F0A" w:rsidRDefault="00730F0A" w:rsidP="00730F0A">
      <w:pPr>
        <w:pStyle w:val="NoSpacing"/>
        <w:jc w:val="center"/>
      </w:pPr>
    </w:p>
    <w:p w14:paraId="1B07640C" w14:textId="77777777" w:rsidR="00730F0A" w:rsidRDefault="00730F0A" w:rsidP="00730F0A">
      <w:pPr>
        <w:pStyle w:val="NoSpacing"/>
        <w:jc w:val="center"/>
      </w:pPr>
    </w:p>
    <w:p w14:paraId="0595F09D" w14:textId="77777777" w:rsidR="00730F0A" w:rsidRDefault="00730F0A" w:rsidP="00730F0A">
      <w:pPr>
        <w:pStyle w:val="NoSpacing"/>
        <w:jc w:val="center"/>
      </w:pPr>
    </w:p>
    <w:p w14:paraId="643C58C0" w14:textId="77777777" w:rsidR="00730F0A" w:rsidRDefault="00730F0A" w:rsidP="00730F0A">
      <w:pPr>
        <w:pStyle w:val="NoSpacing"/>
        <w:jc w:val="center"/>
      </w:pPr>
    </w:p>
    <w:p w14:paraId="7A25B3E9" w14:textId="77777777" w:rsidR="00730F0A" w:rsidRDefault="00730F0A" w:rsidP="00730F0A">
      <w:pPr>
        <w:pStyle w:val="NoSpacing"/>
        <w:jc w:val="center"/>
      </w:pPr>
    </w:p>
    <w:p w14:paraId="1373DCA5" w14:textId="77777777" w:rsidR="00730F0A" w:rsidRDefault="00730F0A" w:rsidP="00730F0A">
      <w:pPr>
        <w:pStyle w:val="NoSpacing"/>
        <w:jc w:val="center"/>
      </w:pPr>
    </w:p>
    <w:p w14:paraId="5EE4681A" w14:textId="77777777" w:rsidR="00730F0A" w:rsidRDefault="00730F0A" w:rsidP="00730F0A">
      <w:pPr>
        <w:pStyle w:val="NoSpacing"/>
        <w:jc w:val="center"/>
      </w:pPr>
    </w:p>
    <w:p w14:paraId="7B7A9631" w14:textId="77777777" w:rsidR="00730F0A" w:rsidRDefault="00730F0A" w:rsidP="00730F0A">
      <w:pPr>
        <w:pStyle w:val="NoSpacing"/>
        <w:jc w:val="center"/>
      </w:pPr>
    </w:p>
    <w:p w14:paraId="28E0D375" w14:textId="77777777" w:rsidR="00730F0A" w:rsidRDefault="00730F0A" w:rsidP="00730F0A">
      <w:pPr>
        <w:pStyle w:val="NoSpacing"/>
        <w:jc w:val="center"/>
      </w:pPr>
    </w:p>
    <w:p w14:paraId="541CFA82" w14:textId="77777777" w:rsidR="00730F0A" w:rsidRDefault="00730F0A" w:rsidP="00730F0A">
      <w:pPr>
        <w:pStyle w:val="NoSpacing"/>
        <w:jc w:val="center"/>
      </w:pPr>
    </w:p>
    <w:p w14:paraId="76C3203E" w14:textId="77777777" w:rsidR="00730F0A" w:rsidRDefault="00730F0A" w:rsidP="00730F0A">
      <w:pPr>
        <w:pStyle w:val="NoSpacing"/>
        <w:jc w:val="center"/>
      </w:pPr>
    </w:p>
    <w:p w14:paraId="36B8F49E" w14:textId="77777777" w:rsidR="00730F0A" w:rsidRDefault="00730F0A" w:rsidP="00730F0A">
      <w:pPr>
        <w:pStyle w:val="NoSpacing"/>
        <w:jc w:val="center"/>
      </w:pPr>
    </w:p>
    <w:p w14:paraId="708D223E" w14:textId="77777777" w:rsidR="00730F0A" w:rsidRDefault="00730F0A" w:rsidP="00730F0A">
      <w:pPr>
        <w:pStyle w:val="NoSpacing"/>
        <w:jc w:val="center"/>
      </w:pPr>
    </w:p>
    <w:p w14:paraId="7167A459" w14:textId="77777777" w:rsidR="00730F0A" w:rsidRDefault="00730F0A" w:rsidP="00730F0A">
      <w:pPr>
        <w:pStyle w:val="NoSpacing"/>
        <w:jc w:val="center"/>
      </w:pPr>
    </w:p>
    <w:p w14:paraId="3018E60A" w14:textId="77777777" w:rsidR="00730F0A" w:rsidRDefault="00730F0A" w:rsidP="00730F0A">
      <w:pPr>
        <w:pStyle w:val="NoSpacing"/>
        <w:jc w:val="center"/>
      </w:pPr>
    </w:p>
    <w:p w14:paraId="463DE347" w14:textId="77777777" w:rsidR="00730F0A" w:rsidRDefault="00730F0A" w:rsidP="00730F0A">
      <w:pPr>
        <w:pStyle w:val="NoSpacing"/>
        <w:jc w:val="center"/>
      </w:pPr>
    </w:p>
    <w:p w14:paraId="4F44E5DF" w14:textId="77777777" w:rsidR="00730F0A" w:rsidRDefault="00730F0A" w:rsidP="00730F0A">
      <w:pPr>
        <w:pStyle w:val="NoSpacing"/>
        <w:jc w:val="center"/>
      </w:pPr>
    </w:p>
    <w:p w14:paraId="21337601" w14:textId="77777777" w:rsidR="00730F0A" w:rsidRDefault="00730F0A" w:rsidP="00730F0A">
      <w:pPr>
        <w:pStyle w:val="NoSpacing"/>
        <w:jc w:val="center"/>
      </w:pPr>
    </w:p>
    <w:p w14:paraId="4E42BD9C" w14:textId="77777777" w:rsidR="00730F0A" w:rsidRDefault="00730F0A" w:rsidP="00730F0A">
      <w:pPr>
        <w:pStyle w:val="NoSpacing"/>
        <w:jc w:val="center"/>
      </w:pPr>
    </w:p>
    <w:p w14:paraId="7170DAD1" w14:textId="77777777" w:rsidR="00730F0A" w:rsidRDefault="00730F0A" w:rsidP="00730F0A">
      <w:pPr>
        <w:pStyle w:val="NoSpacing"/>
        <w:jc w:val="center"/>
      </w:pPr>
    </w:p>
    <w:p w14:paraId="11877944" w14:textId="77777777" w:rsidR="00730F0A" w:rsidRDefault="00730F0A" w:rsidP="00730F0A">
      <w:pPr>
        <w:pStyle w:val="NoSpacing"/>
        <w:jc w:val="center"/>
      </w:pPr>
    </w:p>
    <w:p w14:paraId="1543EA91" w14:textId="77777777" w:rsidR="00730F0A" w:rsidRDefault="00730F0A" w:rsidP="00730F0A">
      <w:pPr>
        <w:pStyle w:val="NoSpacing"/>
        <w:jc w:val="center"/>
      </w:pPr>
    </w:p>
    <w:p w14:paraId="698A6D61" w14:textId="77777777" w:rsidR="00730F0A" w:rsidRDefault="00730F0A" w:rsidP="00730F0A">
      <w:pPr>
        <w:pStyle w:val="NoSpacing"/>
        <w:jc w:val="center"/>
      </w:pPr>
    </w:p>
    <w:p w14:paraId="7E92FE9F" w14:textId="77777777" w:rsidR="00730F0A" w:rsidRDefault="00730F0A" w:rsidP="00730F0A">
      <w:pPr>
        <w:pStyle w:val="NoSpacing"/>
        <w:jc w:val="center"/>
      </w:pPr>
    </w:p>
    <w:p w14:paraId="683F188A" w14:textId="77777777" w:rsidR="00730F0A" w:rsidRDefault="00730F0A" w:rsidP="00730F0A">
      <w:pPr>
        <w:pStyle w:val="NoSpacing"/>
        <w:jc w:val="center"/>
      </w:pPr>
    </w:p>
    <w:p w14:paraId="579D4CDC" w14:textId="77777777" w:rsidR="00730F0A" w:rsidRDefault="00730F0A" w:rsidP="00730F0A">
      <w:pPr>
        <w:pStyle w:val="NoSpacing"/>
        <w:jc w:val="center"/>
      </w:pPr>
    </w:p>
    <w:p w14:paraId="489A6EE2" w14:textId="77777777" w:rsidR="00730F0A" w:rsidRDefault="00730F0A" w:rsidP="00730F0A">
      <w:pPr>
        <w:pStyle w:val="NoSpacing"/>
        <w:jc w:val="center"/>
      </w:pPr>
    </w:p>
    <w:p w14:paraId="679CC192" w14:textId="77777777" w:rsidR="00730F0A" w:rsidRDefault="00730F0A" w:rsidP="00730F0A">
      <w:pPr>
        <w:pStyle w:val="NoSpacing"/>
        <w:jc w:val="center"/>
      </w:pPr>
    </w:p>
    <w:p w14:paraId="03BAE658" w14:textId="77777777" w:rsidR="00730F0A" w:rsidRDefault="00730F0A" w:rsidP="00730F0A">
      <w:pPr>
        <w:pStyle w:val="NoSpacing"/>
        <w:jc w:val="center"/>
      </w:pPr>
    </w:p>
    <w:p w14:paraId="34236B74" w14:textId="77777777" w:rsidR="00730F0A" w:rsidRDefault="00730F0A" w:rsidP="00A73C5B">
      <w:pPr>
        <w:pStyle w:val="NoSpacing"/>
        <w:jc w:val="center"/>
      </w:pPr>
      <w:r>
        <w:t xml:space="preserve">© Copyright by </w:t>
      </w:r>
      <w:r w:rsidR="00A73C5B">
        <w:rPr>
          <w:caps/>
        </w:rPr>
        <w:t>NATHAN PAUL LAVEY</w:t>
      </w:r>
      <w:r>
        <w:t xml:space="preserve"> </w:t>
      </w:r>
      <w:r w:rsidR="00A73C5B">
        <w:t>2019</w:t>
      </w:r>
    </w:p>
    <w:p w14:paraId="4DDDFE6E" w14:textId="77777777" w:rsidR="00730F0A" w:rsidRDefault="00730F0A" w:rsidP="00730F0A">
      <w:pPr>
        <w:pStyle w:val="NoSpacing"/>
        <w:jc w:val="center"/>
      </w:pPr>
      <w:r>
        <w:t>All Rights Reserved.</w:t>
      </w:r>
    </w:p>
    <w:p w14:paraId="577CD96F" w14:textId="6ACEFBF4" w:rsidR="005B1E39" w:rsidRDefault="006F10CE" w:rsidP="005B1E39">
      <w:pPr>
        <w:pStyle w:val="Heading1"/>
      </w:pPr>
      <w:r>
        <w:br w:type="page"/>
      </w:r>
    </w:p>
    <w:p w14:paraId="5F1BDA1B" w14:textId="3E6835E3" w:rsidR="007D5BF8" w:rsidRDefault="007D5BF8" w:rsidP="009E777F">
      <w:pPr>
        <w:ind w:firstLine="720"/>
        <w:jc w:val="both"/>
        <w:sectPr w:rsidR="007D5BF8" w:rsidSect="002B52FE">
          <w:headerReference w:type="default" r:id="rId16"/>
          <w:footerReference w:type="default" r:id="rId17"/>
          <w:headerReference w:type="first" r:id="rId18"/>
          <w:footerReference w:type="first" r:id="rId19"/>
          <w:pgSz w:w="12240" w:h="15840" w:code="1"/>
          <w:pgMar w:top="1440" w:right="1440" w:bottom="1440" w:left="2160" w:header="720" w:footer="720" w:gutter="0"/>
          <w:pgNumType w:start="1"/>
          <w:cols w:space="720"/>
          <w:docGrid w:linePitch="360"/>
        </w:sectPr>
      </w:pPr>
    </w:p>
    <w:p w14:paraId="1B18F7A5" w14:textId="76DB36D9" w:rsidR="00FA6D16" w:rsidRDefault="00775701" w:rsidP="007D5BF8">
      <w:pPr>
        <w:pStyle w:val="Heading1"/>
      </w:pPr>
      <w:bookmarkStart w:id="0" w:name="_Toc310579464"/>
      <w:bookmarkStart w:id="1" w:name="_Toc8392719"/>
      <w:r>
        <w:lastRenderedPageBreak/>
        <w:t>Acknowledgements</w:t>
      </w:r>
      <w:bookmarkEnd w:id="0"/>
      <w:bookmarkEnd w:id="1"/>
    </w:p>
    <w:p w14:paraId="0BD9101D" w14:textId="4452A515" w:rsidR="00FA6D16" w:rsidRDefault="009E777F" w:rsidP="00FA6D16">
      <w:pPr>
        <w:ind w:firstLine="720"/>
        <w:jc w:val="both"/>
      </w:pPr>
      <w:r>
        <w:t xml:space="preserve">It is difficult to put into words how grateful I am to my </w:t>
      </w:r>
      <w:r w:rsidR="00823A26">
        <w:t>mentor Adam Duerfeldt for his guidance, wisdom, and thoughtfulness</w:t>
      </w:r>
      <w:r w:rsidR="00977307">
        <w:t xml:space="preserve">. </w:t>
      </w:r>
      <w:r w:rsidR="00823A26">
        <w:t>His unwavering support was paramount to completing this body of work, and I acknowledge the unique honor of being his first doctoral graduate student.</w:t>
      </w:r>
      <w:r w:rsidR="00977307">
        <w:t xml:space="preserve"> </w:t>
      </w:r>
      <w:r w:rsidR="00823A26">
        <w:t>I will always cherish the time I spent in the Duerfeldt laboratory, alongside a wonderful cast of supportive colleagues that I was honored to work amongst. Thank you all for your encouragement and support over the years, and I look forward to witnessing your success in the future.</w:t>
      </w:r>
    </w:p>
    <w:p w14:paraId="3FFAFFCB" w14:textId="5B147044" w:rsidR="00FA6D16" w:rsidRDefault="00823A26" w:rsidP="00823A26">
      <w:pPr>
        <w:jc w:val="both"/>
      </w:pPr>
      <w:r>
        <w:tab/>
      </w:r>
      <w:r w:rsidR="00814505">
        <w:t>I also want to thank</w:t>
      </w:r>
      <w:r>
        <w:t xml:space="preserve"> my committee of whom were </w:t>
      </w:r>
      <w:r w:rsidR="00977307">
        <w:t xml:space="preserve">incredibly </w:t>
      </w:r>
      <w:r>
        <w:t>helpful</w:t>
      </w:r>
      <w:r w:rsidR="00977307">
        <w:t xml:space="preserve"> and</w:t>
      </w:r>
      <w:r>
        <w:t xml:space="preserve"> kind</w:t>
      </w:r>
      <w:r w:rsidR="00977307">
        <w:t xml:space="preserve">. Their thoughtful contributions to experiments and attention to detail </w:t>
      </w:r>
      <w:r w:rsidR="00CB7975">
        <w:t>always left me</w:t>
      </w:r>
      <w:r w:rsidR="00977307">
        <w:t xml:space="preserve"> look</w:t>
      </w:r>
      <w:r w:rsidR="00CB7975">
        <w:t>ing</w:t>
      </w:r>
      <w:r w:rsidR="00977307">
        <w:t xml:space="preserve"> forward to </w:t>
      </w:r>
      <w:r w:rsidR="00CB7975">
        <w:t>presenting</w:t>
      </w:r>
      <w:r w:rsidR="00977307">
        <w:t xml:space="preserve"> </w:t>
      </w:r>
      <w:r w:rsidR="00CB7975">
        <w:t>our research to them</w:t>
      </w:r>
      <w:r w:rsidR="00977307">
        <w:t>. I cannot emphasize how much this positively contributed to my graduate experience. Thank you all immensely.</w:t>
      </w:r>
    </w:p>
    <w:p w14:paraId="79D7CA82" w14:textId="77950863" w:rsidR="00D80638" w:rsidRPr="00D80638" w:rsidRDefault="00D80638" w:rsidP="00823A26">
      <w:pPr>
        <w:jc w:val="both"/>
      </w:pPr>
      <w:r>
        <w:tab/>
        <w:t xml:space="preserve">Dr. Jimmy Ballard’s laboratory generously provided space, materials, and expertise particularly from the incredibly kind Tyler Shadid, </w:t>
      </w:r>
      <w:r w:rsidR="00761B3A">
        <w:t>who</w:t>
      </w:r>
      <w:r>
        <w:t xml:space="preserve"> taught me everything I know about culturing </w:t>
      </w:r>
      <w:r>
        <w:rPr>
          <w:i/>
        </w:rPr>
        <w:t>Clostridium difficile</w:t>
      </w:r>
      <w:r>
        <w:t>.</w:t>
      </w:r>
    </w:p>
    <w:p w14:paraId="280A6D7F" w14:textId="246FE877" w:rsidR="00297AF7" w:rsidRDefault="00297AF7" w:rsidP="00823A26">
      <w:pPr>
        <w:jc w:val="both"/>
      </w:pPr>
      <w:r>
        <w:tab/>
        <w:t xml:space="preserve">I </w:t>
      </w:r>
      <w:r w:rsidR="000F63F5">
        <w:t>am</w:t>
      </w:r>
      <w:r>
        <w:t xml:space="preserve"> incredibly fortunate to have</w:t>
      </w:r>
      <w:r w:rsidR="00BB38F0">
        <w:t xml:space="preserve"> wonderful</w:t>
      </w:r>
      <w:r>
        <w:t xml:space="preserve"> friends</w:t>
      </w:r>
      <w:r w:rsidR="00BB38F0">
        <w:t xml:space="preserve"> who helped me</w:t>
      </w:r>
      <w:r>
        <w:t xml:space="preserve"> throughout this journey, and had the opportunity to work alongside some truly amazing people. I am very thankful to</w:t>
      </w:r>
      <w:r w:rsidR="003261F6">
        <w:t xml:space="preserve"> </w:t>
      </w:r>
      <w:r>
        <w:t>Dr. Ryan Finethy</w:t>
      </w:r>
      <w:r w:rsidR="003261F6">
        <w:t xml:space="preserve"> who initially persuaded me to pursue a doctoral degree</w:t>
      </w:r>
      <w:r>
        <w:t xml:space="preserve">. Also, to </w:t>
      </w:r>
      <w:r w:rsidR="00D80638">
        <w:t xml:space="preserve">my colleague </w:t>
      </w:r>
      <w:r>
        <w:t xml:space="preserve">Matt Houck, </w:t>
      </w:r>
      <w:r w:rsidR="003261F6">
        <w:t>who was</w:t>
      </w:r>
      <w:r>
        <w:t xml:space="preserve"> routinely subjected to long-winded rants </w:t>
      </w:r>
      <w:r w:rsidR="00E95E24">
        <w:t>and was often too</w:t>
      </w:r>
      <w:r>
        <w:t xml:space="preserve"> nice to tell me when to </w:t>
      </w:r>
      <w:r w:rsidR="00E95E24">
        <w:t>give it a rest</w:t>
      </w:r>
      <w:r>
        <w:t>.</w:t>
      </w:r>
      <w:r w:rsidR="00406C54">
        <w:t xml:space="preserve"> </w:t>
      </w:r>
      <w:r w:rsidR="00D80638">
        <w:t xml:space="preserve">I also thank the undergraduate students that I was given the opportunity to mentor, particularly Jessie Knobbe who commiserated with me during our struggles with X-ray crystallography. And </w:t>
      </w:r>
      <w:r w:rsidR="00761B3A">
        <w:t>of course,</w:t>
      </w:r>
      <w:r w:rsidR="00D80638">
        <w:t xml:space="preserve"> my first colleague Jesse Coker, </w:t>
      </w:r>
      <w:r w:rsidR="00761B3A">
        <w:t>who probably</w:t>
      </w:r>
      <w:r w:rsidR="00D80638">
        <w:t xml:space="preserve"> taught me more than I taught him.</w:t>
      </w:r>
    </w:p>
    <w:p w14:paraId="13461854" w14:textId="664016F6" w:rsidR="00CB7975" w:rsidRDefault="00CB7975" w:rsidP="00823A26">
      <w:pPr>
        <w:jc w:val="both"/>
      </w:pPr>
      <w:r>
        <w:lastRenderedPageBreak/>
        <w:tab/>
        <w:t>I am</w:t>
      </w:r>
      <w:r w:rsidR="00E372C0">
        <w:t xml:space="preserve"> also</w:t>
      </w:r>
      <w:r>
        <w:t xml:space="preserve"> very thankful </w:t>
      </w:r>
      <w:r w:rsidR="00406C54">
        <w:t>to my mother and father, who always supported and believed in me throughout my academic career</w:t>
      </w:r>
      <w:r w:rsidR="00BB38F0">
        <w:t>.</w:t>
      </w:r>
      <w:r w:rsidR="00E372C0">
        <w:t xml:space="preserve"> </w:t>
      </w:r>
      <w:r w:rsidR="00761B3A">
        <w:t>I am extremely fortunate have such wonderful parents.</w:t>
      </w:r>
    </w:p>
    <w:p w14:paraId="0512D3EC" w14:textId="543646A6" w:rsidR="00977307" w:rsidRDefault="00977307" w:rsidP="00823A26">
      <w:pPr>
        <w:jc w:val="both"/>
      </w:pPr>
      <w:r>
        <w:tab/>
      </w:r>
      <w:r w:rsidR="00E95E24">
        <w:t xml:space="preserve">Most importantly, I thank my </w:t>
      </w:r>
      <w:r w:rsidR="0094610F">
        <w:t>partner</w:t>
      </w:r>
      <w:r w:rsidR="00E95E24">
        <w:t xml:space="preserve"> Brittany Ray for putting up with me over the years and for being a truly amazing source of strength and confidence. I look forward to spending many more (profoundly less stressful) years with you. </w:t>
      </w:r>
    </w:p>
    <w:p w14:paraId="4E1E3C5D" w14:textId="740861AF" w:rsidR="00977307" w:rsidRDefault="00977307" w:rsidP="00823A26">
      <w:pPr>
        <w:jc w:val="both"/>
      </w:pPr>
      <w:r>
        <w:tab/>
      </w:r>
      <w:r w:rsidR="00FA6D16">
        <w:t xml:space="preserve"> </w:t>
      </w:r>
    </w:p>
    <w:p w14:paraId="0B54FD95" w14:textId="3A23C40F" w:rsidR="009E777F" w:rsidRPr="009E777F" w:rsidRDefault="00823A26" w:rsidP="00E03B7D">
      <w:pPr>
        <w:ind w:firstLine="720"/>
        <w:jc w:val="both"/>
      </w:pPr>
      <w:r>
        <w:t xml:space="preserve"> </w:t>
      </w:r>
      <w:r w:rsidR="00E03B7D">
        <w:t xml:space="preserve">This work was made possible through the assistance provided by both the Protein Production Core and the Macromolecular Crystallography Laboratory facilities ran by Dr. Phil Bourne and Dr. Len Thomas within the </w:t>
      </w:r>
      <w:r w:rsidR="00E03B7D" w:rsidRPr="00B13CF4">
        <w:t>Oklahoma Center of Biomedical Research Excellence</w:t>
      </w:r>
      <w:r w:rsidR="00E03B7D">
        <w:t xml:space="preserve"> (COBRE), respectively. Funding came from a variety of generous sources, including: </w:t>
      </w:r>
      <w:r w:rsidR="00E03B7D" w:rsidRPr="00FA6D16">
        <w:t>Oklahoma Center for the Advancement of Science and Technology (OCAST, HR15-161),</w:t>
      </w:r>
      <w:r w:rsidR="00E03B7D">
        <w:t xml:space="preserve"> </w:t>
      </w:r>
      <w:r w:rsidR="00E03B7D" w:rsidRPr="00E03B7D">
        <w:t>Oklahoma Center for Respiratory &amp; Infectious Disease (OCRID) Pilot Project Grant</w:t>
      </w:r>
      <w:r w:rsidR="00E03B7D">
        <w:t>, and</w:t>
      </w:r>
      <w:r w:rsidR="00E03B7D" w:rsidRPr="00FA6D16">
        <w:t xml:space="preserve"> Institutional Development Award (IDeA) from the National Institute of General Medical Sciences of the National Institutes of Health under grant number P20GM103640.</w:t>
      </w:r>
    </w:p>
    <w:p w14:paraId="1702CB08" w14:textId="77777777" w:rsidR="004A7222" w:rsidRPr="0078679A" w:rsidRDefault="00775701" w:rsidP="007D5BF8">
      <w:pPr>
        <w:pStyle w:val="Heading1"/>
      </w:pPr>
      <w:r>
        <w:br w:type="page"/>
      </w:r>
      <w:bookmarkStart w:id="2" w:name="_Toc8392720"/>
      <w:r>
        <w:lastRenderedPageBreak/>
        <w:t xml:space="preserve">Table of </w:t>
      </w:r>
      <w:r w:rsidRPr="00775701">
        <w:t>Contents</w:t>
      </w:r>
      <w:bookmarkEnd w:id="2"/>
    </w:p>
    <w:p w14:paraId="193689EA" w14:textId="184250CF" w:rsidR="005B1E39" w:rsidRDefault="00F7122D">
      <w:pPr>
        <w:pStyle w:val="TOC1"/>
        <w:rPr>
          <w:rFonts w:asciiTheme="minorHAnsi" w:eastAsiaTheme="minorEastAsia" w:hAnsiTheme="minorHAnsi" w:cstheme="minorBidi"/>
          <w:noProof/>
          <w:lang w:bidi="ar-SA"/>
        </w:rPr>
      </w:pPr>
      <w:r>
        <w:fldChar w:fldCharType="begin"/>
      </w:r>
      <w:r w:rsidR="000F56FF">
        <w:instrText xml:space="preserve"> TOC \o "3-3" \h \z \t "Heading 1,1,Heading 2,2,Chapter,1" </w:instrText>
      </w:r>
      <w:r>
        <w:fldChar w:fldCharType="separate"/>
      </w:r>
      <w:hyperlink w:anchor="_Toc8392719" w:history="1">
        <w:r w:rsidR="005B1E39" w:rsidRPr="00790678">
          <w:rPr>
            <w:rStyle w:val="Hyperlink"/>
            <w:noProof/>
          </w:rPr>
          <w:t>Acknowledgements</w:t>
        </w:r>
        <w:r w:rsidR="005B1E39">
          <w:rPr>
            <w:noProof/>
            <w:webHidden/>
          </w:rPr>
          <w:tab/>
        </w:r>
        <w:r w:rsidR="005B1E39">
          <w:rPr>
            <w:noProof/>
            <w:webHidden/>
          </w:rPr>
          <w:fldChar w:fldCharType="begin"/>
        </w:r>
        <w:r w:rsidR="005B1E39">
          <w:rPr>
            <w:noProof/>
            <w:webHidden/>
          </w:rPr>
          <w:instrText xml:space="preserve"> PAGEREF _Toc8392719 \h </w:instrText>
        </w:r>
        <w:r w:rsidR="005B1E39">
          <w:rPr>
            <w:noProof/>
            <w:webHidden/>
          </w:rPr>
        </w:r>
        <w:r w:rsidR="005B1E39">
          <w:rPr>
            <w:noProof/>
            <w:webHidden/>
          </w:rPr>
          <w:fldChar w:fldCharType="separate"/>
        </w:r>
        <w:r w:rsidR="005B1E39">
          <w:rPr>
            <w:noProof/>
            <w:webHidden/>
          </w:rPr>
          <w:t>iv</w:t>
        </w:r>
        <w:r w:rsidR="005B1E39">
          <w:rPr>
            <w:noProof/>
            <w:webHidden/>
          </w:rPr>
          <w:fldChar w:fldCharType="end"/>
        </w:r>
      </w:hyperlink>
    </w:p>
    <w:p w14:paraId="5C558270" w14:textId="6A61E751" w:rsidR="005B1E39" w:rsidRDefault="005B1E39">
      <w:pPr>
        <w:pStyle w:val="TOC1"/>
        <w:rPr>
          <w:rFonts w:asciiTheme="minorHAnsi" w:eastAsiaTheme="minorEastAsia" w:hAnsiTheme="minorHAnsi" w:cstheme="minorBidi"/>
          <w:noProof/>
          <w:lang w:bidi="ar-SA"/>
        </w:rPr>
      </w:pPr>
      <w:hyperlink w:anchor="_Toc8392720" w:history="1">
        <w:r w:rsidRPr="00790678">
          <w:rPr>
            <w:rStyle w:val="Hyperlink"/>
            <w:noProof/>
          </w:rPr>
          <w:t>Table of Contents</w:t>
        </w:r>
        <w:r>
          <w:rPr>
            <w:noProof/>
            <w:webHidden/>
          </w:rPr>
          <w:tab/>
        </w:r>
        <w:r>
          <w:rPr>
            <w:noProof/>
            <w:webHidden/>
          </w:rPr>
          <w:fldChar w:fldCharType="begin"/>
        </w:r>
        <w:r>
          <w:rPr>
            <w:noProof/>
            <w:webHidden/>
          </w:rPr>
          <w:instrText xml:space="preserve"> PAGEREF _Toc8392720 \h </w:instrText>
        </w:r>
        <w:r>
          <w:rPr>
            <w:noProof/>
            <w:webHidden/>
          </w:rPr>
        </w:r>
        <w:r>
          <w:rPr>
            <w:noProof/>
            <w:webHidden/>
          </w:rPr>
          <w:fldChar w:fldCharType="separate"/>
        </w:r>
        <w:r>
          <w:rPr>
            <w:noProof/>
            <w:webHidden/>
          </w:rPr>
          <w:t>vi</w:t>
        </w:r>
        <w:r>
          <w:rPr>
            <w:noProof/>
            <w:webHidden/>
          </w:rPr>
          <w:fldChar w:fldCharType="end"/>
        </w:r>
      </w:hyperlink>
    </w:p>
    <w:p w14:paraId="5779F7E0" w14:textId="410118F9" w:rsidR="005B1E39" w:rsidRDefault="005B1E39">
      <w:pPr>
        <w:pStyle w:val="TOC1"/>
        <w:rPr>
          <w:rFonts w:asciiTheme="minorHAnsi" w:eastAsiaTheme="minorEastAsia" w:hAnsiTheme="minorHAnsi" w:cstheme="minorBidi"/>
          <w:noProof/>
          <w:lang w:bidi="ar-SA"/>
        </w:rPr>
      </w:pPr>
      <w:hyperlink w:anchor="_Toc8392721" w:history="1">
        <w:r w:rsidRPr="00790678">
          <w:rPr>
            <w:rStyle w:val="Hyperlink"/>
            <w:noProof/>
          </w:rPr>
          <w:t>List of Tables</w:t>
        </w:r>
        <w:r>
          <w:rPr>
            <w:noProof/>
            <w:webHidden/>
          </w:rPr>
          <w:tab/>
        </w:r>
        <w:r>
          <w:rPr>
            <w:noProof/>
            <w:webHidden/>
          </w:rPr>
          <w:fldChar w:fldCharType="begin"/>
        </w:r>
        <w:r>
          <w:rPr>
            <w:noProof/>
            <w:webHidden/>
          </w:rPr>
          <w:instrText xml:space="preserve"> PAGEREF _Toc8392721 \h </w:instrText>
        </w:r>
        <w:r>
          <w:rPr>
            <w:noProof/>
            <w:webHidden/>
          </w:rPr>
        </w:r>
        <w:r>
          <w:rPr>
            <w:noProof/>
            <w:webHidden/>
          </w:rPr>
          <w:fldChar w:fldCharType="separate"/>
        </w:r>
        <w:r>
          <w:rPr>
            <w:noProof/>
            <w:webHidden/>
          </w:rPr>
          <w:t>xi</w:t>
        </w:r>
        <w:r>
          <w:rPr>
            <w:noProof/>
            <w:webHidden/>
          </w:rPr>
          <w:fldChar w:fldCharType="end"/>
        </w:r>
      </w:hyperlink>
    </w:p>
    <w:p w14:paraId="7D272982" w14:textId="5B0E3C8D" w:rsidR="005B1E39" w:rsidRDefault="005B1E39">
      <w:pPr>
        <w:pStyle w:val="TOC1"/>
        <w:rPr>
          <w:rFonts w:asciiTheme="minorHAnsi" w:eastAsiaTheme="minorEastAsia" w:hAnsiTheme="minorHAnsi" w:cstheme="minorBidi"/>
          <w:noProof/>
          <w:lang w:bidi="ar-SA"/>
        </w:rPr>
      </w:pPr>
      <w:hyperlink w:anchor="_Toc8392722" w:history="1">
        <w:r w:rsidRPr="00790678">
          <w:rPr>
            <w:rStyle w:val="Hyperlink"/>
            <w:noProof/>
          </w:rPr>
          <w:t>List of Figures</w:t>
        </w:r>
        <w:r>
          <w:rPr>
            <w:noProof/>
            <w:webHidden/>
          </w:rPr>
          <w:tab/>
        </w:r>
        <w:r>
          <w:rPr>
            <w:noProof/>
            <w:webHidden/>
          </w:rPr>
          <w:fldChar w:fldCharType="begin"/>
        </w:r>
        <w:r>
          <w:rPr>
            <w:noProof/>
            <w:webHidden/>
          </w:rPr>
          <w:instrText xml:space="preserve"> PAGEREF _Toc8392722 \h </w:instrText>
        </w:r>
        <w:r>
          <w:rPr>
            <w:noProof/>
            <w:webHidden/>
          </w:rPr>
        </w:r>
        <w:r>
          <w:rPr>
            <w:noProof/>
            <w:webHidden/>
          </w:rPr>
          <w:fldChar w:fldCharType="separate"/>
        </w:r>
        <w:r>
          <w:rPr>
            <w:noProof/>
            <w:webHidden/>
          </w:rPr>
          <w:t>xii</w:t>
        </w:r>
        <w:r>
          <w:rPr>
            <w:noProof/>
            <w:webHidden/>
          </w:rPr>
          <w:fldChar w:fldCharType="end"/>
        </w:r>
      </w:hyperlink>
    </w:p>
    <w:p w14:paraId="627057F6" w14:textId="72242618" w:rsidR="005B1E39" w:rsidRDefault="005B1E39">
      <w:pPr>
        <w:pStyle w:val="TOC1"/>
        <w:rPr>
          <w:rFonts w:asciiTheme="minorHAnsi" w:eastAsiaTheme="minorEastAsia" w:hAnsiTheme="minorHAnsi" w:cstheme="minorBidi"/>
          <w:noProof/>
          <w:lang w:bidi="ar-SA"/>
        </w:rPr>
      </w:pPr>
      <w:hyperlink w:anchor="_Toc8392723" w:history="1">
        <w:r w:rsidRPr="00790678">
          <w:rPr>
            <w:rStyle w:val="Hyperlink"/>
            <w:noProof/>
          </w:rPr>
          <w:t>List of Abbreviations</w:t>
        </w:r>
        <w:r>
          <w:rPr>
            <w:noProof/>
            <w:webHidden/>
          </w:rPr>
          <w:tab/>
        </w:r>
        <w:r>
          <w:rPr>
            <w:noProof/>
            <w:webHidden/>
          </w:rPr>
          <w:fldChar w:fldCharType="begin"/>
        </w:r>
        <w:r>
          <w:rPr>
            <w:noProof/>
            <w:webHidden/>
          </w:rPr>
          <w:instrText xml:space="preserve"> PAGEREF _Toc8392723 \h </w:instrText>
        </w:r>
        <w:r>
          <w:rPr>
            <w:noProof/>
            <w:webHidden/>
          </w:rPr>
        </w:r>
        <w:r>
          <w:rPr>
            <w:noProof/>
            <w:webHidden/>
          </w:rPr>
          <w:fldChar w:fldCharType="separate"/>
        </w:r>
        <w:r>
          <w:rPr>
            <w:noProof/>
            <w:webHidden/>
          </w:rPr>
          <w:t>xvi</w:t>
        </w:r>
        <w:r>
          <w:rPr>
            <w:noProof/>
            <w:webHidden/>
          </w:rPr>
          <w:fldChar w:fldCharType="end"/>
        </w:r>
      </w:hyperlink>
    </w:p>
    <w:p w14:paraId="0AEB5C66" w14:textId="5C60DE54" w:rsidR="005B1E39" w:rsidRDefault="005B1E39">
      <w:pPr>
        <w:pStyle w:val="TOC1"/>
        <w:rPr>
          <w:rFonts w:asciiTheme="minorHAnsi" w:eastAsiaTheme="minorEastAsia" w:hAnsiTheme="minorHAnsi" w:cstheme="minorBidi"/>
          <w:noProof/>
          <w:lang w:bidi="ar-SA"/>
        </w:rPr>
      </w:pPr>
      <w:hyperlink w:anchor="_Toc8392724" w:history="1">
        <w:r w:rsidRPr="00790678">
          <w:rPr>
            <w:rStyle w:val="Hyperlink"/>
            <w:noProof/>
          </w:rPr>
          <w:t>Abstract</w:t>
        </w:r>
        <w:r>
          <w:rPr>
            <w:noProof/>
            <w:webHidden/>
          </w:rPr>
          <w:tab/>
        </w:r>
        <w:r>
          <w:rPr>
            <w:noProof/>
            <w:webHidden/>
          </w:rPr>
          <w:fldChar w:fldCharType="begin"/>
        </w:r>
        <w:r>
          <w:rPr>
            <w:noProof/>
            <w:webHidden/>
          </w:rPr>
          <w:instrText xml:space="preserve"> PAGEREF _Toc8392724 \h </w:instrText>
        </w:r>
        <w:r>
          <w:rPr>
            <w:noProof/>
            <w:webHidden/>
          </w:rPr>
        </w:r>
        <w:r>
          <w:rPr>
            <w:noProof/>
            <w:webHidden/>
          </w:rPr>
          <w:fldChar w:fldCharType="separate"/>
        </w:r>
        <w:r>
          <w:rPr>
            <w:noProof/>
            <w:webHidden/>
          </w:rPr>
          <w:t>xviii</w:t>
        </w:r>
        <w:r>
          <w:rPr>
            <w:noProof/>
            <w:webHidden/>
          </w:rPr>
          <w:fldChar w:fldCharType="end"/>
        </w:r>
      </w:hyperlink>
    </w:p>
    <w:p w14:paraId="02447B57" w14:textId="7E791BB0" w:rsidR="005B1E39" w:rsidRDefault="005B1E39">
      <w:pPr>
        <w:pStyle w:val="TOC1"/>
        <w:rPr>
          <w:rFonts w:asciiTheme="minorHAnsi" w:eastAsiaTheme="minorEastAsia" w:hAnsiTheme="minorHAnsi" w:cstheme="minorBidi"/>
          <w:noProof/>
          <w:lang w:bidi="ar-SA"/>
        </w:rPr>
      </w:pPr>
      <w:hyperlink w:anchor="_Toc8392725" w:history="1">
        <w:r w:rsidRPr="00790678">
          <w:rPr>
            <w:rStyle w:val="Hyperlink"/>
            <w:noProof/>
          </w:rPr>
          <w:t>Chapter 1</w:t>
        </w:r>
        <w:r>
          <w:rPr>
            <w:noProof/>
            <w:webHidden/>
          </w:rPr>
          <w:tab/>
        </w:r>
        <w:r>
          <w:rPr>
            <w:noProof/>
            <w:webHidden/>
          </w:rPr>
          <w:fldChar w:fldCharType="begin"/>
        </w:r>
        <w:r>
          <w:rPr>
            <w:noProof/>
            <w:webHidden/>
          </w:rPr>
          <w:instrText xml:space="preserve"> PAGEREF _Toc8392725 \h </w:instrText>
        </w:r>
        <w:r>
          <w:rPr>
            <w:noProof/>
            <w:webHidden/>
          </w:rPr>
        </w:r>
        <w:r>
          <w:rPr>
            <w:noProof/>
            <w:webHidden/>
          </w:rPr>
          <w:fldChar w:fldCharType="separate"/>
        </w:r>
        <w:r>
          <w:rPr>
            <w:noProof/>
            <w:webHidden/>
          </w:rPr>
          <w:t>1</w:t>
        </w:r>
        <w:r>
          <w:rPr>
            <w:noProof/>
            <w:webHidden/>
          </w:rPr>
          <w:fldChar w:fldCharType="end"/>
        </w:r>
      </w:hyperlink>
    </w:p>
    <w:p w14:paraId="183C7A9F" w14:textId="1C557D8F" w:rsidR="005B1E39" w:rsidRDefault="005B1E39">
      <w:pPr>
        <w:pStyle w:val="TOC1"/>
        <w:rPr>
          <w:rFonts w:asciiTheme="minorHAnsi" w:eastAsiaTheme="minorEastAsia" w:hAnsiTheme="minorHAnsi" w:cstheme="minorBidi"/>
          <w:noProof/>
          <w:lang w:bidi="ar-SA"/>
        </w:rPr>
      </w:pPr>
      <w:hyperlink w:anchor="_Toc8392726" w:history="1">
        <w:r w:rsidRPr="00790678">
          <w:rPr>
            <w:rStyle w:val="Hyperlink"/>
            <w:noProof/>
          </w:rPr>
          <w:t>Introduction</w:t>
        </w:r>
        <w:r>
          <w:rPr>
            <w:noProof/>
            <w:webHidden/>
          </w:rPr>
          <w:tab/>
        </w:r>
        <w:r>
          <w:rPr>
            <w:noProof/>
            <w:webHidden/>
          </w:rPr>
          <w:fldChar w:fldCharType="begin"/>
        </w:r>
        <w:r>
          <w:rPr>
            <w:noProof/>
            <w:webHidden/>
          </w:rPr>
          <w:instrText xml:space="preserve"> PAGEREF _Toc8392726 \h </w:instrText>
        </w:r>
        <w:r>
          <w:rPr>
            <w:noProof/>
            <w:webHidden/>
          </w:rPr>
        </w:r>
        <w:r>
          <w:rPr>
            <w:noProof/>
            <w:webHidden/>
          </w:rPr>
          <w:fldChar w:fldCharType="separate"/>
        </w:r>
        <w:r>
          <w:rPr>
            <w:noProof/>
            <w:webHidden/>
          </w:rPr>
          <w:t>1</w:t>
        </w:r>
        <w:r>
          <w:rPr>
            <w:noProof/>
            <w:webHidden/>
          </w:rPr>
          <w:fldChar w:fldCharType="end"/>
        </w:r>
      </w:hyperlink>
    </w:p>
    <w:p w14:paraId="6338DA36" w14:textId="65533625" w:rsidR="005B1E39" w:rsidRDefault="005B1E39">
      <w:pPr>
        <w:pStyle w:val="TOC2"/>
        <w:tabs>
          <w:tab w:val="right" w:leader="dot" w:pos="8630"/>
        </w:tabs>
        <w:rPr>
          <w:rFonts w:asciiTheme="minorHAnsi" w:eastAsiaTheme="minorEastAsia" w:hAnsiTheme="minorHAnsi" w:cstheme="minorBidi"/>
          <w:noProof/>
          <w:lang w:bidi="ar-SA"/>
        </w:rPr>
      </w:pPr>
      <w:hyperlink w:anchor="_Toc8392727" w:history="1">
        <w:r w:rsidRPr="00790678">
          <w:rPr>
            <w:rStyle w:val="Hyperlink"/>
            <w:noProof/>
          </w:rPr>
          <w:t xml:space="preserve">1.1 </w:t>
        </w:r>
        <w:r w:rsidRPr="00790678">
          <w:rPr>
            <w:rStyle w:val="Hyperlink"/>
            <w:i/>
            <w:noProof/>
          </w:rPr>
          <w:t xml:space="preserve">Clostridium difficile </w:t>
        </w:r>
        <w:r w:rsidRPr="00790678">
          <w:rPr>
            <w:rStyle w:val="Hyperlink"/>
            <w:noProof/>
          </w:rPr>
          <w:t>Infection</w:t>
        </w:r>
        <w:r>
          <w:rPr>
            <w:noProof/>
            <w:webHidden/>
          </w:rPr>
          <w:tab/>
        </w:r>
        <w:r>
          <w:rPr>
            <w:noProof/>
            <w:webHidden/>
          </w:rPr>
          <w:fldChar w:fldCharType="begin"/>
        </w:r>
        <w:r>
          <w:rPr>
            <w:noProof/>
            <w:webHidden/>
          </w:rPr>
          <w:instrText xml:space="preserve"> PAGEREF _Toc8392727 \h </w:instrText>
        </w:r>
        <w:r>
          <w:rPr>
            <w:noProof/>
            <w:webHidden/>
          </w:rPr>
        </w:r>
        <w:r>
          <w:rPr>
            <w:noProof/>
            <w:webHidden/>
          </w:rPr>
          <w:fldChar w:fldCharType="separate"/>
        </w:r>
        <w:r>
          <w:rPr>
            <w:noProof/>
            <w:webHidden/>
          </w:rPr>
          <w:t>1</w:t>
        </w:r>
        <w:r>
          <w:rPr>
            <w:noProof/>
            <w:webHidden/>
          </w:rPr>
          <w:fldChar w:fldCharType="end"/>
        </w:r>
      </w:hyperlink>
    </w:p>
    <w:p w14:paraId="17184028" w14:textId="14B3358A" w:rsidR="005B1E39" w:rsidRDefault="005B1E39">
      <w:pPr>
        <w:pStyle w:val="TOC2"/>
        <w:tabs>
          <w:tab w:val="right" w:leader="dot" w:pos="8630"/>
        </w:tabs>
        <w:rPr>
          <w:rFonts w:asciiTheme="minorHAnsi" w:eastAsiaTheme="minorEastAsia" w:hAnsiTheme="minorHAnsi" w:cstheme="minorBidi"/>
          <w:noProof/>
          <w:lang w:bidi="ar-SA"/>
        </w:rPr>
      </w:pPr>
      <w:hyperlink w:anchor="_Toc8392728" w:history="1">
        <w:r w:rsidRPr="00790678">
          <w:rPr>
            <w:rStyle w:val="Hyperlink"/>
            <w:noProof/>
          </w:rPr>
          <w:t>1.2 Clinical Management of CDI, and Treatments on the Horizon</w:t>
        </w:r>
        <w:r>
          <w:rPr>
            <w:noProof/>
            <w:webHidden/>
          </w:rPr>
          <w:tab/>
        </w:r>
        <w:r>
          <w:rPr>
            <w:noProof/>
            <w:webHidden/>
          </w:rPr>
          <w:fldChar w:fldCharType="begin"/>
        </w:r>
        <w:r>
          <w:rPr>
            <w:noProof/>
            <w:webHidden/>
          </w:rPr>
          <w:instrText xml:space="preserve"> PAGEREF _Toc8392728 \h </w:instrText>
        </w:r>
        <w:r>
          <w:rPr>
            <w:noProof/>
            <w:webHidden/>
          </w:rPr>
        </w:r>
        <w:r>
          <w:rPr>
            <w:noProof/>
            <w:webHidden/>
          </w:rPr>
          <w:fldChar w:fldCharType="separate"/>
        </w:r>
        <w:r>
          <w:rPr>
            <w:noProof/>
            <w:webHidden/>
          </w:rPr>
          <w:t>8</w:t>
        </w:r>
        <w:r>
          <w:rPr>
            <w:noProof/>
            <w:webHidden/>
          </w:rPr>
          <w:fldChar w:fldCharType="end"/>
        </w:r>
      </w:hyperlink>
    </w:p>
    <w:p w14:paraId="1861FFA6" w14:textId="50297810" w:rsidR="005B1E39" w:rsidRDefault="005B1E39">
      <w:pPr>
        <w:pStyle w:val="TOC2"/>
        <w:tabs>
          <w:tab w:val="right" w:leader="dot" w:pos="8630"/>
        </w:tabs>
        <w:rPr>
          <w:rFonts w:asciiTheme="minorHAnsi" w:eastAsiaTheme="minorEastAsia" w:hAnsiTheme="minorHAnsi" w:cstheme="minorBidi"/>
          <w:noProof/>
          <w:lang w:bidi="ar-SA"/>
        </w:rPr>
      </w:pPr>
      <w:hyperlink w:anchor="_Toc8392729" w:history="1">
        <w:r w:rsidRPr="00790678">
          <w:rPr>
            <w:rStyle w:val="Hyperlink"/>
            <w:noProof/>
          </w:rPr>
          <w:t>1.3 A Case for Targeting Caseinolytic Protease P</w:t>
        </w:r>
        <w:r>
          <w:rPr>
            <w:noProof/>
            <w:webHidden/>
          </w:rPr>
          <w:tab/>
        </w:r>
        <w:r>
          <w:rPr>
            <w:noProof/>
            <w:webHidden/>
          </w:rPr>
          <w:fldChar w:fldCharType="begin"/>
        </w:r>
        <w:r>
          <w:rPr>
            <w:noProof/>
            <w:webHidden/>
          </w:rPr>
          <w:instrText xml:space="preserve"> PAGEREF _Toc8392729 \h </w:instrText>
        </w:r>
        <w:r>
          <w:rPr>
            <w:noProof/>
            <w:webHidden/>
          </w:rPr>
        </w:r>
        <w:r>
          <w:rPr>
            <w:noProof/>
            <w:webHidden/>
          </w:rPr>
          <w:fldChar w:fldCharType="separate"/>
        </w:r>
        <w:r>
          <w:rPr>
            <w:noProof/>
            <w:webHidden/>
          </w:rPr>
          <w:t>13</w:t>
        </w:r>
        <w:r>
          <w:rPr>
            <w:noProof/>
            <w:webHidden/>
          </w:rPr>
          <w:fldChar w:fldCharType="end"/>
        </w:r>
      </w:hyperlink>
    </w:p>
    <w:p w14:paraId="029930DD" w14:textId="560014BA" w:rsidR="005B1E39" w:rsidRDefault="005B1E39">
      <w:pPr>
        <w:pStyle w:val="TOC2"/>
        <w:tabs>
          <w:tab w:val="right" w:leader="dot" w:pos="8630"/>
        </w:tabs>
        <w:rPr>
          <w:rFonts w:asciiTheme="minorHAnsi" w:eastAsiaTheme="minorEastAsia" w:hAnsiTheme="minorHAnsi" w:cstheme="minorBidi"/>
          <w:noProof/>
          <w:lang w:bidi="ar-SA"/>
        </w:rPr>
      </w:pPr>
      <w:hyperlink w:anchor="_Toc8392730" w:history="1">
        <w:r w:rsidRPr="00790678">
          <w:rPr>
            <w:rStyle w:val="Hyperlink"/>
            <w:noProof/>
          </w:rPr>
          <w:t>1.4 References</w:t>
        </w:r>
        <w:r>
          <w:rPr>
            <w:noProof/>
            <w:webHidden/>
          </w:rPr>
          <w:tab/>
        </w:r>
        <w:r>
          <w:rPr>
            <w:noProof/>
            <w:webHidden/>
          </w:rPr>
          <w:fldChar w:fldCharType="begin"/>
        </w:r>
        <w:r>
          <w:rPr>
            <w:noProof/>
            <w:webHidden/>
          </w:rPr>
          <w:instrText xml:space="preserve"> PAGEREF _Toc8392730 \h </w:instrText>
        </w:r>
        <w:r>
          <w:rPr>
            <w:noProof/>
            <w:webHidden/>
          </w:rPr>
        </w:r>
        <w:r>
          <w:rPr>
            <w:noProof/>
            <w:webHidden/>
          </w:rPr>
          <w:fldChar w:fldCharType="separate"/>
        </w:r>
        <w:r>
          <w:rPr>
            <w:noProof/>
            <w:webHidden/>
          </w:rPr>
          <w:t>16</w:t>
        </w:r>
        <w:r>
          <w:rPr>
            <w:noProof/>
            <w:webHidden/>
          </w:rPr>
          <w:fldChar w:fldCharType="end"/>
        </w:r>
      </w:hyperlink>
    </w:p>
    <w:p w14:paraId="49F4528B" w14:textId="267DCDBA" w:rsidR="005B1E39" w:rsidRDefault="005B1E39">
      <w:pPr>
        <w:pStyle w:val="TOC1"/>
        <w:rPr>
          <w:rFonts w:asciiTheme="minorHAnsi" w:eastAsiaTheme="minorEastAsia" w:hAnsiTheme="minorHAnsi" w:cstheme="minorBidi"/>
          <w:noProof/>
          <w:lang w:bidi="ar-SA"/>
        </w:rPr>
      </w:pPr>
      <w:hyperlink w:anchor="_Toc8392731" w:history="1">
        <w:r w:rsidRPr="00790678">
          <w:rPr>
            <w:rStyle w:val="Hyperlink"/>
            <w:noProof/>
          </w:rPr>
          <w:t>Chapter 2</w:t>
        </w:r>
        <w:r>
          <w:rPr>
            <w:noProof/>
            <w:webHidden/>
          </w:rPr>
          <w:tab/>
        </w:r>
        <w:r>
          <w:rPr>
            <w:noProof/>
            <w:webHidden/>
          </w:rPr>
          <w:fldChar w:fldCharType="begin"/>
        </w:r>
        <w:r>
          <w:rPr>
            <w:noProof/>
            <w:webHidden/>
          </w:rPr>
          <w:instrText xml:space="preserve"> PAGEREF _Toc8392731 \h </w:instrText>
        </w:r>
        <w:r>
          <w:rPr>
            <w:noProof/>
            <w:webHidden/>
          </w:rPr>
        </w:r>
        <w:r>
          <w:rPr>
            <w:noProof/>
            <w:webHidden/>
          </w:rPr>
          <w:fldChar w:fldCharType="separate"/>
        </w:r>
        <w:r>
          <w:rPr>
            <w:noProof/>
            <w:webHidden/>
          </w:rPr>
          <w:t>36</w:t>
        </w:r>
        <w:r>
          <w:rPr>
            <w:noProof/>
            <w:webHidden/>
          </w:rPr>
          <w:fldChar w:fldCharType="end"/>
        </w:r>
      </w:hyperlink>
    </w:p>
    <w:p w14:paraId="3D0F8A8C" w14:textId="441C8BE1" w:rsidR="005B1E39" w:rsidRDefault="005B1E39">
      <w:pPr>
        <w:pStyle w:val="TOC1"/>
        <w:rPr>
          <w:rFonts w:asciiTheme="minorHAnsi" w:eastAsiaTheme="minorEastAsia" w:hAnsiTheme="minorHAnsi" w:cstheme="minorBidi"/>
          <w:noProof/>
          <w:lang w:bidi="ar-SA"/>
        </w:rPr>
      </w:pPr>
      <w:hyperlink w:anchor="_Toc8392732" w:history="1">
        <w:r w:rsidRPr="00790678">
          <w:rPr>
            <w:rStyle w:val="Hyperlink"/>
            <w:i/>
            <w:iCs/>
            <w:noProof/>
          </w:rPr>
          <w:t>Clostridium difficile</w:t>
        </w:r>
        <w:r w:rsidRPr="00790678">
          <w:rPr>
            <w:rStyle w:val="Hyperlink"/>
            <w:noProof/>
          </w:rPr>
          <w:t xml:space="preserve"> ClpP Homologs are Capable of Uncoupled Activity and Exhibit Different Levels of Susceptibility to Acyldepsipeptide Modulation</w:t>
        </w:r>
        <w:r>
          <w:rPr>
            <w:noProof/>
            <w:webHidden/>
          </w:rPr>
          <w:tab/>
        </w:r>
        <w:r>
          <w:rPr>
            <w:noProof/>
            <w:webHidden/>
          </w:rPr>
          <w:fldChar w:fldCharType="begin"/>
        </w:r>
        <w:r>
          <w:rPr>
            <w:noProof/>
            <w:webHidden/>
          </w:rPr>
          <w:instrText xml:space="preserve"> PAGEREF _Toc8392732 \h </w:instrText>
        </w:r>
        <w:r>
          <w:rPr>
            <w:noProof/>
            <w:webHidden/>
          </w:rPr>
        </w:r>
        <w:r>
          <w:rPr>
            <w:noProof/>
            <w:webHidden/>
          </w:rPr>
          <w:fldChar w:fldCharType="separate"/>
        </w:r>
        <w:r>
          <w:rPr>
            <w:noProof/>
            <w:webHidden/>
          </w:rPr>
          <w:t>36</w:t>
        </w:r>
        <w:r>
          <w:rPr>
            <w:noProof/>
            <w:webHidden/>
          </w:rPr>
          <w:fldChar w:fldCharType="end"/>
        </w:r>
      </w:hyperlink>
    </w:p>
    <w:p w14:paraId="1842E47E" w14:textId="116F1187" w:rsidR="005B1E39" w:rsidRDefault="005B1E39">
      <w:pPr>
        <w:pStyle w:val="TOC2"/>
        <w:tabs>
          <w:tab w:val="right" w:leader="dot" w:pos="8630"/>
        </w:tabs>
        <w:rPr>
          <w:rFonts w:asciiTheme="minorHAnsi" w:eastAsiaTheme="minorEastAsia" w:hAnsiTheme="minorHAnsi" w:cstheme="minorBidi"/>
          <w:noProof/>
          <w:lang w:bidi="ar-SA"/>
        </w:rPr>
      </w:pPr>
      <w:hyperlink w:anchor="_Toc8392733" w:history="1">
        <w:r w:rsidRPr="00790678">
          <w:rPr>
            <w:rStyle w:val="Hyperlink"/>
            <w:noProof/>
          </w:rPr>
          <w:t>2.1 Abstract</w:t>
        </w:r>
        <w:r>
          <w:rPr>
            <w:noProof/>
            <w:webHidden/>
          </w:rPr>
          <w:tab/>
        </w:r>
        <w:r>
          <w:rPr>
            <w:noProof/>
            <w:webHidden/>
          </w:rPr>
          <w:fldChar w:fldCharType="begin"/>
        </w:r>
        <w:r>
          <w:rPr>
            <w:noProof/>
            <w:webHidden/>
          </w:rPr>
          <w:instrText xml:space="preserve"> PAGEREF _Toc8392733 \h </w:instrText>
        </w:r>
        <w:r>
          <w:rPr>
            <w:noProof/>
            <w:webHidden/>
          </w:rPr>
        </w:r>
        <w:r>
          <w:rPr>
            <w:noProof/>
            <w:webHidden/>
          </w:rPr>
          <w:fldChar w:fldCharType="separate"/>
        </w:r>
        <w:r>
          <w:rPr>
            <w:noProof/>
            <w:webHidden/>
          </w:rPr>
          <w:t>36</w:t>
        </w:r>
        <w:r>
          <w:rPr>
            <w:noProof/>
            <w:webHidden/>
          </w:rPr>
          <w:fldChar w:fldCharType="end"/>
        </w:r>
      </w:hyperlink>
    </w:p>
    <w:p w14:paraId="59448220" w14:textId="394BC3D2" w:rsidR="005B1E39" w:rsidRDefault="005B1E39">
      <w:pPr>
        <w:pStyle w:val="TOC2"/>
        <w:tabs>
          <w:tab w:val="right" w:leader="dot" w:pos="8630"/>
        </w:tabs>
        <w:rPr>
          <w:rFonts w:asciiTheme="minorHAnsi" w:eastAsiaTheme="minorEastAsia" w:hAnsiTheme="minorHAnsi" w:cstheme="minorBidi"/>
          <w:noProof/>
          <w:lang w:bidi="ar-SA"/>
        </w:rPr>
      </w:pPr>
      <w:hyperlink w:anchor="_Toc8392734" w:history="1">
        <w:r w:rsidRPr="00790678">
          <w:rPr>
            <w:rStyle w:val="Hyperlink"/>
            <w:noProof/>
          </w:rPr>
          <w:t>2.2 Introduction</w:t>
        </w:r>
        <w:r>
          <w:rPr>
            <w:noProof/>
            <w:webHidden/>
          </w:rPr>
          <w:tab/>
        </w:r>
        <w:r>
          <w:rPr>
            <w:noProof/>
            <w:webHidden/>
          </w:rPr>
          <w:fldChar w:fldCharType="begin"/>
        </w:r>
        <w:r>
          <w:rPr>
            <w:noProof/>
            <w:webHidden/>
          </w:rPr>
          <w:instrText xml:space="preserve"> PAGEREF _Toc8392734 \h </w:instrText>
        </w:r>
        <w:r>
          <w:rPr>
            <w:noProof/>
            <w:webHidden/>
          </w:rPr>
        </w:r>
        <w:r>
          <w:rPr>
            <w:noProof/>
            <w:webHidden/>
          </w:rPr>
          <w:fldChar w:fldCharType="separate"/>
        </w:r>
        <w:r>
          <w:rPr>
            <w:noProof/>
            <w:webHidden/>
          </w:rPr>
          <w:t>38</w:t>
        </w:r>
        <w:r>
          <w:rPr>
            <w:noProof/>
            <w:webHidden/>
          </w:rPr>
          <w:fldChar w:fldCharType="end"/>
        </w:r>
      </w:hyperlink>
    </w:p>
    <w:p w14:paraId="3440E2FD" w14:textId="1E14C0B9" w:rsidR="005B1E39" w:rsidRDefault="005B1E39">
      <w:pPr>
        <w:pStyle w:val="TOC2"/>
        <w:tabs>
          <w:tab w:val="right" w:leader="dot" w:pos="8630"/>
        </w:tabs>
        <w:rPr>
          <w:rFonts w:asciiTheme="minorHAnsi" w:eastAsiaTheme="minorEastAsia" w:hAnsiTheme="minorHAnsi" w:cstheme="minorBidi"/>
          <w:noProof/>
          <w:lang w:bidi="ar-SA"/>
        </w:rPr>
      </w:pPr>
      <w:hyperlink w:anchor="_Toc8392735" w:history="1">
        <w:r w:rsidRPr="00790678">
          <w:rPr>
            <w:rStyle w:val="Hyperlink"/>
            <w:noProof/>
          </w:rPr>
          <w:t>2.3 Results</w:t>
        </w:r>
        <w:r>
          <w:rPr>
            <w:noProof/>
            <w:webHidden/>
          </w:rPr>
          <w:tab/>
        </w:r>
        <w:r>
          <w:rPr>
            <w:noProof/>
            <w:webHidden/>
          </w:rPr>
          <w:fldChar w:fldCharType="begin"/>
        </w:r>
        <w:r>
          <w:rPr>
            <w:noProof/>
            <w:webHidden/>
          </w:rPr>
          <w:instrText xml:space="preserve"> PAGEREF _Toc8392735 \h </w:instrText>
        </w:r>
        <w:r>
          <w:rPr>
            <w:noProof/>
            <w:webHidden/>
          </w:rPr>
        </w:r>
        <w:r>
          <w:rPr>
            <w:noProof/>
            <w:webHidden/>
          </w:rPr>
          <w:fldChar w:fldCharType="separate"/>
        </w:r>
        <w:r>
          <w:rPr>
            <w:noProof/>
            <w:webHidden/>
          </w:rPr>
          <w:t>41</w:t>
        </w:r>
        <w:r>
          <w:rPr>
            <w:noProof/>
            <w:webHidden/>
          </w:rPr>
          <w:fldChar w:fldCharType="end"/>
        </w:r>
      </w:hyperlink>
    </w:p>
    <w:p w14:paraId="3850C3D3" w14:textId="0537A4BC" w:rsidR="005B1E39" w:rsidRDefault="005B1E39">
      <w:pPr>
        <w:pStyle w:val="TOC3"/>
        <w:tabs>
          <w:tab w:val="right" w:leader="dot" w:pos="8630"/>
        </w:tabs>
        <w:rPr>
          <w:rFonts w:asciiTheme="minorHAnsi" w:eastAsiaTheme="minorEastAsia" w:hAnsiTheme="minorHAnsi" w:cstheme="minorBidi"/>
          <w:noProof/>
          <w:lang w:bidi="ar-SA"/>
        </w:rPr>
      </w:pPr>
      <w:hyperlink w:anchor="_Toc8392736" w:history="1">
        <w:r w:rsidRPr="00790678">
          <w:rPr>
            <w:rStyle w:val="Hyperlink"/>
            <w:noProof/>
          </w:rPr>
          <w:t xml:space="preserve">2.3.1 Significantly higher transcript levels of </w:t>
        </w:r>
        <w:r w:rsidRPr="005B1E39">
          <w:rPr>
            <w:rStyle w:val="Hyperlink"/>
            <w:i/>
            <w:noProof/>
          </w:rPr>
          <w:t>clpP1</w:t>
        </w:r>
        <w:r w:rsidRPr="00790678">
          <w:rPr>
            <w:rStyle w:val="Hyperlink"/>
            <w:noProof/>
          </w:rPr>
          <w:t xml:space="preserve"> are observed in exponential and stationary growth phases.</w:t>
        </w:r>
        <w:r>
          <w:rPr>
            <w:noProof/>
            <w:webHidden/>
          </w:rPr>
          <w:tab/>
        </w:r>
        <w:r>
          <w:rPr>
            <w:noProof/>
            <w:webHidden/>
          </w:rPr>
          <w:fldChar w:fldCharType="begin"/>
        </w:r>
        <w:r>
          <w:rPr>
            <w:noProof/>
            <w:webHidden/>
          </w:rPr>
          <w:instrText xml:space="preserve"> PAGEREF _Toc8392736 \h </w:instrText>
        </w:r>
        <w:r>
          <w:rPr>
            <w:noProof/>
            <w:webHidden/>
          </w:rPr>
        </w:r>
        <w:r>
          <w:rPr>
            <w:noProof/>
            <w:webHidden/>
          </w:rPr>
          <w:fldChar w:fldCharType="separate"/>
        </w:r>
        <w:r>
          <w:rPr>
            <w:noProof/>
            <w:webHidden/>
          </w:rPr>
          <w:t>41</w:t>
        </w:r>
        <w:r>
          <w:rPr>
            <w:noProof/>
            <w:webHidden/>
          </w:rPr>
          <w:fldChar w:fldCharType="end"/>
        </w:r>
      </w:hyperlink>
    </w:p>
    <w:p w14:paraId="0D754D2C" w14:textId="5A0F54B7" w:rsidR="005B1E39" w:rsidRDefault="005B1E39">
      <w:pPr>
        <w:pStyle w:val="TOC3"/>
        <w:tabs>
          <w:tab w:val="right" w:leader="dot" w:pos="8630"/>
        </w:tabs>
        <w:rPr>
          <w:rFonts w:asciiTheme="minorHAnsi" w:eastAsiaTheme="minorEastAsia" w:hAnsiTheme="minorHAnsi" w:cstheme="minorBidi"/>
          <w:noProof/>
          <w:lang w:bidi="ar-SA"/>
        </w:rPr>
      </w:pPr>
      <w:hyperlink w:anchor="_Toc8392737" w:history="1">
        <w:r w:rsidRPr="00790678">
          <w:rPr>
            <w:rStyle w:val="Hyperlink"/>
            <w:noProof/>
          </w:rPr>
          <w:t>2.3.2 ClpP1 and ClpP2 share highly conserved sequence homologies and retain key structural motifs.</w:t>
        </w:r>
        <w:r>
          <w:rPr>
            <w:noProof/>
            <w:webHidden/>
          </w:rPr>
          <w:tab/>
        </w:r>
        <w:r>
          <w:rPr>
            <w:noProof/>
            <w:webHidden/>
          </w:rPr>
          <w:fldChar w:fldCharType="begin"/>
        </w:r>
        <w:r>
          <w:rPr>
            <w:noProof/>
            <w:webHidden/>
          </w:rPr>
          <w:instrText xml:space="preserve"> PAGEREF _Toc8392737 \h </w:instrText>
        </w:r>
        <w:r>
          <w:rPr>
            <w:noProof/>
            <w:webHidden/>
          </w:rPr>
        </w:r>
        <w:r>
          <w:rPr>
            <w:noProof/>
            <w:webHidden/>
          </w:rPr>
          <w:fldChar w:fldCharType="separate"/>
        </w:r>
        <w:r>
          <w:rPr>
            <w:noProof/>
            <w:webHidden/>
          </w:rPr>
          <w:t>42</w:t>
        </w:r>
        <w:r>
          <w:rPr>
            <w:noProof/>
            <w:webHidden/>
          </w:rPr>
          <w:fldChar w:fldCharType="end"/>
        </w:r>
      </w:hyperlink>
    </w:p>
    <w:p w14:paraId="681E4A74" w14:textId="364D38D5" w:rsidR="005B1E39" w:rsidRDefault="005B1E39">
      <w:pPr>
        <w:pStyle w:val="TOC3"/>
        <w:tabs>
          <w:tab w:val="right" w:leader="dot" w:pos="8630"/>
        </w:tabs>
        <w:rPr>
          <w:rFonts w:asciiTheme="minorHAnsi" w:eastAsiaTheme="minorEastAsia" w:hAnsiTheme="minorHAnsi" w:cstheme="minorBidi"/>
          <w:noProof/>
          <w:lang w:bidi="ar-SA"/>
        </w:rPr>
      </w:pPr>
      <w:hyperlink w:anchor="_Toc8392738" w:history="1">
        <w:r w:rsidRPr="00790678">
          <w:rPr>
            <w:rStyle w:val="Hyperlink"/>
            <w:noProof/>
          </w:rPr>
          <w:t>2.3.3 ClpP1 forms a more stable tetradecameric complex.</w:t>
        </w:r>
        <w:r>
          <w:rPr>
            <w:noProof/>
            <w:webHidden/>
          </w:rPr>
          <w:tab/>
        </w:r>
        <w:r>
          <w:rPr>
            <w:noProof/>
            <w:webHidden/>
          </w:rPr>
          <w:fldChar w:fldCharType="begin"/>
        </w:r>
        <w:r>
          <w:rPr>
            <w:noProof/>
            <w:webHidden/>
          </w:rPr>
          <w:instrText xml:space="preserve"> PAGEREF _Toc8392738 \h </w:instrText>
        </w:r>
        <w:r>
          <w:rPr>
            <w:noProof/>
            <w:webHidden/>
          </w:rPr>
        </w:r>
        <w:r>
          <w:rPr>
            <w:noProof/>
            <w:webHidden/>
          </w:rPr>
          <w:fldChar w:fldCharType="separate"/>
        </w:r>
        <w:r>
          <w:rPr>
            <w:noProof/>
            <w:webHidden/>
          </w:rPr>
          <w:t>43</w:t>
        </w:r>
        <w:r>
          <w:rPr>
            <w:noProof/>
            <w:webHidden/>
          </w:rPr>
          <w:fldChar w:fldCharType="end"/>
        </w:r>
      </w:hyperlink>
    </w:p>
    <w:p w14:paraId="6D1B2A31" w14:textId="0BDB2ECF" w:rsidR="005B1E39" w:rsidRDefault="005B1E39">
      <w:pPr>
        <w:pStyle w:val="TOC3"/>
        <w:tabs>
          <w:tab w:val="right" w:leader="dot" w:pos="8630"/>
        </w:tabs>
        <w:rPr>
          <w:rFonts w:asciiTheme="minorHAnsi" w:eastAsiaTheme="minorEastAsia" w:hAnsiTheme="minorHAnsi" w:cstheme="minorBidi"/>
          <w:noProof/>
          <w:lang w:bidi="ar-SA"/>
        </w:rPr>
      </w:pPr>
      <w:hyperlink w:anchor="_Toc8392739" w:history="1">
        <w:r w:rsidRPr="00790678">
          <w:rPr>
            <w:rStyle w:val="Hyperlink"/>
            <w:noProof/>
          </w:rPr>
          <w:t>2.3.4 ClpP1 exhibits prototypical peptidolysis.</w:t>
        </w:r>
        <w:r>
          <w:rPr>
            <w:noProof/>
            <w:webHidden/>
          </w:rPr>
          <w:tab/>
        </w:r>
        <w:r>
          <w:rPr>
            <w:noProof/>
            <w:webHidden/>
          </w:rPr>
          <w:fldChar w:fldCharType="begin"/>
        </w:r>
        <w:r>
          <w:rPr>
            <w:noProof/>
            <w:webHidden/>
          </w:rPr>
          <w:instrText xml:space="preserve"> PAGEREF _Toc8392739 \h </w:instrText>
        </w:r>
        <w:r>
          <w:rPr>
            <w:noProof/>
            <w:webHidden/>
          </w:rPr>
        </w:r>
        <w:r>
          <w:rPr>
            <w:noProof/>
            <w:webHidden/>
          </w:rPr>
          <w:fldChar w:fldCharType="separate"/>
        </w:r>
        <w:r>
          <w:rPr>
            <w:noProof/>
            <w:webHidden/>
          </w:rPr>
          <w:t>46</w:t>
        </w:r>
        <w:r>
          <w:rPr>
            <w:noProof/>
            <w:webHidden/>
          </w:rPr>
          <w:fldChar w:fldCharType="end"/>
        </w:r>
      </w:hyperlink>
    </w:p>
    <w:p w14:paraId="462E82C6" w14:textId="68840C8C" w:rsidR="005B1E39" w:rsidRDefault="005B1E39">
      <w:pPr>
        <w:pStyle w:val="TOC3"/>
        <w:tabs>
          <w:tab w:val="right" w:leader="dot" w:pos="8630"/>
        </w:tabs>
        <w:rPr>
          <w:rFonts w:asciiTheme="minorHAnsi" w:eastAsiaTheme="minorEastAsia" w:hAnsiTheme="minorHAnsi" w:cstheme="minorBidi"/>
          <w:noProof/>
          <w:lang w:bidi="ar-SA"/>
        </w:rPr>
      </w:pPr>
      <w:hyperlink w:anchor="_Toc8392740" w:history="1">
        <w:r w:rsidRPr="00790678">
          <w:rPr>
            <w:rStyle w:val="Hyperlink"/>
            <w:noProof/>
          </w:rPr>
          <w:t>2.3.5 ClpP1 and ClpP2 respond to ClpX activation.</w:t>
        </w:r>
        <w:r>
          <w:rPr>
            <w:noProof/>
            <w:webHidden/>
          </w:rPr>
          <w:tab/>
        </w:r>
        <w:r>
          <w:rPr>
            <w:noProof/>
            <w:webHidden/>
          </w:rPr>
          <w:fldChar w:fldCharType="begin"/>
        </w:r>
        <w:r>
          <w:rPr>
            <w:noProof/>
            <w:webHidden/>
          </w:rPr>
          <w:instrText xml:space="preserve"> PAGEREF _Toc8392740 \h </w:instrText>
        </w:r>
        <w:r>
          <w:rPr>
            <w:noProof/>
            <w:webHidden/>
          </w:rPr>
        </w:r>
        <w:r>
          <w:rPr>
            <w:noProof/>
            <w:webHidden/>
          </w:rPr>
          <w:fldChar w:fldCharType="separate"/>
        </w:r>
        <w:r>
          <w:rPr>
            <w:noProof/>
            <w:webHidden/>
          </w:rPr>
          <w:t>49</w:t>
        </w:r>
        <w:r>
          <w:rPr>
            <w:noProof/>
            <w:webHidden/>
          </w:rPr>
          <w:fldChar w:fldCharType="end"/>
        </w:r>
      </w:hyperlink>
    </w:p>
    <w:p w14:paraId="015BD235" w14:textId="45735663" w:rsidR="005B1E39" w:rsidRDefault="005B1E39">
      <w:pPr>
        <w:pStyle w:val="TOC3"/>
        <w:tabs>
          <w:tab w:val="right" w:leader="dot" w:pos="8630"/>
        </w:tabs>
        <w:rPr>
          <w:rFonts w:asciiTheme="minorHAnsi" w:eastAsiaTheme="minorEastAsia" w:hAnsiTheme="minorHAnsi" w:cstheme="minorBidi"/>
          <w:noProof/>
          <w:lang w:bidi="ar-SA"/>
        </w:rPr>
      </w:pPr>
      <w:hyperlink w:anchor="_Toc8392741" w:history="1">
        <w:r w:rsidRPr="00790678">
          <w:rPr>
            <w:rStyle w:val="Hyperlink"/>
            <w:noProof/>
          </w:rPr>
          <w:t>2.3.6 ClpP1 and ClpP2 exhibit significant differences in susceptibility to chemo-activation.</w:t>
        </w:r>
        <w:r>
          <w:rPr>
            <w:noProof/>
            <w:webHidden/>
          </w:rPr>
          <w:tab/>
        </w:r>
        <w:r>
          <w:rPr>
            <w:noProof/>
            <w:webHidden/>
          </w:rPr>
          <w:fldChar w:fldCharType="begin"/>
        </w:r>
        <w:r>
          <w:rPr>
            <w:noProof/>
            <w:webHidden/>
          </w:rPr>
          <w:instrText xml:space="preserve"> PAGEREF _Toc8392741 \h </w:instrText>
        </w:r>
        <w:r>
          <w:rPr>
            <w:noProof/>
            <w:webHidden/>
          </w:rPr>
        </w:r>
        <w:r>
          <w:rPr>
            <w:noProof/>
            <w:webHidden/>
          </w:rPr>
          <w:fldChar w:fldCharType="separate"/>
        </w:r>
        <w:r>
          <w:rPr>
            <w:noProof/>
            <w:webHidden/>
          </w:rPr>
          <w:t>51</w:t>
        </w:r>
        <w:r>
          <w:rPr>
            <w:noProof/>
            <w:webHidden/>
          </w:rPr>
          <w:fldChar w:fldCharType="end"/>
        </w:r>
      </w:hyperlink>
    </w:p>
    <w:p w14:paraId="3A9BDA6D" w14:textId="5DDA0413" w:rsidR="005B1E39" w:rsidRDefault="005B1E39">
      <w:pPr>
        <w:pStyle w:val="TOC3"/>
        <w:tabs>
          <w:tab w:val="right" w:leader="dot" w:pos="8630"/>
        </w:tabs>
        <w:rPr>
          <w:rFonts w:asciiTheme="minorHAnsi" w:eastAsiaTheme="minorEastAsia" w:hAnsiTheme="minorHAnsi" w:cstheme="minorBidi"/>
          <w:noProof/>
          <w:lang w:bidi="ar-SA"/>
        </w:rPr>
      </w:pPr>
      <w:hyperlink w:anchor="_Toc8392742" w:history="1">
        <w:r w:rsidRPr="00790678">
          <w:rPr>
            <w:rStyle w:val="Hyperlink"/>
            <w:noProof/>
          </w:rPr>
          <w:t>2.3.7 Homology Models Reveal No Obvious Preclusions in ClpP2 Activating Pocket</w:t>
        </w:r>
        <w:r>
          <w:rPr>
            <w:noProof/>
            <w:webHidden/>
          </w:rPr>
          <w:tab/>
        </w:r>
        <w:r>
          <w:rPr>
            <w:noProof/>
            <w:webHidden/>
          </w:rPr>
          <w:fldChar w:fldCharType="begin"/>
        </w:r>
        <w:r>
          <w:rPr>
            <w:noProof/>
            <w:webHidden/>
          </w:rPr>
          <w:instrText xml:space="preserve"> PAGEREF _Toc8392742 \h </w:instrText>
        </w:r>
        <w:r>
          <w:rPr>
            <w:noProof/>
            <w:webHidden/>
          </w:rPr>
        </w:r>
        <w:r>
          <w:rPr>
            <w:noProof/>
            <w:webHidden/>
          </w:rPr>
          <w:fldChar w:fldCharType="separate"/>
        </w:r>
        <w:r>
          <w:rPr>
            <w:noProof/>
            <w:webHidden/>
          </w:rPr>
          <w:t>53</w:t>
        </w:r>
        <w:r>
          <w:rPr>
            <w:noProof/>
            <w:webHidden/>
          </w:rPr>
          <w:fldChar w:fldCharType="end"/>
        </w:r>
      </w:hyperlink>
    </w:p>
    <w:p w14:paraId="081750A8" w14:textId="5B3B159A" w:rsidR="005B1E39" w:rsidRDefault="005B1E39">
      <w:pPr>
        <w:pStyle w:val="TOC2"/>
        <w:tabs>
          <w:tab w:val="right" w:leader="dot" w:pos="8630"/>
        </w:tabs>
        <w:rPr>
          <w:rFonts w:asciiTheme="minorHAnsi" w:eastAsiaTheme="minorEastAsia" w:hAnsiTheme="minorHAnsi" w:cstheme="minorBidi"/>
          <w:noProof/>
          <w:lang w:bidi="ar-SA"/>
        </w:rPr>
      </w:pPr>
      <w:hyperlink w:anchor="_Toc8392743" w:history="1">
        <w:r w:rsidRPr="00790678">
          <w:rPr>
            <w:rStyle w:val="Hyperlink"/>
            <w:noProof/>
          </w:rPr>
          <w:t>2.3 Conclusion</w:t>
        </w:r>
        <w:r>
          <w:rPr>
            <w:noProof/>
            <w:webHidden/>
          </w:rPr>
          <w:tab/>
        </w:r>
        <w:r>
          <w:rPr>
            <w:noProof/>
            <w:webHidden/>
          </w:rPr>
          <w:fldChar w:fldCharType="begin"/>
        </w:r>
        <w:r>
          <w:rPr>
            <w:noProof/>
            <w:webHidden/>
          </w:rPr>
          <w:instrText xml:space="preserve"> PAGEREF _Toc8392743 \h </w:instrText>
        </w:r>
        <w:r>
          <w:rPr>
            <w:noProof/>
            <w:webHidden/>
          </w:rPr>
        </w:r>
        <w:r>
          <w:rPr>
            <w:noProof/>
            <w:webHidden/>
          </w:rPr>
          <w:fldChar w:fldCharType="separate"/>
        </w:r>
        <w:r>
          <w:rPr>
            <w:noProof/>
            <w:webHidden/>
          </w:rPr>
          <w:t>54</w:t>
        </w:r>
        <w:r>
          <w:rPr>
            <w:noProof/>
            <w:webHidden/>
          </w:rPr>
          <w:fldChar w:fldCharType="end"/>
        </w:r>
      </w:hyperlink>
    </w:p>
    <w:p w14:paraId="017DFFCC" w14:textId="44F60627" w:rsidR="005B1E39" w:rsidRDefault="005B1E39">
      <w:pPr>
        <w:pStyle w:val="TOC2"/>
        <w:tabs>
          <w:tab w:val="right" w:leader="dot" w:pos="8630"/>
        </w:tabs>
        <w:rPr>
          <w:rFonts w:asciiTheme="minorHAnsi" w:eastAsiaTheme="minorEastAsia" w:hAnsiTheme="minorHAnsi" w:cstheme="minorBidi"/>
          <w:noProof/>
          <w:lang w:bidi="ar-SA"/>
        </w:rPr>
      </w:pPr>
      <w:hyperlink w:anchor="_Toc8392744" w:history="1">
        <w:r w:rsidRPr="00790678">
          <w:rPr>
            <w:rStyle w:val="Hyperlink"/>
            <w:noProof/>
          </w:rPr>
          <w:t>2.4 Materials and Methods</w:t>
        </w:r>
        <w:r>
          <w:rPr>
            <w:noProof/>
            <w:webHidden/>
          </w:rPr>
          <w:tab/>
        </w:r>
        <w:r>
          <w:rPr>
            <w:noProof/>
            <w:webHidden/>
          </w:rPr>
          <w:fldChar w:fldCharType="begin"/>
        </w:r>
        <w:r>
          <w:rPr>
            <w:noProof/>
            <w:webHidden/>
          </w:rPr>
          <w:instrText xml:space="preserve"> PAGEREF _Toc8392744 \h </w:instrText>
        </w:r>
        <w:r>
          <w:rPr>
            <w:noProof/>
            <w:webHidden/>
          </w:rPr>
        </w:r>
        <w:r>
          <w:rPr>
            <w:noProof/>
            <w:webHidden/>
          </w:rPr>
          <w:fldChar w:fldCharType="separate"/>
        </w:r>
        <w:r>
          <w:rPr>
            <w:noProof/>
            <w:webHidden/>
          </w:rPr>
          <w:t>56</w:t>
        </w:r>
        <w:r>
          <w:rPr>
            <w:noProof/>
            <w:webHidden/>
          </w:rPr>
          <w:fldChar w:fldCharType="end"/>
        </w:r>
      </w:hyperlink>
    </w:p>
    <w:p w14:paraId="59CAE284" w14:textId="5462DDAD" w:rsidR="005B1E39" w:rsidRDefault="005B1E39">
      <w:pPr>
        <w:pStyle w:val="TOC3"/>
        <w:tabs>
          <w:tab w:val="right" w:leader="dot" w:pos="8630"/>
        </w:tabs>
        <w:rPr>
          <w:rFonts w:asciiTheme="minorHAnsi" w:eastAsiaTheme="minorEastAsia" w:hAnsiTheme="minorHAnsi" w:cstheme="minorBidi"/>
          <w:noProof/>
          <w:lang w:bidi="ar-SA"/>
        </w:rPr>
      </w:pPr>
      <w:hyperlink w:anchor="_Toc8392745" w:history="1">
        <w:r w:rsidRPr="00790678">
          <w:rPr>
            <w:rStyle w:val="Hyperlink"/>
            <w:noProof/>
          </w:rPr>
          <w:t>2.4.1 Expression and Purification of ClpP1 and ClpP2.</w:t>
        </w:r>
        <w:r>
          <w:rPr>
            <w:noProof/>
            <w:webHidden/>
          </w:rPr>
          <w:tab/>
        </w:r>
        <w:r>
          <w:rPr>
            <w:noProof/>
            <w:webHidden/>
          </w:rPr>
          <w:fldChar w:fldCharType="begin"/>
        </w:r>
        <w:r>
          <w:rPr>
            <w:noProof/>
            <w:webHidden/>
          </w:rPr>
          <w:instrText xml:space="preserve"> PAGEREF _Toc8392745 \h </w:instrText>
        </w:r>
        <w:r>
          <w:rPr>
            <w:noProof/>
            <w:webHidden/>
          </w:rPr>
        </w:r>
        <w:r>
          <w:rPr>
            <w:noProof/>
            <w:webHidden/>
          </w:rPr>
          <w:fldChar w:fldCharType="separate"/>
        </w:r>
        <w:r>
          <w:rPr>
            <w:noProof/>
            <w:webHidden/>
          </w:rPr>
          <w:t>56</w:t>
        </w:r>
        <w:r>
          <w:rPr>
            <w:noProof/>
            <w:webHidden/>
          </w:rPr>
          <w:fldChar w:fldCharType="end"/>
        </w:r>
      </w:hyperlink>
    </w:p>
    <w:p w14:paraId="5760BEA4" w14:textId="4B5C5810" w:rsidR="005B1E39" w:rsidRDefault="005B1E39">
      <w:pPr>
        <w:pStyle w:val="TOC3"/>
        <w:tabs>
          <w:tab w:val="right" w:leader="dot" w:pos="8630"/>
        </w:tabs>
        <w:rPr>
          <w:rFonts w:asciiTheme="minorHAnsi" w:eastAsiaTheme="minorEastAsia" w:hAnsiTheme="minorHAnsi" w:cstheme="minorBidi"/>
          <w:noProof/>
          <w:lang w:bidi="ar-SA"/>
        </w:rPr>
      </w:pPr>
      <w:hyperlink w:anchor="_Toc8392746" w:history="1">
        <w:r w:rsidRPr="00790678">
          <w:rPr>
            <w:rStyle w:val="Hyperlink"/>
            <w:noProof/>
          </w:rPr>
          <w:t>2.4.2 RNA extraction, cDNA preparation, Quantitative Reverse-Transcriptase PCR, and Genomic DNA isolation.</w:t>
        </w:r>
        <w:r>
          <w:rPr>
            <w:noProof/>
            <w:webHidden/>
          </w:rPr>
          <w:tab/>
        </w:r>
        <w:r>
          <w:rPr>
            <w:noProof/>
            <w:webHidden/>
          </w:rPr>
          <w:fldChar w:fldCharType="begin"/>
        </w:r>
        <w:r>
          <w:rPr>
            <w:noProof/>
            <w:webHidden/>
          </w:rPr>
          <w:instrText xml:space="preserve"> PAGEREF _Toc8392746 \h </w:instrText>
        </w:r>
        <w:r>
          <w:rPr>
            <w:noProof/>
            <w:webHidden/>
          </w:rPr>
        </w:r>
        <w:r>
          <w:rPr>
            <w:noProof/>
            <w:webHidden/>
          </w:rPr>
          <w:fldChar w:fldCharType="separate"/>
        </w:r>
        <w:r>
          <w:rPr>
            <w:noProof/>
            <w:webHidden/>
          </w:rPr>
          <w:t>58</w:t>
        </w:r>
        <w:r>
          <w:rPr>
            <w:noProof/>
            <w:webHidden/>
          </w:rPr>
          <w:fldChar w:fldCharType="end"/>
        </w:r>
      </w:hyperlink>
    </w:p>
    <w:p w14:paraId="357E72F8" w14:textId="12DCC22D" w:rsidR="005B1E39" w:rsidRDefault="005B1E39">
      <w:pPr>
        <w:pStyle w:val="TOC3"/>
        <w:tabs>
          <w:tab w:val="right" w:leader="dot" w:pos="8630"/>
        </w:tabs>
        <w:rPr>
          <w:rFonts w:asciiTheme="minorHAnsi" w:eastAsiaTheme="minorEastAsia" w:hAnsiTheme="minorHAnsi" w:cstheme="minorBidi"/>
          <w:noProof/>
          <w:lang w:bidi="ar-SA"/>
        </w:rPr>
      </w:pPr>
      <w:hyperlink w:anchor="_Toc8392747" w:history="1">
        <w:r w:rsidRPr="00790678">
          <w:rPr>
            <w:rStyle w:val="Hyperlink"/>
            <w:noProof/>
          </w:rPr>
          <w:t>2.4.3 FITC-β-Casein Proteolysis Assay.</w:t>
        </w:r>
        <w:r>
          <w:rPr>
            <w:noProof/>
            <w:webHidden/>
          </w:rPr>
          <w:tab/>
        </w:r>
        <w:r>
          <w:rPr>
            <w:noProof/>
            <w:webHidden/>
          </w:rPr>
          <w:fldChar w:fldCharType="begin"/>
        </w:r>
        <w:r>
          <w:rPr>
            <w:noProof/>
            <w:webHidden/>
          </w:rPr>
          <w:instrText xml:space="preserve"> PAGEREF _Toc8392747 \h </w:instrText>
        </w:r>
        <w:r>
          <w:rPr>
            <w:noProof/>
            <w:webHidden/>
          </w:rPr>
        </w:r>
        <w:r>
          <w:rPr>
            <w:noProof/>
            <w:webHidden/>
          </w:rPr>
          <w:fldChar w:fldCharType="separate"/>
        </w:r>
        <w:r>
          <w:rPr>
            <w:noProof/>
            <w:webHidden/>
          </w:rPr>
          <w:t>59</w:t>
        </w:r>
        <w:r>
          <w:rPr>
            <w:noProof/>
            <w:webHidden/>
          </w:rPr>
          <w:fldChar w:fldCharType="end"/>
        </w:r>
      </w:hyperlink>
    </w:p>
    <w:p w14:paraId="4F0D6251" w14:textId="654550C6" w:rsidR="005B1E39" w:rsidRDefault="005B1E39">
      <w:pPr>
        <w:pStyle w:val="TOC3"/>
        <w:tabs>
          <w:tab w:val="right" w:leader="dot" w:pos="8630"/>
        </w:tabs>
        <w:rPr>
          <w:rFonts w:asciiTheme="minorHAnsi" w:eastAsiaTheme="minorEastAsia" w:hAnsiTheme="minorHAnsi" w:cstheme="minorBidi"/>
          <w:noProof/>
          <w:lang w:bidi="ar-SA"/>
        </w:rPr>
      </w:pPr>
      <w:hyperlink w:anchor="_Toc8392748" w:history="1">
        <w:r w:rsidRPr="00790678">
          <w:rPr>
            <w:rStyle w:val="Hyperlink"/>
            <w:noProof/>
          </w:rPr>
          <w:t>2.4.4 SLY-AMC &amp; Z-GGL-AMC Peptidolysis Assays.</w:t>
        </w:r>
        <w:r>
          <w:rPr>
            <w:noProof/>
            <w:webHidden/>
          </w:rPr>
          <w:tab/>
        </w:r>
        <w:r>
          <w:rPr>
            <w:noProof/>
            <w:webHidden/>
          </w:rPr>
          <w:fldChar w:fldCharType="begin"/>
        </w:r>
        <w:r>
          <w:rPr>
            <w:noProof/>
            <w:webHidden/>
          </w:rPr>
          <w:instrText xml:space="preserve"> PAGEREF _Toc8392748 \h </w:instrText>
        </w:r>
        <w:r>
          <w:rPr>
            <w:noProof/>
            <w:webHidden/>
          </w:rPr>
        </w:r>
        <w:r>
          <w:rPr>
            <w:noProof/>
            <w:webHidden/>
          </w:rPr>
          <w:fldChar w:fldCharType="separate"/>
        </w:r>
        <w:r>
          <w:rPr>
            <w:noProof/>
            <w:webHidden/>
          </w:rPr>
          <w:t>60</w:t>
        </w:r>
        <w:r>
          <w:rPr>
            <w:noProof/>
            <w:webHidden/>
          </w:rPr>
          <w:fldChar w:fldCharType="end"/>
        </w:r>
      </w:hyperlink>
    </w:p>
    <w:p w14:paraId="4F81AF8A" w14:textId="2210F96B" w:rsidR="005B1E39" w:rsidRDefault="005B1E39">
      <w:pPr>
        <w:pStyle w:val="TOC3"/>
        <w:tabs>
          <w:tab w:val="right" w:leader="dot" w:pos="8630"/>
        </w:tabs>
        <w:rPr>
          <w:rFonts w:asciiTheme="minorHAnsi" w:eastAsiaTheme="minorEastAsia" w:hAnsiTheme="minorHAnsi" w:cstheme="minorBidi"/>
          <w:noProof/>
          <w:lang w:bidi="ar-SA"/>
        </w:rPr>
      </w:pPr>
      <w:hyperlink w:anchor="_Toc8392749" w:history="1">
        <w:r w:rsidRPr="00790678">
          <w:rPr>
            <w:rStyle w:val="Hyperlink"/>
            <w:noProof/>
          </w:rPr>
          <w:t>2.4.5 Decapeptide Degradation Assay.</w:t>
        </w:r>
        <w:r>
          <w:rPr>
            <w:noProof/>
            <w:webHidden/>
          </w:rPr>
          <w:tab/>
        </w:r>
        <w:r>
          <w:rPr>
            <w:noProof/>
            <w:webHidden/>
          </w:rPr>
          <w:fldChar w:fldCharType="begin"/>
        </w:r>
        <w:r>
          <w:rPr>
            <w:noProof/>
            <w:webHidden/>
          </w:rPr>
          <w:instrText xml:space="preserve"> PAGEREF _Toc8392749 \h </w:instrText>
        </w:r>
        <w:r>
          <w:rPr>
            <w:noProof/>
            <w:webHidden/>
          </w:rPr>
        </w:r>
        <w:r>
          <w:rPr>
            <w:noProof/>
            <w:webHidden/>
          </w:rPr>
          <w:fldChar w:fldCharType="separate"/>
        </w:r>
        <w:r>
          <w:rPr>
            <w:noProof/>
            <w:webHidden/>
          </w:rPr>
          <w:t>60</w:t>
        </w:r>
        <w:r>
          <w:rPr>
            <w:noProof/>
            <w:webHidden/>
          </w:rPr>
          <w:fldChar w:fldCharType="end"/>
        </w:r>
      </w:hyperlink>
    </w:p>
    <w:p w14:paraId="3D383379" w14:textId="46447C62" w:rsidR="005B1E39" w:rsidRDefault="005B1E39">
      <w:pPr>
        <w:pStyle w:val="TOC3"/>
        <w:tabs>
          <w:tab w:val="right" w:leader="dot" w:pos="8630"/>
        </w:tabs>
        <w:rPr>
          <w:rFonts w:asciiTheme="minorHAnsi" w:eastAsiaTheme="minorEastAsia" w:hAnsiTheme="minorHAnsi" w:cstheme="minorBidi"/>
          <w:noProof/>
          <w:lang w:bidi="ar-SA"/>
        </w:rPr>
      </w:pPr>
      <w:hyperlink w:anchor="_Toc8392750" w:history="1">
        <w:r w:rsidRPr="00790678">
          <w:rPr>
            <w:rStyle w:val="Hyperlink"/>
            <w:noProof/>
          </w:rPr>
          <w:t>2.4.6 ssrA-GFP Degradation Assay.</w:t>
        </w:r>
        <w:r>
          <w:rPr>
            <w:noProof/>
            <w:webHidden/>
          </w:rPr>
          <w:tab/>
        </w:r>
        <w:r>
          <w:rPr>
            <w:noProof/>
            <w:webHidden/>
          </w:rPr>
          <w:fldChar w:fldCharType="begin"/>
        </w:r>
        <w:r>
          <w:rPr>
            <w:noProof/>
            <w:webHidden/>
          </w:rPr>
          <w:instrText xml:space="preserve"> PAGEREF _Toc8392750 \h </w:instrText>
        </w:r>
        <w:r>
          <w:rPr>
            <w:noProof/>
            <w:webHidden/>
          </w:rPr>
        </w:r>
        <w:r>
          <w:rPr>
            <w:noProof/>
            <w:webHidden/>
          </w:rPr>
          <w:fldChar w:fldCharType="separate"/>
        </w:r>
        <w:r>
          <w:rPr>
            <w:noProof/>
            <w:webHidden/>
          </w:rPr>
          <w:t>60</w:t>
        </w:r>
        <w:r>
          <w:rPr>
            <w:noProof/>
            <w:webHidden/>
          </w:rPr>
          <w:fldChar w:fldCharType="end"/>
        </w:r>
      </w:hyperlink>
    </w:p>
    <w:p w14:paraId="301B89D7" w14:textId="35B80309" w:rsidR="005B1E39" w:rsidRDefault="005B1E39">
      <w:pPr>
        <w:pStyle w:val="TOC3"/>
        <w:tabs>
          <w:tab w:val="right" w:leader="dot" w:pos="8630"/>
        </w:tabs>
        <w:rPr>
          <w:rFonts w:asciiTheme="minorHAnsi" w:eastAsiaTheme="minorEastAsia" w:hAnsiTheme="minorHAnsi" w:cstheme="minorBidi"/>
          <w:noProof/>
          <w:lang w:bidi="ar-SA"/>
        </w:rPr>
      </w:pPr>
      <w:hyperlink w:anchor="_Toc8392751" w:history="1">
        <w:r w:rsidRPr="00790678">
          <w:rPr>
            <w:rStyle w:val="Hyperlink"/>
            <w:noProof/>
          </w:rPr>
          <w:t>2.4.7 ssrA-GFP ATPase Hydrolysis Assay.</w:t>
        </w:r>
        <w:r>
          <w:rPr>
            <w:noProof/>
            <w:webHidden/>
          </w:rPr>
          <w:tab/>
        </w:r>
        <w:r>
          <w:rPr>
            <w:noProof/>
            <w:webHidden/>
          </w:rPr>
          <w:fldChar w:fldCharType="begin"/>
        </w:r>
        <w:r>
          <w:rPr>
            <w:noProof/>
            <w:webHidden/>
          </w:rPr>
          <w:instrText xml:space="preserve"> PAGEREF _Toc8392751 \h </w:instrText>
        </w:r>
        <w:r>
          <w:rPr>
            <w:noProof/>
            <w:webHidden/>
          </w:rPr>
        </w:r>
        <w:r>
          <w:rPr>
            <w:noProof/>
            <w:webHidden/>
          </w:rPr>
          <w:fldChar w:fldCharType="separate"/>
        </w:r>
        <w:r>
          <w:rPr>
            <w:noProof/>
            <w:webHidden/>
          </w:rPr>
          <w:t>61</w:t>
        </w:r>
        <w:r>
          <w:rPr>
            <w:noProof/>
            <w:webHidden/>
          </w:rPr>
          <w:fldChar w:fldCharType="end"/>
        </w:r>
      </w:hyperlink>
    </w:p>
    <w:p w14:paraId="2B83D1A0" w14:textId="333C7D34" w:rsidR="005B1E39" w:rsidRDefault="005B1E39">
      <w:pPr>
        <w:pStyle w:val="TOC3"/>
        <w:tabs>
          <w:tab w:val="right" w:leader="dot" w:pos="8630"/>
        </w:tabs>
        <w:rPr>
          <w:rFonts w:asciiTheme="minorHAnsi" w:eastAsiaTheme="minorEastAsia" w:hAnsiTheme="minorHAnsi" w:cstheme="minorBidi"/>
          <w:noProof/>
          <w:lang w:bidi="ar-SA"/>
        </w:rPr>
      </w:pPr>
      <w:hyperlink w:anchor="_Toc8392752" w:history="1">
        <w:r w:rsidRPr="00790678">
          <w:rPr>
            <w:rStyle w:val="Hyperlink"/>
            <w:noProof/>
          </w:rPr>
          <w:t>2.4.8 Thermal Shift Assay.</w:t>
        </w:r>
        <w:r>
          <w:rPr>
            <w:noProof/>
            <w:webHidden/>
          </w:rPr>
          <w:tab/>
        </w:r>
        <w:r>
          <w:rPr>
            <w:noProof/>
            <w:webHidden/>
          </w:rPr>
          <w:fldChar w:fldCharType="begin"/>
        </w:r>
        <w:r>
          <w:rPr>
            <w:noProof/>
            <w:webHidden/>
          </w:rPr>
          <w:instrText xml:space="preserve"> PAGEREF _Toc8392752 \h </w:instrText>
        </w:r>
        <w:r>
          <w:rPr>
            <w:noProof/>
            <w:webHidden/>
          </w:rPr>
        </w:r>
        <w:r>
          <w:rPr>
            <w:noProof/>
            <w:webHidden/>
          </w:rPr>
          <w:fldChar w:fldCharType="separate"/>
        </w:r>
        <w:r>
          <w:rPr>
            <w:noProof/>
            <w:webHidden/>
          </w:rPr>
          <w:t>62</w:t>
        </w:r>
        <w:r>
          <w:rPr>
            <w:noProof/>
            <w:webHidden/>
          </w:rPr>
          <w:fldChar w:fldCharType="end"/>
        </w:r>
      </w:hyperlink>
    </w:p>
    <w:p w14:paraId="7B0DBCC4" w14:textId="08E47F53" w:rsidR="005B1E39" w:rsidRDefault="005B1E39">
      <w:pPr>
        <w:pStyle w:val="TOC3"/>
        <w:tabs>
          <w:tab w:val="right" w:leader="dot" w:pos="8630"/>
        </w:tabs>
        <w:rPr>
          <w:rFonts w:asciiTheme="minorHAnsi" w:eastAsiaTheme="minorEastAsia" w:hAnsiTheme="minorHAnsi" w:cstheme="minorBidi"/>
          <w:noProof/>
          <w:lang w:bidi="ar-SA"/>
        </w:rPr>
      </w:pPr>
      <w:hyperlink w:anchor="_Toc8392753" w:history="1">
        <w:r w:rsidRPr="00790678">
          <w:rPr>
            <w:rStyle w:val="Hyperlink"/>
            <w:noProof/>
          </w:rPr>
          <w:t>2.4.9 Mass Spectrometry Analysis of Oligomeric Species.</w:t>
        </w:r>
        <w:r>
          <w:rPr>
            <w:noProof/>
            <w:webHidden/>
          </w:rPr>
          <w:tab/>
        </w:r>
        <w:r>
          <w:rPr>
            <w:noProof/>
            <w:webHidden/>
          </w:rPr>
          <w:fldChar w:fldCharType="begin"/>
        </w:r>
        <w:r>
          <w:rPr>
            <w:noProof/>
            <w:webHidden/>
          </w:rPr>
          <w:instrText xml:space="preserve"> PAGEREF _Toc8392753 \h </w:instrText>
        </w:r>
        <w:r>
          <w:rPr>
            <w:noProof/>
            <w:webHidden/>
          </w:rPr>
        </w:r>
        <w:r>
          <w:rPr>
            <w:noProof/>
            <w:webHidden/>
          </w:rPr>
          <w:fldChar w:fldCharType="separate"/>
        </w:r>
        <w:r>
          <w:rPr>
            <w:noProof/>
            <w:webHidden/>
          </w:rPr>
          <w:t>62</w:t>
        </w:r>
        <w:r>
          <w:rPr>
            <w:noProof/>
            <w:webHidden/>
          </w:rPr>
          <w:fldChar w:fldCharType="end"/>
        </w:r>
      </w:hyperlink>
    </w:p>
    <w:p w14:paraId="590F9CA5" w14:textId="3BF1FFF4" w:rsidR="005B1E39" w:rsidRDefault="005B1E39">
      <w:pPr>
        <w:pStyle w:val="TOC2"/>
        <w:tabs>
          <w:tab w:val="right" w:leader="dot" w:pos="8630"/>
        </w:tabs>
        <w:rPr>
          <w:rFonts w:asciiTheme="minorHAnsi" w:eastAsiaTheme="minorEastAsia" w:hAnsiTheme="minorHAnsi" w:cstheme="minorBidi"/>
          <w:noProof/>
          <w:lang w:bidi="ar-SA"/>
        </w:rPr>
      </w:pPr>
      <w:hyperlink w:anchor="_Toc8392754" w:history="1">
        <w:r w:rsidRPr="00790678">
          <w:rPr>
            <w:rStyle w:val="Hyperlink"/>
            <w:noProof/>
          </w:rPr>
          <w:t>2.5 References</w:t>
        </w:r>
        <w:r>
          <w:rPr>
            <w:noProof/>
            <w:webHidden/>
          </w:rPr>
          <w:tab/>
        </w:r>
        <w:r>
          <w:rPr>
            <w:noProof/>
            <w:webHidden/>
          </w:rPr>
          <w:fldChar w:fldCharType="begin"/>
        </w:r>
        <w:r>
          <w:rPr>
            <w:noProof/>
            <w:webHidden/>
          </w:rPr>
          <w:instrText xml:space="preserve"> PAGEREF _Toc8392754 \h </w:instrText>
        </w:r>
        <w:r>
          <w:rPr>
            <w:noProof/>
            <w:webHidden/>
          </w:rPr>
        </w:r>
        <w:r>
          <w:rPr>
            <w:noProof/>
            <w:webHidden/>
          </w:rPr>
          <w:fldChar w:fldCharType="separate"/>
        </w:r>
        <w:r>
          <w:rPr>
            <w:noProof/>
            <w:webHidden/>
          </w:rPr>
          <w:t>64</w:t>
        </w:r>
        <w:r>
          <w:rPr>
            <w:noProof/>
            <w:webHidden/>
          </w:rPr>
          <w:fldChar w:fldCharType="end"/>
        </w:r>
      </w:hyperlink>
    </w:p>
    <w:p w14:paraId="46F94014" w14:textId="19D6E092" w:rsidR="005B1E39" w:rsidRDefault="005B1E39">
      <w:pPr>
        <w:pStyle w:val="TOC1"/>
        <w:rPr>
          <w:rFonts w:asciiTheme="minorHAnsi" w:eastAsiaTheme="minorEastAsia" w:hAnsiTheme="minorHAnsi" w:cstheme="minorBidi"/>
          <w:noProof/>
          <w:lang w:bidi="ar-SA"/>
        </w:rPr>
      </w:pPr>
      <w:hyperlink w:anchor="_Toc8392755" w:history="1">
        <w:r w:rsidRPr="00790678">
          <w:rPr>
            <w:rStyle w:val="Hyperlink"/>
            <w:noProof/>
          </w:rPr>
          <w:t>Chapter 3</w:t>
        </w:r>
        <w:r>
          <w:rPr>
            <w:noProof/>
            <w:webHidden/>
          </w:rPr>
          <w:tab/>
        </w:r>
        <w:r>
          <w:rPr>
            <w:noProof/>
            <w:webHidden/>
          </w:rPr>
          <w:fldChar w:fldCharType="begin"/>
        </w:r>
        <w:r>
          <w:rPr>
            <w:noProof/>
            <w:webHidden/>
          </w:rPr>
          <w:instrText xml:space="preserve"> PAGEREF _Toc8392755 \h </w:instrText>
        </w:r>
        <w:r>
          <w:rPr>
            <w:noProof/>
            <w:webHidden/>
          </w:rPr>
        </w:r>
        <w:r>
          <w:rPr>
            <w:noProof/>
            <w:webHidden/>
          </w:rPr>
          <w:fldChar w:fldCharType="separate"/>
        </w:r>
        <w:r>
          <w:rPr>
            <w:noProof/>
            <w:webHidden/>
          </w:rPr>
          <w:t>70</w:t>
        </w:r>
        <w:r>
          <w:rPr>
            <w:noProof/>
            <w:webHidden/>
          </w:rPr>
          <w:fldChar w:fldCharType="end"/>
        </w:r>
      </w:hyperlink>
    </w:p>
    <w:p w14:paraId="631C2CCF" w14:textId="5D906CAB" w:rsidR="005B1E39" w:rsidRDefault="005B1E39">
      <w:pPr>
        <w:pStyle w:val="TOC1"/>
        <w:rPr>
          <w:rFonts w:asciiTheme="minorHAnsi" w:eastAsiaTheme="minorEastAsia" w:hAnsiTheme="minorHAnsi" w:cstheme="minorBidi"/>
          <w:noProof/>
          <w:lang w:bidi="ar-SA"/>
        </w:rPr>
      </w:pPr>
      <w:hyperlink w:anchor="_Toc8392756" w:history="1">
        <w:r w:rsidRPr="00790678">
          <w:rPr>
            <w:rStyle w:val="Hyperlink"/>
            <w:noProof/>
          </w:rPr>
          <w:t>Phenotypic Response from the</w:t>
        </w:r>
        <w:r>
          <w:rPr>
            <w:noProof/>
            <w:webHidden/>
          </w:rPr>
          <w:tab/>
        </w:r>
        <w:r>
          <w:rPr>
            <w:noProof/>
            <w:webHidden/>
          </w:rPr>
          <w:fldChar w:fldCharType="begin"/>
        </w:r>
        <w:r>
          <w:rPr>
            <w:noProof/>
            <w:webHidden/>
          </w:rPr>
          <w:instrText xml:space="preserve"> PAGEREF _Toc8392756 \h </w:instrText>
        </w:r>
        <w:r>
          <w:rPr>
            <w:noProof/>
            <w:webHidden/>
          </w:rPr>
        </w:r>
        <w:r>
          <w:rPr>
            <w:noProof/>
            <w:webHidden/>
          </w:rPr>
          <w:fldChar w:fldCharType="separate"/>
        </w:r>
        <w:r>
          <w:rPr>
            <w:noProof/>
            <w:webHidden/>
          </w:rPr>
          <w:t>70</w:t>
        </w:r>
        <w:r>
          <w:rPr>
            <w:noProof/>
            <w:webHidden/>
          </w:rPr>
          <w:fldChar w:fldCharType="end"/>
        </w:r>
      </w:hyperlink>
    </w:p>
    <w:p w14:paraId="4AEFF078" w14:textId="00E45A23" w:rsidR="005B1E39" w:rsidRDefault="005B1E39">
      <w:pPr>
        <w:pStyle w:val="TOC1"/>
        <w:rPr>
          <w:rFonts w:asciiTheme="minorHAnsi" w:eastAsiaTheme="minorEastAsia" w:hAnsiTheme="minorHAnsi" w:cstheme="minorBidi"/>
          <w:noProof/>
          <w:lang w:bidi="ar-SA"/>
        </w:rPr>
      </w:pPr>
      <w:hyperlink w:anchor="_Toc8392757" w:history="1">
        <w:r w:rsidRPr="00790678">
          <w:rPr>
            <w:rStyle w:val="Hyperlink"/>
            <w:noProof/>
          </w:rPr>
          <w:t xml:space="preserve">Loss of ClpP Function in </w:t>
        </w:r>
        <w:r w:rsidRPr="00790678">
          <w:rPr>
            <w:rStyle w:val="Hyperlink"/>
            <w:i/>
            <w:noProof/>
          </w:rPr>
          <w:t>Clostridium difficile</w:t>
        </w:r>
        <w:r>
          <w:rPr>
            <w:noProof/>
            <w:webHidden/>
          </w:rPr>
          <w:tab/>
        </w:r>
        <w:r>
          <w:rPr>
            <w:noProof/>
            <w:webHidden/>
          </w:rPr>
          <w:fldChar w:fldCharType="begin"/>
        </w:r>
        <w:r>
          <w:rPr>
            <w:noProof/>
            <w:webHidden/>
          </w:rPr>
          <w:instrText xml:space="preserve"> PAGEREF _Toc8392757 \h </w:instrText>
        </w:r>
        <w:r>
          <w:rPr>
            <w:noProof/>
            <w:webHidden/>
          </w:rPr>
        </w:r>
        <w:r>
          <w:rPr>
            <w:noProof/>
            <w:webHidden/>
          </w:rPr>
          <w:fldChar w:fldCharType="separate"/>
        </w:r>
        <w:r>
          <w:rPr>
            <w:noProof/>
            <w:webHidden/>
          </w:rPr>
          <w:t>70</w:t>
        </w:r>
        <w:r>
          <w:rPr>
            <w:noProof/>
            <w:webHidden/>
          </w:rPr>
          <w:fldChar w:fldCharType="end"/>
        </w:r>
      </w:hyperlink>
    </w:p>
    <w:p w14:paraId="71E8FB51" w14:textId="4AA9053A" w:rsidR="005B1E39" w:rsidRDefault="005B1E39">
      <w:pPr>
        <w:pStyle w:val="TOC2"/>
        <w:tabs>
          <w:tab w:val="right" w:leader="dot" w:pos="8630"/>
        </w:tabs>
        <w:rPr>
          <w:rFonts w:asciiTheme="minorHAnsi" w:eastAsiaTheme="minorEastAsia" w:hAnsiTheme="minorHAnsi" w:cstheme="minorBidi"/>
          <w:noProof/>
          <w:lang w:bidi="ar-SA"/>
        </w:rPr>
      </w:pPr>
      <w:hyperlink w:anchor="_Toc8392758" w:history="1">
        <w:r w:rsidRPr="00790678">
          <w:rPr>
            <w:rStyle w:val="Hyperlink"/>
            <w:noProof/>
          </w:rPr>
          <w:t>3.1 Abstract</w:t>
        </w:r>
        <w:r>
          <w:rPr>
            <w:noProof/>
            <w:webHidden/>
          </w:rPr>
          <w:tab/>
        </w:r>
        <w:r>
          <w:rPr>
            <w:noProof/>
            <w:webHidden/>
          </w:rPr>
          <w:fldChar w:fldCharType="begin"/>
        </w:r>
        <w:r>
          <w:rPr>
            <w:noProof/>
            <w:webHidden/>
          </w:rPr>
          <w:instrText xml:space="preserve"> PAGEREF _Toc8392758 \h </w:instrText>
        </w:r>
        <w:r>
          <w:rPr>
            <w:noProof/>
            <w:webHidden/>
          </w:rPr>
        </w:r>
        <w:r>
          <w:rPr>
            <w:noProof/>
            <w:webHidden/>
          </w:rPr>
          <w:fldChar w:fldCharType="separate"/>
        </w:r>
        <w:r>
          <w:rPr>
            <w:noProof/>
            <w:webHidden/>
          </w:rPr>
          <w:t>70</w:t>
        </w:r>
        <w:r>
          <w:rPr>
            <w:noProof/>
            <w:webHidden/>
          </w:rPr>
          <w:fldChar w:fldCharType="end"/>
        </w:r>
      </w:hyperlink>
    </w:p>
    <w:p w14:paraId="11FE3675" w14:textId="39D813EB" w:rsidR="005B1E39" w:rsidRDefault="005B1E39">
      <w:pPr>
        <w:pStyle w:val="TOC2"/>
        <w:tabs>
          <w:tab w:val="right" w:leader="dot" w:pos="8630"/>
        </w:tabs>
        <w:rPr>
          <w:rFonts w:asciiTheme="minorHAnsi" w:eastAsiaTheme="minorEastAsia" w:hAnsiTheme="minorHAnsi" w:cstheme="minorBidi"/>
          <w:noProof/>
          <w:lang w:bidi="ar-SA"/>
        </w:rPr>
      </w:pPr>
      <w:hyperlink w:anchor="_Toc8392759" w:history="1">
        <w:r w:rsidRPr="00790678">
          <w:rPr>
            <w:rStyle w:val="Hyperlink"/>
            <w:noProof/>
          </w:rPr>
          <w:t>3.2 Introduction</w:t>
        </w:r>
        <w:r>
          <w:rPr>
            <w:noProof/>
            <w:webHidden/>
          </w:rPr>
          <w:tab/>
        </w:r>
        <w:r>
          <w:rPr>
            <w:noProof/>
            <w:webHidden/>
          </w:rPr>
          <w:fldChar w:fldCharType="begin"/>
        </w:r>
        <w:r>
          <w:rPr>
            <w:noProof/>
            <w:webHidden/>
          </w:rPr>
          <w:instrText xml:space="preserve"> PAGEREF _Toc8392759 \h </w:instrText>
        </w:r>
        <w:r>
          <w:rPr>
            <w:noProof/>
            <w:webHidden/>
          </w:rPr>
        </w:r>
        <w:r>
          <w:rPr>
            <w:noProof/>
            <w:webHidden/>
          </w:rPr>
          <w:fldChar w:fldCharType="separate"/>
        </w:r>
        <w:r>
          <w:rPr>
            <w:noProof/>
            <w:webHidden/>
          </w:rPr>
          <w:t>71</w:t>
        </w:r>
        <w:r>
          <w:rPr>
            <w:noProof/>
            <w:webHidden/>
          </w:rPr>
          <w:fldChar w:fldCharType="end"/>
        </w:r>
      </w:hyperlink>
    </w:p>
    <w:p w14:paraId="607BECDC" w14:textId="36A00248" w:rsidR="005B1E39" w:rsidRDefault="005B1E39">
      <w:pPr>
        <w:pStyle w:val="TOC2"/>
        <w:tabs>
          <w:tab w:val="right" w:leader="dot" w:pos="8630"/>
        </w:tabs>
        <w:rPr>
          <w:rFonts w:asciiTheme="minorHAnsi" w:eastAsiaTheme="minorEastAsia" w:hAnsiTheme="minorHAnsi" w:cstheme="minorBidi"/>
          <w:noProof/>
          <w:lang w:bidi="ar-SA"/>
        </w:rPr>
      </w:pPr>
      <w:hyperlink w:anchor="_Toc8392760" w:history="1">
        <w:r w:rsidRPr="00790678">
          <w:rPr>
            <w:rStyle w:val="Hyperlink"/>
            <w:noProof/>
          </w:rPr>
          <w:t>3.3 Results</w:t>
        </w:r>
        <w:r>
          <w:rPr>
            <w:noProof/>
            <w:webHidden/>
          </w:rPr>
          <w:tab/>
        </w:r>
        <w:r>
          <w:rPr>
            <w:noProof/>
            <w:webHidden/>
          </w:rPr>
          <w:fldChar w:fldCharType="begin"/>
        </w:r>
        <w:r>
          <w:rPr>
            <w:noProof/>
            <w:webHidden/>
          </w:rPr>
          <w:instrText xml:space="preserve"> PAGEREF _Toc8392760 \h </w:instrText>
        </w:r>
        <w:r>
          <w:rPr>
            <w:noProof/>
            <w:webHidden/>
          </w:rPr>
        </w:r>
        <w:r>
          <w:rPr>
            <w:noProof/>
            <w:webHidden/>
          </w:rPr>
          <w:fldChar w:fldCharType="separate"/>
        </w:r>
        <w:r>
          <w:rPr>
            <w:noProof/>
            <w:webHidden/>
          </w:rPr>
          <w:t>74</w:t>
        </w:r>
        <w:r>
          <w:rPr>
            <w:noProof/>
            <w:webHidden/>
          </w:rPr>
          <w:fldChar w:fldCharType="end"/>
        </w:r>
      </w:hyperlink>
    </w:p>
    <w:p w14:paraId="0D3AA345" w14:textId="285EE2C1" w:rsidR="005B1E39" w:rsidRDefault="005B1E39">
      <w:pPr>
        <w:pStyle w:val="TOC3"/>
        <w:tabs>
          <w:tab w:val="right" w:leader="dot" w:pos="8630"/>
        </w:tabs>
        <w:rPr>
          <w:rFonts w:asciiTheme="minorHAnsi" w:eastAsiaTheme="minorEastAsia" w:hAnsiTheme="minorHAnsi" w:cstheme="minorBidi"/>
          <w:noProof/>
          <w:lang w:bidi="ar-SA"/>
        </w:rPr>
      </w:pPr>
      <w:hyperlink w:anchor="_Toc8392761" w:history="1">
        <w:r w:rsidRPr="00790678">
          <w:rPr>
            <w:rStyle w:val="Hyperlink"/>
            <w:noProof/>
          </w:rPr>
          <w:t xml:space="preserve">3.3.1 </w:t>
        </w:r>
        <w:r w:rsidRPr="005B1E39">
          <w:rPr>
            <w:rStyle w:val="Hyperlink"/>
            <w:i/>
            <w:noProof/>
          </w:rPr>
          <w:t>clpP</w:t>
        </w:r>
        <w:r w:rsidRPr="00790678">
          <w:rPr>
            <w:rStyle w:val="Hyperlink"/>
            <w:noProof/>
          </w:rPr>
          <w:t xml:space="preserve"> mutants are less cytotoxic, </w:t>
        </w:r>
        <w:r w:rsidRPr="00790678">
          <w:rPr>
            <w:rStyle w:val="Hyperlink"/>
            <w:noProof/>
          </w:rPr>
          <w:sym w:font="Symbol" w:char="F044"/>
        </w:r>
        <w:r w:rsidRPr="00790678">
          <w:rPr>
            <w:rStyle w:val="Hyperlink"/>
            <w:noProof/>
          </w:rPr>
          <w:t>P1 is sensitive to heat-shock</w:t>
        </w:r>
        <w:r>
          <w:rPr>
            <w:noProof/>
            <w:webHidden/>
          </w:rPr>
          <w:tab/>
        </w:r>
        <w:r>
          <w:rPr>
            <w:noProof/>
            <w:webHidden/>
          </w:rPr>
          <w:fldChar w:fldCharType="begin"/>
        </w:r>
        <w:r>
          <w:rPr>
            <w:noProof/>
            <w:webHidden/>
          </w:rPr>
          <w:instrText xml:space="preserve"> PAGEREF _Toc8392761 \h </w:instrText>
        </w:r>
        <w:r>
          <w:rPr>
            <w:noProof/>
            <w:webHidden/>
          </w:rPr>
        </w:r>
        <w:r>
          <w:rPr>
            <w:noProof/>
            <w:webHidden/>
          </w:rPr>
          <w:fldChar w:fldCharType="separate"/>
        </w:r>
        <w:r>
          <w:rPr>
            <w:noProof/>
            <w:webHidden/>
          </w:rPr>
          <w:t>74</w:t>
        </w:r>
        <w:r>
          <w:rPr>
            <w:noProof/>
            <w:webHidden/>
          </w:rPr>
          <w:fldChar w:fldCharType="end"/>
        </w:r>
      </w:hyperlink>
    </w:p>
    <w:p w14:paraId="1D963E66" w14:textId="7221E1FC" w:rsidR="005B1E39" w:rsidRDefault="005B1E39">
      <w:pPr>
        <w:pStyle w:val="TOC3"/>
        <w:tabs>
          <w:tab w:val="right" w:leader="dot" w:pos="8630"/>
        </w:tabs>
        <w:rPr>
          <w:rFonts w:asciiTheme="minorHAnsi" w:eastAsiaTheme="minorEastAsia" w:hAnsiTheme="minorHAnsi" w:cstheme="minorBidi"/>
          <w:noProof/>
          <w:lang w:bidi="ar-SA"/>
        </w:rPr>
      </w:pPr>
      <w:hyperlink w:anchor="_Toc8392762" w:history="1">
        <w:r w:rsidRPr="00790678">
          <w:rPr>
            <w:rStyle w:val="Hyperlink"/>
            <w:noProof/>
          </w:rPr>
          <w:t>3.3.2 Sporulation phenotypes differ significantly between mutants</w:t>
        </w:r>
        <w:r>
          <w:rPr>
            <w:noProof/>
            <w:webHidden/>
          </w:rPr>
          <w:tab/>
        </w:r>
        <w:r>
          <w:rPr>
            <w:noProof/>
            <w:webHidden/>
          </w:rPr>
          <w:fldChar w:fldCharType="begin"/>
        </w:r>
        <w:r>
          <w:rPr>
            <w:noProof/>
            <w:webHidden/>
          </w:rPr>
          <w:instrText xml:space="preserve"> PAGEREF _Toc8392762 \h </w:instrText>
        </w:r>
        <w:r>
          <w:rPr>
            <w:noProof/>
            <w:webHidden/>
          </w:rPr>
        </w:r>
        <w:r>
          <w:rPr>
            <w:noProof/>
            <w:webHidden/>
          </w:rPr>
          <w:fldChar w:fldCharType="separate"/>
        </w:r>
        <w:r>
          <w:rPr>
            <w:noProof/>
            <w:webHidden/>
          </w:rPr>
          <w:t>76</w:t>
        </w:r>
        <w:r>
          <w:rPr>
            <w:noProof/>
            <w:webHidden/>
          </w:rPr>
          <w:fldChar w:fldCharType="end"/>
        </w:r>
      </w:hyperlink>
    </w:p>
    <w:p w14:paraId="27E4889A" w14:textId="7E3F2556" w:rsidR="005B1E39" w:rsidRDefault="005B1E39">
      <w:pPr>
        <w:pStyle w:val="TOC3"/>
        <w:tabs>
          <w:tab w:val="right" w:leader="dot" w:pos="8630"/>
        </w:tabs>
        <w:rPr>
          <w:rFonts w:asciiTheme="minorHAnsi" w:eastAsiaTheme="minorEastAsia" w:hAnsiTheme="minorHAnsi" w:cstheme="minorBidi"/>
          <w:noProof/>
          <w:lang w:bidi="ar-SA"/>
        </w:rPr>
      </w:pPr>
      <w:hyperlink w:anchor="_Toc8392763" w:history="1">
        <w:r w:rsidRPr="00790678">
          <w:rPr>
            <w:rStyle w:val="Hyperlink"/>
            <w:noProof/>
          </w:rPr>
          <w:t>3.3.3 Loss of ClpP function results in morphological distortions during spore development</w:t>
        </w:r>
        <w:r>
          <w:rPr>
            <w:noProof/>
            <w:webHidden/>
          </w:rPr>
          <w:tab/>
        </w:r>
        <w:r>
          <w:rPr>
            <w:noProof/>
            <w:webHidden/>
          </w:rPr>
          <w:fldChar w:fldCharType="begin"/>
        </w:r>
        <w:r>
          <w:rPr>
            <w:noProof/>
            <w:webHidden/>
          </w:rPr>
          <w:instrText xml:space="preserve"> PAGEREF _Toc8392763 \h </w:instrText>
        </w:r>
        <w:r>
          <w:rPr>
            <w:noProof/>
            <w:webHidden/>
          </w:rPr>
        </w:r>
        <w:r>
          <w:rPr>
            <w:noProof/>
            <w:webHidden/>
          </w:rPr>
          <w:fldChar w:fldCharType="separate"/>
        </w:r>
        <w:r>
          <w:rPr>
            <w:noProof/>
            <w:webHidden/>
          </w:rPr>
          <w:t>81</w:t>
        </w:r>
        <w:r>
          <w:rPr>
            <w:noProof/>
            <w:webHidden/>
          </w:rPr>
          <w:fldChar w:fldCharType="end"/>
        </w:r>
      </w:hyperlink>
    </w:p>
    <w:p w14:paraId="0559429B" w14:textId="3B931D34" w:rsidR="005B1E39" w:rsidRDefault="005B1E39">
      <w:pPr>
        <w:pStyle w:val="TOC3"/>
        <w:tabs>
          <w:tab w:val="right" w:leader="dot" w:pos="8630"/>
        </w:tabs>
        <w:rPr>
          <w:rFonts w:asciiTheme="minorHAnsi" w:eastAsiaTheme="minorEastAsia" w:hAnsiTheme="minorHAnsi" w:cstheme="minorBidi"/>
          <w:noProof/>
          <w:lang w:bidi="ar-SA"/>
        </w:rPr>
      </w:pPr>
      <w:hyperlink w:anchor="_Toc8392764" w:history="1">
        <w:r w:rsidRPr="00790678">
          <w:rPr>
            <w:rStyle w:val="Hyperlink"/>
            <w:noProof/>
          </w:rPr>
          <w:t xml:space="preserve">3.3.4 Sigma factor expression is dramatically reduced in </w:t>
        </w:r>
        <w:r w:rsidRPr="00790678">
          <w:rPr>
            <w:rStyle w:val="Hyperlink"/>
            <w:noProof/>
          </w:rPr>
          <w:sym w:font="Symbol" w:char="F044"/>
        </w:r>
        <w:r w:rsidRPr="00790678">
          <w:rPr>
            <w:rStyle w:val="Hyperlink"/>
            <w:noProof/>
          </w:rPr>
          <w:t>P1P2</w:t>
        </w:r>
        <w:r>
          <w:rPr>
            <w:noProof/>
            <w:webHidden/>
          </w:rPr>
          <w:tab/>
        </w:r>
        <w:r>
          <w:rPr>
            <w:noProof/>
            <w:webHidden/>
          </w:rPr>
          <w:fldChar w:fldCharType="begin"/>
        </w:r>
        <w:r>
          <w:rPr>
            <w:noProof/>
            <w:webHidden/>
          </w:rPr>
          <w:instrText xml:space="preserve"> PAGEREF _Toc8392764 \h </w:instrText>
        </w:r>
        <w:r>
          <w:rPr>
            <w:noProof/>
            <w:webHidden/>
          </w:rPr>
        </w:r>
        <w:r>
          <w:rPr>
            <w:noProof/>
            <w:webHidden/>
          </w:rPr>
          <w:fldChar w:fldCharType="separate"/>
        </w:r>
        <w:r>
          <w:rPr>
            <w:noProof/>
            <w:webHidden/>
          </w:rPr>
          <w:t>87</w:t>
        </w:r>
        <w:r>
          <w:rPr>
            <w:noProof/>
            <w:webHidden/>
          </w:rPr>
          <w:fldChar w:fldCharType="end"/>
        </w:r>
      </w:hyperlink>
    </w:p>
    <w:p w14:paraId="4C5CF2CC" w14:textId="3C7C62FE" w:rsidR="005B1E39" w:rsidRDefault="005B1E39">
      <w:pPr>
        <w:pStyle w:val="TOC2"/>
        <w:tabs>
          <w:tab w:val="right" w:leader="dot" w:pos="8630"/>
        </w:tabs>
        <w:rPr>
          <w:rFonts w:asciiTheme="minorHAnsi" w:eastAsiaTheme="minorEastAsia" w:hAnsiTheme="minorHAnsi" w:cstheme="minorBidi"/>
          <w:noProof/>
          <w:lang w:bidi="ar-SA"/>
        </w:rPr>
      </w:pPr>
      <w:hyperlink w:anchor="_Toc8392765" w:history="1">
        <w:r w:rsidRPr="00790678">
          <w:rPr>
            <w:rStyle w:val="Hyperlink"/>
            <w:noProof/>
          </w:rPr>
          <w:t>3.4 Discussion</w:t>
        </w:r>
        <w:r>
          <w:rPr>
            <w:noProof/>
            <w:webHidden/>
          </w:rPr>
          <w:tab/>
        </w:r>
        <w:r>
          <w:rPr>
            <w:noProof/>
            <w:webHidden/>
          </w:rPr>
          <w:fldChar w:fldCharType="begin"/>
        </w:r>
        <w:r>
          <w:rPr>
            <w:noProof/>
            <w:webHidden/>
          </w:rPr>
          <w:instrText xml:space="preserve"> PAGEREF _Toc8392765 \h </w:instrText>
        </w:r>
        <w:r>
          <w:rPr>
            <w:noProof/>
            <w:webHidden/>
          </w:rPr>
        </w:r>
        <w:r>
          <w:rPr>
            <w:noProof/>
            <w:webHidden/>
          </w:rPr>
          <w:fldChar w:fldCharType="separate"/>
        </w:r>
        <w:r>
          <w:rPr>
            <w:noProof/>
            <w:webHidden/>
          </w:rPr>
          <w:t>90</w:t>
        </w:r>
        <w:r>
          <w:rPr>
            <w:noProof/>
            <w:webHidden/>
          </w:rPr>
          <w:fldChar w:fldCharType="end"/>
        </w:r>
      </w:hyperlink>
    </w:p>
    <w:p w14:paraId="24DB68AF" w14:textId="26DD9F9E" w:rsidR="005B1E39" w:rsidRDefault="005B1E39">
      <w:pPr>
        <w:pStyle w:val="TOC2"/>
        <w:tabs>
          <w:tab w:val="right" w:leader="dot" w:pos="8630"/>
        </w:tabs>
        <w:rPr>
          <w:rFonts w:asciiTheme="minorHAnsi" w:eastAsiaTheme="minorEastAsia" w:hAnsiTheme="minorHAnsi" w:cstheme="minorBidi"/>
          <w:noProof/>
          <w:lang w:bidi="ar-SA"/>
        </w:rPr>
      </w:pPr>
      <w:hyperlink w:anchor="_Toc8392766" w:history="1">
        <w:r w:rsidRPr="00790678">
          <w:rPr>
            <w:rStyle w:val="Hyperlink"/>
            <w:noProof/>
          </w:rPr>
          <w:t>3.5 Materials and Methods</w:t>
        </w:r>
        <w:r>
          <w:rPr>
            <w:noProof/>
            <w:webHidden/>
          </w:rPr>
          <w:tab/>
        </w:r>
        <w:r>
          <w:rPr>
            <w:noProof/>
            <w:webHidden/>
          </w:rPr>
          <w:fldChar w:fldCharType="begin"/>
        </w:r>
        <w:r>
          <w:rPr>
            <w:noProof/>
            <w:webHidden/>
          </w:rPr>
          <w:instrText xml:space="preserve"> PAGEREF _Toc8392766 \h </w:instrText>
        </w:r>
        <w:r>
          <w:rPr>
            <w:noProof/>
            <w:webHidden/>
          </w:rPr>
        </w:r>
        <w:r>
          <w:rPr>
            <w:noProof/>
            <w:webHidden/>
          </w:rPr>
          <w:fldChar w:fldCharType="separate"/>
        </w:r>
        <w:r>
          <w:rPr>
            <w:noProof/>
            <w:webHidden/>
          </w:rPr>
          <w:t>95</w:t>
        </w:r>
        <w:r>
          <w:rPr>
            <w:noProof/>
            <w:webHidden/>
          </w:rPr>
          <w:fldChar w:fldCharType="end"/>
        </w:r>
      </w:hyperlink>
    </w:p>
    <w:p w14:paraId="104BBC9F" w14:textId="23C30B90" w:rsidR="005B1E39" w:rsidRDefault="005B1E39">
      <w:pPr>
        <w:pStyle w:val="TOC3"/>
        <w:tabs>
          <w:tab w:val="right" w:leader="dot" w:pos="8630"/>
        </w:tabs>
        <w:rPr>
          <w:rFonts w:asciiTheme="minorHAnsi" w:eastAsiaTheme="minorEastAsia" w:hAnsiTheme="minorHAnsi" w:cstheme="minorBidi"/>
          <w:noProof/>
          <w:lang w:bidi="ar-SA"/>
        </w:rPr>
      </w:pPr>
      <w:hyperlink w:anchor="_Toc8392767" w:history="1">
        <w:r w:rsidRPr="00790678">
          <w:rPr>
            <w:rStyle w:val="Hyperlink"/>
            <w:noProof/>
          </w:rPr>
          <w:t>3.5.1 Bacterial strains and growth conditions</w:t>
        </w:r>
        <w:r>
          <w:rPr>
            <w:noProof/>
            <w:webHidden/>
          </w:rPr>
          <w:tab/>
        </w:r>
        <w:r>
          <w:rPr>
            <w:noProof/>
            <w:webHidden/>
          </w:rPr>
          <w:fldChar w:fldCharType="begin"/>
        </w:r>
        <w:r>
          <w:rPr>
            <w:noProof/>
            <w:webHidden/>
          </w:rPr>
          <w:instrText xml:space="preserve"> PAGEREF _Toc8392767 \h </w:instrText>
        </w:r>
        <w:r>
          <w:rPr>
            <w:noProof/>
            <w:webHidden/>
          </w:rPr>
        </w:r>
        <w:r>
          <w:rPr>
            <w:noProof/>
            <w:webHidden/>
          </w:rPr>
          <w:fldChar w:fldCharType="separate"/>
        </w:r>
        <w:r>
          <w:rPr>
            <w:noProof/>
            <w:webHidden/>
          </w:rPr>
          <w:t>95</w:t>
        </w:r>
        <w:r>
          <w:rPr>
            <w:noProof/>
            <w:webHidden/>
          </w:rPr>
          <w:fldChar w:fldCharType="end"/>
        </w:r>
      </w:hyperlink>
    </w:p>
    <w:p w14:paraId="448FD855" w14:textId="6EC57DC1" w:rsidR="005B1E39" w:rsidRDefault="005B1E39">
      <w:pPr>
        <w:pStyle w:val="TOC3"/>
        <w:tabs>
          <w:tab w:val="right" w:leader="dot" w:pos="8630"/>
        </w:tabs>
        <w:rPr>
          <w:rFonts w:asciiTheme="minorHAnsi" w:eastAsiaTheme="minorEastAsia" w:hAnsiTheme="minorHAnsi" w:cstheme="minorBidi"/>
          <w:noProof/>
          <w:lang w:bidi="ar-SA"/>
        </w:rPr>
      </w:pPr>
      <w:hyperlink w:anchor="_Toc8392768" w:history="1">
        <w:r w:rsidRPr="00790678">
          <w:rPr>
            <w:rStyle w:val="Hyperlink"/>
            <w:noProof/>
          </w:rPr>
          <w:t xml:space="preserve">3.5.2 </w:t>
        </w:r>
        <w:bookmarkStart w:id="3" w:name="_GoBack"/>
        <w:r w:rsidRPr="005B1E39">
          <w:rPr>
            <w:rStyle w:val="Hyperlink"/>
            <w:i/>
            <w:noProof/>
          </w:rPr>
          <w:t>clpP</w:t>
        </w:r>
        <w:bookmarkEnd w:id="3"/>
        <w:r w:rsidRPr="00790678">
          <w:rPr>
            <w:rStyle w:val="Hyperlink"/>
            <w:noProof/>
          </w:rPr>
          <w:t xml:space="preserve"> mutant generation</w:t>
        </w:r>
        <w:r>
          <w:rPr>
            <w:noProof/>
            <w:webHidden/>
          </w:rPr>
          <w:tab/>
        </w:r>
        <w:r>
          <w:rPr>
            <w:noProof/>
            <w:webHidden/>
          </w:rPr>
          <w:fldChar w:fldCharType="begin"/>
        </w:r>
        <w:r>
          <w:rPr>
            <w:noProof/>
            <w:webHidden/>
          </w:rPr>
          <w:instrText xml:space="preserve"> PAGEREF _Toc8392768 \h </w:instrText>
        </w:r>
        <w:r>
          <w:rPr>
            <w:noProof/>
            <w:webHidden/>
          </w:rPr>
        </w:r>
        <w:r>
          <w:rPr>
            <w:noProof/>
            <w:webHidden/>
          </w:rPr>
          <w:fldChar w:fldCharType="separate"/>
        </w:r>
        <w:r>
          <w:rPr>
            <w:noProof/>
            <w:webHidden/>
          </w:rPr>
          <w:t>95</w:t>
        </w:r>
        <w:r>
          <w:rPr>
            <w:noProof/>
            <w:webHidden/>
          </w:rPr>
          <w:fldChar w:fldCharType="end"/>
        </w:r>
      </w:hyperlink>
    </w:p>
    <w:p w14:paraId="5D6B1409" w14:textId="5AA7A348" w:rsidR="005B1E39" w:rsidRDefault="005B1E39">
      <w:pPr>
        <w:pStyle w:val="TOC3"/>
        <w:tabs>
          <w:tab w:val="right" w:leader="dot" w:pos="8630"/>
        </w:tabs>
        <w:rPr>
          <w:rFonts w:asciiTheme="minorHAnsi" w:eastAsiaTheme="minorEastAsia" w:hAnsiTheme="minorHAnsi" w:cstheme="minorBidi"/>
          <w:noProof/>
          <w:lang w:bidi="ar-SA"/>
        </w:rPr>
      </w:pPr>
      <w:hyperlink w:anchor="_Toc8392769" w:history="1">
        <w:r w:rsidRPr="00790678">
          <w:rPr>
            <w:rStyle w:val="Hyperlink"/>
            <w:noProof/>
          </w:rPr>
          <w:t>3.5.3 Genomic sequencing</w:t>
        </w:r>
        <w:r>
          <w:rPr>
            <w:noProof/>
            <w:webHidden/>
          </w:rPr>
          <w:tab/>
        </w:r>
        <w:r>
          <w:rPr>
            <w:noProof/>
            <w:webHidden/>
          </w:rPr>
          <w:fldChar w:fldCharType="begin"/>
        </w:r>
        <w:r>
          <w:rPr>
            <w:noProof/>
            <w:webHidden/>
          </w:rPr>
          <w:instrText xml:space="preserve"> PAGEREF _Toc8392769 \h </w:instrText>
        </w:r>
        <w:r>
          <w:rPr>
            <w:noProof/>
            <w:webHidden/>
          </w:rPr>
        </w:r>
        <w:r>
          <w:rPr>
            <w:noProof/>
            <w:webHidden/>
          </w:rPr>
          <w:fldChar w:fldCharType="separate"/>
        </w:r>
        <w:r>
          <w:rPr>
            <w:noProof/>
            <w:webHidden/>
          </w:rPr>
          <w:t>96</w:t>
        </w:r>
        <w:r>
          <w:rPr>
            <w:noProof/>
            <w:webHidden/>
          </w:rPr>
          <w:fldChar w:fldCharType="end"/>
        </w:r>
      </w:hyperlink>
    </w:p>
    <w:p w14:paraId="6FEC9155" w14:textId="587A8EAC" w:rsidR="005B1E39" w:rsidRDefault="005B1E39">
      <w:pPr>
        <w:pStyle w:val="TOC3"/>
        <w:tabs>
          <w:tab w:val="right" w:leader="dot" w:pos="8630"/>
        </w:tabs>
        <w:rPr>
          <w:rFonts w:asciiTheme="minorHAnsi" w:eastAsiaTheme="minorEastAsia" w:hAnsiTheme="minorHAnsi" w:cstheme="minorBidi"/>
          <w:noProof/>
          <w:lang w:bidi="ar-SA"/>
        </w:rPr>
      </w:pPr>
      <w:hyperlink w:anchor="_Toc8392770" w:history="1">
        <w:r w:rsidRPr="00790678">
          <w:rPr>
            <w:rStyle w:val="Hyperlink"/>
            <w:noProof/>
          </w:rPr>
          <w:t>3.5.4 Growth curves</w:t>
        </w:r>
        <w:r>
          <w:rPr>
            <w:noProof/>
            <w:webHidden/>
          </w:rPr>
          <w:tab/>
        </w:r>
        <w:r>
          <w:rPr>
            <w:noProof/>
            <w:webHidden/>
          </w:rPr>
          <w:fldChar w:fldCharType="begin"/>
        </w:r>
        <w:r>
          <w:rPr>
            <w:noProof/>
            <w:webHidden/>
          </w:rPr>
          <w:instrText xml:space="preserve"> PAGEREF _Toc8392770 \h </w:instrText>
        </w:r>
        <w:r>
          <w:rPr>
            <w:noProof/>
            <w:webHidden/>
          </w:rPr>
        </w:r>
        <w:r>
          <w:rPr>
            <w:noProof/>
            <w:webHidden/>
          </w:rPr>
          <w:fldChar w:fldCharType="separate"/>
        </w:r>
        <w:r>
          <w:rPr>
            <w:noProof/>
            <w:webHidden/>
          </w:rPr>
          <w:t>96</w:t>
        </w:r>
        <w:r>
          <w:rPr>
            <w:noProof/>
            <w:webHidden/>
          </w:rPr>
          <w:fldChar w:fldCharType="end"/>
        </w:r>
      </w:hyperlink>
    </w:p>
    <w:p w14:paraId="61905194" w14:textId="3C603FB4" w:rsidR="005B1E39" w:rsidRDefault="005B1E39">
      <w:pPr>
        <w:pStyle w:val="TOC3"/>
        <w:tabs>
          <w:tab w:val="right" w:leader="dot" w:pos="8630"/>
        </w:tabs>
        <w:rPr>
          <w:rFonts w:asciiTheme="minorHAnsi" w:eastAsiaTheme="minorEastAsia" w:hAnsiTheme="minorHAnsi" w:cstheme="minorBidi"/>
          <w:noProof/>
          <w:lang w:bidi="ar-SA"/>
        </w:rPr>
      </w:pPr>
      <w:hyperlink w:anchor="_Toc8392771" w:history="1">
        <w:r w:rsidRPr="00790678">
          <w:rPr>
            <w:rStyle w:val="Hyperlink"/>
            <w:noProof/>
          </w:rPr>
          <w:t>3.5.5 Cytotoxicity titer assay</w:t>
        </w:r>
        <w:r>
          <w:rPr>
            <w:noProof/>
            <w:webHidden/>
          </w:rPr>
          <w:tab/>
        </w:r>
        <w:r>
          <w:rPr>
            <w:noProof/>
            <w:webHidden/>
          </w:rPr>
          <w:fldChar w:fldCharType="begin"/>
        </w:r>
        <w:r>
          <w:rPr>
            <w:noProof/>
            <w:webHidden/>
          </w:rPr>
          <w:instrText xml:space="preserve"> PAGEREF _Toc8392771 \h </w:instrText>
        </w:r>
        <w:r>
          <w:rPr>
            <w:noProof/>
            <w:webHidden/>
          </w:rPr>
        </w:r>
        <w:r>
          <w:rPr>
            <w:noProof/>
            <w:webHidden/>
          </w:rPr>
          <w:fldChar w:fldCharType="separate"/>
        </w:r>
        <w:r>
          <w:rPr>
            <w:noProof/>
            <w:webHidden/>
          </w:rPr>
          <w:t>97</w:t>
        </w:r>
        <w:r>
          <w:rPr>
            <w:noProof/>
            <w:webHidden/>
          </w:rPr>
          <w:fldChar w:fldCharType="end"/>
        </w:r>
      </w:hyperlink>
    </w:p>
    <w:p w14:paraId="78968396" w14:textId="5CF6F6D4" w:rsidR="005B1E39" w:rsidRDefault="005B1E39">
      <w:pPr>
        <w:pStyle w:val="TOC3"/>
        <w:tabs>
          <w:tab w:val="right" w:leader="dot" w:pos="8630"/>
        </w:tabs>
        <w:rPr>
          <w:rFonts w:asciiTheme="minorHAnsi" w:eastAsiaTheme="minorEastAsia" w:hAnsiTheme="minorHAnsi" w:cstheme="minorBidi"/>
          <w:noProof/>
          <w:lang w:bidi="ar-SA"/>
        </w:rPr>
      </w:pPr>
      <w:hyperlink w:anchor="_Toc8392772" w:history="1">
        <w:r w:rsidRPr="00790678">
          <w:rPr>
            <w:rStyle w:val="Hyperlink"/>
            <w:noProof/>
          </w:rPr>
          <w:t>3.5.6 Plate-based sporulation</w:t>
        </w:r>
        <w:r>
          <w:rPr>
            <w:noProof/>
            <w:webHidden/>
          </w:rPr>
          <w:tab/>
        </w:r>
        <w:r>
          <w:rPr>
            <w:noProof/>
            <w:webHidden/>
          </w:rPr>
          <w:fldChar w:fldCharType="begin"/>
        </w:r>
        <w:r>
          <w:rPr>
            <w:noProof/>
            <w:webHidden/>
          </w:rPr>
          <w:instrText xml:space="preserve"> PAGEREF _Toc8392772 \h </w:instrText>
        </w:r>
        <w:r>
          <w:rPr>
            <w:noProof/>
            <w:webHidden/>
          </w:rPr>
        </w:r>
        <w:r>
          <w:rPr>
            <w:noProof/>
            <w:webHidden/>
          </w:rPr>
          <w:fldChar w:fldCharType="separate"/>
        </w:r>
        <w:r>
          <w:rPr>
            <w:noProof/>
            <w:webHidden/>
          </w:rPr>
          <w:t>97</w:t>
        </w:r>
        <w:r>
          <w:rPr>
            <w:noProof/>
            <w:webHidden/>
          </w:rPr>
          <w:fldChar w:fldCharType="end"/>
        </w:r>
      </w:hyperlink>
    </w:p>
    <w:p w14:paraId="4143161E" w14:textId="61030CA4" w:rsidR="005B1E39" w:rsidRDefault="005B1E39">
      <w:pPr>
        <w:pStyle w:val="TOC3"/>
        <w:tabs>
          <w:tab w:val="right" w:leader="dot" w:pos="8630"/>
        </w:tabs>
        <w:rPr>
          <w:rFonts w:asciiTheme="minorHAnsi" w:eastAsiaTheme="minorEastAsia" w:hAnsiTheme="minorHAnsi" w:cstheme="minorBidi"/>
          <w:noProof/>
          <w:lang w:bidi="ar-SA"/>
        </w:rPr>
      </w:pPr>
      <w:hyperlink w:anchor="_Toc8392773" w:history="1">
        <w:r w:rsidRPr="00790678">
          <w:rPr>
            <w:rStyle w:val="Hyperlink"/>
            <w:noProof/>
          </w:rPr>
          <w:t>3.5.7 Liquid-culture sporulation</w:t>
        </w:r>
        <w:r>
          <w:rPr>
            <w:noProof/>
            <w:webHidden/>
          </w:rPr>
          <w:tab/>
        </w:r>
        <w:r>
          <w:rPr>
            <w:noProof/>
            <w:webHidden/>
          </w:rPr>
          <w:fldChar w:fldCharType="begin"/>
        </w:r>
        <w:r>
          <w:rPr>
            <w:noProof/>
            <w:webHidden/>
          </w:rPr>
          <w:instrText xml:space="preserve"> PAGEREF _Toc8392773 \h </w:instrText>
        </w:r>
        <w:r>
          <w:rPr>
            <w:noProof/>
            <w:webHidden/>
          </w:rPr>
        </w:r>
        <w:r>
          <w:rPr>
            <w:noProof/>
            <w:webHidden/>
          </w:rPr>
          <w:fldChar w:fldCharType="separate"/>
        </w:r>
        <w:r>
          <w:rPr>
            <w:noProof/>
            <w:webHidden/>
          </w:rPr>
          <w:t>98</w:t>
        </w:r>
        <w:r>
          <w:rPr>
            <w:noProof/>
            <w:webHidden/>
          </w:rPr>
          <w:fldChar w:fldCharType="end"/>
        </w:r>
      </w:hyperlink>
    </w:p>
    <w:p w14:paraId="45B443DB" w14:textId="40991AC9" w:rsidR="005B1E39" w:rsidRDefault="005B1E39">
      <w:pPr>
        <w:pStyle w:val="TOC3"/>
        <w:tabs>
          <w:tab w:val="right" w:leader="dot" w:pos="8630"/>
        </w:tabs>
        <w:rPr>
          <w:rFonts w:asciiTheme="minorHAnsi" w:eastAsiaTheme="minorEastAsia" w:hAnsiTheme="minorHAnsi" w:cstheme="minorBidi"/>
          <w:noProof/>
          <w:lang w:bidi="ar-SA"/>
        </w:rPr>
      </w:pPr>
      <w:hyperlink w:anchor="_Toc8392774" w:history="1">
        <w:r w:rsidRPr="00790678">
          <w:rPr>
            <w:rStyle w:val="Hyperlink"/>
            <w:noProof/>
          </w:rPr>
          <w:t>3.5.8 Sporulation efficiency assay</w:t>
        </w:r>
        <w:r>
          <w:rPr>
            <w:noProof/>
            <w:webHidden/>
          </w:rPr>
          <w:tab/>
        </w:r>
        <w:r>
          <w:rPr>
            <w:noProof/>
            <w:webHidden/>
          </w:rPr>
          <w:fldChar w:fldCharType="begin"/>
        </w:r>
        <w:r>
          <w:rPr>
            <w:noProof/>
            <w:webHidden/>
          </w:rPr>
          <w:instrText xml:space="preserve"> PAGEREF _Toc8392774 \h </w:instrText>
        </w:r>
        <w:r>
          <w:rPr>
            <w:noProof/>
            <w:webHidden/>
          </w:rPr>
        </w:r>
        <w:r>
          <w:rPr>
            <w:noProof/>
            <w:webHidden/>
          </w:rPr>
          <w:fldChar w:fldCharType="separate"/>
        </w:r>
        <w:r>
          <w:rPr>
            <w:noProof/>
            <w:webHidden/>
          </w:rPr>
          <w:t>98</w:t>
        </w:r>
        <w:r>
          <w:rPr>
            <w:noProof/>
            <w:webHidden/>
          </w:rPr>
          <w:fldChar w:fldCharType="end"/>
        </w:r>
      </w:hyperlink>
    </w:p>
    <w:p w14:paraId="2F9C02EC" w14:textId="695A0824" w:rsidR="005B1E39" w:rsidRDefault="005B1E39">
      <w:pPr>
        <w:pStyle w:val="TOC3"/>
        <w:tabs>
          <w:tab w:val="right" w:leader="dot" w:pos="8630"/>
        </w:tabs>
        <w:rPr>
          <w:rFonts w:asciiTheme="minorHAnsi" w:eastAsiaTheme="minorEastAsia" w:hAnsiTheme="minorHAnsi" w:cstheme="minorBidi"/>
          <w:noProof/>
          <w:lang w:bidi="ar-SA"/>
        </w:rPr>
      </w:pPr>
      <w:hyperlink w:anchor="_Toc8392775" w:history="1">
        <w:r w:rsidRPr="00790678">
          <w:rPr>
            <w:rStyle w:val="Hyperlink"/>
            <w:noProof/>
          </w:rPr>
          <w:t>3.5.9 Microscopy analysis</w:t>
        </w:r>
        <w:r>
          <w:rPr>
            <w:noProof/>
            <w:webHidden/>
          </w:rPr>
          <w:tab/>
        </w:r>
        <w:r>
          <w:rPr>
            <w:noProof/>
            <w:webHidden/>
          </w:rPr>
          <w:fldChar w:fldCharType="begin"/>
        </w:r>
        <w:r>
          <w:rPr>
            <w:noProof/>
            <w:webHidden/>
          </w:rPr>
          <w:instrText xml:space="preserve"> PAGEREF _Toc8392775 \h </w:instrText>
        </w:r>
        <w:r>
          <w:rPr>
            <w:noProof/>
            <w:webHidden/>
          </w:rPr>
        </w:r>
        <w:r>
          <w:rPr>
            <w:noProof/>
            <w:webHidden/>
          </w:rPr>
          <w:fldChar w:fldCharType="separate"/>
        </w:r>
        <w:r>
          <w:rPr>
            <w:noProof/>
            <w:webHidden/>
          </w:rPr>
          <w:t>99</w:t>
        </w:r>
        <w:r>
          <w:rPr>
            <w:noProof/>
            <w:webHidden/>
          </w:rPr>
          <w:fldChar w:fldCharType="end"/>
        </w:r>
      </w:hyperlink>
    </w:p>
    <w:p w14:paraId="0F28F3D3" w14:textId="11A87DE7" w:rsidR="005B1E39" w:rsidRDefault="005B1E39">
      <w:pPr>
        <w:pStyle w:val="TOC3"/>
        <w:tabs>
          <w:tab w:val="right" w:leader="dot" w:pos="8630"/>
        </w:tabs>
        <w:rPr>
          <w:rFonts w:asciiTheme="minorHAnsi" w:eastAsiaTheme="minorEastAsia" w:hAnsiTheme="minorHAnsi" w:cstheme="minorBidi"/>
          <w:noProof/>
          <w:lang w:bidi="ar-SA"/>
        </w:rPr>
      </w:pPr>
      <w:hyperlink w:anchor="_Toc8392776" w:history="1">
        <w:r w:rsidRPr="00790678">
          <w:rPr>
            <w:rStyle w:val="Hyperlink"/>
            <w:noProof/>
          </w:rPr>
          <w:t>3.5.10 Transmission Electron Microscopy</w:t>
        </w:r>
        <w:r>
          <w:rPr>
            <w:noProof/>
            <w:webHidden/>
          </w:rPr>
          <w:tab/>
        </w:r>
        <w:r>
          <w:rPr>
            <w:noProof/>
            <w:webHidden/>
          </w:rPr>
          <w:fldChar w:fldCharType="begin"/>
        </w:r>
        <w:r>
          <w:rPr>
            <w:noProof/>
            <w:webHidden/>
          </w:rPr>
          <w:instrText xml:space="preserve"> PAGEREF _Toc8392776 \h </w:instrText>
        </w:r>
        <w:r>
          <w:rPr>
            <w:noProof/>
            <w:webHidden/>
          </w:rPr>
        </w:r>
        <w:r>
          <w:rPr>
            <w:noProof/>
            <w:webHidden/>
          </w:rPr>
          <w:fldChar w:fldCharType="separate"/>
        </w:r>
        <w:r>
          <w:rPr>
            <w:noProof/>
            <w:webHidden/>
          </w:rPr>
          <w:t>99</w:t>
        </w:r>
        <w:r>
          <w:rPr>
            <w:noProof/>
            <w:webHidden/>
          </w:rPr>
          <w:fldChar w:fldCharType="end"/>
        </w:r>
      </w:hyperlink>
    </w:p>
    <w:p w14:paraId="311EA232" w14:textId="2529C4AB" w:rsidR="005B1E39" w:rsidRDefault="005B1E39">
      <w:pPr>
        <w:pStyle w:val="TOC3"/>
        <w:tabs>
          <w:tab w:val="right" w:leader="dot" w:pos="8630"/>
        </w:tabs>
        <w:rPr>
          <w:rFonts w:asciiTheme="minorHAnsi" w:eastAsiaTheme="minorEastAsia" w:hAnsiTheme="minorHAnsi" w:cstheme="minorBidi"/>
          <w:noProof/>
          <w:lang w:bidi="ar-SA"/>
        </w:rPr>
      </w:pPr>
      <w:hyperlink w:anchor="_Toc8392777" w:history="1">
        <w:r w:rsidRPr="00790678">
          <w:rPr>
            <w:rStyle w:val="Hyperlink"/>
            <w:noProof/>
          </w:rPr>
          <w:t>3.5.11 Western blot analysis</w:t>
        </w:r>
        <w:r>
          <w:rPr>
            <w:noProof/>
            <w:webHidden/>
          </w:rPr>
          <w:tab/>
        </w:r>
        <w:r>
          <w:rPr>
            <w:noProof/>
            <w:webHidden/>
          </w:rPr>
          <w:fldChar w:fldCharType="begin"/>
        </w:r>
        <w:r>
          <w:rPr>
            <w:noProof/>
            <w:webHidden/>
          </w:rPr>
          <w:instrText xml:space="preserve"> PAGEREF _Toc8392777 \h </w:instrText>
        </w:r>
        <w:r>
          <w:rPr>
            <w:noProof/>
            <w:webHidden/>
          </w:rPr>
        </w:r>
        <w:r>
          <w:rPr>
            <w:noProof/>
            <w:webHidden/>
          </w:rPr>
          <w:fldChar w:fldCharType="separate"/>
        </w:r>
        <w:r>
          <w:rPr>
            <w:noProof/>
            <w:webHidden/>
          </w:rPr>
          <w:t>100</w:t>
        </w:r>
        <w:r>
          <w:rPr>
            <w:noProof/>
            <w:webHidden/>
          </w:rPr>
          <w:fldChar w:fldCharType="end"/>
        </w:r>
      </w:hyperlink>
    </w:p>
    <w:p w14:paraId="7F412902" w14:textId="40A9D0EE" w:rsidR="005B1E39" w:rsidRDefault="005B1E39">
      <w:pPr>
        <w:pStyle w:val="TOC2"/>
        <w:tabs>
          <w:tab w:val="right" w:leader="dot" w:pos="8630"/>
        </w:tabs>
        <w:rPr>
          <w:rFonts w:asciiTheme="minorHAnsi" w:eastAsiaTheme="minorEastAsia" w:hAnsiTheme="minorHAnsi" w:cstheme="minorBidi"/>
          <w:noProof/>
          <w:lang w:bidi="ar-SA"/>
        </w:rPr>
      </w:pPr>
      <w:hyperlink w:anchor="_Toc8392778" w:history="1">
        <w:r w:rsidRPr="00790678">
          <w:rPr>
            <w:rStyle w:val="Hyperlink"/>
            <w:noProof/>
          </w:rPr>
          <w:t>3.7 References</w:t>
        </w:r>
        <w:r>
          <w:rPr>
            <w:noProof/>
            <w:webHidden/>
          </w:rPr>
          <w:tab/>
        </w:r>
        <w:r>
          <w:rPr>
            <w:noProof/>
            <w:webHidden/>
          </w:rPr>
          <w:fldChar w:fldCharType="begin"/>
        </w:r>
        <w:r>
          <w:rPr>
            <w:noProof/>
            <w:webHidden/>
          </w:rPr>
          <w:instrText xml:space="preserve"> PAGEREF _Toc8392778 \h </w:instrText>
        </w:r>
        <w:r>
          <w:rPr>
            <w:noProof/>
            <w:webHidden/>
          </w:rPr>
        </w:r>
        <w:r>
          <w:rPr>
            <w:noProof/>
            <w:webHidden/>
          </w:rPr>
          <w:fldChar w:fldCharType="separate"/>
        </w:r>
        <w:r>
          <w:rPr>
            <w:noProof/>
            <w:webHidden/>
          </w:rPr>
          <w:t>101</w:t>
        </w:r>
        <w:r>
          <w:rPr>
            <w:noProof/>
            <w:webHidden/>
          </w:rPr>
          <w:fldChar w:fldCharType="end"/>
        </w:r>
      </w:hyperlink>
    </w:p>
    <w:p w14:paraId="01CF318F" w14:textId="7336EF95" w:rsidR="005B1E39" w:rsidRDefault="005B1E39">
      <w:pPr>
        <w:pStyle w:val="TOC1"/>
        <w:rPr>
          <w:rFonts w:asciiTheme="minorHAnsi" w:eastAsiaTheme="minorEastAsia" w:hAnsiTheme="minorHAnsi" w:cstheme="minorBidi"/>
          <w:noProof/>
          <w:lang w:bidi="ar-SA"/>
        </w:rPr>
      </w:pPr>
      <w:hyperlink w:anchor="_Toc8392779" w:history="1">
        <w:r w:rsidRPr="00790678">
          <w:rPr>
            <w:rStyle w:val="Hyperlink"/>
            <w:noProof/>
          </w:rPr>
          <w:t>Chapter 4</w:t>
        </w:r>
        <w:r>
          <w:rPr>
            <w:noProof/>
            <w:webHidden/>
          </w:rPr>
          <w:tab/>
        </w:r>
        <w:r>
          <w:rPr>
            <w:noProof/>
            <w:webHidden/>
          </w:rPr>
          <w:fldChar w:fldCharType="begin"/>
        </w:r>
        <w:r>
          <w:rPr>
            <w:noProof/>
            <w:webHidden/>
          </w:rPr>
          <w:instrText xml:space="preserve"> PAGEREF _Toc8392779 \h </w:instrText>
        </w:r>
        <w:r>
          <w:rPr>
            <w:noProof/>
            <w:webHidden/>
          </w:rPr>
        </w:r>
        <w:r>
          <w:rPr>
            <w:noProof/>
            <w:webHidden/>
          </w:rPr>
          <w:fldChar w:fldCharType="separate"/>
        </w:r>
        <w:r>
          <w:rPr>
            <w:noProof/>
            <w:webHidden/>
          </w:rPr>
          <w:t>106</w:t>
        </w:r>
        <w:r>
          <w:rPr>
            <w:noProof/>
            <w:webHidden/>
          </w:rPr>
          <w:fldChar w:fldCharType="end"/>
        </w:r>
      </w:hyperlink>
    </w:p>
    <w:p w14:paraId="04ACE9EF" w14:textId="26245F79" w:rsidR="005B1E39" w:rsidRDefault="005B1E39">
      <w:pPr>
        <w:pStyle w:val="TOC1"/>
        <w:rPr>
          <w:rFonts w:asciiTheme="minorHAnsi" w:eastAsiaTheme="minorEastAsia" w:hAnsiTheme="minorHAnsi" w:cstheme="minorBidi"/>
          <w:noProof/>
          <w:lang w:bidi="ar-SA"/>
        </w:rPr>
      </w:pPr>
      <w:hyperlink w:anchor="_Toc8392780" w:history="1">
        <w:r w:rsidRPr="00790678">
          <w:rPr>
            <w:rStyle w:val="Hyperlink"/>
            <w:noProof/>
          </w:rPr>
          <w:t>Addressing ClpP Modulator Inefficiencies</w:t>
        </w:r>
        <w:r>
          <w:rPr>
            <w:noProof/>
            <w:webHidden/>
          </w:rPr>
          <w:tab/>
        </w:r>
        <w:r>
          <w:rPr>
            <w:noProof/>
            <w:webHidden/>
          </w:rPr>
          <w:fldChar w:fldCharType="begin"/>
        </w:r>
        <w:r>
          <w:rPr>
            <w:noProof/>
            <w:webHidden/>
          </w:rPr>
          <w:instrText xml:space="preserve"> PAGEREF _Toc8392780 \h </w:instrText>
        </w:r>
        <w:r>
          <w:rPr>
            <w:noProof/>
            <w:webHidden/>
          </w:rPr>
        </w:r>
        <w:r>
          <w:rPr>
            <w:noProof/>
            <w:webHidden/>
          </w:rPr>
          <w:fldChar w:fldCharType="separate"/>
        </w:r>
        <w:r>
          <w:rPr>
            <w:noProof/>
            <w:webHidden/>
          </w:rPr>
          <w:t>106</w:t>
        </w:r>
        <w:r>
          <w:rPr>
            <w:noProof/>
            <w:webHidden/>
          </w:rPr>
          <w:fldChar w:fldCharType="end"/>
        </w:r>
      </w:hyperlink>
    </w:p>
    <w:p w14:paraId="78972507" w14:textId="16A29481" w:rsidR="005B1E39" w:rsidRDefault="005B1E39">
      <w:pPr>
        <w:pStyle w:val="TOC2"/>
        <w:tabs>
          <w:tab w:val="right" w:leader="dot" w:pos="8630"/>
        </w:tabs>
        <w:rPr>
          <w:rFonts w:asciiTheme="minorHAnsi" w:eastAsiaTheme="minorEastAsia" w:hAnsiTheme="minorHAnsi" w:cstheme="minorBidi"/>
          <w:noProof/>
          <w:lang w:bidi="ar-SA"/>
        </w:rPr>
      </w:pPr>
      <w:hyperlink w:anchor="_Toc8392781" w:history="1">
        <w:r w:rsidRPr="00790678">
          <w:rPr>
            <w:rStyle w:val="Hyperlink"/>
            <w:noProof/>
          </w:rPr>
          <w:t>4.1 Inhibitors</w:t>
        </w:r>
        <w:r>
          <w:rPr>
            <w:noProof/>
            <w:webHidden/>
          </w:rPr>
          <w:tab/>
        </w:r>
        <w:r>
          <w:rPr>
            <w:noProof/>
            <w:webHidden/>
          </w:rPr>
          <w:fldChar w:fldCharType="begin"/>
        </w:r>
        <w:r>
          <w:rPr>
            <w:noProof/>
            <w:webHidden/>
          </w:rPr>
          <w:instrText xml:space="preserve"> PAGEREF _Toc8392781 \h </w:instrText>
        </w:r>
        <w:r>
          <w:rPr>
            <w:noProof/>
            <w:webHidden/>
          </w:rPr>
        </w:r>
        <w:r>
          <w:rPr>
            <w:noProof/>
            <w:webHidden/>
          </w:rPr>
          <w:fldChar w:fldCharType="separate"/>
        </w:r>
        <w:r>
          <w:rPr>
            <w:noProof/>
            <w:webHidden/>
          </w:rPr>
          <w:t>107</w:t>
        </w:r>
        <w:r>
          <w:rPr>
            <w:noProof/>
            <w:webHidden/>
          </w:rPr>
          <w:fldChar w:fldCharType="end"/>
        </w:r>
      </w:hyperlink>
    </w:p>
    <w:p w14:paraId="59747F02" w14:textId="33F8968E" w:rsidR="005B1E39" w:rsidRDefault="005B1E39">
      <w:pPr>
        <w:pStyle w:val="TOC2"/>
        <w:tabs>
          <w:tab w:val="right" w:leader="dot" w:pos="8630"/>
        </w:tabs>
        <w:rPr>
          <w:rFonts w:asciiTheme="minorHAnsi" w:eastAsiaTheme="minorEastAsia" w:hAnsiTheme="minorHAnsi" w:cstheme="minorBidi"/>
          <w:noProof/>
          <w:lang w:bidi="ar-SA"/>
        </w:rPr>
      </w:pPr>
      <w:hyperlink w:anchor="_Toc8392782" w:history="1">
        <w:r w:rsidRPr="00790678">
          <w:rPr>
            <w:rStyle w:val="Hyperlink"/>
            <w:noProof/>
          </w:rPr>
          <w:t>4.2 Activators</w:t>
        </w:r>
        <w:r>
          <w:rPr>
            <w:noProof/>
            <w:webHidden/>
          </w:rPr>
          <w:tab/>
        </w:r>
        <w:r>
          <w:rPr>
            <w:noProof/>
            <w:webHidden/>
          </w:rPr>
          <w:fldChar w:fldCharType="begin"/>
        </w:r>
        <w:r>
          <w:rPr>
            <w:noProof/>
            <w:webHidden/>
          </w:rPr>
          <w:instrText xml:space="preserve"> PAGEREF _Toc8392782 \h </w:instrText>
        </w:r>
        <w:r>
          <w:rPr>
            <w:noProof/>
            <w:webHidden/>
          </w:rPr>
        </w:r>
        <w:r>
          <w:rPr>
            <w:noProof/>
            <w:webHidden/>
          </w:rPr>
          <w:fldChar w:fldCharType="separate"/>
        </w:r>
        <w:r>
          <w:rPr>
            <w:noProof/>
            <w:webHidden/>
          </w:rPr>
          <w:t>108</w:t>
        </w:r>
        <w:r>
          <w:rPr>
            <w:noProof/>
            <w:webHidden/>
          </w:rPr>
          <w:fldChar w:fldCharType="end"/>
        </w:r>
      </w:hyperlink>
    </w:p>
    <w:p w14:paraId="65395BFF" w14:textId="0F14ADAF" w:rsidR="005B1E39" w:rsidRDefault="005B1E39">
      <w:pPr>
        <w:pStyle w:val="TOC3"/>
        <w:tabs>
          <w:tab w:val="right" w:leader="dot" w:pos="8630"/>
        </w:tabs>
        <w:rPr>
          <w:rFonts w:asciiTheme="minorHAnsi" w:eastAsiaTheme="minorEastAsia" w:hAnsiTheme="minorHAnsi" w:cstheme="minorBidi"/>
          <w:noProof/>
          <w:lang w:bidi="ar-SA"/>
        </w:rPr>
      </w:pPr>
      <w:hyperlink w:anchor="_Toc8392783" w:history="1">
        <w:r w:rsidRPr="00790678">
          <w:rPr>
            <w:rStyle w:val="Hyperlink"/>
            <w:noProof/>
          </w:rPr>
          <w:t>4.2.1 Acyldepsipeptides (ADEPs)</w:t>
        </w:r>
        <w:r>
          <w:rPr>
            <w:noProof/>
            <w:webHidden/>
          </w:rPr>
          <w:tab/>
        </w:r>
        <w:r>
          <w:rPr>
            <w:noProof/>
            <w:webHidden/>
          </w:rPr>
          <w:fldChar w:fldCharType="begin"/>
        </w:r>
        <w:r>
          <w:rPr>
            <w:noProof/>
            <w:webHidden/>
          </w:rPr>
          <w:instrText xml:space="preserve"> PAGEREF _Toc8392783 \h </w:instrText>
        </w:r>
        <w:r>
          <w:rPr>
            <w:noProof/>
            <w:webHidden/>
          </w:rPr>
        </w:r>
        <w:r>
          <w:rPr>
            <w:noProof/>
            <w:webHidden/>
          </w:rPr>
          <w:fldChar w:fldCharType="separate"/>
        </w:r>
        <w:r>
          <w:rPr>
            <w:noProof/>
            <w:webHidden/>
          </w:rPr>
          <w:t>108</w:t>
        </w:r>
        <w:r>
          <w:rPr>
            <w:noProof/>
            <w:webHidden/>
          </w:rPr>
          <w:fldChar w:fldCharType="end"/>
        </w:r>
      </w:hyperlink>
    </w:p>
    <w:p w14:paraId="648B3188" w14:textId="6C50EAD5" w:rsidR="005B1E39" w:rsidRDefault="005B1E39">
      <w:pPr>
        <w:pStyle w:val="TOC3"/>
        <w:tabs>
          <w:tab w:val="right" w:leader="dot" w:pos="8630"/>
        </w:tabs>
        <w:rPr>
          <w:rFonts w:asciiTheme="minorHAnsi" w:eastAsiaTheme="minorEastAsia" w:hAnsiTheme="minorHAnsi" w:cstheme="minorBidi"/>
          <w:noProof/>
          <w:lang w:bidi="ar-SA"/>
        </w:rPr>
      </w:pPr>
      <w:hyperlink w:anchor="_Toc8392784" w:history="1">
        <w:r w:rsidRPr="00790678">
          <w:rPr>
            <w:rStyle w:val="Hyperlink"/>
            <w:noProof/>
          </w:rPr>
          <w:t>4.2.2 Activators of Cylindrical Proteases (ACPs)</w:t>
        </w:r>
        <w:r>
          <w:rPr>
            <w:noProof/>
            <w:webHidden/>
          </w:rPr>
          <w:tab/>
        </w:r>
        <w:r>
          <w:rPr>
            <w:noProof/>
            <w:webHidden/>
          </w:rPr>
          <w:fldChar w:fldCharType="begin"/>
        </w:r>
        <w:r>
          <w:rPr>
            <w:noProof/>
            <w:webHidden/>
          </w:rPr>
          <w:instrText xml:space="preserve"> PAGEREF _Toc8392784 \h </w:instrText>
        </w:r>
        <w:r>
          <w:rPr>
            <w:noProof/>
            <w:webHidden/>
          </w:rPr>
        </w:r>
        <w:r>
          <w:rPr>
            <w:noProof/>
            <w:webHidden/>
          </w:rPr>
          <w:fldChar w:fldCharType="separate"/>
        </w:r>
        <w:r>
          <w:rPr>
            <w:noProof/>
            <w:webHidden/>
          </w:rPr>
          <w:t>110</w:t>
        </w:r>
        <w:r>
          <w:rPr>
            <w:noProof/>
            <w:webHidden/>
          </w:rPr>
          <w:fldChar w:fldCharType="end"/>
        </w:r>
      </w:hyperlink>
    </w:p>
    <w:p w14:paraId="4AF81DD3" w14:textId="06655427" w:rsidR="005B1E39" w:rsidRDefault="005B1E39">
      <w:pPr>
        <w:pStyle w:val="TOC2"/>
        <w:tabs>
          <w:tab w:val="right" w:leader="dot" w:pos="8630"/>
        </w:tabs>
        <w:rPr>
          <w:rFonts w:asciiTheme="minorHAnsi" w:eastAsiaTheme="minorEastAsia" w:hAnsiTheme="minorHAnsi" w:cstheme="minorBidi"/>
          <w:noProof/>
          <w:lang w:bidi="ar-SA"/>
        </w:rPr>
      </w:pPr>
      <w:hyperlink w:anchor="_Toc8392785" w:history="1">
        <w:r w:rsidRPr="00790678">
          <w:rPr>
            <w:rStyle w:val="Hyperlink"/>
            <w:noProof/>
          </w:rPr>
          <w:t>4.3 Sclerotiamide: The First Non-Peptide-Based Natural Product Activator of Bacterial Caseinolytic Protease P</w:t>
        </w:r>
        <w:r>
          <w:rPr>
            <w:noProof/>
            <w:webHidden/>
          </w:rPr>
          <w:tab/>
        </w:r>
        <w:r>
          <w:rPr>
            <w:noProof/>
            <w:webHidden/>
          </w:rPr>
          <w:fldChar w:fldCharType="begin"/>
        </w:r>
        <w:r>
          <w:rPr>
            <w:noProof/>
            <w:webHidden/>
          </w:rPr>
          <w:instrText xml:space="preserve"> PAGEREF _Toc8392785 \h </w:instrText>
        </w:r>
        <w:r>
          <w:rPr>
            <w:noProof/>
            <w:webHidden/>
          </w:rPr>
        </w:r>
        <w:r>
          <w:rPr>
            <w:noProof/>
            <w:webHidden/>
          </w:rPr>
          <w:fldChar w:fldCharType="separate"/>
        </w:r>
        <w:r>
          <w:rPr>
            <w:noProof/>
            <w:webHidden/>
          </w:rPr>
          <w:t>111</w:t>
        </w:r>
        <w:r>
          <w:rPr>
            <w:noProof/>
            <w:webHidden/>
          </w:rPr>
          <w:fldChar w:fldCharType="end"/>
        </w:r>
      </w:hyperlink>
    </w:p>
    <w:p w14:paraId="2B9D0550" w14:textId="514C21DC" w:rsidR="005B1E39" w:rsidRDefault="005B1E39">
      <w:pPr>
        <w:pStyle w:val="TOC3"/>
        <w:tabs>
          <w:tab w:val="right" w:leader="dot" w:pos="8630"/>
        </w:tabs>
        <w:rPr>
          <w:rFonts w:asciiTheme="minorHAnsi" w:eastAsiaTheme="minorEastAsia" w:hAnsiTheme="minorHAnsi" w:cstheme="minorBidi"/>
          <w:noProof/>
          <w:lang w:bidi="ar-SA"/>
        </w:rPr>
      </w:pPr>
      <w:hyperlink w:anchor="_Toc8392786" w:history="1">
        <w:r w:rsidRPr="00790678">
          <w:rPr>
            <w:rStyle w:val="Hyperlink"/>
            <w:noProof/>
          </w:rPr>
          <w:t>4.3.1 Abstract</w:t>
        </w:r>
        <w:r>
          <w:rPr>
            <w:noProof/>
            <w:webHidden/>
          </w:rPr>
          <w:tab/>
        </w:r>
        <w:r>
          <w:rPr>
            <w:noProof/>
            <w:webHidden/>
          </w:rPr>
          <w:fldChar w:fldCharType="begin"/>
        </w:r>
        <w:r>
          <w:rPr>
            <w:noProof/>
            <w:webHidden/>
          </w:rPr>
          <w:instrText xml:space="preserve"> PAGEREF _Toc8392786 \h </w:instrText>
        </w:r>
        <w:r>
          <w:rPr>
            <w:noProof/>
            <w:webHidden/>
          </w:rPr>
        </w:r>
        <w:r>
          <w:rPr>
            <w:noProof/>
            <w:webHidden/>
          </w:rPr>
          <w:fldChar w:fldCharType="separate"/>
        </w:r>
        <w:r>
          <w:rPr>
            <w:noProof/>
            <w:webHidden/>
          </w:rPr>
          <w:t>111</w:t>
        </w:r>
        <w:r>
          <w:rPr>
            <w:noProof/>
            <w:webHidden/>
          </w:rPr>
          <w:fldChar w:fldCharType="end"/>
        </w:r>
      </w:hyperlink>
    </w:p>
    <w:p w14:paraId="41E1A9DA" w14:textId="2DD50C42" w:rsidR="005B1E39" w:rsidRDefault="005B1E39">
      <w:pPr>
        <w:pStyle w:val="TOC3"/>
        <w:tabs>
          <w:tab w:val="right" w:leader="dot" w:pos="8630"/>
        </w:tabs>
        <w:rPr>
          <w:rFonts w:asciiTheme="minorHAnsi" w:eastAsiaTheme="minorEastAsia" w:hAnsiTheme="minorHAnsi" w:cstheme="minorBidi"/>
          <w:noProof/>
          <w:lang w:bidi="ar-SA"/>
        </w:rPr>
      </w:pPr>
      <w:hyperlink w:anchor="_Toc8392787" w:history="1">
        <w:r w:rsidRPr="00790678">
          <w:rPr>
            <w:rStyle w:val="Hyperlink"/>
            <w:noProof/>
          </w:rPr>
          <w:t>4.3.2 Results</w:t>
        </w:r>
        <w:r>
          <w:rPr>
            <w:noProof/>
            <w:webHidden/>
          </w:rPr>
          <w:tab/>
        </w:r>
        <w:r>
          <w:rPr>
            <w:noProof/>
            <w:webHidden/>
          </w:rPr>
          <w:fldChar w:fldCharType="begin"/>
        </w:r>
        <w:r>
          <w:rPr>
            <w:noProof/>
            <w:webHidden/>
          </w:rPr>
          <w:instrText xml:space="preserve"> PAGEREF _Toc8392787 \h </w:instrText>
        </w:r>
        <w:r>
          <w:rPr>
            <w:noProof/>
            <w:webHidden/>
          </w:rPr>
        </w:r>
        <w:r>
          <w:rPr>
            <w:noProof/>
            <w:webHidden/>
          </w:rPr>
          <w:fldChar w:fldCharType="separate"/>
        </w:r>
        <w:r>
          <w:rPr>
            <w:noProof/>
            <w:webHidden/>
          </w:rPr>
          <w:t>111</w:t>
        </w:r>
        <w:r>
          <w:rPr>
            <w:noProof/>
            <w:webHidden/>
          </w:rPr>
          <w:fldChar w:fldCharType="end"/>
        </w:r>
      </w:hyperlink>
    </w:p>
    <w:p w14:paraId="093DD73B" w14:textId="383CA062" w:rsidR="005B1E39" w:rsidRDefault="005B1E39">
      <w:pPr>
        <w:pStyle w:val="TOC2"/>
        <w:tabs>
          <w:tab w:val="right" w:leader="dot" w:pos="8630"/>
        </w:tabs>
        <w:rPr>
          <w:rFonts w:asciiTheme="minorHAnsi" w:eastAsiaTheme="minorEastAsia" w:hAnsiTheme="minorHAnsi" w:cstheme="minorBidi"/>
          <w:noProof/>
          <w:lang w:bidi="ar-SA"/>
        </w:rPr>
      </w:pPr>
      <w:hyperlink w:anchor="_Toc8392788" w:history="1">
        <w:r w:rsidRPr="00790678">
          <w:rPr>
            <w:rStyle w:val="Hyperlink"/>
            <w:noProof/>
          </w:rPr>
          <w:t>4.4 Discussion</w:t>
        </w:r>
        <w:r>
          <w:rPr>
            <w:noProof/>
            <w:webHidden/>
          </w:rPr>
          <w:tab/>
        </w:r>
        <w:r>
          <w:rPr>
            <w:noProof/>
            <w:webHidden/>
          </w:rPr>
          <w:fldChar w:fldCharType="begin"/>
        </w:r>
        <w:r>
          <w:rPr>
            <w:noProof/>
            <w:webHidden/>
          </w:rPr>
          <w:instrText xml:space="preserve"> PAGEREF _Toc8392788 \h </w:instrText>
        </w:r>
        <w:r>
          <w:rPr>
            <w:noProof/>
            <w:webHidden/>
          </w:rPr>
        </w:r>
        <w:r>
          <w:rPr>
            <w:noProof/>
            <w:webHidden/>
          </w:rPr>
          <w:fldChar w:fldCharType="separate"/>
        </w:r>
        <w:r>
          <w:rPr>
            <w:noProof/>
            <w:webHidden/>
          </w:rPr>
          <w:t>118</w:t>
        </w:r>
        <w:r>
          <w:rPr>
            <w:noProof/>
            <w:webHidden/>
          </w:rPr>
          <w:fldChar w:fldCharType="end"/>
        </w:r>
      </w:hyperlink>
    </w:p>
    <w:p w14:paraId="2476AD67" w14:textId="44BB8368" w:rsidR="005B1E39" w:rsidRDefault="005B1E39">
      <w:pPr>
        <w:pStyle w:val="TOC2"/>
        <w:tabs>
          <w:tab w:val="right" w:leader="dot" w:pos="8630"/>
        </w:tabs>
        <w:rPr>
          <w:rFonts w:asciiTheme="minorHAnsi" w:eastAsiaTheme="minorEastAsia" w:hAnsiTheme="minorHAnsi" w:cstheme="minorBidi"/>
          <w:noProof/>
          <w:lang w:bidi="ar-SA"/>
        </w:rPr>
      </w:pPr>
      <w:hyperlink w:anchor="_Toc8392789" w:history="1">
        <w:r w:rsidRPr="00790678">
          <w:rPr>
            <w:rStyle w:val="Hyperlink"/>
            <w:noProof/>
          </w:rPr>
          <w:t>4.5 In Brief: Consequences of Depsipeptide Substitution on the ClpP Activation Activity of Antibacterial Acyldepsipeptides</w:t>
        </w:r>
        <w:r>
          <w:rPr>
            <w:noProof/>
            <w:webHidden/>
          </w:rPr>
          <w:tab/>
        </w:r>
        <w:r>
          <w:rPr>
            <w:noProof/>
            <w:webHidden/>
          </w:rPr>
          <w:fldChar w:fldCharType="begin"/>
        </w:r>
        <w:r>
          <w:rPr>
            <w:noProof/>
            <w:webHidden/>
          </w:rPr>
          <w:instrText xml:space="preserve"> PAGEREF _Toc8392789 \h </w:instrText>
        </w:r>
        <w:r>
          <w:rPr>
            <w:noProof/>
            <w:webHidden/>
          </w:rPr>
        </w:r>
        <w:r>
          <w:rPr>
            <w:noProof/>
            <w:webHidden/>
          </w:rPr>
          <w:fldChar w:fldCharType="separate"/>
        </w:r>
        <w:r>
          <w:rPr>
            <w:noProof/>
            <w:webHidden/>
          </w:rPr>
          <w:t>119</w:t>
        </w:r>
        <w:r>
          <w:rPr>
            <w:noProof/>
            <w:webHidden/>
          </w:rPr>
          <w:fldChar w:fldCharType="end"/>
        </w:r>
      </w:hyperlink>
    </w:p>
    <w:p w14:paraId="77E72061" w14:textId="4DA58BDA" w:rsidR="005B1E39" w:rsidRDefault="005B1E39">
      <w:pPr>
        <w:pStyle w:val="TOC3"/>
        <w:tabs>
          <w:tab w:val="right" w:leader="dot" w:pos="8630"/>
        </w:tabs>
        <w:rPr>
          <w:rFonts w:asciiTheme="minorHAnsi" w:eastAsiaTheme="minorEastAsia" w:hAnsiTheme="minorHAnsi" w:cstheme="minorBidi"/>
          <w:noProof/>
          <w:lang w:bidi="ar-SA"/>
        </w:rPr>
      </w:pPr>
      <w:hyperlink w:anchor="_Toc8392790" w:history="1">
        <w:r w:rsidRPr="00790678">
          <w:rPr>
            <w:rStyle w:val="Hyperlink"/>
            <w:noProof/>
          </w:rPr>
          <w:t>4.5.1 Abstract</w:t>
        </w:r>
        <w:r>
          <w:rPr>
            <w:noProof/>
            <w:webHidden/>
          </w:rPr>
          <w:tab/>
        </w:r>
        <w:r>
          <w:rPr>
            <w:noProof/>
            <w:webHidden/>
          </w:rPr>
          <w:fldChar w:fldCharType="begin"/>
        </w:r>
        <w:r>
          <w:rPr>
            <w:noProof/>
            <w:webHidden/>
          </w:rPr>
          <w:instrText xml:space="preserve"> PAGEREF _Toc8392790 \h </w:instrText>
        </w:r>
        <w:r>
          <w:rPr>
            <w:noProof/>
            <w:webHidden/>
          </w:rPr>
        </w:r>
        <w:r>
          <w:rPr>
            <w:noProof/>
            <w:webHidden/>
          </w:rPr>
          <w:fldChar w:fldCharType="separate"/>
        </w:r>
        <w:r>
          <w:rPr>
            <w:noProof/>
            <w:webHidden/>
          </w:rPr>
          <w:t>119</w:t>
        </w:r>
        <w:r>
          <w:rPr>
            <w:noProof/>
            <w:webHidden/>
          </w:rPr>
          <w:fldChar w:fldCharType="end"/>
        </w:r>
      </w:hyperlink>
    </w:p>
    <w:p w14:paraId="78D232E1" w14:textId="7B27B6ED" w:rsidR="005B1E39" w:rsidRDefault="005B1E39">
      <w:pPr>
        <w:pStyle w:val="TOC3"/>
        <w:tabs>
          <w:tab w:val="right" w:leader="dot" w:pos="8630"/>
        </w:tabs>
        <w:rPr>
          <w:rFonts w:asciiTheme="minorHAnsi" w:eastAsiaTheme="minorEastAsia" w:hAnsiTheme="minorHAnsi" w:cstheme="minorBidi"/>
          <w:noProof/>
          <w:lang w:bidi="ar-SA"/>
        </w:rPr>
      </w:pPr>
      <w:hyperlink w:anchor="_Toc8392791" w:history="1">
        <w:r w:rsidRPr="00790678">
          <w:rPr>
            <w:rStyle w:val="Hyperlink"/>
            <w:noProof/>
          </w:rPr>
          <w:t>4.5.2 Results</w:t>
        </w:r>
        <w:r>
          <w:rPr>
            <w:noProof/>
            <w:webHidden/>
          </w:rPr>
          <w:tab/>
        </w:r>
        <w:r>
          <w:rPr>
            <w:noProof/>
            <w:webHidden/>
          </w:rPr>
          <w:fldChar w:fldCharType="begin"/>
        </w:r>
        <w:r>
          <w:rPr>
            <w:noProof/>
            <w:webHidden/>
          </w:rPr>
          <w:instrText xml:space="preserve"> PAGEREF _Toc8392791 \h </w:instrText>
        </w:r>
        <w:r>
          <w:rPr>
            <w:noProof/>
            <w:webHidden/>
          </w:rPr>
        </w:r>
        <w:r>
          <w:rPr>
            <w:noProof/>
            <w:webHidden/>
          </w:rPr>
          <w:fldChar w:fldCharType="separate"/>
        </w:r>
        <w:r>
          <w:rPr>
            <w:noProof/>
            <w:webHidden/>
          </w:rPr>
          <w:t>120</w:t>
        </w:r>
        <w:r>
          <w:rPr>
            <w:noProof/>
            <w:webHidden/>
          </w:rPr>
          <w:fldChar w:fldCharType="end"/>
        </w:r>
      </w:hyperlink>
    </w:p>
    <w:p w14:paraId="32F6D581" w14:textId="6871D26D" w:rsidR="005B1E39" w:rsidRDefault="005B1E39">
      <w:pPr>
        <w:pStyle w:val="TOC3"/>
        <w:tabs>
          <w:tab w:val="right" w:leader="dot" w:pos="8630"/>
        </w:tabs>
        <w:rPr>
          <w:rFonts w:asciiTheme="minorHAnsi" w:eastAsiaTheme="minorEastAsia" w:hAnsiTheme="minorHAnsi" w:cstheme="minorBidi"/>
          <w:noProof/>
          <w:lang w:bidi="ar-SA"/>
        </w:rPr>
      </w:pPr>
      <w:hyperlink w:anchor="_Toc8392792" w:history="1">
        <w:r w:rsidRPr="00790678">
          <w:rPr>
            <w:rStyle w:val="Hyperlink"/>
            <w:noProof/>
          </w:rPr>
          <w:t>4.5.3 Bioactivity Evaluation</w:t>
        </w:r>
        <w:r>
          <w:rPr>
            <w:noProof/>
            <w:webHidden/>
          </w:rPr>
          <w:tab/>
        </w:r>
        <w:r>
          <w:rPr>
            <w:noProof/>
            <w:webHidden/>
          </w:rPr>
          <w:fldChar w:fldCharType="begin"/>
        </w:r>
        <w:r>
          <w:rPr>
            <w:noProof/>
            <w:webHidden/>
          </w:rPr>
          <w:instrText xml:space="preserve"> PAGEREF _Toc8392792 \h </w:instrText>
        </w:r>
        <w:r>
          <w:rPr>
            <w:noProof/>
            <w:webHidden/>
          </w:rPr>
        </w:r>
        <w:r>
          <w:rPr>
            <w:noProof/>
            <w:webHidden/>
          </w:rPr>
          <w:fldChar w:fldCharType="separate"/>
        </w:r>
        <w:r>
          <w:rPr>
            <w:noProof/>
            <w:webHidden/>
          </w:rPr>
          <w:t>121</w:t>
        </w:r>
        <w:r>
          <w:rPr>
            <w:noProof/>
            <w:webHidden/>
          </w:rPr>
          <w:fldChar w:fldCharType="end"/>
        </w:r>
      </w:hyperlink>
    </w:p>
    <w:p w14:paraId="426981C4" w14:textId="2EC1A0BE" w:rsidR="005B1E39" w:rsidRDefault="005B1E39">
      <w:pPr>
        <w:pStyle w:val="TOC3"/>
        <w:tabs>
          <w:tab w:val="right" w:leader="dot" w:pos="8630"/>
        </w:tabs>
        <w:rPr>
          <w:rFonts w:asciiTheme="minorHAnsi" w:eastAsiaTheme="minorEastAsia" w:hAnsiTheme="minorHAnsi" w:cstheme="minorBidi"/>
          <w:noProof/>
          <w:lang w:bidi="ar-SA"/>
        </w:rPr>
      </w:pPr>
      <w:hyperlink w:anchor="_Toc8392793" w:history="1">
        <w:r w:rsidRPr="00790678">
          <w:rPr>
            <w:rStyle w:val="Hyperlink"/>
            <w:noProof/>
          </w:rPr>
          <w:t>4.5.4 Conclusion</w:t>
        </w:r>
        <w:r>
          <w:rPr>
            <w:noProof/>
            <w:webHidden/>
          </w:rPr>
          <w:tab/>
        </w:r>
        <w:r>
          <w:rPr>
            <w:noProof/>
            <w:webHidden/>
          </w:rPr>
          <w:fldChar w:fldCharType="begin"/>
        </w:r>
        <w:r>
          <w:rPr>
            <w:noProof/>
            <w:webHidden/>
          </w:rPr>
          <w:instrText xml:space="preserve"> PAGEREF _Toc8392793 \h </w:instrText>
        </w:r>
        <w:r>
          <w:rPr>
            <w:noProof/>
            <w:webHidden/>
          </w:rPr>
        </w:r>
        <w:r>
          <w:rPr>
            <w:noProof/>
            <w:webHidden/>
          </w:rPr>
          <w:fldChar w:fldCharType="separate"/>
        </w:r>
        <w:r>
          <w:rPr>
            <w:noProof/>
            <w:webHidden/>
          </w:rPr>
          <w:t>124</w:t>
        </w:r>
        <w:r>
          <w:rPr>
            <w:noProof/>
            <w:webHidden/>
          </w:rPr>
          <w:fldChar w:fldCharType="end"/>
        </w:r>
      </w:hyperlink>
    </w:p>
    <w:p w14:paraId="64A4161D" w14:textId="14328103" w:rsidR="005B1E39" w:rsidRDefault="005B1E39">
      <w:pPr>
        <w:pStyle w:val="TOC2"/>
        <w:tabs>
          <w:tab w:val="right" w:leader="dot" w:pos="8630"/>
        </w:tabs>
        <w:rPr>
          <w:rFonts w:asciiTheme="minorHAnsi" w:eastAsiaTheme="minorEastAsia" w:hAnsiTheme="minorHAnsi" w:cstheme="minorBidi"/>
          <w:noProof/>
          <w:lang w:bidi="ar-SA"/>
        </w:rPr>
      </w:pPr>
      <w:hyperlink w:anchor="_Toc8392794" w:history="1">
        <w:r w:rsidRPr="00790678">
          <w:rPr>
            <w:rStyle w:val="Hyperlink"/>
            <w:noProof/>
          </w:rPr>
          <w:t>4.6 Materials and Methods</w:t>
        </w:r>
        <w:r>
          <w:rPr>
            <w:noProof/>
            <w:webHidden/>
          </w:rPr>
          <w:tab/>
        </w:r>
        <w:r>
          <w:rPr>
            <w:noProof/>
            <w:webHidden/>
          </w:rPr>
          <w:fldChar w:fldCharType="begin"/>
        </w:r>
        <w:r>
          <w:rPr>
            <w:noProof/>
            <w:webHidden/>
          </w:rPr>
          <w:instrText xml:space="preserve"> PAGEREF _Toc8392794 \h </w:instrText>
        </w:r>
        <w:r>
          <w:rPr>
            <w:noProof/>
            <w:webHidden/>
          </w:rPr>
        </w:r>
        <w:r>
          <w:rPr>
            <w:noProof/>
            <w:webHidden/>
          </w:rPr>
          <w:fldChar w:fldCharType="separate"/>
        </w:r>
        <w:r>
          <w:rPr>
            <w:noProof/>
            <w:webHidden/>
          </w:rPr>
          <w:t>125</w:t>
        </w:r>
        <w:r>
          <w:rPr>
            <w:noProof/>
            <w:webHidden/>
          </w:rPr>
          <w:fldChar w:fldCharType="end"/>
        </w:r>
      </w:hyperlink>
    </w:p>
    <w:p w14:paraId="05F1558B" w14:textId="52779B4A" w:rsidR="005B1E39" w:rsidRDefault="005B1E39">
      <w:pPr>
        <w:pStyle w:val="TOC3"/>
        <w:tabs>
          <w:tab w:val="right" w:leader="dot" w:pos="8630"/>
        </w:tabs>
        <w:rPr>
          <w:rFonts w:asciiTheme="minorHAnsi" w:eastAsiaTheme="minorEastAsia" w:hAnsiTheme="minorHAnsi" w:cstheme="minorBidi"/>
          <w:noProof/>
          <w:lang w:bidi="ar-SA"/>
        </w:rPr>
      </w:pPr>
      <w:hyperlink w:anchor="_Toc8392795" w:history="1">
        <w:r w:rsidRPr="00790678">
          <w:rPr>
            <w:rStyle w:val="Hyperlink"/>
            <w:noProof/>
          </w:rPr>
          <w:t>4.6.1 General Experimental Procedures</w:t>
        </w:r>
        <w:r>
          <w:rPr>
            <w:noProof/>
            <w:webHidden/>
          </w:rPr>
          <w:tab/>
        </w:r>
        <w:r>
          <w:rPr>
            <w:noProof/>
            <w:webHidden/>
          </w:rPr>
          <w:fldChar w:fldCharType="begin"/>
        </w:r>
        <w:r>
          <w:rPr>
            <w:noProof/>
            <w:webHidden/>
          </w:rPr>
          <w:instrText xml:space="preserve"> PAGEREF _Toc8392795 \h </w:instrText>
        </w:r>
        <w:r>
          <w:rPr>
            <w:noProof/>
            <w:webHidden/>
          </w:rPr>
        </w:r>
        <w:r>
          <w:rPr>
            <w:noProof/>
            <w:webHidden/>
          </w:rPr>
          <w:fldChar w:fldCharType="separate"/>
        </w:r>
        <w:r>
          <w:rPr>
            <w:noProof/>
            <w:webHidden/>
          </w:rPr>
          <w:t>125</w:t>
        </w:r>
        <w:r>
          <w:rPr>
            <w:noProof/>
            <w:webHidden/>
          </w:rPr>
          <w:fldChar w:fldCharType="end"/>
        </w:r>
      </w:hyperlink>
    </w:p>
    <w:p w14:paraId="166B6467" w14:textId="38BBF554" w:rsidR="005B1E39" w:rsidRDefault="005B1E39">
      <w:pPr>
        <w:pStyle w:val="TOC3"/>
        <w:tabs>
          <w:tab w:val="right" w:leader="dot" w:pos="8630"/>
        </w:tabs>
        <w:rPr>
          <w:rFonts w:asciiTheme="minorHAnsi" w:eastAsiaTheme="minorEastAsia" w:hAnsiTheme="minorHAnsi" w:cstheme="minorBidi"/>
          <w:noProof/>
          <w:lang w:bidi="ar-SA"/>
        </w:rPr>
      </w:pPr>
      <w:hyperlink w:anchor="_Toc8392796" w:history="1">
        <w:r w:rsidRPr="00790678">
          <w:rPr>
            <w:rStyle w:val="Hyperlink"/>
            <w:noProof/>
          </w:rPr>
          <w:t>4.6.2 Protein Purification</w:t>
        </w:r>
        <w:r>
          <w:rPr>
            <w:noProof/>
            <w:webHidden/>
          </w:rPr>
          <w:tab/>
        </w:r>
        <w:r>
          <w:rPr>
            <w:noProof/>
            <w:webHidden/>
          </w:rPr>
          <w:fldChar w:fldCharType="begin"/>
        </w:r>
        <w:r>
          <w:rPr>
            <w:noProof/>
            <w:webHidden/>
          </w:rPr>
          <w:instrText xml:space="preserve"> PAGEREF _Toc8392796 \h </w:instrText>
        </w:r>
        <w:r>
          <w:rPr>
            <w:noProof/>
            <w:webHidden/>
          </w:rPr>
        </w:r>
        <w:r>
          <w:rPr>
            <w:noProof/>
            <w:webHidden/>
          </w:rPr>
          <w:fldChar w:fldCharType="separate"/>
        </w:r>
        <w:r>
          <w:rPr>
            <w:noProof/>
            <w:webHidden/>
          </w:rPr>
          <w:t>126</w:t>
        </w:r>
        <w:r>
          <w:rPr>
            <w:noProof/>
            <w:webHidden/>
          </w:rPr>
          <w:fldChar w:fldCharType="end"/>
        </w:r>
      </w:hyperlink>
    </w:p>
    <w:p w14:paraId="30F79205" w14:textId="6C806B45" w:rsidR="005B1E39" w:rsidRDefault="005B1E39">
      <w:pPr>
        <w:pStyle w:val="TOC3"/>
        <w:tabs>
          <w:tab w:val="right" w:leader="dot" w:pos="8630"/>
        </w:tabs>
        <w:rPr>
          <w:rFonts w:asciiTheme="minorHAnsi" w:eastAsiaTheme="minorEastAsia" w:hAnsiTheme="minorHAnsi" w:cstheme="minorBidi"/>
          <w:noProof/>
          <w:lang w:bidi="ar-SA"/>
        </w:rPr>
      </w:pPr>
      <w:hyperlink w:anchor="_Toc8392797" w:history="1">
        <w:r w:rsidRPr="00790678">
          <w:rPr>
            <w:rStyle w:val="Hyperlink"/>
            <w:noProof/>
          </w:rPr>
          <w:t>4.6.3 FITC-Casein Screening Assay</w:t>
        </w:r>
        <w:r>
          <w:rPr>
            <w:noProof/>
            <w:webHidden/>
          </w:rPr>
          <w:tab/>
        </w:r>
        <w:r>
          <w:rPr>
            <w:noProof/>
            <w:webHidden/>
          </w:rPr>
          <w:fldChar w:fldCharType="begin"/>
        </w:r>
        <w:r>
          <w:rPr>
            <w:noProof/>
            <w:webHidden/>
          </w:rPr>
          <w:instrText xml:space="preserve"> PAGEREF _Toc8392797 \h </w:instrText>
        </w:r>
        <w:r>
          <w:rPr>
            <w:noProof/>
            <w:webHidden/>
          </w:rPr>
        </w:r>
        <w:r>
          <w:rPr>
            <w:noProof/>
            <w:webHidden/>
          </w:rPr>
          <w:fldChar w:fldCharType="separate"/>
        </w:r>
        <w:r>
          <w:rPr>
            <w:noProof/>
            <w:webHidden/>
          </w:rPr>
          <w:t>126</w:t>
        </w:r>
        <w:r>
          <w:rPr>
            <w:noProof/>
            <w:webHidden/>
          </w:rPr>
          <w:fldChar w:fldCharType="end"/>
        </w:r>
      </w:hyperlink>
    </w:p>
    <w:p w14:paraId="24A9920D" w14:textId="5BB02F90" w:rsidR="005B1E39" w:rsidRDefault="005B1E39">
      <w:pPr>
        <w:pStyle w:val="TOC3"/>
        <w:tabs>
          <w:tab w:val="right" w:leader="dot" w:pos="8630"/>
        </w:tabs>
        <w:rPr>
          <w:rFonts w:asciiTheme="minorHAnsi" w:eastAsiaTheme="minorEastAsia" w:hAnsiTheme="minorHAnsi" w:cstheme="minorBidi"/>
          <w:noProof/>
          <w:lang w:bidi="ar-SA"/>
        </w:rPr>
      </w:pPr>
      <w:hyperlink w:anchor="_Toc8392798" w:history="1">
        <w:r w:rsidRPr="00790678">
          <w:rPr>
            <w:rStyle w:val="Hyperlink"/>
            <w:noProof/>
          </w:rPr>
          <w:t>4.6.4 Decapeptide Degradation Assay</w:t>
        </w:r>
        <w:r>
          <w:rPr>
            <w:noProof/>
            <w:webHidden/>
          </w:rPr>
          <w:tab/>
        </w:r>
        <w:r>
          <w:rPr>
            <w:noProof/>
            <w:webHidden/>
          </w:rPr>
          <w:fldChar w:fldCharType="begin"/>
        </w:r>
        <w:r>
          <w:rPr>
            <w:noProof/>
            <w:webHidden/>
          </w:rPr>
          <w:instrText xml:space="preserve"> PAGEREF _Toc8392798 \h </w:instrText>
        </w:r>
        <w:r>
          <w:rPr>
            <w:noProof/>
            <w:webHidden/>
          </w:rPr>
        </w:r>
        <w:r>
          <w:rPr>
            <w:noProof/>
            <w:webHidden/>
          </w:rPr>
          <w:fldChar w:fldCharType="separate"/>
        </w:r>
        <w:r>
          <w:rPr>
            <w:noProof/>
            <w:webHidden/>
          </w:rPr>
          <w:t>127</w:t>
        </w:r>
        <w:r>
          <w:rPr>
            <w:noProof/>
            <w:webHidden/>
          </w:rPr>
          <w:fldChar w:fldCharType="end"/>
        </w:r>
      </w:hyperlink>
    </w:p>
    <w:p w14:paraId="1854B419" w14:textId="0AFA85B8" w:rsidR="005B1E39" w:rsidRDefault="005B1E39">
      <w:pPr>
        <w:pStyle w:val="TOC3"/>
        <w:tabs>
          <w:tab w:val="right" w:leader="dot" w:pos="8630"/>
        </w:tabs>
        <w:rPr>
          <w:rFonts w:asciiTheme="minorHAnsi" w:eastAsiaTheme="minorEastAsia" w:hAnsiTheme="minorHAnsi" w:cstheme="minorBidi"/>
          <w:noProof/>
          <w:lang w:bidi="ar-SA"/>
        </w:rPr>
      </w:pPr>
      <w:hyperlink w:anchor="_Toc8392799" w:history="1">
        <w:r w:rsidRPr="00790678">
          <w:rPr>
            <w:rStyle w:val="Hyperlink"/>
            <w:noProof/>
          </w:rPr>
          <w:t>4.6.5 FITC-Casein Degradation Assay</w:t>
        </w:r>
        <w:r>
          <w:rPr>
            <w:noProof/>
            <w:webHidden/>
          </w:rPr>
          <w:tab/>
        </w:r>
        <w:r>
          <w:rPr>
            <w:noProof/>
            <w:webHidden/>
          </w:rPr>
          <w:fldChar w:fldCharType="begin"/>
        </w:r>
        <w:r>
          <w:rPr>
            <w:noProof/>
            <w:webHidden/>
          </w:rPr>
          <w:instrText xml:space="preserve"> PAGEREF _Toc8392799 \h </w:instrText>
        </w:r>
        <w:r>
          <w:rPr>
            <w:noProof/>
            <w:webHidden/>
          </w:rPr>
        </w:r>
        <w:r>
          <w:rPr>
            <w:noProof/>
            <w:webHidden/>
          </w:rPr>
          <w:fldChar w:fldCharType="separate"/>
        </w:r>
        <w:r>
          <w:rPr>
            <w:noProof/>
            <w:webHidden/>
          </w:rPr>
          <w:t>127</w:t>
        </w:r>
        <w:r>
          <w:rPr>
            <w:noProof/>
            <w:webHidden/>
          </w:rPr>
          <w:fldChar w:fldCharType="end"/>
        </w:r>
      </w:hyperlink>
    </w:p>
    <w:p w14:paraId="048DDF7A" w14:textId="7806454E" w:rsidR="005B1E39" w:rsidRDefault="005B1E39">
      <w:pPr>
        <w:pStyle w:val="TOC3"/>
        <w:tabs>
          <w:tab w:val="right" w:leader="dot" w:pos="8630"/>
        </w:tabs>
        <w:rPr>
          <w:rFonts w:asciiTheme="minorHAnsi" w:eastAsiaTheme="minorEastAsia" w:hAnsiTheme="minorHAnsi" w:cstheme="minorBidi"/>
          <w:noProof/>
          <w:lang w:bidi="ar-SA"/>
        </w:rPr>
      </w:pPr>
      <w:hyperlink w:anchor="_Toc8392800" w:history="1">
        <w:r w:rsidRPr="00790678">
          <w:rPr>
            <w:rStyle w:val="Hyperlink"/>
            <w:noProof/>
          </w:rPr>
          <w:t>4.6.6 SDS-PAGE Analysis</w:t>
        </w:r>
        <w:r>
          <w:rPr>
            <w:noProof/>
            <w:webHidden/>
          </w:rPr>
          <w:tab/>
        </w:r>
        <w:r>
          <w:rPr>
            <w:noProof/>
            <w:webHidden/>
          </w:rPr>
          <w:fldChar w:fldCharType="begin"/>
        </w:r>
        <w:r>
          <w:rPr>
            <w:noProof/>
            <w:webHidden/>
          </w:rPr>
          <w:instrText xml:space="preserve"> PAGEREF _Toc8392800 \h </w:instrText>
        </w:r>
        <w:r>
          <w:rPr>
            <w:noProof/>
            <w:webHidden/>
          </w:rPr>
        </w:r>
        <w:r>
          <w:rPr>
            <w:noProof/>
            <w:webHidden/>
          </w:rPr>
          <w:fldChar w:fldCharType="separate"/>
        </w:r>
        <w:r>
          <w:rPr>
            <w:noProof/>
            <w:webHidden/>
          </w:rPr>
          <w:t>128</w:t>
        </w:r>
        <w:r>
          <w:rPr>
            <w:noProof/>
            <w:webHidden/>
          </w:rPr>
          <w:fldChar w:fldCharType="end"/>
        </w:r>
      </w:hyperlink>
    </w:p>
    <w:p w14:paraId="51C30E3B" w14:textId="317E4F72" w:rsidR="005B1E39" w:rsidRDefault="005B1E39">
      <w:pPr>
        <w:pStyle w:val="TOC3"/>
        <w:tabs>
          <w:tab w:val="right" w:leader="dot" w:pos="8630"/>
        </w:tabs>
        <w:rPr>
          <w:rFonts w:asciiTheme="minorHAnsi" w:eastAsiaTheme="minorEastAsia" w:hAnsiTheme="minorHAnsi" w:cstheme="minorBidi"/>
          <w:noProof/>
          <w:lang w:bidi="ar-SA"/>
        </w:rPr>
      </w:pPr>
      <w:hyperlink w:anchor="_Toc8392801" w:history="1">
        <w:r w:rsidRPr="00790678">
          <w:rPr>
            <w:rStyle w:val="Hyperlink"/>
            <w:noProof/>
          </w:rPr>
          <w:t>4.5.7 MIC Determination</w:t>
        </w:r>
        <w:r>
          <w:rPr>
            <w:noProof/>
            <w:webHidden/>
          </w:rPr>
          <w:tab/>
        </w:r>
        <w:r>
          <w:rPr>
            <w:noProof/>
            <w:webHidden/>
          </w:rPr>
          <w:fldChar w:fldCharType="begin"/>
        </w:r>
        <w:r>
          <w:rPr>
            <w:noProof/>
            <w:webHidden/>
          </w:rPr>
          <w:instrText xml:space="preserve"> PAGEREF _Toc8392801 \h </w:instrText>
        </w:r>
        <w:r>
          <w:rPr>
            <w:noProof/>
            <w:webHidden/>
          </w:rPr>
        </w:r>
        <w:r>
          <w:rPr>
            <w:noProof/>
            <w:webHidden/>
          </w:rPr>
          <w:fldChar w:fldCharType="separate"/>
        </w:r>
        <w:r>
          <w:rPr>
            <w:noProof/>
            <w:webHidden/>
          </w:rPr>
          <w:t>128</w:t>
        </w:r>
        <w:r>
          <w:rPr>
            <w:noProof/>
            <w:webHidden/>
          </w:rPr>
          <w:fldChar w:fldCharType="end"/>
        </w:r>
      </w:hyperlink>
    </w:p>
    <w:p w14:paraId="4305CF24" w14:textId="445ABEF1" w:rsidR="005B1E39" w:rsidRDefault="005B1E39">
      <w:pPr>
        <w:pStyle w:val="TOC3"/>
        <w:tabs>
          <w:tab w:val="right" w:leader="dot" w:pos="8630"/>
        </w:tabs>
        <w:rPr>
          <w:rFonts w:asciiTheme="minorHAnsi" w:eastAsiaTheme="minorEastAsia" w:hAnsiTheme="minorHAnsi" w:cstheme="minorBidi"/>
          <w:noProof/>
          <w:lang w:bidi="ar-SA"/>
        </w:rPr>
      </w:pPr>
      <w:hyperlink w:anchor="_Toc8392802" w:history="1">
        <w:r w:rsidRPr="00790678">
          <w:rPr>
            <w:rStyle w:val="Hyperlink"/>
            <w:noProof/>
          </w:rPr>
          <w:t>4.6.8 Thermal Shift Assay</w:t>
        </w:r>
        <w:r>
          <w:rPr>
            <w:noProof/>
            <w:webHidden/>
          </w:rPr>
          <w:tab/>
        </w:r>
        <w:r>
          <w:rPr>
            <w:noProof/>
            <w:webHidden/>
          </w:rPr>
          <w:fldChar w:fldCharType="begin"/>
        </w:r>
        <w:r>
          <w:rPr>
            <w:noProof/>
            <w:webHidden/>
          </w:rPr>
          <w:instrText xml:space="preserve"> PAGEREF _Toc8392802 \h </w:instrText>
        </w:r>
        <w:r>
          <w:rPr>
            <w:noProof/>
            <w:webHidden/>
          </w:rPr>
        </w:r>
        <w:r>
          <w:rPr>
            <w:noProof/>
            <w:webHidden/>
          </w:rPr>
          <w:fldChar w:fldCharType="separate"/>
        </w:r>
        <w:r>
          <w:rPr>
            <w:noProof/>
            <w:webHidden/>
          </w:rPr>
          <w:t>129</w:t>
        </w:r>
        <w:r>
          <w:rPr>
            <w:noProof/>
            <w:webHidden/>
          </w:rPr>
          <w:fldChar w:fldCharType="end"/>
        </w:r>
      </w:hyperlink>
    </w:p>
    <w:p w14:paraId="50E86C86" w14:textId="2E833003" w:rsidR="005B1E39" w:rsidRDefault="005B1E39">
      <w:pPr>
        <w:pStyle w:val="TOC3"/>
        <w:tabs>
          <w:tab w:val="right" w:leader="dot" w:pos="8630"/>
        </w:tabs>
        <w:rPr>
          <w:rFonts w:asciiTheme="minorHAnsi" w:eastAsiaTheme="minorEastAsia" w:hAnsiTheme="minorHAnsi" w:cstheme="minorBidi"/>
          <w:noProof/>
          <w:lang w:bidi="ar-SA"/>
        </w:rPr>
      </w:pPr>
      <w:hyperlink w:anchor="_Toc8392803" w:history="1">
        <w:r w:rsidRPr="00790678">
          <w:rPr>
            <w:rStyle w:val="Hyperlink"/>
            <w:noProof/>
          </w:rPr>
          <w:t>4.6.9 MIC Determination</w:t>
        </w:r>
        <w:r>
          <w:rPr>
            <w:noProof/>
            <w:webHidden/>
          </w:rPr>
          <w:tab/>
        </w:r>
        <w:r>
          <w:rPr>
            <w:noProof/>
            <w:webHidden/>
          </w:rPr>
          <w:fldChar w:fldCharType="begin"/>
        </w:r>
        <w:r>
          <w:rPr>
            <w:noProof/>
            <w:webHidden/>
          </w:rPr>
          <w:instrText xml:space="preserve"> PAGEREF _Toc8392803 \h </w:instrText>
        </w:r>
        <w:r>
          <w:rPr>
            <w:noProof/>
            <w:webHidden/>
          </w:rPr>
        </w:r>
        <w:r>
          <w:rPr>
            <w:noProof/>
            <w:webHidden/>
          </w:rPr>
          <w:fldChar w:fldCharType="separate"/>
        </w:r>
        <w:r>
          <w:rPr>
            <w:noProof/>
            <w:webHidden/>
          </w:rPr>
          <w:t>129</w:t>
        </w:r>
        <w:r>
          <w:rPr>
            <w:noProof/>
            <w:webHidden/>
          </w:rPr>
          <w:fldChar w:fldCharType="end"/>
        </w:r>
      </w:hyperlink>
    </w:p>
    <w:p w14:paraId="7F981F5A" w14:textId="31E56326" w:rsidR="005B1E39" w:rsidRDefault="005B1E39">
      <w:pPr>
        <w:pStyle w:val="TOC3"/>
        <w:tabs>
          <w:tab w:val="right" w:leader="dot" w:pos="8630"/>
        </w:tabs>
        <w:rPr>
          <w:rFonts w:asciiTheme="minorHAnsi" w:eastAsiaTheme="minorEastAsia" w:hAnsiTheme="minorHAnsi" w:cstheme="minorBidi"/>
          <w:noProof/>
          <w:lang w:bidi="ar-SA"/>
        </w:rPr>
      </w:pPr>
      <w:hyperlink w:anchor="_Toc8392804" w:history="1">
        <w:r w:rsidRPr="00790678">
          <w:rPr>
            <w:rStyle w:val="Hyperlink"/>
            <w:noProof/>
          </w:rPr>
          <w:t>4.6.10 Hydrogen-Deuterium Exchange</w:t>
        </w:r>
        <w:r>
          <w:rPr>
            <w:noProof/>
            <w:webHidden/>
          </w:rPr>
          <w:tab/>
        </w:r>
        <w:r>
          <w:rPr>
            <w:noProof/>
            <w:webHidden/>
          </w:rPr>
          <w:fldChar w:fldCharType="begin"/>
        </w:r>
        <w:r>
          <w:rPr>
            <w:noProof/>
            <w:webHidden/>
          </w:rPr>
          <w:instrText xml:space="preserve"> PAGEREF _Toc8392804 \h </w:instrText>
        </w:r>
        <w:r>
          <w:rPr>
            <w:noProof/>
            <w:webHidden/>
          </w:rPr>
        </w:r>
        <w:r>
          <w:rPr>
            <w:noProof/>
            <w:webHidden/>
          </w:rPr>
          <w:fldChar w:fldCharType="separate"/>
        </w:r>
        <w:r>
          <w:rPr>
            <w:noProof/>
            <w:webHidden/>
          </w:rPr>
          <w:t>130</w:t>
        </w:r>
        <w:r>
          <w:rPr>
            <w:noProof/>
            <w:webHidden/>
          </w:rPr>
          <w:fldChar w:fldCharType="end"/>
        </w:r>
      </w:hyperlink>
    </w:p>
    <w:p w14:paraId="09F7B543" w14:textId="784BB3E3" w:rsidR="005B1E39" w:rsidRDefault="005B1E39">
      <w:pPr>
        <w:pStyle w:val="TOC2"/>
        <w:tabs>
          <w:tab w:val="right" w:leader="dot" w:pos="8630"/>
        </w:tabs>
        <w:rPr>
          <w:rFonts w:asciiTheme="minorHAnsi" w:eastAsiaTheme="minorEastAsia" w:hAnsiTheme="minorHAnsi" w:cstheme="minorBidi"/>
          <w:noProof/>
          <w:lang w:bidi="ar-SA"/>
        </w:rPr>
      </w:pPr>
      <w:hyperlink w:anchor="_Toc8392805" w:history="1">
        <w:r w:rsidRPr="00790678">
          <w:rPr>
            <w:rStyle w:val="Hyperlink"/>
            <w:noProof/>
          </w:rPr>
          <w:t>4.7 References</w:t>
        </w:r>
        <w:r>
          <w:rPr>
            <w:noProof/>
            <w:webHidden/>
          </w:rPr>
          <w:tab/>
        </w:r>
        <w:r>
          <w:rPr>
            <w:noProof/>
            <w:webHidden/>
          </w:rPr>
          <w:fldChar w:fldCharType="begin"/>
        </w:r>
        <w:r>
          <w:rPr>
            <w:noProof/>
            <w:webHidden/>
          </w:rPr>
          <w:instrText xml:space="preserve"> PAGEREF _Toc8392805 \h </w:instrText>
        </w:r>
        <w:r>
          <w:rPr>
            <w:noProof/>
            <w:webHidden/>
          </w:rPr>
        </w:r>
        <w:r>
          <w:rPr>
            <w:noProof/>
            <w:webHidden/>
          </w:rPr>
          <w:fldChar w:fldCharType="separate"/>
        </w:r>
        <w:r>
          <w:rPr>
            <w:noProof/>
            <w:webHidden/>
          </w:rPr>
          <w:t>131</w:t>
        </w:r>
        <w:r>
          <w:rPr>
            <w:noProof/>
            <w:webHidden/>
          </w:rPr>
          <w:fldChar w:fldCharType="end"/>
        </w:r>
      </w:hyperlink>
    </w:p>
    <w:p w14:paraId="7EF17EAA" w14:textId="1A07C662" w:rsidR="005B1E39" w:rsidRDefault="005B1E39">
      <w:pPr>
        <w:pStyle w:val="TOC1"/>
        <w:rPr>
          <w:rFonts w:asciiTheme="minorHAnsi" w:eastAsiaTheme="minorEastAsia" w:hAnsiTheme="minorHAnsi" w:cstheme="minorBidi"/>
          <w:noProof/>
          <w:lang w:bidi="ar-SA"/>
        </w:rPr>
      </w:pPr>
      <w:hyperlink w:anchor="_Toc8392806" w:history="1">
        <w:r w:rsidRPr="00790678">
          <w:rPr>
            <w:rStyle w:val="Hyperlink"/>
            <w:noProof/>
          </w:rPr>
          <w:t>Chapter 5</w:t>
        </w:r>
        <w:r>
          <w:rPr>
            <w:noProof/>
            <w:webHidden/>
          </w:rPr>
          <w:tab/>
        </w:r>
        <w:r>
          <w:rPr>
            <w:noProof/>
            <w:webHidden/>
          </w:rPr>
          <w:fldChar w:fldCharType="begin"/>
        </w:r>
        <w:r>
          <w:rPr>
            <w:noProof/>
            <w:webHidden/>
          </w:rPr>
          <w:instrText xml:space="preserve"> PAGEREF _Toc8392806 \h </w:instrText>
        </w:r>
        <w:r>
          <w:rPr>
            <w:noProof/>
            <w:webHidden/>
          </w:rPr>
        </w:r>
        <w:r>
          <w:rPr>
            <w:noProof/>
            <w:webHidden/>
          </w:rPr>
          <w:fldChar w:fldCharType="separate"/>
        </w:r>
        <w:r>
          <w:rPr>
            <w:noProof/>
            <w:webHidden/>
          </w:rPr>
          <w:t>139</w:t>
        </w:r>
        <w:r>
          <w:rPr>
            <w:noProof/>
            <w:webHidden/>
          </w:rPr>
          <w:fldChar w:fldCharType="end"/>
        </w:r>
      </w:hyperlink>
    </w:p>
    <w:p w14:paraId="119529DC" w14:textId="2B21F240" w:rsidR="005B1E39" w:rsidRDefault="005B1E39">
      <w:pPr>
        <w:pStyle w:val="TOC1"/>
        <w:rPr>
          <w:rFonts w:asciiTheme="minorHAnsi" w:eastAsiaTheme="minorEastAsia" w:hAnsiTheme="minorHAnsi" w:cstheme="minorBidi"/>
          <w:noProof/>
          <w:lang w:bidi="ar-SA"/>
        </w:rPr>
      </w:pPr>
      <w:hyperlink w:anchor="_Toc8392807" w:history="1">
        <w:r w:rsidRPr="00790678">
          <w:rPr>
            <w:rStyle w:val="Hyperlink"/>
            <w:noProof/>
          </w:rPr>
          <w:t xml:space="preserve">The Crystallographic Structure of Caseinolytic Protease P1 from </w:t>
        </w:r>
        <w:r w:rsidRPr="00790678">
          <w:rPr>
            <w:rStyle w:val="Hyperlink"/>
            <w:i/>
            <w:noProof/>
          </w:rPr>
          <w:t>Clostridium difficile</w:t>
        </w:r>
        <w:r w:rsidRPr="00790678">
          <w:rPr>
            <w:rStyle w:val="Hyperlink"/>
            <w:noProof/>
          </w:rPr>
          <w:t xml:space="preserve"> 630</w:t>
        </w:r>
        <w:r>
          <w:rPr>
            <w:noProof/>
            <w:webHidden/>
          </w:rPr>
          <w:tab/>
        </w:r>
        <w:r>
          <w:rPr>
            <w:noProof/>
            <w:webHidden/>
          </w:rPr>
          <w:fldChar w:fldCharType="begin"/>
        </w:r>
        <w:r>
          <w:rPr>
            <w:noProof/>
            <w:webHidden/>
          </w:rPr>
          <w:instrText xml:space="preserve"> PAGEREF _Toc8392807 \h </w:instrText>
        </w:r>
        <w:r>
          <w:rPr>
            <w:noProof/>
            <w:webHidden/>
          </w:rPr>
        </w:r>
        <w:r>
          <w:rPr>
            <w:noProof/>
            <w:webHidden/>
          </w:rPr>
          <w:fldChar w:fldCharType="separate"/>
        </w:r>
        <w:r>
          <w:rPr>
            <w:noProof/>
            <w:webHidden/>
          </w:rPr>
          <w:t>139</w:t>
        </w:r>
        <w:r>
          <w:rPr>
            <w:noProof/>
            <w:webHidden/>
          </w:rPr>
          <w:fldChar w:fldCharType="end"/>
        </w:r>
      </w:hyperlink>
    </w:p>
    <w:p w14:paraId="22739831" w14:textId="0A0F42FA" w:rsidR="005B1E39" w:rsidRDefault="005B1E39">
      <w:pPr>
        <w:pStyle w:val="TOC2"/>
        <w:tabs>
          <w:tab w:val="right" w:leader="dot" w:pos="8630"/>
        </w:tabs>
        <w:rPr>
          <w:rFonts w:asciiTheme="minorHAnsi" w:eastAsiaTheme="minorEastAsia" w:hAnsiTheme="minorHAnsi" w:cstheme="minorBidi"/>
          <w:noProof/>
          <w:lang w:bidi="ar-SA"/>
        </w:rPr>
      </w:pPr>
      <w:hyperlink w:anchor="_Toc8392808" w:history="1">
        <w:r w:rsidRPr="00790678">
          <w:rPr>
            <w:rStyle w:val="Hyperlink"/>
            <w:noProof/>
          </w:rPr>
          <w:t>5.1 Abstract</w:t>
        </w:r>
        <w:r>
          <w:rPr>
            <w:noProof/>
            <w:webHidden/>
          </w:rPr>
          <w:tab/>
        </w:r>
        <w:r>
          <w:rPr>
            <w:noProof/>
            <w:webHidden/>
          </w:rPr>
          <w:fldChar w:fldCharType="begin"/>
        </w:r>
        <w:r>
          <w:rPr>
            <w:noProof/>
            <w:webHidden/>
          </w:rPr>
          <w:instrText xml:space="preserve"> PAGEREF _Toc8392808 \h </w:instrText>
        </w:r>
        <w:r>
          <w:rPr>
            <w:noProof/>
            <w:webHidden/>
          </w:rPr>
        </w:r>
        <w:r>
          <w:rPr>
            <w:noProof/>
            <w:webHidden/>
          </w:rPr>
          <w:fldChar w:fldCharType="separate"/>
        </w:r>
        <w:r>
          <w:rPr>
            <w:noProof/>
            <w:webHidden/>
          </w:rPr>
          <w:t>139</w:t>
        </w:r>
        <w:r>
          <w:rPr>
            <w:noProof/>
            <w:webHidden/>
          </w:rPr>
          <w:fldChar w:fldCharType="end"/>
        </w:r>
      </w:hyperlink>
    </w:p>
    <w:p w14:paraId="47A25D47" w14:textId="032802F4" w:rsidR="005B1E39" w:rsidRDefault="005B1E39">
      <w:pPr>
        <w:pStyle w:val="TOC2"/>
        <w:tabs>
          <w:tab w:val="right" w:leader="dot" w:pos="8630"/>
        </w:tabs>
        <w:rPr>
          <w:rFonts w:asciiTheme="minorHAnsi" w:eastAsiaTheme="minorEastAsia" w:hAnsiTheme="minorHAnsi" w:cstheme="minorBidi"/>
          <w:noProof/>
          <w:lang w:bidi="ar-SA"/>
        </w:rPr>
      </w:pPr>
      <w:hyperlink w:anchor="_Toc8392809" w:history="1">
        <w:r w:rsidRPr="00790678">
          <w:rPr>
            <w:rStyle w:val="Hyperlink"/>
            <w:noProof/>
          </w:rPr>
          <w:t>5.2 Results</w:t>
        </w:r>
        <w:r>
          <w:rPr>
            <w:noProof/>
            <w:webHidden/>
          </w:rPr>
          <w:tab/>
        </w:r>
        <w:r>
          <w:rPr>
            <w:noProof/>
            <w:webHidden/>
          </w:rPr>
          <w:fldChar w:fldCharType="begin"/>
        </w:r>
        <w:r>
          <w:rPr>
            <w:noProof/>
            <w:webHidden/>
          </w:rPr>
          <w:instrText xml:space="preserve"> PAGEREF _Toc8392809 \h </w:instrText>
        </w:r>
        <w:r>
          <w:rPr>
            <w:noProof/>
            <w:webHidden/>
          </w:rPr>
        </w:r>
        <w:r>
          <w:rPr>
            <w:noProof/>
            <w:webHidden/>
          </w:rPr>
          <w:fldChar w:fldCharType="separate"/>
        </w:r>
        <w:r>
          <w:rPr>
            <w:noProof/>
            <w:webHidden/>
          </w:rPr>
          <w:t>140</w:t>
        </w:r>
        <w:r>
          <w:rPr>
            <w:noProof/>
            <w:webHidden/>
          </w:rPr>
          <w:fldChar w:fldCharType="end"/>
        </w:r>
      </w:hyperlink>
    </w:p>
    <w:p w14:paraId="3AE13F97" w14:textId="45F12C9E" w:rsidR="005B1E39" w:rsidRDefault="005B1E39">
      <w:pPr>
        <w:pStyle w:val="TOC2"/>
        <w:tabs>
          <w:tab w:val="right" w:leader="dot" w:pos="8630"/>
        </w:tabs>
        <w:rPr>
          <w:rFonts w:asciiTheme="minorHAnsi" w:eastAsiaTheme="minorEastAsia" w:hAnsiTheme="minorHAnsi" w:cstheme="minorBidi"/>
          <w:noProof/>
          <w:lang w:bidi="ar-SA"/>
        </w:rPr>
      </w:pPr>
      <w:hyperlink w:anchor="_Toc8392810" w:history="1">
        <w:r w:rsidRPr="00790678">
          <w:rPr>
            <w:rStyle w:val="Hyperlink"/>
            <w:noProof/>
          </w:rPr>
          <w:t>5.3 Future Directions</w:t>
        </w:r>
        <w:r>
          <w:rPr>
            <w:noProof/>
            <w:webHidden/>
          </w:rPr>
          <w:tab/>
        </w:r>
        <w:r>
          <w:rPr>
            <w:noProof/>
            <w:webHidden/>
          </w:rPr>
          <w:fldChar w:fldCharType="begin"/>
        </w:r>
        <w:r>
          <w:rPr>
            <w:noProof/>
            <w:webHidden/>
          </w:rPr>
          <w:instrText xml:space="preserve"> PAGEREF _Toc8392810 \h </w:instrText>
        </w:r>
        <w:r>
          <w:rPr>
            <w:noProof/>
            <w:webHidden/>
          </w:rPr>
        </w:r>
        <w:r>
          <w:rPr>
            <w:noProof/>
            <w:webHidden/>
          </w:rPr>
          <w:fldChar w:fldCharType="separate"/>
        </w:r>
        <w:r>
          <w:rPr>
            <w:noProof/>
            <w:webHidden/>
          </w:rPr>
          <w:t>141</w:t>
        </w:r>
        <w:r>
          <w:rPr>
            <w:noProof/>
            <w:webHidden/>
          </w:rPr>
          <w:fldChar w:fldCharType="end"/>
        </w:r>
      </w:hyperlink>
    </w:p>
    <w:p w14:paraId="6E5152AD" w14:textId="731453BF" w:rsidR="005B1E39" w:rsidRDefault="005B1E39">
      <w:pPr>
        <w:pStyle w:val="TOC2"/>
        <w:tabs>
          <w:tab w:val="right" w:leader="dot" w:pos="8630"/>
        </w:tabs>
        <w:rPr>
          <w:rFonts w:asciiTheme="minorHAnsi" w:eastAsiaTheme="minorEastAsia" w:hAnsiTheme="minorHAnsi" w:cstheme="minorBidi"/>
          <w:noProof/>
          <w:lang w:bidi="ar-SA"/>
        </w:rPr>
      </w:pPr>
      <w:hyperlink w:anchor="_Toc8392811" w:history="1">
        <w:r w:rsidRPr="00790678">
          <w:rPr>
            <w:rStyle w:val="Hyperlink"/>
            <w:noProof/>
          </w:rPr>
          <w:t>5.4 Materials and Methods</w:t>
        </w:r>
        <w:r>
          <w:rPr>
            <w:noProof/>
            <w:webHidden/>
          </w:rPr>
          <w:tab/>
        </w:r>
        <w:r>
          <w:rPr>
            <w:noProof/>
            <w:webHidden/>
          </w:rPr>
          <w:fldChar w:fldCharType="begin"/>
        </w:r>
        <w:r>
          <w:rPr>
            <w:noProof/>
            <w:webHidden/>
          </w:rPr>
          <w:instrText xml:space="preserve"> PAGEREF _Toc8392811 \h </w:instrText>
        </w:r>
        <w:r>
          <w:rPr>
            <w:noProof/>
            <w:webHidden/>
          </w:rPr>
        </w:r>
        <w:r>
          <w:rPr>
            <w:noProof/>
            <w:webHidden/>
          </w:rPr>
          <w:fldChar w:fldCharType="separate"/>
        </w:r>
        <w:r>
          <w:rPr>
            <w:noProof/>
            <w:webHidden/>
          </w:rPr>
          <w:t>142</w:t>
        </w:r>
        <w:r>
          <w:rPr>
            <w:noProof/>
            <w:webHidden/>
          </w:rPr>
          <w:fldChar w:fldCharType="end"/>
        </w:r>
      </w:hyperlink>
    </w:p>
    <w:p w14:paraId="40DDBA59" w14:textId="2EDC7571" w:rsidR="005B1E39" w:rsidRDefault="005B1E39">
      <w:pPr>
        <w:pStyle w:val="TOC3"/>
        <w:tabs>
          <w:tab w:val="right" w:leader="dot" w:pos="8630"/>
        </w:tabs>
        <w:rPr>
          <w:rFonts w:asciiTheme="minorHAnsi" w:eastAsiaTheme="minorEastAsia" w:hAnsiTheme="minorHAnsi" w:cstheme="minorBidi"/>
          <w:noProof/>
          <w:lang w:bidi="ar-SA"/>
        </w:rPr>
      </w:pPr>
      <w:hyperlink w:anchor="_Toc8392812" w:history="1">
        <w:r w:rsidRPr="00790678">
          <w:rPr>
            <w:rStyle w:val="Hyperlink"/>
            <w:noProof/>
          </w:rPr>
          <w:t>5.4.1 Protein Production and Purification</w:t>
        </w:r>
        <w:r>
          <w:rPr>
            <w:noProof/>
            <w:webHidden/>
          </w:rPr>
          <w:tab/>
        </w:r>
        <w:r>
          <w:rPr>
            <w:noProof/>
            <w:webHidden/>
          </w:rPr>
          <w:fldChar w:fldCharType="begin"/>
        </w:r>
        <w:r>
          <w:rPr>
            <w:noProof/>
            <w:webHidden/>
          </w:rPr>
          <w:instrText xml:space="preserve"> PAGEREF _Toc8392812 \h </w:instrText>
        </w:r>
        <w:r>
          <w:rPr>
            <w:noProof/>
            <w:webHidden/>
          </w:rPr>
        </w:r>
        <w:r>
          <w:rPr>
            <w:noProof/>
            <w:webHidden/>
          </w:rPr>
          <w:fldChar w:fldCharType="separate"/>
        </w:r>
        <w:r>
          <w:rPr>
            <w:noProof/>
            <w:webHidden/>
          </w:rPr>
          <w:t>142</w:t>
        </w:r>
        <w:r>
          <w:rPr>
            <w:noProof/>
            <w:webHidden/>
          </w:rPr>
          <w:fldChar w:fldCharType="end"/>
        </w:r>
      </w:hyperlink>
    </w:p>
    <w:p w14:paraId="1542B9C8" w14:textId="1680BB51" w:rsidR="005B1E39" w:rsidRDefault="005B1E39">
      <w:pPr>
        <w:pStyle w:val="TOC3"/>
        <w:tabs>
          <w:tab w:val="right" w:leader="dot" w:pos="8630"/>
        </w:tabs>
        <w:rPr>
          <w:rFonts w:asciiTheme="minorHAnsi" w:eastAsiaTheme="minorEastAsia" w:hAnsiTheme="minorHAnsi" w:cstheme="minorBidi"/>
          <w:noProof/>
          <w:lang w:bidi="ar-SA"/>
        </w:rPr>
      </w:pPr>
      <w:hyperlink w:anchor="_Toc8392813" w:history="1">
        <w:r w:rsidRPr="00790678">
          <w:rPr>
            <w:rStyle w:val="Hyperlink"/>
            <w:noProof/>
          </w:rPr>
          <w:t>5.4.2 Crystallization and Structure Solution</w:t>
        </w:r>
        <w:r>
          <w:rPr>
            <w:noProof/>
            <w:webHidden/>
          </w:rPr>
          <w:tab/>
        </w:r>
        <w:r>
          <w:rPr>
            <w:noProof/>
            <w:webHidden/>
          </w:rPr>
          <w:fldChar w:fldCharType="begin"/>
        </w:r>
        <w:r>
          <w:rPr>
            <w:noProof/>
            <w:webHidden/>
          </w:rPr>
          <w:instrText xml:space="preserve"> PAGEREF _Toc8392813 \h </w:instrText>
        </w:r>
        <w:r>
          <w:rPr>
            <w:noProof/>
            <w:webHidden/>
          </w:rPr>
        </w:r>
        <w:r>
          <w:rPr>
            <w:noProof/>
            <w:webHidden/>
          </w:rPr>
          <w:fldChar w:fldCharType="separate"/>
        </w:r>
        <w:r>
          <w:rPr>
            <w:noProof/>
            <w:webHidden/>
          </w:rPr>
          <w:t>142</w:t>
        </w:r>
        <w:r>
          <w:rPr>
            <w:noProof/>
            <w:webHidden/>
          </w:rPr>
          <w:fldChar w:fldCharType="end"/>
        </w:r>
      </w:hyperlink>
    </w:p>
    <w:p w14:paraId="3BDDF224" w14:textId="2EA6FAE8" w:rsidR="005B1E39" w:rsidRDefault="005B1E39">
      <w:pPr>
        <w:pStyle w:val="TOC2"/>
        <w:tabs>
          <w:tab w:val="right" w:leader="dot" w:pos="8630"/>
        </w:tabs>
        <w:rPr>
          <w:rFonts w:asciiTheme="minorHAnsi" w:eastAsiaTheme="minorEastAsia" w:hAnsiTheme="minorHAnsi" w:cstheme="minorBidi"/>
          <w:noProof/>
          <w:lang w:bidi="ar-SA"/>
        </w:rPr>
      </w:pPr>
      <w:hyperlink w:anchor="_Toc8392814" w:history="1">
        <w:r w:rsidRPr="00790678">
          <w:rPr>
            <w:rStyle w:val="Hyperlink"/>
            <w:noProof/>
          </w:rPr>
          <w:t>5.5 References</w:t>
        </w:r>
        <w:r>
          <w:rPr>
            <w:noProof/>
            <w:webHidden/>
          </w:rPr>
          <w:tab/>
        </w:r>
        <w:r>
          <w:rPr>
            <w:noProof/>
            <w:webHidden/>
          </w:rPr>
          <w:fldChar w:fldCharType="begin"/>
        </w:r>
        <w:r>
          <w:rPr>
            <w:noProof/>
            <w:webHidden/>
          </w:rPr>
          <w:instrText xml:space="preserve"> PAGEREF _Toc8392814 \h </w:instrText>
        </w:r>
        <w:r>
          <w:rPr>
            <w:noProof/>
            <w:webHidden/>
          </w:rPr>
        </w:r>
        <w:r>
          <w:rPr>
            <w:noProof/>
            <w:webHidden/>
          </w:rPr>
          <w:fldChar w:fldCharType="separate"/>
        </w:r>
        <w:r>
          <w:rPr>
            <w:noProof/>
            <w:webHidden/>
          </w:rPr>
          <w:t>143</w:t>
        </w:r>
        <w:r>
          <w:rPr>
            <w:noProof/>
            <w:webHidden/>
          </w:rPr>
          <w:fldChar w:fldCharType="end"/>
        </w:r>
      </w:hyperlink>
    </w:p>
    <w:p w14:paraId="4C9F29AA" w14:textId="1713A09A" w:rsidR="005B1E39" w:rsidRDefault="005B1E39">
      <w:pPr>
        <w:pStyle w:val="TOC1"/>
        <w:rPr>
          <w:rFonts w:asciiTheme="minorHAnsi" w:eastAsiaTheme="minorEastAsia" w:hAnsiTheme="minorHAnsi" w:cstheme="minorBidi"/>
          <w:noProof/>
          <w:lang w:bidi="ar-SA"/>
        </w:rPr>
      </w:pPr>
      <w:hyperlink w:anchor="_Toc8392815" w:history="1">
        <w:r w:rsidRPr="00790678">
          <w:rPr>
            <w:rStyle w:val="Hyperlink"/>
            <w:noProof/>
          </w:rPr>
          <w:t>Epilogue</w:t>
        </w:r>
        <w:r>
          <w:rPr>
            <w:noProof/>
            <w:webHidden/>
          </w:rPr>
          <w:tab/>
        </w:r>
        <w:r>
          <w:rPr>
            <w:noProof/>
            <w:webHidden/>
          </w:rPr>
          <w:fldChar w:fldCharType="begin"/>
        </w:r>
        <w:r>
          <w:rPr>
            <w:noProof/>
            <w:webHidden/>
          </w:rPr>
          <w:instrText xml:space="preserve"> PAGEREF _Toc8392815 \h </w:instrText>
        </w:r>
        <w:r>
          <w:rPr>
            <w:noProof/>
            <w:webHidden/>
          </w:rPr>
        </w:r>
        <w:r>
          <w:rPr>
            <w:noProof/>
            <w:webHidden/>
          </w:rPr>
          <w:fldChar w:fldCharType="separate"/>
        </w:r>
        <w:r>
          <w:rPr>
            <w:noProof/>
            <w:webHidden/>
          </w:rPr>
          <w:t>145</w:t>
        </w:r>
        <w:r>
          <w:rPr>
            <w:noProof/>
            <w:webHidden/>
          </w:rPr>
          <w:fldChar w:fldCharType="end"/>
        </w:r>
      </w:hyperlink>
    </w:p>
    <w:p w14:paraId="110E4FC1" w14:textId="3B1BB25D" w:rsidR="005B1E39" w:rsidRDefault="005B1E39">
      <w:pPr>
        <w:pStyle w:val="TOC1"/>
        <w:rPr>
          <w:rFonts w:asciiTheme="minorHAnsi" w:eastAsiaTheme="minorEastAsia" w:hAnsiTheme="minorHAnsi" w:cstheme="minorBidi"/>
          <w:noProof/>
          <w:lang w:bidi="ar-SA"/>
        </w:rPr>
      </w:pPr>
      <w:hyperlink w:anchor="_Toc8392816" w:history="1">
        <w:r w:rsidRPr="00790678">
          <w:rPr>
            <w:rStyle w:val="Hyperlink"/>
            <w:noProof/>
          </w:rPr>
          <w:t xml:space="preserve">Appendix A: Sequences and supporting data for </w:t>
        </w:r>
        <w:r w:rsidRPr="00790678">
          <w:rPr>
            <w:rStyle w:val="Hyperlink"/>
            <w:i/>
            <w:iCs/>
            <w:noProof/>
          </w:rPr>
          <w:t>Clostridium difficile</w:t>
        </w:r>
        <w:r w:rsidRPr="00790678">
          <w:rPr>
            <w:rStyle w:val="Hyperlink"/>
            <w:noProof/>
          </w:rPr>
          <w:t xml:space="preserve"> ClpP Homologs are Capable of Uncoupled Activity and Exhibit Different Levels of Susceptibility to Acyldepsipeptide Modulation</w:t>
        </w:r>
        <w:r>
          <w:rPr>
            <w:noProof/>
            <w:webHidden/>
          </w:rPr>
          <w:tab/>
        </w:r>
        <w:r>
          <w:rPr>
            <w:noProof/>
            <w:webHidden/>
          </w:rPr>
          <w:fldChar w:fldCharType="begin"/>
        </w:r>
        <w:r>
          <w:rPr>
            <w:noProof/>
            <w:webHidden/>
          </w:rPr>
          <w:instrText xml:space="preserve"> PAGEREF _Toc8392816 \h </w:instrText>
        </w:r>
        <w:r>
          <w:rPr>
            <w:noProof/>
            <w:webHidden/>
          </w:rPr>
        </w:r>
        <w:r>
          <w:rPr>
            <w:noProof/>
            <w:webHidden/>
          </w:rPr>
          <w:fldChar w:fldCharType="separate"/>
        </w:r>
        <w:r>
          <w:rPr>
            <w:noProof/>
            <w:webHidden/>
          </w:rPr>
          <w:t>147</w:t>
        </w:r>
        <w:r>
          <w:rPr>
            <w:noProof/>
            <w:webHidden/>
          </w:rPr>
          <w:fldChar w:fldCharType="end"/>
        </w:r>
      </w:hyperlink>
    </w:p>
    <w:p w14:paraId="6D164F4A" w14:textId="19BE1851" w:rsidR="005B1E39" w:rsidRDefault="005B1E39">
      <w:pPr>
        <w:pStyle w:val="TOC1"/>
        <w:rPr>
          <w:rFonts w:asciiTheme="minorHAnsi" w:eastAsiaTheme="minorEastAsia" w:hAnsiTheme="minorHAnsi" w:cstheme="minorBidi"/>
          <w:noProof/>
          <w:lang w:bidi="ar-SA"/>
        </w:rPr>
      </w:pPr>
      <w:hyperlink w:anchor="_Toc8392817" w:history="1">
        <w:r w:rsidRPr="00790678">
          <w:rPr>
            <w:rStyle w:val="Hyperlink"/>
            <w:noProof/>
          </w:rPr>
          <w:t xml:space="preserve">Appendix B: Phenotypic Response from the Loss of ClpP Function in </w:t>
        </w:r>
        <w:r w:rsidRPr="00790678">
          <w:rPr>
            <w:rStyle w:val="Hyperlink"/>
            <w:i/>
            <w:noProof/>
          </w:rPr>
          <w:t>Clostridium difficile</w:t>
        </w:r>
        <w:r>
          <w:rPr>
            <w:noProof/>
            <w:webHidden/>
          </w:rPr>
          <w:tab/>
        </w:r>
        <w:r>
          <w:rPr>
            <w:noProof/>
            <w:webHidden/>
          </w:rPr>
          <w:fldChar w:fldCharType="begin"/>
        </w:r>
        <w:r>
          <w:rPr>
            <w:noProof/>
            <w:webHidden/>
          </w:rPr>
          <w:instrText xml:space="preserve"> PAGEREF _Toc8392817 \h </w:instrText>
        </w:r>
        <w:r>
          <w:rPr>
            <w:noProof/>
            <w:webHidden/>
          </w:rPr>
        </w:r>
        <w:r>
          <w:rPr>
            <w:noProof/>
            <w:webHidden/>
          </w:rPr>
          <w:fldChar w:fldCharType="separate"/>
        </w:r>
        <w:r>
          <w:rPr>
            <w:noProof/>
            <w:webHidden/>
          </w:rPr>
          <w:t>155</w:t>
        </w:r>
        <w:r>
          <w:rPr>
            <w:noProof/>
            <w:webHidden/>
          </w:rPr>
          <w:fldChar w:fldCharType="end"/>
        </w:r>
      </w:hyperlink>
    </w:p>
    <w:p w14:paraId="0BECC239" w14:textId="62CB9CC4" w:rsidR="005B1E39" w:rsidRDefault="005B1E39">
      <w:pPr>
        <w:pStyle w:val="TOC1"/>
        <w:rPr>
          <w:rFonts w:asciiTheme="minorHAnsi" w:eastAsiaTheme="minorEastAsia" w:hAnsiTheme="minorHAnsi" w:cstheme="minorBidi"/>
          <w:noProof/>
          <w:lang w:bidi="ar-SA"/>
        </w:rPr>
      </w:pPr>
      <w:hyperlink w:anchor="_Toc8392818" w:history="1">
        <w:r w:rsidRPr="00790678">
          <w:rPr>
            <w:rStyle w:val="Hyperlink"/>
            <w:noProof/>
          </w:rPr>
          <w:t xml:space="preserve">Appendix C: The Structure of ClpP1 from </w:t>
        </w:r>
        <w:r w:rsidRPr="00790678">
          <w:rPr>
            <w:rStyle w:val="Hyperlink"/>
            <w:i/>
            <w:noProof/>
          </w:rPr>
          <w:t>Clostridium difficile</w:t>
        </w:r>
        <w:r>
          <w:rPr>
            <w:noProof/>
            <w:webHidden/>
          </w:rPr>
          <w:tab/>
        </w:r>
        <w:r>
          <w:rPr>
            <w:noProof/>
            <w:webHidden/>
          </w:rPr>
          <w:fldChar w:fldCharType="begin"/>
        </w:r>
        <w:r>
          <w:rPr>
            <w:noProof/>
            <w:webHidden/>
          </w:rPr>
          <w:instrText xml:space="preserve"> PAGEREF _Toc8392818 \h </w:instrText>
        </w:r>
        <w:r>
          <w:rPr>
            <w:noProof/>
            <w:webHidden/>
          </w:rPr>
        </w:r>
        <w:r>
          <w:rPr>
            <w:noProof/>
            <w:webHidden/>
          </w:rPr>
          <w:fldChar w:fldCharType="separate"/>
        </w:r>
        <w:r>
          <w:rPr>
            <w:noProof/>
            <w:webHidden/>
          </w:rPr>
          <w:t>167</w:t>
        </w:r>
        <w:r>
          <w:rPr>
            <w:noProof/>
            <w:webHidden/>
          </w:rPr>
          <w:fldChar w:fldCharType="end"/>
        </w:r>
      </w:hyperlink>
    </w:p>
    <w:p w14:paraId="23429AEF" w14:textId="602C293A" w:rsidR="00DA1971" w:rsidRDefault="00F7122D" w:rsidP="00761B3A">
      <w:pPr>
        <w:jc w:val="both"/>
      </w:pPr>
      <w:r>
        <w:fldChar w:fldCharType="end"/>
      </w:r>
      <w:r w:rsidR="00C92079">
        <w:t xml:space="preserve"> </w:t>
      </w:r>
    </w:p>
    <w:p w14:paraId="4D3E8EA7" w14:textId="77777777" w:rsidR="00775701" w:rsidRDefault="00DA1971" w:rsidP="007D5BF8">
      <w:pPr>
        <w:pStyle w:val="Heading1"/>
      </w:pPr>
      <w:r>
        <w:br w:type="page"/>
      </w:r>
      <w:bookmarkStart w:id="4" w:name="_Toc310579465"/>
      <w:bookmarkStart w:id="5" w:name="_Toc8392721"/>
      <w:r>
        <w:lastRenderedPageBreak/>
        <w:t>List of Tables</w:t>
      </w:r>
      <w:bookmarkEnd w:id="4"/>
      <w:bookmarkEnd w:id="5"/>
    </w:p>
    <w:p w14:paraId="73F36F9C" w14:textId="77777777" w:rsidR="004A7222" w:rsidRDefault="004A7222" w:rsidP="004A7222">
      <w:pPr>
        <w:pStyle w:val="NoSpacing"/>
      </w:pPr>
    </w:p>
    <w:p w14:paraId="5D0DB6CC" w14:textId="38B16272" w:rsidR="00B0037B" w:rsidRPr="008D43DB" w:rsidRDefault="00F7122D">
      <w:pPr>
        <w:pStyle w:val="TableofFigures"/>
        <w:tabs>
          <w:tab w:val="right" w:leader="dot" w:pos="8486"/>
        </w:tabs>
        <w:rPr>
          <w:rFonts w:eastAsia="SimSun"/>
          <w:noProof/>
          <w:lang w:bidi="ar-SA"/>
        </w:rPr>
      </w:pPr>
      <w:r>
        <w:fldChar w:fldCharType="begin"/>
      </w:r>
      <w:r w:rsidR="00CC7E26">
        <w:instrText xml:space="preserve"> TOC \h \z \c "Table" </w:instrText>
      </w:r>
      <w:r>
        <w:fldChar w:fldCharType="separate"/>
      </w:r>
      <w:hyperlink w:anchor="_Toc5807389" w:history="1">
        <w:r w:rsidR="00B0037B" w:rsidRPr="00555FBB">
          <w:rPr>
            <w:rStyle w:val="Hyperlink"/>
            <w:noProof/>
          </w:rPr>
          <w:t xml:space="preserve">Table </w:t>
        </w:r>
        <w:r w:rsidR="004F08F0">
          <w:rPr>
            <w:rStyle w:val="Hyperlink"/>
            <w:noProof/>
          </w:rPr>
          <w:t>4.</w:t>
        </w:r>
        <w:r w:rsidR="00B0037B" w:rsidRPr="00555FBB">
          <w:rPr>
            <w:rStyle w:val="Hyperlink"/>
            <w:noProof/>
          </w:rPr>
          <w:t>1 Dose-Response comparison of ADEP1, ACP5, and 1 for the Decapeptide (DFAPKMALVPY</w:t>
        </w:r>
        <w:r w:rsidR="00B0037B" w:rsidRPr="00555FBB">
          <w:rPr>
            <w:rStyle w:val="Hyperlink"/>
            <w:noProof/>
            <w:vertAlign w:val="superscript"/>
          </w:rPr>
          <w:t>NO2</w:t>
        </w:r>
        <w:r w:rsidR="00B0037B" w:rsidRPr="00555FBB">
          <w:rPr>
            <w:rStyle w:val="Hyperlink"/>
            <w:noProof/>
          </w:rPr>
          <w:t>) and unstructured protein (FITC-β-Casein) substrates.</w:t>
        </w:r>
        <w:r w:rsidR="00B0037B">
          <w:rPr>
            <w:noProof/>
            <w:webHidden/>
          </w:rPr>
          <w:tab/>
        </w:r>
        <w:r w:rsidR="00B0037B">
          <w:rPr>
            <w:noProof/>
            <w:webHidden/>
          </w:rPr>
          <w:fldChar w:fldCharType="begin"/>
        </w:r>
        <w:r w:rsidR="00B0037B">
          <w:rPr>
            <w:noProof/>
            <w:webHidden/>
          </w:rPr>
          <w:instrText xml:space="preserve"> PAGEREF _Toc5807389 \h </w:instrText>
        </w:r>
        <w:r w:rsidR="00B0037B">
          <w:rPr>
            <w:noProof/>
            <w:webHidden/>
          </w:rPr>
        </w:r>
        <w:r w:rsidR="00B0037B">
          <w:rPr>
            <w:noProof/>
            <w:webHidden/>
          </w:rPr>
          <w:fldChar w:fldCharType="separate"/>
        </w:r>
        <w:r w:rsidR="000A1546">
          <w:rPr>
            <w:noProof/>
            <w:webHidden/>
          </w:rPr>
          <w:t>131</w:t>
        </w:r>
        <w:r w:rsidR="00B0037B">
          <w:rPr>
            <w:noProof/>
            <w:webHidden/>
          </w:rPr>
          <w:fldChar w:fldCharType="end"/>
        </w:r>
      </w:hyperlink>
    </w:p>
    <w:p w14:paraId="722A8526" w14:textId="7989BCE4" w:rsidR="00B0037B" w:rsidRPr="008D43DB" w:rsidRDefault="00152AAE">
      <w:pPr>
        <w:pStyle w:val="TableofFigures"/>
        <w:tabs>
          <w:tab w:val="right" w:leader="dot" w:pos="8486"/>
        </w:tabs>
        <w:rPr>
          <w:rFonts w:eastAsia="SimSun"/>
          <w:noProof/>
          <w:lang w:bidi="ar-SA"/>
        </w:rPr>
      </w:pPr>
      <w:hyperlink w:anchor="_Toc5807390" w:history="1">
        <w:r w:rsidR="00B0037B" w:rsidRPr="00555FBB">
          <w:rPr>
            <w:rStyle w:val="Hyperlink"/>
            <w:noProof/>
          </w:rPr>
          <w:t xml:space="preserve">Table </w:t>
        </w:r>
        <w:r w:rsidR="004F08F0">
          <w:rPr>
            <w:rStyle w:val="Hyperlink"/>
            <w:noProof/>
          </w:rPr>
          <w:t>4.</w:t>
        </w:r>
        <w:r w:rsidR="00B0037B" w:rsidRPr="00555FBB">
          <w:rPr>
            <w:rStyle w:val="Hyperlink"/>
            <w:noProof/>
          </w:rPr>
          <w:t>2 Activity comparison between ADEP analogs.</w:t>
        </w:r>
        <w:r w:rsidR="00B0037B">
          <w:rPr>
            <w:noProof/>
            <w:webHidden/>
          </w:rPr>
          <w:tab/>
        </w:r>
        <w:r w:rsidR="00B0037B">
          <w:rPr>
            <w:noProof/>
            <w:webHidden/>
          </w:rPr>
          <w:fldChar w:fldCharType="begin"/>
        </w:r>
        <w:r w:rsidR="00B0037B">
          <w:rPr>
            <w:noProof/>
            <w:webHidden/>
          </w:rPr>
          <w:instrText xml:space="preserve"> PAGEREF _Toc5807390 \h </w:instrText>
        </w:r>
        <w:r w:rsidR="00B0037B">
          <w:rPr>
            <w:noProof/>
            <w:webHidden/>
          </w:rPr>
        </w:r>
        <w:r w:rsidR="00B0037B">
          <w:rPr>
            <w:noProof/>
            <w:webHidden/>
          </w:rPr>
          <w:fldChar w:fldCharType="separate"/>
        </w:r>
        <w:r w:rsidR="000A1546">
          <w:rPr>
            <w:noProof/>
            <w:webHidden/>
          </w:rPr>
          <w:t>137</w:t>
        </w:r>
        <w:r w:rsidR="00B0037B">
          <w:rPr>
            <w:noProof/>
            <w:webHidden/>
          </w:rPr>
          <w:fldChar w:fldCharType="end"/>
        </w:r>
      </w:hyperlink>
    </w:p>
    <w:p w14:paraId="64430939" w14:textId="5AE55246" w:rsidR="00B0037B" w:rsidRPr="008D43DB" w:rsidRDefault="00152AAE">
      <w:pPr>
        <w:pStyle w:val="TableofFigures"/>
        <w:tabs>
          <w:tab w:val="right" w:leader="dot" w:pos="8486"/>
        </w:tabs>
        <w:rPr>
          <w:rFonts w:eastAsia="SimSun"/>
          <w:noProof/>
          <w:lang w:bidi="ar-SA"/>
        </w:rPr>
      </w:pPr>
      <w:hyperlink w:anchor="_Toc5807391" w:history="1">
        <w:r w:rsidR="00B0037B" w:rsidRPr="00555FBB">
          <w:rPr>
            <w:rStyle w:val="Hyperlink"/>
            <w:noProof/>
          </w:rPr>
          <w:t xml:space="preserve">Table </w:t>
        </w:r>
        <w:r w:rsidR="004F08F0">
          <w:rPr>
            <w:rStyle w:val="Hyperlink"/>
            <w:noProof/>
          </w:rPr>
          <w:t>A.1</w:t>
        </w:r>
        <w:r w:rsidR="00B0037B" w:rsidRPr="00555FBB">
          <w:rPr>
            <w:rStyle w:val="Hyperlink"/>
            <w:noProof/>
          </w:rPr>
          <w:t xml:space="preserve"> </w:t>
        </w:r>
        <w:r w:rsidR="00B0037B" w:rsidRPr="00555FBB">
          <w:rPr>
            <w:rStyle w:val="Hyperlink"/>
            <w:iCs/>
            <w:noProof/>
          </w:rPr>
          <w:t>qRT</w:t>
        </w:r>
        <w:r w:rsidR="00AB3480">
          <w:rPr>
            <w:rStyle w:val="Hyperlink"/>
            <w:iCs/>
            <w:noProof/>
          </w:rPr>
          <w:t>-</w:t>
        </w:r>
        <w:r w:rsidR="00B0037B" w:rsidRPr="00555FBB">
          <w:rPr>
            <w:rStyle w:val="Hyperlink"/>
            <w:iCs/>
            <w:noProof/>
          </w:rPr>
          <w:t>PCR Primers.</w:t>
        </w:r>
        <w:r w:rsidR="00B0037B">
          <w:rPr>
            <w:noProof/>
            <w:webHidden/>
          </w:rPr>
          <w:tab/>
        </w:r>
        <w:r w:rsidR="00B0037B">
          <w:rPr>
            <w:noProof/>
            <w:webHidden/>
          </w:rPr>
          <w:fldChar w:fldCharType="begin"/>
        </w:r>
        <w:r w:rsidR="00B0037B">
          <w:rPr>
            <w:noProof/>
            <w:webHidden/>
          </w:rPr>
          <w:instrText xml:space="preserve"> PAGEREF _Toc5807391 \h </w:instrText>
        </w:r>
        <w:r w:rsidR="00B0037B">
          <w:rPr>
            <w:noProof/>
            <w:webHidden/>
          </w:rPr>
        </w:r>
        <w:r w:rsidR="00B0037B">
          <w:rPr>
            <w:noProof/>
            <w:webHidden/>
          </w:rPr>
          <w:fldChar w:fldCharType="separate"/>
        </w:r>
        <w:r w:rsidR="000A1546">
          <w:rPr>
            <w:noProof/>
            <w:webHidden/>
          </w:rPr>
          <w:t>162</w:t>
        </w:r>
        <w:r w:rsidR="00B0037B">
          <w:rPr>
            <w:noProof/>
            <w:webHidden/>
          </w:rPr>
          <w:fldChar w:fldCharType="end"/>
        </w:r>
      </w:hyperlink>
    </w:p>
    <w:p w14:paraId="7AC5CAD0" w14:textId="2C8CDF4C" w:rsidR="00B0037B" w:rsidRDefault="00152AAE">
      <w:pPr>
        <w:pStyle w:val="TableofFigures"/>
        <w:tabs>
          <w:tab w:val="right" w:leader="dot" w:pos="8486"/>
        </w:tabs>
        <w:rPr>
          <w:noProof/>
        </w:rPr>
      </w:pPr>
      <w:hyperlink w:anchor="_Toc5807392" w:history="1">
        <w:r w:rsidR="00B0037B" w:rsidRPr="00555FBB">
          <w:rPr>
            <w:rStyle w:val="Hyperlink"/>
            <w:noProof/>
          </w:rPr>
          <w:t xml:space="preserve">Table </w:t>
        </w:r>
        <w:r w:rsidR="004F08F0">
          <w:rPr>
            <w:rStyle w:val="Hyperlink"/>
            <w:noProof/>
          </w:rPr>
          <w:t>A.2</w:t>
        </w:r>
        <w:r w:rsidR="00B0037B" w:rsidRPr="00555FBB">
          <w:rPr>
            <w:rStyle w:val="Hyperlink"/>
            <w:noProof/>
          </w:rPr>
          <w:t xml:space="preserve"> C</w:t>
        </w:r>
        <w:r w:rsidR="00B0037B" w:rsidRPr="00555FBB">
          <w:rPr>
            <w:rStyle w:val="Hyperlink"/>
            <w:noProof/>
            <w:vertAlign w:val="subscript"/>
          </w:rPr>
          <w:t>t</w:t>
        </w:r>
        <w:r w:rsidR="00B0037B" w:rsidRPr="00555FBB">
          <w:rPr>
            <w:rStyle w:val="Hyperlink"/>
            <w:noProof/>
          </w:rPr>
          <w:t xml:space="preserve"> counts for qRT-PCR Individual C</w:t>
        </w:r>
        <w:r w:rsidR="00B0037B" w:rsidRPr="00555FBB">
          <w:rPr>
            <w:rStyle w:val="Hyperlink"/>
            <w:noProof/>
            <w:vertAlign w:val="subscript"/>
          </w:rPr>
          <w:t xml:space="preserve">t </w:t>
        </w:r>
        <w:r w:rsidR="00B0037B" w:rsidRPr="00555FBB">
          <w:rPr>
            <w:rStyle w:val="Hyperlink"/>
            <w:noProof/>
          </w:rPr>
          <w:t>values for each transcript quantified</w:t>
        </w:r>
        <w:r w:rsidR="00B0037B">
          <w:rPr>
            <w:noProof/>
            <w:webHidden/>
          </w:rPr>
          <w:tab/>
        </w:r>
        <w:r w:rsidR="00B0037B">
          <w:rPr>
            <w:noProof/>
            <w:webHidden/>
          </w:rPr>
          <w:fldChar w:fldCharType="begin"/>
        </w:r>
        <w:r w:rsidR="00B0037B">
          <w:rPr>
            <w:noProof/>
            <w:webHidden/>
          </w:rPr>
          <w:instrText xml:space="preserve"> PAGEREF _Toc5807392 \h </w:instrText>
        </w:r>
        <w:r w:rsidR="00B0037B">
          <w:rPr>
            <w:noProof/>
            <w:webHidden/>
          </w:rPr>
        </w:r>
        <w:r w:rsidR="00B0037B">
          <w:rPr>
            <w:noProof/>
            <w:webHidden/>
          </w:rPr>
          <w:fldChar w:fldCharType="separate"/>
        </w:r>
        <w:r w:rsidR="000A1546">
          <w:rPr>
            <w:noProof/>
            <w:webHidden/>
          </w:rPr>
          <w:t>162</w:t>
        </w:r>
        <w:r w:rsidR="00B0037B">
          <w:rPr>
            <w:noProof/>
            <w:webHidden/>
          </w:rPr>
          <w:fldChar w:fldCharType="end"/>
        </w:r>
      </w:hyperlink>
    </w:p>
    <w:p w14:paraId="335F3C41" w14:textId="6BBB522A" w:rsidR="000A1546" w:rsidRDefault="000A1546" w:rsidP="005B655A">
      <w:pPr>
        <w:jc w:val="both"/>
      </w:pPr>
      <w:r>
        <w:rPr>
          <w:rFonts w:eastAsia="SimSun"/>
        </w:rPr>
        <w:t xml:space="preserve">Table C.1 </w:t>
      </w:r>
      <w:r w:rsidRPr="000A1546">
        <w:t>Crystallization conditions for ClpP1 and ClpP2</w:t>
      </w:r>
      <w:r>
        <w:t>..........................................</w:t>
      </w:r>
      <w:r w:rsidR="005B655A">
        <w:t xml:space="preserve"> </w:t>
      </w:r>
      <w:r>
        <w:t>181</w:t>
      </w:r>
    </w:p>
    <w:p w14:paraId="2C063EC9" w14:textId="58E99AC6" w:rsidR="000A1546" w:rsidRPr="000A1546" w:rsidRDefault="000A1546" w:rsidP="005B655A">
      <w:pPr>
        <w:jc w:val="both"/>
        <w:rPr>
          <w:rFonts w:eastAsia="SimSun"/>
        </w:rPr>
      </w:pPr>
      <w:r>
        <w:t xml:space="preserve">Table C.2 </w:t>
      </w:r>
      <w:r w:rsidRPr="000A1546">
        <w:t>The data collection and refinement statistics for ClpP1</w:t>
      </w:r>
      <w:r>
        <w:t>...............................</w:t>
      </w:r>
      <w:r w:rsidR="005B655A">
        <w:t xml:space="preserve"> </w:t>
      </w:r>
      <w:r>
        <w:t>182</w:t>
      </w:r>
    </w:p>
    <w:p w14:paraId="1102781D" w14:textId="77777777" w:rsidR="00DE1EF7" w:rsidRDefault="00F7122D" w:rsidP="00DE1EF7">
      <w:r>
        <w:fldChar w:fldCharType="end"/>
      </w:r>
    </w:p>
    <w:p w14:paraId="26C6AF67" w14:textId="77777777" w:rsidR="00CC7E26" w:rsidRDefault="00DA1971" w:rsidP="007D5BF8">
      <w:pPr>
        <w:pStyle w:val="Heading1"/>
      </w:pPr>
      <w:r>
        <w:br w:type="page"/>
      </w:r>
      <w:bookmarkStart w:id="6" w:name="_Toc310579466"/>
      <w:bookmarkStart w:id="7" w:name="_Toc8392722"/>
      <w:r w:rsidR="001B12EF">
        <w:lastRenderedPageBreak/>
        <w:t>List of Figures</w:t>
      </w:r>
      <w:bookmarkEnd w:id="6"/>
      <w:bookmarkEnd w:id="7"/>
    </w:p>
    <w:p w14:paraId="2F43C51B" w14:textId="77777777" w:rsidR="004A7222" w:rsidRPr="00EE3EDB" w:rsidRDefault="004A7222" w:rsidP="004A7222">
      <w:pPr>
        <w:pStyle w:val="NoSpacing"/>
      </w:pPr>
    </w:p>
    <w:p w14:paraId="55ED699C" w14:textId="77228ABB" w:rsidR="00B0037B" w:rsidRPr="008D43DB" w:rsidRDefault="00F7122D">
      <w:pPr>
        <w:pStyle w:val="TableofFigures"/>
        <w:tabs>
          <w:tab w:val="right" w:leader="dot" w:pos="8486"/>
        </w:tabs>
        <w:rPr>
          <w:rFonts w:eastAsia="SimSun"/>
          <w:noProof/>
          <w:lang w:bidi="ar-SA"/>
        </w:rPr>
      </w:pPr>
      <w:r>
        <w:fldChar w:fldCharType="begin"/>
      </w:r>
      <w:r w:rsidR="00CC7E26">
        <w:instrText xml:space="preserve"> TOC \h \z \c "Figure" </w:instrText>
      </w:r>
      <w:r>
        <w:fldChar w:fldCharType="separate"/>
      </w:r>
      <w:hyperlink w:anchor="_Toc5807393" w:history="1">
        <w:r w:rsidR="00B0037B" w:rsidRPr="00870C14">
          <w:rPr>
            <w:rStyle w:val="Hyperlink"/>
            <w:noProof/>
          </w:rPr>
          <w:t>Figure 1.1 – The CDI Cycle</w:t>
        </w:r>
        <w:r w:rsidR="00B0037B">
          <w:rPr>
            <w:noProof/>
            <w:webHidden/>
          </w:rPr>
          <w:tab/>
        </w:r>
        <w:r w:rsidR="00B0037B">
          <w:rPr>
            <w:noProof/>
            <w:webHidden/>
          </w:rPr>
          <w:fldChar w:fldCharType="begin"/>
        </w:r>
        <w:r w:rsidR="00B0037B">
          <w:rPr>
            <w:noProof/>
            <w:webHidden/>
          </w:rPr>
          <w:instrText xml:space="preserve"> PAGEREF _Toc5807393 \h </w:instrText>
        </w:r>
        <w:r w:rsidR="00B0037B">
          <w:rPr>
            <w:noProof/>
            <w:webHidden/>
          </w:rPr>
        </w:r>
        <w:r w:rsidR="00B0037B">
          <w:rPr>
            <w:noProof/>
            <w:webHidden/>
          </w:rPr>
          <w:fldChar w:fldCharType="separate"/>
        </w:r>
        <w:r w:rsidR="000A1546">
          <w:rPr>
            <w:noProof/>
            <w:webHidden/>
          </w:rPr>
          <w:t>19</w:t>
        </w:r>
        <w:r w:rsidR="00B0037B">
          <w:rPr>
            <w:noProof/>
            <w:webHidden/>
          </w:rPr>
          <w:fldChar w:fldCharType="end"/>
        </w:r>
      </w:hyperlink>
    </w:p>
    <w:p w14:paraId="0FF9667C" w14:textId="0CA49D82" w:rsidR="00B0037B" w:rsidRPr="008D43DB" w:rsidRDefault="00152AAE">
      <w:pPr>
        <w:pStyle w:val="TableofFigures"/>
        <w:tabs>
          <w:tab w:val="right" w:leader="dot" w:pos="8486"/>
        </w:tabs>
        <w:rPr>
          <w:rFonts w:eastAsia="SimSun"/>
          <w:noProof/>
          <w:lang w:bidi="ar-SA"/>
        </w:rPr>
      </w:pPr>
      <w:hyperlink w:anchor="_Toc5807394" w:history="1">
        <w:r w:rsidR="00B0037B" w:rsidRPr="00870C14">
          <w:rPr>
            <w:rStyle w:val="Hyperlink"/>
            <w:noProof/>
          </w:rPr>
          <w:t>Figure 1.2 – Stages of CDI Disease Progression</w:t>
        </w:r>
        <w:r w:rsidR="00B0037B">
          <w:rPr>
            <w:noProof/>
            <w:webHidden/>
          </w:rPr>
          <w:tab/>
        </w:r>
        <w:r w:rsidR="00B0037B">
          <w:rPr>
            <w:noProof/>
            <w:webHidden/>
          </w:rPr>
          <w:fldChar w:fldCharType="begin"/>
        </w:r>
        <w:r w:rsidR="00B0037B">
          <w:rPr>
            <w:noProof/>
            <w:webHidden/>
          </w:rPr>
          <w:instrText xml:space="preserve"> PAGEREF _Toc5807394 \h </w:instrText>
        </w:r>
        <w:r w:rsidR="00B0037B">
          <w:rPr>
            <w:noProof/>
            <w:webHidden/>
          </w:rPr>
        </w:r>
        <w:r w:rsidR="00B0037B">
          <w:rPr>
            <w:noProof/>
            <w:webHidden/>
          </w:rPr>
          <w:fldChar w:fldCharType="separate"/>
        </w:r>
        <w:r w:rsidR="000A1546">
          <w:rPr>
            <w:noProof/>
            <w:webHidden/>
          </w:rPr>
          <w:t>20</w:t>
        </w:r>
        <w:r w:rsidR="00B0037B">
          <w:rPr>
            <w:noProof/>
            <w:webHidden/>
          </w:rPr>
          <w:fldChar w:fldCharType="end"/>
        </w:r>
      </w:hyperlink>
    </w:p>
    <w:p w14:paraId="5D75B98F" w14:textId="53C98915" w:rsidR="00B0037B" w:rsidRPr="008D43DB" w:rsidRDefault="00152AAE">
      <w:pPr>
        <w:pStyle w:val="TableofFigures"/>
        <w:tabs>
          <w:tab w:val="right" w:leader="dot" w:pos="8486"/>
        </w:tabs>
        <w:rPr>
          <w:rFonts w:eastAsia="SimSun"/>
          <w:noProof/>
          <w:lang w:bidi="ar-SA"/>
        </w:rPr>
      </w:pPr>
      <w:hyperlink w:anchor="_Toc5807395" w:history="1">
        <w:r w:rsidR="00B0037B" w:rsidRPr="00870C14">
          <w:rPr>
            <w:rStyle w:val="Hyperlink"/>
            <w:noProof/>
          </w:rPr>
          <w:t>Figure 1.3</w:t>
        </w:r>
        <w:r w:rsidR="00B0037B" w:rsidRPr="00870C14">
          <w:rPr>
            <w:rStyle w:val="Hyperlink"/>
            <w:iCs/>
            <w:noProof/>
          </w:rPr>
          <w:t xml:space="preserve"> – Toxin mechanism of action against epithelial cells.</w:t>
        </w:r>
        <w:r w:rsidR="00B0037B">
          <w:rPr>
            <w:noProof/>
            <w:webHidden/>
          </w:rPr>
          <w:tab/>
        </w:r>
        <w:r w:rsidR="00B0037B">
          <w:rPr>
            <w:noProof/>
            <w:webHidden/>
          </w:rPr>
          <w:fldChar w:fldCharType="begin"/>
        </w:r>
        <w:r w:rsidR="00B0037B">
          <w:rPr>
            <w:noProof/>
            <w:webHidden/>
          </w:rPr>
          <w:instrText xml:space="preserve"> PAGEREF _Toc5807395 \h </w:instrText>
        </w:r>
        <w:r w:rsidR="00B0037B">
          <w:rPr>
            <w:noProof/>
            <w:webHidden/>
          </w:rPr>
        </w:r>
        <w:r w:rsidR="00B0037B">
          <w:rPr>
            <w:noProof/>
            <w:webHidden/>
          </w:rPr>
          <w:fldChar w:fldCharType="separate"/>
        </w:r>
        <w:r w:rsidR="000A1546">
          <w:rPr>
            <w:noProof/>
            <w:webHidden/>
          </w:rPr>
          <w:t>23</w:t>
        </w:r>
        <w:r w:rsidR="00B0037B">
          <w:rPr>
            <w:noProof/>
            <w:webHidden/>
          </w:rPr>
          <w:fldChar w:fldCharType="end"/>
        </w:r>
      </w:hyperlink>
    </w:p>
    <w:p w14:paraId="085C942B" w14:textId="1C255A68" w:rsidR="00B0037B" w:rsidRPr="008D43DB" w:rsidRDefault="00152AAE">
      <w:pPr>
        <w:pStyle w:val="TableofFigures"/>
        <w:tabs>
          <w:tab w:val="right" w:leader="dot" w:pos="8486"/>
        </w:tabs>
        <w:rPr>
          <w:rFonts w:eastAsia="SimSun"/>
          <w:noProof/>
          <w:lang w:bidi="ar-SA"/>
        </w:rPr>
      </w:pPr>
      <w:hyperlink w:anchor="_Toc5807397" w:history="1">
        <w:r w:rsidR="00B0037B" w:rsidRPr="00870C14">
          <w:rPr>
            <w:rStyle w:val="Hyperlink"/>
            <w:noProof/>
          </w:rPr>
          <w:t>Figure 1.</w:t>
        </w:r>
        <w:r w:rsidR="00186442">
          <w:rPr>
            <w:rStyle w:val="Hyperlink"/>
            <w:noProof/>
          </w:rPr>
          <w:t>4</w:t>
        </w:r>
        <w:r w:rsidR="00B0037B" w:rsidRPr="00870C14">
          <w:rPr>
            <w:rStyle w:val="Hyperlink"/>
            <w:noProof/>
          </w:rPr>
          <w:t xml:space="preserve"> – A list of common antibiotics prescribed to treat CDI.</w:t>
        </w:r>
        <w:r w:rsidR="00B0037B">
          <w:rPr>
            <w:noProof/>
            <w:webHidden/>
          </w:rPr>
          <w:tab/>
        </w:r>
        <w:r w:rsidR="00B0037B">
          <w:rPr>
            <w:noProof/>
            <w:webHidden/>
          </w:rPr>
          <w:fldChar w:fldCharType="begin"/>
        </w:r>
        <w:r w:rsidR="00B0037B">
          <w:rPr>
            <w:noProof/>
            <w:webHidden/>
          </w:rPr>
          <w:instrText xml:space="preserve"> PAGEREF _Toc5807397 \h </w:instrText>
        </w:r>
        <w:r w:rsidR="00B0037B">
          <w:rPr>
            <w:noProof/>
            <w:webHidden/>
          </w:rPr>
        </w:r>
        <w:r w:rsidR="00B0037B">
          <w:rPr>
            <w:noProof/>
            <w:webHidden/>
          </w:rPr>
          <w:fldChar w:fldCharType="separate"/>
        </w:r>
        <w:r w:rsidR="000A1546">
          <w:rPr>
            <w:noProof/>
            <w:webHidden/>
          </w:rPr>
          <w:t>29</w:t>
        </w:r>
        <w:r w:rsidR="00B0037B">
          <w:rPr>
            <w:noProof/>
            <w:webHidden/>
          </w:rPr>
          <w:fldChar w:fldCharType="end"/>
        </w:r>
      </w:hyperlink>
    </w:p>
    <w:p w14:paraId="62ACFAB4" w14:textId="799CE8C9" w:rsidR="00B0037B" w:rsidRPr="008D43DB" w:rsidRDefault="00152AAE">
      <w:pPr>
        <w:pStyle w:val="TableofFigures"/>
        <w:tabs>
          <w:tab w:val="right" w:leader="dot" w:pos="8486"/>
        </w:tabs>
        <w:rPr>
          <w:rFonts w:eastAsia="SimSun"/>
          <w:noProof/>
          <w:lang w:bidi="ar-SA"/>
        </w:rPr>
      </w:pPr>
      <w:hyperlink w:anchor="_Toc5807398" w:history="1">
        <w:r w:rsidR="00B0037B" w:rsidRPr="00870C14">
          <w:rPr>
            <w:rStyle w:val="Hyperlink"/>
            <w:noProof/>
          </w:rPr>
          <w:t>Figure 1.</w:t>
        </w:r>
        <w:r w:rsidR="00186442">
          <w:rPr>
            <w:rStyle w:val="Hyperlink"/>
            <w:noProof/>
          </w:rPr>
          <w:t>5</w:t>
        </w:r>
        <w:r w:rsidR="00B0037B" w:rsidRPr="00870C14">
          <w:rPr>
            <w:rStyle w:val="Hyperlink"/>
            <w:noProof/>
          </w:rPr>
          <w:t xml:space="preserve"> – Structural overview of ClpP and cochaperone mediated proteolysis.</w:t>
        </w:r>
        <w:r w:rsidR="00B0037B">
          <w:rPr>
            <w:noProof/>
            <w:webHidden/>
          </w:rPr>
          <w:tab/>
        </w:r>
        <w:r w:rsidR="00B0037B">
          <w:rPr>
            <w:noProof/>
            <w:webHidden/>
          </w:rPr>
          <w:fldChar w:fldCharType="begin"/>
        </w:r>
        <w:r w:rsidR="00B0037B">
          <w:rPr>
            <w:noProof/>
            <w:webHidden/>
          </w:rPr>
          <w:instrText xml:space="preserve"> PAGEREF _Toc5807398 \h </w:instrText>
        </w:r>
        <w:r w:rsidR="00B0037B">
          <w:rPr>
            <w:noProof/>
            <w:webHidden/>
          </w:rPr>
        </w:r>
        <w:r w:rsidR="00B0037B">
          <w:rPr>
            <w:noProof/>
            <w:webHidden/>
          </w:rPr>
          <w:fldChar w:fldCharType="separate"/>
        </w:r>
        <w:r w:rsidR="000A1546">
          <w:rPr>
            <w:noProof/>
            <w:webHidden/>
          </w:rPr>
          <w:t>31</w:t>
        </w:r>
        <w:r w:rsidR="00B0037B">
          <w:rPr>
            <w:noProof/>
            <w:webHidden/>
          </w:rPr>
          <w:fldChar w:fldCharType="end"/>
        </w:r>
      </w:hyperlink>
    </w:p>
    <w:p w14:paraId="211AB75D" w14:textId="028AFEE4" w:rsidR="00B0037B" w:rsidRPr="008D43DB" w:rsidRDefault="00152AAE">
      <w:pPr>
        <w:pStyle w:val="TableofFigures"/>
        <w:tabs>
          <w:tab w:val="right" w:leader="dot" w:pos="8486"/>
        </w:tabs>
        <w:rPr>
          <w:rFonts w:eastAsia="SimSun"/>
          <w:noProof/>
          <w:lang w:bidi="ar-SA"/>
        </w:rPr>
      </w:pPr>
      <w:hyperlink w:anchor="_Toc5807399" w:history="1">
        <w:r w:rsidR="00B0037B" w:rsidRPr="00870C14">
          <w:rPr>
            <w:rStyle w:val="Hyperlink"/>
            <w:noProof/>
          </w:rPr>
          <w:t xml:space="preserve">Figure </w:t>
        </w:r>
        <w:r w:rsidR="00B0037B">
          <w:rPr>
            <w:rStyle w:val="Hyperlink"/>
            <w:noProof/>
          </w:rPr>
          <w:t>2.1</w:t>
        </w:r>
        <w:r w:rsidR="000A1546" w:rsidRPr="000A1546">
          <w:rPr>
            <w:b/>
          </w:rPr>
          <w:t xml:space="preserve"> </w:t>
        </w:r>
        <w:r w:rsidR="000A1546" w:rsidRPr="000A1546">
          <w:t>Composition and behavior of reported multi-ClpP systems</w:t>
        </w:r>
        <w:r w:rsidR="00B0037B" w:rsidRPr="00870C14">
          <w:rPr>
            <w:rStyle w:val="Hyperlink"/>
            <w:noProof/>
          </w:rPr>
          <w:t>.</w:t>
        </w:r>
        <w:r w:rsidR="00B0037B">
          <w:rPr>
            <w:noProof/>
            <w:webHidden/>
          </w:rPr>
          <w:tab/>
        </w:r>
        <w:r w:rsidR="00B0037B">
          <w:rPr>
            <w:noProof/>
            <w:webHidden/>
          </w:rPr>
          <w:fldChar w:fldCharType="begin"/>
        </w:r>
        <w:r w:rsidR="00B0037B">
          <w:rPr>
            <w:noProof/>
            <w:webHidden/>
          </w:rPr>
          <w:instrText xml:space="preserve"> PAGEREF _Toc5807399 \h </w:instrText>
        </w:r>
        <w:r w:rsidR="00B0037B">
          <w:rPr>
            <w:noProof/>
            <w:webHidden/>
          </w:rPr>
        </w:r>
        <w:r w:rsidR="00B0037B">
          <w:rPr>
            <w:noProof/>
            <w:webHidden/>
          </w:rPr>
          <w:fldChar w:fldCharType="separate"/>
        </w:r>
        <w:r w:rsidR="000A1546">
          <w:rPr>
            <w:noProof/>
            <w:webHidden/>
          </w:rPr>
          <w:t>55</w:t>
        </w:r>
        <w:r w:rsidR="00B0037B">
          <w:rPr>
            <w:noProof/>
            <w:webHidden/>
          </w:rPr>
          <w:fldChar w:fldCharType="end"/>
        </w:r>
      </w:hyperlink>
    </w:p>
    <w:p w14:paraId="18F93AD0" w14:textId="2CCE6750" w:rsidR="00B0037B" w:rsidRPr="008D43DB" w:rsidRDefault="00152AAE">
      <w:pPr>
        <w:pStyle w:val="TableofFigures"/>
        <w:tabs>
          <w:tab w:val="right" w:leader="dot" w:pos="8486"/>
        </w:tabs>
        <w:rPr>
          <w:rFonts w:eastAsia="SimSun"/>
          <w:noProof/>
          <w:lang w:bidi="ar-SA"/>
        </w:rPr>
      </w:pPr>
      <w:hyperlink w:anchor="_Toc5807400" w:history="1">
        <w:r w:rsidR="00B0037B" w:rsidRPr="00870C14">
          <w:rPr>
            <w:rStyle w:val="Hyperlink"/>
            <w:noProof/>
          </w:rPr>
          <w:t xml:space="preserve">Figure </w:t>
        </w:r>
        <w:r w:rsidR="00B0037B">
          <w:rPr>
            <w:rStyle w:val="Hyperlink"/>
            <w:noProof/>
          </w:rPr>
          <w:t>2.2</w:t>
        </w:r>
        <w:r w:rsidR="00B0037B" w:rsidRPr="00870C14">
          <w:rPr>
            <w:rStyle w:val="Hyperlink"/>
            <w:noProof/>
          </w:rPr>
          <w:t xml:space="preserve"> </w:t>
        </w:r>
        <w:r w:rsidR="000A1546" w:rsidRPr="000A1546">
          <w:rPr>
            <w:color w:val="000000"/>
          </w:rPr>
          <w:t>Relative quantification of </w:t>
        </w:r>
        <w:r w:rsidR="000A1546" w:rsidRPr="000A1546">
          <w:rPr>
            <w:i/>
            <w:iCs/>
            <w:color w:val="000000"/>
          </w:rPr>
          <w:t>clpP1 </w:t>
        </w:r>
        <w:r w:rsidR="000A1546" w:rsidRPr="000A1546">
          <w:rPr>
            <w:color w:val="000000"/>
          </w:rPr>
          <w:t>and </w:t>
        </w:r>
        <w:r w:rsidR="000A1546" w:rsidRPr="000A1546">
          <w:rPr>
            <w:i/>
            <w:iCs/>
            <w:color w:val="000000"/>
          </w:rPr>
          <w:t>clpP2 </w:t>
        </w:r>
        <w:r w:rsidR="000A1546" w:rsidRPr="000A1546">
          <w:rPr>
            <w:iCs/>
            <w:color w:val="000000"/>
          </w:rPr>
          <w:t xml:space="preserve">mRNA expression </w:t>
        </w:r>
        <w:r w:rsidR="000A1546" w:rsidRPr="000A1546">
          <w:rPr>
            <w:color w:val="000000"/>
          </w:rPr>
          <w:t>during exponential and stationary growth phases in BHIS broth</w:t>
        </w:r>
        <w:r w:rsidR="00B0037B">
          <w:rPr>
            <w:noProof/>
            <w:webHidden/>
          </w:rPr>
          <w:tab/>
        </w:r>
        <w:r w:rsidR="000A1546">
          <w:rPr>
            <w:noProof/>
            <w:webHidden/>
          </w:rPr>
          <w:t>59</w:t>
        </w:r>
      </w:hyperlink>
    </w:p>
    <w:p w14:paraId="2C51F0BD" w14:textId="7DA0415B" w:rsidR="00B0037B" w:rsidRPr="008D43DB" w:rsidRDefault="00152AAE">
      <w:pPr>
        <w:pStyle w:val="TableofFigures"/>
        <w:tabs>
          <w:tab w:val="right" w:leader="dot" w:pos="8486"/>
        </w:tabs>
        <w:rPr>
          <w:rFonts w:eastAsia="SimSun"/>
          <w:noProof/>
          <w:lang w:bidi="ar-SA"/>
        </w:rPr>
      </w:pPr>
      <w:hyperlink w:anchor="_Toc5807401" w:history="1">
        <w:r w:rsidR="00B0037B" w:rsidRPr="00870C14">
          <w:rPr>
            <w:rStyle w:val="Hyperlink"/>
            <w:noProof/>
          </w:rPr>
          <w:t xml:space="preserve">Figure </w:t>
        </w:r>
        <w:r w:rsidR="00B0037B">
          <w:rPr>
            <w:rStyle w:val="Hyperlink"/>
            <w:noProof/>
          </w:rPr>
          <w:t>2.3</w:t>
        </w:r>
        <w:r w:rsidR="00B0037B" w:rsidRPr="00870C14">
          <w:rPr>
            <w:rStyle w:val="Hyperlink"/>
            <w:noProof/>
          </w:rPr>
          <w:t xml:space="preserve"> </w:t>
        </w:r>
        <w:r w:rsidR="000A1546" w:rsidRPr="006818EE">
          <w:t xml:space="preserve">Primary sequence alignment of </w:t>
        </w:r>
        <w:r w:rsidR="000A1546" w:rsidRPr="00AB3480">
          <w:rPr>
            <w:i/>
          </w:rPr>
          <w:t>C. difficile</w:t>
        </w:r>
        <w:r w:rsidR="000A1546" w:rsidRPr="006818EE">
          <w:rPr>
            <w:i/>
          </w:rPr>
          <w:t xml:space="preserve"> </w:t>
        </w:r>
        <w:r w:rsidR="000A1546" w:rsidRPr="006818EE">
          <w:t>ClpP isoforms (</w:t>
        </w:r>
        <w:r w:rsidR="000A1546" w:rsidRPr="006818EE">
          <w:rPr>
            <w:i/>
          </w:rPr>
          <w:t>Cd</w:t>
        </w:r>
        <w:r w:rsidR="000A1546" w:rsidRPr="006818EE">
          <w:t xml:space="preserve">ClpP1 and </w:t>
        </w:r>
        <w:r w:rsidR="000A1546" w:rsidRPr="006818EE">
          <w:rPr>
            <w:i/>
          </w:rPr>
          <w:t>Cd</w:t>
        </w:r>
        <w:r w:rsidR="000A1546" w:rsidRPr="006818EE">
          <w:t xml:space="preserve">ClpP2) and </w:t>
        </w:r>
        <w:r w:rsidR="000A1546" w:rsidRPr="006818EE">
          <w:rPr>
            <w:i/>
          </w:rPr>
          <w:t xml:space="preserve">Bacillus subtilis </w:t>
        </w:r>
        <w:r w:rsidR="000A1546" w:rsidRPr="006818EE">
          <w:t>ClpP (</w:t>
        </w:r>
        <w:r w:rsidR="000A1546" w:rsidRPr="006818EE">
          <w:rPr>
            <w:i/>
          </w:rPr>
          <w:t>Bs</w:t>
        </w:r>
        <w:r w:rsidR="000A1546" w:rsidRPr="006818EE">
          <w:t>ClpP).</w:t>
        </w:r>
        <w:r w:rsidR="00B0037B">
          <w:rPr>
            <w:noProof/>
            <w:webHidden/>
          </w:rPr>
          <w:tab/>
        </w:r>
        <w:r w:rsidR="000A1546">
          <w:rPr>
            <w:noProof/>
            <w:webHidden/>
          </w:rPr>
          <w:t>60</w:t>
        </w:r>
      </w:hyperlink>
    </w:p>
    <w:p w14:paraId="5E8D5ED2" w14:textId="1EE532FE" w:rsidR="00B0037B" w:rsidRPr="008D43DB" w:rsidRDefault="00152AAE">
      <w:pPr>
        <w:pStyle w:val="TableofFigures"/>
        <w:tabs>
          <w:tab w:val="right" w:leader="dot" w:pos="8486"/>
        </w:tabs>
        <w:rPr>
          <w:rFonts w:eastAsia="SimSun"/>
          <w:noProof/>
          <w:lang w:bidi="ar-SA"/>
        </w:rPr>
      </w:pPr>
      <w:hyperlink w:anchor="_Toc5807402" w:history="1">
        <w:r w:rsidR="00B0037B" w:rsidRPr="00870C14">
          <w:rPr>
            <w:rStyle w:val="Hyperlink"/>
            <w:noProof/>
          </w:rPr>
          <w:t xml:space="preserve">Figure </w:t>
        </w:r>
        <w:r w:rsidR="00B0037B">
          <w:rPr>
            <w:rStyle w:val="Hyperlink"/>
            <w:noProof/>
          </w:rPr>
          <w:t>2.4</w:t>
        </w:r>
        <w:r w:rsidR="00B0037B" w:rsidRPr="00870C14">
          <w:rPr>
            <w:rStyle w:val="Hyperlink"/>
            <w:noProof/>
          </w:rPr>
          <w:t xml:space="preserve"> </w:t>
        </w:r>
        <w:r w:rsidR="000A1546" w:rsidRPr="006818EE">
          <w:t>Tetradecameric assembly and thermal stability of ClpP1 and ClpP2 homomeric complexes</w:t>
        </w:r>
        <w:r w:rsidR="00B0037B" w:rsidRPr="00870C14">
          <w:rPr>
            <w:rStyle w:val="Hyperlink"/>
            <w:noProof/>
          </w:rPr>
          <w:t>.</w:t>
        </w:r>
        <w:r w:rsidR="00B0037B">
          <w:rPr>
            <w:noProof/>
            <w:webHidden/>
          </w:rPr>
          <w:tab/>
        </w:r>
        <w:r w:rsidR="005B655A">
          <w:rPr>
            <w:noProof/>
            <w:webHidden/>
          </w:rPr>
          <w:t>62</w:t>
        </w:r>
      </w:hyperlink>
    </w:p>
    <w:p w14:paraId="707B8829" w14:textId="7421E71D" w:rsidR="00B0037B" w:rsidRPr="008D43DB" w:rsidRDefault="00152AAE">
      <w:pPr>
        <w:pStyle w:val="TableofFigures"/>
        <w:tabs>
          <w:tab w:val="right" w:leader="dot" w:pos="8486"/>
        </w:tabs>
        <w:rPr>
          <w:rFonts w:eastAsia="SimSun"/>
          <w:noProof/>
          <w:lang w:bidi="ar-SA"/>
        </w:rPr>
      </w:pPr>
      <w:hyperlink w:anchor="_Toc5807403" w:history="1">
        <w:r w:rsidR="00B0037B" w:rsidRPr="00870C14">
          <w:rPr>
            <w:rStyle w:val="Hyperlink"/>
            <w:noProof/>
          </w:rPr>
          <w:t xml:space="preserve">Figure </w:t>
        </w:r>
        <w:r w:rsidR="00B0037B">
          <w:rPr>
            <w:rStyle w:val="Hyperlink"/>
            <w:noProof/>
          </w:rPr>
          <w:t>2.5</w:t>
        </w:r>
        <w:r w:rsidR="00B0037B" w:rsidRPr="00870C14">
          <w:rPr>
            <w:rStyle w:val="Hyperlink"/>
            <w:noProof/>
          </w:rPr>
          <w:t xml:space="preserve"> </w:t>
        </w:r>
        <w:r w:rsidR="000A1546" w:rsidRPr="006818EE">
          <w:t>Peptidolytic activity of ClpP1 and ClpP2</w:t>
        </w:r>
        <w:r w:rsidR="00B0037B">
          <w:rPr>
            <w:noProof/>
            <w:webHidden/>
          </w:rPr>
          <w:tab/>
        </w:r>
        <w:r w:rsidR="005B655A">
          <w:rPr>
            <w:noProof/>
            <w:webHidden/>
          </w:rPr>
          <w:t>65</w:t>
        </w:r>
      </w:hyperlink>
    </w:p>
    <w:p w14:paraId="4E237FFC" w14:textId="24832083" w:rsidR="00B0037B" w:rsidRDefault="00152AAE">
      <w:pPr>
        <w:pStyle w:val="TableofFigures"/>
        <w:tabs>
          <w:tab w:val="right" w:leader="dot" w:pos="8486"/>
        </w:tabs>
        <w:rPr>
          <w:noProof/>
        </w:rPr>
      </w:pPr>
      <w:hyperlink w:anchor="_Toc5807404" w:history="1">
        <w:r w:rsidR="00B0037B" w:rsidRPr="00870C14">
          <w:rPr>
            <w:rStyle w:val="Hyperlink"/>
            <w:noProof/>
          </w:rPr>
          <w:t xml:space="preserve">Figure </w:t>
        </w:r>
        <w:r w:rsidR="00B0037B">
          <w:rPr>
            <w:rStyle w:val="Hyperlink"/>
            <w:noProof/>
          </w:rPr>
          <w:t>2.6</w:t>
        </w:r>
        <w:r w:rsidR="00B0037B" w:rsidRPr="00870C14">
          <w:rPr>
            <w:rStyle w:val="Hyperlink"/>
            <w:noProof/>
          </w:rPr>
          <w:t xml:space="preserve"> </w:t>
        </w:r>
        <w:r w:rsidR="000A1546" w:rsidRPr="006818EE">
          <w:t>ClpXP mediated degradation of ssrA-GFP and ClpP induced reduction in ATP hydrolysis</w:t>
        </w:r>
        <w:r w:rsidR="00B0037B">
          <w:rPr>
            <w:noProof/>
            <w:webHidden/>
          </w:rPr>
          <w:tab/>
        </w:r>
        <w:r w:rsidR="005B655A">
          <w:rPr>
            <w:noProof/>
            <w:webHidden/>
          </w:rPr>
          <w:t>67</w:t>
        </w:r>
      </w:hyperlink>
    </w:p>
    <w:p w14:paraId="345550CD" w14:textId="7A212013" w:rsidR="004F08F0" w:rsidRDefault="004F08F0" w:rsidP="004F08F0">
      <w:pPr>
        <w:jc w:val="both"/>
        <w:rPr>
          <w:noProof/>
          <w:u w:val="dotted"/>
        </w:rPr>
      </w:pPr>
      <w:r>
        <w:rPr>
          <w:rFonts w:eastAsia="SimSun"/>
          <w:noProof/>
        </w:rPr>
        <w:t xml:space="preserve">Figure 2.7 </w:t>
      </w:r>
      <w:r w:rsidRPr="006818EE">
        <w:rPr>
          <w:noProof/>
        </w:rPr>
        <w:t>Susceptibility of ClpP1 and ClpP2 to ADEP activation</w:t>
      </w:r>
      <w:r w:rsidR="000A1546">
        <w:rPr>
          <w:noProof/>
        </w:rPr>
        <w:t xml:space="preserve">................................ </w:t>
      </w:r>
      <w:r w:rsidR="005B655A">
        <w:rPr>
          <w:noProof/>
        </w:rPr>
        <w:t>69</w:t>
      </w:r>
    </w:p>
    <w:p w14:paraId="4963C128" w14:textId="365B6D71" w:rsidR="004F08F0" w:rsidRPr="004F08F0" w:rsidRDefault="004F08F0" w:rsidP="004F08F0">
      <w:pPr>
        <w:jc w:val="both"/>
        <w:rPr>
          <w:rFonts w:eastAsia="SimSun"/>
          <w:noProof/>
          <w:u w:val="dotted"/>
        </w:rPr>
      </w:pPr>
      <w:r w:rsidRPr="004F08F0">
        <w:rPr>
          <w:noProof/>
        </w:rPr>
        <w:t xml:space="preserve">Figure 2.8 </w:t>
      </w:r>
      <w:r w:rsidRPr="006818EE">
        <w:rPr>
          <w:noProof/>
        </w:rPr>
        <w:t xml:space="preserve">Depiction of the A) ClpP1 and B) ClpP2 ADEP binding pockets based on homology modeling with </w:t>
      </w:r>
      <w:r w:rsidRPr="006818EE">
        <w:rPr>
          <w:i/>
          <w:noProof/>
        </w:rPr>
        <w:t xml:space="preserve">Bacillus subtilis </w:t>
      </w:r>
      <w:r w:rsidRPr="006818EE">
        <w:rPr>
          <w:noProof/>
        </w:rPr>
        <w:t>ClpP</w:t>
      </w:r>
      <w:r w:rsidR="000A1546">
        <w:rPr>
          <w:noProof/>
        </w:rPr>
        <w:t>.............................................................70</w:t>
      </w:r>
    </w:p>
    <w:p w14:paraId="42F1C063" w14:textId="448081D3" w:rsidR="00B0037B" w:rsidRPr="008D43DB" w:rsidRDefault="00152AAE">
      <w:pPr>
        <w:pStyle w:val="TableofFigures"/>
        <w:tabs>
          <w:tab w:val="right" w:leader="dot" w:pos="8486"/>
        </w:tabs>
        <w:rPr>
          <w:rFonts w:eastAsia="SimSun"/>
          <w:noProof/>
          <w:lang w:bidi="ar-SA"/>
        </w:rPr>
      </w:pPr>
      <w:hyperlink w:anchor="_Toc5807405" w:history="1">
        <w:r w:rsidR="00B0037B" w:rsidRPr="00870C14">
          <w:rPr>
            <w:rStyle w:val="Hyperlink"/>
            <w:noProof/>
          </w:rPr>
          <w:t xml:space="preserve">Figure </w:t>
        </w:r>
        <w:r w:rsidR="00B0037B">
          <w:rPr>
            <w:rStyle w:val="Hyperlink"/>
            <w:noProof/>
          </w:rPr>
          <w:t>3.1</w:t>
        </w:r>
        <w:r w:rsidR="00B0037B" w:rsidRPr="008D43DB">
          <w:rPr>
            <w:rStyle w:val="Hyperlink"/>
            <w:noProof/>
          </w:rPr>
          <w:t xml:space="preserve"> Growth profiles for </w:t>
        </w:r>
        <w:r w:rsidR="00B0037B" w:rsidRPr="008D43DB">
          <w:rPr>
            <w:rStyle w:val="Hyperlink"/>
            <w:i/>
            <w:noProof/>
          </w:rPr>
          <w:t xml:space="preserve">clpP </w:t>
        </w:r>
        <w:r w:rsidR="00B0037B" w:rsidRPr="008D43DB">
          <w:rPr>
            <w:rStyle w:val="Hyperlink"/>
            <w:noProof/>
          </w:rPr>
          <w:t>mutants and cytotoxicity TcdB titer assay</w:t>
        </w:r>
        <w:r w:rsidR="00B0037B">
          <w:rPr>
            <w:noProof/>
            <w:webHidden/>
          </w:rPr>
          <w:tab/>
        </w:r>
        <w:r w:rsidR="00B0037B">
          <w:rPr>
            <w:noProof/>
            <w:webHidden/>
          </w:rPr>
          <w:fldChar w:fldCharType="begin"/>
        </w:r>
        <w:r w:rsidR="00B0037B">
          <w:rPr>
            <w:noProof/>
            <w:webHidden/>
          </w:rPr>
          <w:instrText xml:space="preserve"> PAGEREF _Toc5807405 \h </w:instrText>
        </w:r>
        <w:r w:rsidR="00B0037B">
          <w:rPr>
            <w:noProof/>
            <w:webHidden/>
          </w:rPr>
        </w:r>
        <w:r w:rsidR="00B0037B">
          <w:rPr>
            <w:noProof/>
            <w:webHidden/>
          </w:rPr>
          <w:fldChar w:fldCharType="separate"/>
        </w:r>
        <w:r w:rsidR="000A1546">
          <w:rPr>
            <w:noProof/>
            <w:webHidden/>
          </w:rPr>
          <w:t>90</w:t>
        </w:r>
        <w:r w:rsidR="00B0037B">
          <w:rPr>
            <w:noProof/>
            <w:webHidden/>
          </w:rPr>
          <w:fldChar w:fldCharType="end"/>
        </w:r>
      </w:hyperlink>
    </w:p>
    <w:p w14:paraId="4F6E67A3" w14:textId="7AACBAC7" w:rsidR="00B0037B" w:rsidRPr="008D43DB" w:rsidRDefault="00152AAE">
      <w:pPr>
        <w:pStyle w:val="TableofFigures"/>
        <w:tabs>
          <w:tab w:val="right" w:leader="dot" w:pos="8486"/>
        </w:tabs>
        <w:rPr>
          <w:rFonts w:eastAsia="SimSun"/>
          <w:noProof/>
          <w:lang w:bidi="ar-SA"/>
        </w:rPr>
      </w:pPr>
      <w:hyperlink w:anchor="_Toc5807406" w:history="1">
        <w:r w:rsidR="00B0037B" w:rsidRPr="00870C14">
          <w:rPr>
            <w:rStyle w:val="Hyperlink"/>
            <w:noProof/>
          </w:rPr>
          <w:t xml:space="preserve">Figure </w:t>
        </w:r>
        <w:r w:rsidR="00B0037B">
          <w:rPr>
            <w:rStyle w:val="Hyperlink"/>
            <w:noProof/>
          </w:rPr>
          <w:t>3.2</w:t>
        </w:r>
        <w:r w:rsidR="00B0037B" w:rsidRPr="00870C14">
          <w:rPr>
            <w:rStyle w:val="Hyperlink"/>
            <w:noProof/>
          </w:rPr>
          <w:t xml:space="preserve"> </w:t>
        </w:r>
        <w:r w:rsidR="00B0037B" w:rsidRPr="008D43DB">
          <w:rPr>
            <w:rStyle w:val="Hyperlink"/>
            <w:noProof/>
          </w:rPr>
          <w:t xml:space="preserve">Bright field microscopy and semi-quantitative analysis show significantly reduced sporulation in </w:t>
        </w:r>
        <w:r w:rsidR="00B0037B" w:rsidRPr="008D43DB">
          <w:rPr>
            <w:rStyle w:val="Hyperlink"/>
            <w:b/>
            <w:bCs/>
            <w:noProof/>
          </w:rPr>
          <w:sym w:font="Symbol" w:char="F044"/>
        </w:r>
        <w:r w:rsidR="00B0037B" w:rsidRPr="008D43DB">
          <w:rPr>
            <w:rStyle w:val="Hyperlink"/>
            <w:noProof/>
          </w:rPr>
          <w:t xml:space="preserve">P1 and </w:t>
        </w:r>
        <w:r w:rsidR="00B0037B" w:rsidRPr="008D43DB">
          <w:rPr>
            <w:rStyle w:val="Hyperlink"/>
            <w:b/>
            <w:bCs/>
            <w:noProof/>
          </w:rPr>
          <w:sym w:font="Symbol" w:char="F044"/>
        </w:r>
        <w:r w:rsidR="00B0037B" w:rsidRPr="008D43DB">
          <w:rPr>
            <w:rStyle w:val="Hyperlink"/>
            <w:noProof/>
          </w:rPr>
          <w:t>P2</w:t>
        </w:r>
        <w:r w:rsidR="00B0037B">
          <w:rPr>
            <w:noProof/>
            <w:webHidden/>
          </w:rPr>
          <w:tab/>
        </w:r>
        <w:r w:rsidR="00B0037B">
          <w:rPr>
            <w:noProof/>
            <w:webHidden/>
          </w:rPr>
          <w:fldChar w:fldCharType="begin"/>
        </w:r>
        <w:r w:rsidR="00B0037B">
          <w:rPr>
            <w:noProof/>
            <w:webHidden/>
          </w:rPr>
          <w:instrText xml:space="preserve"> PAGEREF _Toc5807406 \h </w:instrText>
        </w:r>
        <w:r w:rsidR="00B0037B">
          <w:rPr>
            <w:noProof/>
            <w:webHidden/>
          </w:rPr>
        </w:r>
        <w:r w:rsidR="00B0037B">
          <w:rPr>
            <w:noProof/>
            <w:webHidden/>
          </w:rPr>
          <w:fldChar w:fldCharType="separate"/>
        </w:r>
        <w:r w:rsidR="000A1546">
          <w:rPr>
            <w:noProof/>
            <w:webHidden/>
          </w:rPr>
          <w:t>92</w:t>
        </w:r>
        <w:r w:rsidR="00B0037B">
          <w:rPr>
            <w:noProof/>
            <w:webHidden/>
          </w:rPr>
          <w:fldChar w:fldCharType="end"/>
        </w:r>
      </w:hyperlink>
    </w:p>
    <w:p w14:paraId="598AB19A" w14:textId="733CFD1F" w:rsidR="00B0037B" w:rsidRPr="008D43DB" w:rsidRDefault="00152AAE">
      <w:pPr>
        <w:pStyle w:val="TableofFigures"/>
        <w:tabs>
          <w:tab w:val="right" w:leader="dot" w:pos="8486"/>
        </w:tabs>
        <w:rPr>
          <w:rFonts w:eastAsia="SimSun"/>
          <w:noProof/>
          <w:lang w:bidi="ar-SA"/>
        </w:rPr>
      </w:pPr>
      <w:hyperlink w:anchor="_Toc5807407" w:history="1">
        <w:r w:rsidR="00B0037B" w:rsidRPr="00870C14">
          <w:rPr>
            <w:rStyle w:val="Hyperlink"/>
            <w:noProof/>
          </w:rPr>
          <w:t xml:space="preserve">Figure </w:t>
        </w:r>
        <w:r w:rsidR="00B0037B">
          <w:rPr>
            <w:rStyle w:val="Hyperlink"/>
            <w:noProof/>
          </w:rPr>
          <w:t>3.3</w:t>
        </w:r>
        <w:r w:rsidR="00B0037B" w:rsidRPr="00870C14">
          <w:rPr>
            <w:rStyle w:val="Hyperlink"/>
            <w:noProof/>
          </w:rPr>
          <w:t xml:space="preserve"> </w:t>
        </w:r>
        <w:r w:rsidR="00B0037B" w:rsidRPr="008D43DB">
          <w:rPr>
            <w:rStyle w:val="Hyperlink"/>
            <w:noProof/>
          </w:rPr>
          <w:t xml:space="preserve">Sporulation efficiency and rate aberrations in </w:t>
        </w:r>
        <w:r w:rsidR="00B0037B" w:rsidRPr="008D43DB">
          <w:rPr>
            <w:rStyle w:val="Hyperlink"/>
            <w:i/>
            <w:noProof/>
          </w:rPr>
          <w:t xml:space="preserve">clpP </w:t>
        </w:r>
        <w:r w:rsidR="00B0037B" w:rsidRPr="008D43DB">
          <w:rPr>
            <w:rStyle w:val="Hyperlink"/>
            <w:noProof/>
          </w:rPr>
          <w:t>mutants</w:t>
        </w:r>
        <w:r w:rsidR="00B0037B">
          <w:rPr>
            <w:noProof/>
            <w:webHidden/>
          </w:rPr>
          <w:tab/>
        </w:r>
        <w:r w:rsidR="00B0037B">
          <w:rPr>
            <w:noProof/>
            <w:webHidden/>
          </w:rPr>
          <w:fldChar w:fldCharType="begin"/>
        </w:r>
        <w:r w:rsidR="00B0037B">
          <w:rPr>
            <w:noProof/>
            <w:webHidden/>
          </w:rPr>
          <w:instrText xml:space="preserve"> PAGEREF _Toc5807407 \h </w:instrText>
        </w:r>
        <w:r w:rsidR="00B0037B">
          <w:rPr>
            <w:noProof/>
            <w:webHidden/>
          </w:rPr>
        </w:r>
        <w:r w:rsidR="00B0037B">
          <w:rPr>
            <w:noProof/>
            <w:webHidden/>
          </w:rPr>
          <w:fldChar w:fldCharType="separate"/>
        </w:r>
        <w:r w:rsidR="000A1546">
          <w:rPr>
            <w:noProof/>
            <w:webHidden/>
          </w:rPr>
          <w:t>94</w:t>
        </w:r>
        <w:r w:rsidR="00B0037B">
          <w:rPr>
            <w:noProof/>
            <w:webHidden/>
          </w:rPr>
          <w:fldChar w:fldCharType="end"/>
        </w:r>
      </w:hyperlink>
    </w:p>
    <w:p w14:paraId="38CC5589" w14:textId="5471D463" w:rsidR="00B0037B" w:rsidRPr="008D43DB" w:rsidRDefault="00152AAE">
      <w:pPr>
        <w:pStyle w:val="TableofFigures"/>
        <w:tabs>
          <w:tab w:val="right" w:leader="dot" w:pos="8486"/>
        </w:tabs>
        <w:rPr>
          <w:rFonts w:eastAsia="SimSun"/>
          <w:noProof/>
          <w:lang w:bidi="ar-SA"/>
        </w:rPr>
      </w:pPr>
      <w:hyperlink w:anchor="_Toc5807408" w:history="1">
        <w:r w:rsidR="00B0037B" w:rsidRPr="00870C14">
          <w:rPr>
            <w:rStyle w:val="Hyperlink"/>
            <w:noProof/>
          </w:rPr>
          <w:t xml:space="preserve">Figure </w:t>
        </w:r>
        <w:r w:rsidR="00B0037B">
          <w:rPr>
            <w:rStyle w:val="Hyperlink"/>
            <w:noProof/>
          </w:rPr>
          <w:t>3.4</w:t>
        </w:r>
        <w:r w:rsidR="00B0037B" w:rsidRPr="00870C14">
          <w:rPr>
            <w:rStyle w:val="Hyperlink"/>
            <w:noProof/>
          </w:rPr>
          <w:t xml:space="preserve"> </w:t>
        </w:r>
        <w:r w:rsidR="00B0037B" w:rsidRPr="008D43DB">
          <w:rPr>
            <w:rStyle w:val="Hyperlink"/>
            <w:noProof/>
          </w:rPr>
          <w:t xml:space="preserve">Sporulation in </w:t>
        </w:r>
        <w:r w:rsidR="00AB3480" w:rsidRPr="00AB3480">
          <w:rPr>
            <w:rStyle w:val="Hyperlink"/>
            <w:i/>
            <w:noProof/>
          </w:rPr>
          <w:t>C. difficile</w:t>
        </w:r>
        <w:r w:rsidR="00B0037B">
          <w:rPr>
            <w:noProof/>
            <w:webHidden/>
          </w:rPr>
          <w:tab/>
        </w:r>
        <w:r w:rsidR="00B0037B">
          <w:rPr>
            <w:noProof/>
            <w:webHidden/>
          </w:rPr>
          <w:fldChar w:fldCharType="begin"/>
        </w:r>
        <w:r w:rsidR="00B0037B">
          <w:rPr>
            <w:noProof/>
            <w:webHidden/>
          </w:rPr>
          <w:instrText xml:space="preserve"> PAGEREF _Toc5807408 \h </w:instrText>
        </w:r>
        <w:r w:rsidR="00B0037B">
          <w:rPr>
            <w:noProof/>
            <w:webHidden/>
          </w:rPr>
        </w:r>
        <w:r w:rsidR="00B0037B">
          <w:rPr>
            <w:noProof/>
            <w:webHidden/>
          </w:rPr>
          <w:fldChar w:fldCharType="separate"/>
        </w:r>
        <w:r w:rsidR="000A1546">
          <w:rPr>
            <w:noProof/>
            <w:webHidden/>
          </w:rPr>
          <w:t>96</w:t>
        </w:r>
        <w:r w:rsidR="00B0037B">
          <w:rPr>
            <w:noProof/>
            <w:webHidden/>
          </w:rPr>
          <w:fldChar w:fldCharType="end"/>
        </w:r>
      </w:hyperlink>
    </w:p>
    <w:p w14:paraId="11FA3486" w14:textId="13FACD4B" w:rsidR="00B0037B" w:rsidRPr="008D43DB" w:rsidRDefault="00152AAE">
      <w:pPr>
        <w:pStyle w:val="TableofFigures"/>
        <w:tabs>
          <w:tab w:val="right" w:leader="dot" w:pos="8486"/>
        </w:tabs>
        <w:rPr>
          <w:rFonts w:eastAsia="SimSun"/>
          <w:noProof/>
          <w:lang w:bidi="ar-SA"/>
        </w:rPr>
      </w:pPr>
      <w:hyperlink w:anchor="_Toc5807409" w:history="1">
        <w:r w:rsidR="00B0037B" w:rsidRPr="00870C14">
          <w:rPr>
            <w:rStyle w:val="Hyperlink"/>
            <w:noProof/>
          </w:rPr>
          <w:t xml:space="preserve">Figure </w:t>
        </w:r>
        <w:r w:rsidR="00B0037B">
          <w:rPr>
            <w:rStyle w:val="Hyperlink"/>
            <w:noProof/>
          </w:rPr>
          <w:t>3.5</w:t>
        </w:r>
        <w:r w:rsidR="00B0037B" w:rsidRPr="00870C14">
          <w:rPr>
            <w:rStyle w:val="Hyperlink"/>
            <w:noProof/>
          </w:rPr>
          <w:t xml:space="preserve"> </w:t>
        </w:r>
        <w:r w:rsidR="00B0037B" w:rsidRPr="008D43DB">
          <w:rPr>
            <w:rStyle w:val="Hyperlink"/>
            <w:noProof/>
          </w:rPr>
          <w:t>Forespore development in sporulating cultures imaged with fluorescent microscopy</w:t>
        </w:r>
        <w:r w:rsidR="00B0037B">
          <w:rPr>
            <w:noProof/>
            <w:webHidden/>
          </w:rPr>
          <w:tab/>
        </w:r>
        <w:r w:rsidR="00B0037B">
          <w:rPr>
            <w:noProof/>
            <w:webHidden/>
          </w:rPr>
          <w:fldChar w:fldCharType="begin"/>
        </w:r>
        <w:r w:rsidR="00B0037B">
          <w:rPr>
            <w:noProof/>
            <w:webHidden/>
          </w:rPr>
          <w:instrText xml:space="preserve"> PAGEREF _Toc5807409 \h </w:instrText>
        </w:r>
        <w:r w:rsidR="00B0037B">
          <w:rPr>
            <w:noProof/>
            <w:webHidden/>
          </w:rPr>
        </w:r>
        <w:r w:rsidR="00B0037B">
          <w:rPr>
            <w:noProof/>
            <w:webHidden/>
          </w:rPr>
          <w:fldChar w:fldCharType="separate"/>
        </w:r>
        <w:r w:rsidR="000A1546">
          <w:rPr>
            <w:noProof/>
            <w:webHidden/>
          </w:rPr>
          <w:t>97</w:t>
        </w:r>
        <w:r w:rsidR="00B0037B">
          <w:rPr>
            <w:noProof/>
            <w:webHidden/>
          </w:rPr>
          <w:fldChar w:fldCharType="end"/>
        </w:r>
      </w:hyperlink>
    </w:p>
    <w:p w14:paraId="46BDC4A8" w14:textId="4FA16EA4" w:rsidR="00B0037B" w:rsidRPr="008D43DB" w:rsidRDefault="00152AAE">
      <w:pPr>
        <w:pStyle w:val="TableofFigures"/>
        <w:tabs>
          <w:tab w:val="right" w:leader="dot" w:pos="8486"/>
        </w:tabs>
        <w:rPr>
          <w:rFonts w:eastAsia="SimSun"/>
          <w:noProof/>
          <w:lang w:bidi="ar-SA"/>
        </w:rPr>
      </w:pPr>
      <w:hyperlink w:anchor="_Toc5807410" w:history="1">
        <w:r w:rsidR="00B0037B" w:rsidRPr="00870C14">
          <w:rPr>
            <w:rStyle w:val="Hyperlink"/>
            <w:noProof/>
          </w:rPr>
          <w:t xml:space="preserve">Figure </w:t>
        </w:r>
        <w:r w:rsidR="00B0037B">
          <w:rPr>
            <w:rStyle w:val="Hyperlink"/>
            <w:noProof/>
          </w:rPr>
          <w:t>3.6</w:t>
        </w:r>
        <w:r w:rsidR="00B0037B" w:rsidRPr="00870C14">
          <w:rPr>
            <w:rStyle w:val="Hyperlink"/>
            <w:noProof/>
          </w:rPr>
          <w:t xml:space="preserve"> </w:t>
        </w:r>
        <w:r w:rsidR="00B0037B" w:rsidRPr="008D43DB">
          <w:rPr>
            <w:rStyle w:val="Hyperlink"/>
            <w:noProof/>
          </w:rPr>
          <w:t>Typical cellular morphology of each strain in sporulating cultures</w:t>
        </w:r>
        <w:r w:rsidR="00B0037B">
          <w:rPr>
            <w:noProof/>
            <w:webHidden/>
          </w:rPr>
          <w:tab/>
        </w:r>
        <w:r w:rsidR="00B0037B">
          <w:rPr>
            <w:noProof/>
            <w:webHidden/>
          </w:rPr>
          <w:fldChar w:fldCharType="begin"/>
        </w:r>
        <w:r w:rsidR="00B0037B">
          <w:rPr>
            <w:noProof/>
            <w:webHidden/>
          </w:rPr>
          <w:instrText xml:space="preserve"> PAGEREF _Toc5807410 \h </w:instrText>
        </w:r>
        <w:r w:rsidR="00B0037B">
          <w:rPr>
            <w:noProof/>
            <w:webHidden/>
          </w:rPr>
        </w:r>
        <w:r w:rsidR="00B0037B">
          <w:rPr>
            <w:noProof/>
            <w:webHidden/>
          </w:rPr>
          <w:fldChar w:fldCharType="separate"/>
        </w:r>
        <w:r w:rsidR="000A1546">
          <w:rPr>
            <w:noProof/>
            <w:webHidden/>
          </w:rPr>
          <w:t>99</w:t>
        </w:r>
        <w:r w:rsidR="00B0037B">
          <w:rPr>
            <w:noProof/>
            <w:webHidden/>
          </w:rPr>
          <w:fldChar w:fldCharType="end"/>
        </w:r>
      </w:hyperlink>
    </w:p>
    <w:p w14:paraId="792E41E9" w14:textId="4E095853" w:rsidR="00B0037B" w:rsidRPr="008D43DB" w:rsidRDefault="00152AAE">
      <w:pPr>
        <w:pStyle w:val="TableofFigures"/>
        <w:tabs>
          <w:tab w:val="right" w:leader="dot" w:pos="8486"/>
        </w:tabs>
        <w:rPr>
          <w:rFonts w:eastAsia="SimSun"/>
          <w:noProof/>
          <w:lang w:bidi="ar-SA"/>
        </w:rPr>
      </w:pPr>
      <w:hyperlink w:anchor="_Toc5807411" w:history="1">
        <w:r w:rsidR="00B0037B" w:rsidRPr="00870C14">
          <w:rPr>
            <w:rStyle w:val="Hyperlink"/>
            <w:noProof/>
          </w:rPr>
          <w:t xml:space="preserve">Figure </w:t>
        </w:r>
        <w:r w:rsidR="00B0037B">
          <w:rPr>
            <w:rStyle w:val="Hyperlink"/>
            <w:noProof/>
          </w:rPr>
          <w:t>3.7</w:t>
        </w:r>
        <w:r w:rsidR="00B0037B" w:rsidRPr="00870C14">
          <w:rPr>
            <w:rStyle w:val="Hyperlink"/>
            <w:noProof/>
          </w:rPr>
          <w:t xml:space="preserve"> </w:t>
        </w:r>
        <w:r w:rsidR="00B0037B" w:rsidRPr="008D43DB">
          <w:rPr>
            <w:rStyle w:val="Hyperlink"/>
            <w:noProof/>
          </w:rPr>
          <w:t xml:space="preserve">Representative TEM images of </w:t>
        </w:r>
        <w:r w:rsidR="00B0037B" w:rsidRPr="008D43DB">
          <w:rPr>
            <w:rStyle w:val="Hyperlink"/>
            <w:b/>
            <w:bCs/>
            <w:noProof/>
          </w:rPr>
          <w:sym w:font="Symbol" w:char="F044"/>
        </w:r>
        <w:r w:rsidR="00B0037B" w:rsidRPr="008D43DB">
          <w:rPr>
            <w:rStyle w:val="Hyperlink"/>
            <w:noProof/>
          </w:rPr>
          <w:t>P1 morphological abnormalities</w:t>
        </w:r>
        <w:r w:rsidR="00B0037B">
          <w:rPr>
            <w:noProof/>
            <w:webHidden/>
          </w:rPr>
          <w:tab/>
        </w:r>
        <w:r w:rsidR="00B0037B">
          <w:rPr>
            <w:noProof/>
            <w:webHidden/>
          </w:rPr>
          <w:fldChar w:fldCharType="begin"/>
        </w:r>
        <w:r w:rsidR="00B0037B">
          <w:rPr>
            <w:noProof/>
            <w:webHidden/>
          </w:rPr>
          <w:instrText xml:space="preserve"> PAGEREF _Toc5807411 \h </w:instrText>
        </w:r>
        <w:r w:rsidR="00B0037B">
          <w:rPr>
            <w:noProof/>
            <w:webHidden/>
          </w:rPr>
        </w:r>
        <w:r w:rsidR="00B0037B">
          <w:rPr>
            <w:noProof/>
            <w:webHidden/>
          </w:rPr>
          <w:fldChar w:fldCharType="separate"/>
        </w:r>
        <w:r w:rsidR="000A1546">
          <w:rPr>
            <w:noProof/>
            <w:webHidden/>
          </w:rPr>
          <w:t>100</w:t>
        </w:r>
        <w:r w:rsidR="00B0037B">
          <w:rPr>
            <w:noProof/>
            <w:webHidden/>
          </w:rPr>
          <w:fldChar w:fldCharType="end"/>
        </w:r>
      </w:hyperlink>
    </w:p>
    <w:p w14:paraId="7EA38286" w14:textId="07C5BC1B" w:rsidR="00B0037B" w:rsidRPr="008D43DB" w:rsidRDefault="00152AAE">
      <w:pPr>
        <w:pStyle w:val="TableofFigures"/>
        <w:tabs>
          <w:tab w:val="right" w:leader="dot" w:pos="8486"/>
        </w:tabs>
        <w:rPr>
          <w:rFonts w:eastAsia="SimSun"/>
          <w:noProof/>
          <w:lang w:bidi="ar-SA"/>
        </w:rPr>
      </w:pPr>
      <w:hyperlink w:anchor="_Toc5807412" w:history="1">
        <w:r w:rsidR="00B0037B" w:rsidRPr="00870C14">
          <w:rPr>
            <w:rStyle w:val="Hyperlink"/>
            <w:noProof/>
          </w:rPr>
          <w:t xml:space="preserve">Figure </w:t>
        </w:r>
        <w:r w:rsidR="00B0037B">
          <w:rPr>
            <w:rStyle w:val="Hyperlink"/>
            <w:noProof/>
          </w:rPr>
          <w:t>3.8</w:t>
        </w:r>
        <w:r w:rsidR="00B0037B" w:rsidRPr="00870C14">
          <w:rPr>
            <w:rStyle w:val="Hyperlink"/>
            <w:noProof/>
          </w:rPr>
          <w:t xml:space="preserve"> </w:t>
        </w:r>
        <w:r w:rsidR="00B0037B" w:rsidRPr="008D43DB">
          <w:rPr>
            <w:rStyle w:val="Hyperlink"/>
            <w:b/>
            <w:bCs/>
            <w:noProof/>
          </w:rPr>
          <w:sym w:font="Symbol" w:char="F044"/>
        </w:r>
        <w:r w:rsidR="00B0037B" w:rsidRPr="008D43DB">
          <w:rPr>
            <w:rStyle w:val="Hyperlink"/>
            <w:noProof/>
          </w:rPr>
          <w:t xml:space="preserve">P1 and </w:t>
        </w:r>
        <w:r w:rsidR="00B0037B" w:rsidRPr="008D43DB">
          <w:rPr>
            <w:rStyle w:val="Hyperlink"/>
            <w:b/>
            <w:bCs/>
            <w:noProof/>
          </w:rPr>
          <w:sym w:font="Symbol" w:char="F044"/>
        </w:r>
        <w:r w:rsidR="00B0037B" w:rsidRPr="008D43DB">
          <w:rPr>
            <w:rStyle w:val="Hyperlink"/>
            <w:noProof/>
          </w:rPr>
          <w:t xml:space="preserve">P2 produce mature spores, </w:t>
        </w:r>
        <w:r w:rsidR="00B0037B" w:rsidRPr="008D43DB">
          <w:rPr>
            <w:rStyle w:val="Hyperlink"/>
            <w:b/>
            <w:bCs/>
            <w:noProof/>
          </w:rPr>
          <w:sym w:font="Symbol" w:char="F044"/>
        </w:r>
        <w:r w:rsidR="00B0037B" w:rsidRPr="008D43DB">
          <w:rPr>
            <w:rStyle w:val="Hyperlink"/>
            <w:noProof/>
          </w:rPr>
          <w:t>P1P2 spores are immature</w:t>
        </w:r>
        <w:r w:rsidR="00B0037B">
          <w:rPr>
            <w:noProof/>
            <w:webHidden/>
          </w:rPr>
          <w:tab/>
        </w:r>
        <w:r w:rsidR="00B0037B">
          <w:rPr>
            <w:noProof/>
            <w:webHidden/>
          </w:rPr>
          <w:fldChar w:fldCharType="begin"/>
        </w:r>
        <w:r w:rsidR="00B0037B">
          <w:rPr>
            <w:noProof/>
            <w:webHidden/>
          </w:rPr>
          <w:instrText xml:space="preserve"> PAGEREF _Toc5807412 \h </w:instrText>
        </w:r>
        <w:r w:rsidR="00B0037B">
          <w:rPr>
            <w:noProof/>
            <w:webHidden/>
          </w:rPr>
        </w:r>
        <w:r w:rsidR="00B0037B">
          <w:rPr>
            <w:noProof/>
            <w:webHidden/>
          </w:rPr>
          <w:fldChar w:fldCharType="separate"/>
        </w:r>
        <w:r w:rsidR="000A1546">
          <w:rPr>
            <w:noProof/>
            <w:webHidden/>
          </w:rPr>
          <w:t>101</w:t>
        </w:r>
        <w:r w:rsidR="00B0037B">
          <w:rPr>
            <w:noProof/>
            <w:webHidden/>
          </w:rPr>
          <w:fldChar w:fldCharType="end"/>
        </w:r>
      </w:hyperlink>
    </w:p>
    <w:p w14:paraId="61D34AAF" w14:textId="446BDA06" w:rsidR="00B0037B" w:rsidRDefault="00152AAE">
      <w:pPr>
        <w:pStyle w:val="TableofFigures"/>
        <w:tabs>
          <w:tab w:val="right" w:leader="dot" w:pos="8486"/>
        </w:tabs>
        <w:rPr>
          <w:noProof/>
        </w:rPr>
      </w:pPr>
      <w:hyperlink w:anchor="_Toc5807413" w:history="1">
        <w:r w:rsidR="00B0037B" w:rsidRPr="00870C14">
          <w:rPr>
            <w:rStyle w:val="Hyperlink"/>
            <w:noProof/>
          </w:rPr>
          <w:t xml:space="preserve">Figure </w:t>
        </w:r>
        <w:r w:rsidR="00B0037B">
          <w:rPr>
            <w:rStyle w:val="Hyperlink"/>
            <w:noProof/>
          </w:rPr>
          <w:t>3.9</w:t>
        </w:r>
        <w:r w:rsidR="00B0037B" w:rsidRPr="00870C14">
          <w:rPr>
            <w:rStyle w:val="Hyperlink"/>
            <w:noProof/>
          </w:rPr>
          <w:t xml:space="preserve"> </w:t>
        </w:r>
        <w:r w:rsidR="00B0037B" w:rsidRPr="008D43DB">
          <w:rPr>
            <w:rStyle w:val="Hyperlink"/>
            <w:noProof/>
          </w:rPr>
          <w:t xml:space="preserve">Western blot of sigma-factors that control sporulation in </w:t>
        </w:r>
        <w:r w:rsidR="00AB3480" w:rsidRPr="00AB3480">
          <w:rPr>
            <w:rStyle w:val="Hyperlink"/>
            <w:i/>
            <w:noProof/>
          </w:rPr>
          <w:t>C. difficile</w:t>
        </w:r>
        <w:r w:rsidR="00B0037B">
          <w:rPr>
            <w:noProof/>
            <w:webHidden/>
          </w:rPr>
          <w:tab/>
        </w:r>
        <w:r w:rsidR="00B0037B">
          <w:rPr>
            <w:noProof/>
            <w:webHidden/>
          </w:rPr>
          <w:fldChar w:fldCharType="begin"/>
        </w:r>
        <w:r w:rsidR="00B0037B">
          <w:rPr>
            <w:noProof/>
            <w:webHidden/>
          </w:rPr>
          <w:instrText xml:space="preserve"> PAGEREF _Toc5807413 \h </w:instrText>
        </w:r>
        <w:r w:rsidR="00B0037B">
          <w:rPr>
            <w:noProof/>
            <w:webHidden/>
          </w:rPr>
        </w:r>
        <w:r w:rsidR="00B0037B">
          <w:rPr>
            <w:noProof/>
            <w:webHidden/>
          </w:rPr>
          <w:fldChar w:fldCharType="separate"/>
        </w:r>
        <w:r w:rsidR="000A1546">
          <w:rPr>
            <w:noProof/>
            <w:webHidden/>
          </w:rPr>
          <w:t>103</w:t>
        </w:r>
        <w:r w:rsidR="00B0037B">
          <w:rPr>
            <w:noProof/>
            <w:webHidden/>
          </w:rPr>
          <w:fldChar w:fldCharType="end"/>
        </w:r>
      </w:hyperlink>
    </w:p>
    <w:p w14:paraId="35D60BD5" w14:textId="70488286" w:rsidR="00DA676D" w:rsidRPr="00DA676D" w:rsidRDefault="00DA676D" w:rsidP="00DA676D">
      <w:pPr>
        <w:rPr>
          <w:rFonts w:eastAsia="SimSun"/>
          <w:bCs/>
          <w:noProof/>
        </w:rPr>
      </w:pPr>
      <w:r w:rsidRPr="00DA676D">
        <w:rPr>
          <w:rFonts w:eastAsia="SimSun"/>
          <w:bCs/>
          <w:noProof/>
        </w:rPr>
        <w:t>Figure 3.10 Sequence of sigma factor activations and sporulation processes</w:t>
      </w:r>
      <w:r>
        <w:rPr>
          <w:rFonts w:eastAsia="SimSun"/>
          <w:bCs/>
          <w:noProof/>
        </w:rPr>
        <w:t>.................99</w:t>
      </w:r>
    </w:p>
    <w:p w14:paraId="43EFFC91" w14:textId="6DBCDEBF" w:rsidR="00DA676D" w:rsidRPr="00DA676D" w:rsidRDefault="00DA676D" w:rsidP="00DA676D">
      <w:pPr>
        <w:rPr>
          <w:rFonts w:eastAsia="SimSun"/>
          <w:bCs/>
          <w:noProof/>
        </w:rPr>
      </w:pPr>
      <w:r w:rsidRPr="00DA676D">
        <w:rPr>
          <w:rFonts w:eastAsia="SimSun"/>
          <w:bCs/>
          <w:noProof/>
        </w:rPr>
        <w:t>Figure 3.11 Venn-diagram summary conclusion……………………………………</w:t>
      </w:r>
      <w:r>
        <w:rPr>
          <w:rFonts w:eastAsia="SimSun"/>
          <w:bCs/>
          <w:noProof/>
        </w:rPr>
        <w:t>..100</w:t>
      </w:r>
    </w:p>
    <w:p w14:paraId="01E50D18" w14:textId="75F35518" w:rsidR="00B0037B" w:rsidRPr="008D43DB" w:rsidRDefault="00152AAE">
      <w:pPr>
        <w:pStyle w:val="TableofFigures"/>
        <w:tabs>
          <w:tab w:val="right" w:leader="dot" w:pos="8486"/>
        </w:tabs>
        <w:rPr>
          <w:rFonts w:eastAsia="SimSun"/>
          <w:noProof/>
          <w:lang w:bidi="ar-SA"/>
        </w:rPr>
      </w:pPr>
      <w:hyperlink w:anchor="_Toc5807414" w:history="1">
        <w:r w:rsidR="00B0037B" w:rsidRPr="00870C14">
          <w:rPr>
            <w:rStyle w:val="Hyperlink"/>
            <w:noProof/>
          </w:rPr>
          <w:t xml:space="preserve">Figure </w:t>
        </w:r>
        <w:r w:rsidR="00B0037B">
          <w:rPr>
            <w:rStyle w:val="Hyperlink"/>
            <w:noProof/>
          </w:rPr>
          <w:t>4.1</w:t>
        </w:r>
        <w:r w:rsidR="00B0037B" w:rsidRPr="00870C14">
          <w:rPr>
            <w:rStyle w:val="Hyperlink"/>
            <w:noProof/>
          </w:rPr>
          <w:t xml:space="preserve"> Therapeutically relevant orthogonal approaches to targeting ClpP</w:t>
        </w:r>
        <w:r w:rsidR="00B0037B">
          <w:rPr>
            <w:noProof/>
            <w:webHidden/>
          </w:rPr>
          <w:tab/>
        </w:r>
        <w:r w:rsidR="00B0037B">
          <w:rPr>
            <w:noProof/>
            <w:webHidden/>
          </w:rPr>
          <w:fldChar w:fldCharType="begin"/>
        </w:r>
        <w:r w:rsidR="00B0037B">
          <w:rPr>
            <w:noProof/>
            <w:webHidden/>
          </w:rPr>
          <w:instrText xml:space="preserve"> PAGEREF _Toc5807414 \h </w:instrText>
        </w:r>
        <w:r w:rsidR="00B0037B">
          <w:rPr>
            <w:noProof/>
            <w:webHidden/>
          </w:rPr>
        </w:r>
        <w:r w:rsidR="00B0037B">
          <w:rPr>
            <w:noProof/>
            <w:webHidden/>
          </w:rPr>
          <w:fldChar w:fldCharType="separate"/>
        </w:r>
        <w:r w:rsidR="000A1546">
          <w:rPr>
            <w:noProof/>
            <w:webHidden/>
          </w:rPr>
          <w:t>122</w:t>
        </w:r>
        <w:r w:rsidR="00B0037B">
          <w:rPr>
            <w:noProof/>
            <w:webHidden/>
          </w:rPr>
          <w:fldChar w:fldCharType="end"/>
        </w:r>
      </w:hyperlink>
    </w:p>
    <w:p w14:paraId="4B340C50" w14:textId="0F51D5A1" w:rsidR="00B0037B" w:rsidRPr="008D43DB" w:rsidRDefault="00152AAE">
      <w:pPr>
        <w:pStyle w:val="TableofFigures"/>
        <w:tabs>
          <w:tab w:val="right" w:leader="dot" w:pos="8486"/>
        </w:tabs>
        <w:rPr>
          <w:rFonts w:eastAsia="SimSun"/>
          <w:noProof/>
          <w:lang w:bidi="ar-SA"/>
        </w:rPr>
      </w:pPr>
      <w:hyperlink w:anchor="_Toc5807415" w:history="1">
        <w:r w:rsidR="00B0037B" w:rsidRPr="00870C14">
          <w:rPr>
            <w:rStyle w:val="Hyperlink"/>
            <w:noProof/>
          </w:rPr>
          <w:t xml:space="preserve">Figure </w:t>
        </w:r>
        <w:r w:rsidR="00B0037B">
          <w:rPr>
            <w:rStyle w:val="Hyperlink"/>
            <w:noProof/>
          </w:rPr>
          <w:t>4.2</w:t>
        </w:r>
        <w:r w:rsidR="00B0037B" w:rsidRPr="00870C14">
          <w:rPr>
            <w:rStyle w:val="Hyperlink"/>
            <w:noProof/>
          </w:rPr>
          <w:t xml:space="preserve"> Current chemo-modulating scaffolds.</w:t>
        </w:r>
        <w:r w:rsidR="00B0037B">
          <w:rPr>
            <w:noProof/>
            <w:webHidden/>
          </w:rPr>
          <w:tab/>
        </w:r>
        <w:r w:rsidR="00B0037B">
          <w:rPr>
            <w:noProof/>
            <w:webHidden/>
          </w:rPr>
          <w:fldChar w:fldCharType="begin"/>
        </w:r>
        <w:r w:rsidR="00B0037B">
          <w:rPr>
            <w:noProof/>
            <w:webHidden/>
          </w:rPr>
          <w:instrText xml:space="preserve"> PAGEREF _Toc5807415 \h </w:instrText>
        </w:r>
        <w:r w:rsidR="00B0037B">
          <w:rPr>
            <w:noProof/>
            <w:webHidden/>
          </w:rPr>
        </w:r>
        <w:r w:rsidR="00B0037B">
          <w:rPr>
            <w:noProof/>
            <w:webHidden/>
          </w:rPr>
          <w:fldChar w:fldCharType="separate"/>
        </w:r>
        <w:r w:rsidR="000A1546">
          <w:rPr>
            <w:noProof/>
            <w:webHidden/>
          </w:rPr>
          <w:t>124</w:t>
        </w:r>
        <w:r w:rsidR="00B0037B">
          <w:rPr>
            <w:noProof/>
            <w:webHidden/>
          </w:rPr>
          <w:fldChar w:fldCharType="end"/>
        </w:r>
      </w:hyperlink>
    </w:p>
    <w:p w14:paraId="26C9348E" w14:textId="4B575A0C" w:rsidR="00B0037B" w:rsidRPr="008D43DB" w:rsidRDefault="00152AAE">
      <w:pPr>
        <w:pStyle w:val="TableofFigures"/>
        <w:tabs>
          <w:tab w:val="right" w:leader="dot" w:pos="8486"/>
        </w:tabs>
        <w:rPr>
          <w:rFonts w:eastAsia="SimSun"/>
          <w:noProof/>
          <w:lang w:bidi="ar-SA"/>
        </w:rPr>
      </w:pPr>
      <w:hyperlink w:anchor="_Toc5807416" w:history="1">
        <w:r w:rsidR="00B0037B" w:rsidRPr="00870C14">
          <w:rPr>
            <w:rStyle w:val="Hyperlink"/>
            <w:noProof/>
          </w:rPr>
          <w:t xml:space="preserve">Figure </w:t>
        </w:r>
        <w:r w:rsidR="00B0037B">
          <w:rPr>
            <w:rStyle w:val="Hyperlink"/>
            <w:noProof/>
          </w:rPr>
          <w:t>4.3</w:t>
        </w:r>
        <w:r w:rsidR="00B0037B" w:rsidRPr="00870C14">
          <w:rPr>
            <w:rStyle w:val="Hyperlink"/>
            <w:noProof/>
          </w:rPr>
          <w:t xml:space="preserve"> Raw fluorescent screen data and table of hits</w:t>
        </w:r>
        <w:r w:rsidR="00B0037B">
          <w:rPr>
            <w:noProof/>
            <w:webHidden/>
          </w:rPr>
          <w:tab/>
        </w:r>
        <w:r w:rsidR="00B0037B">
          <w:rPr>
            <w:noProof/>
            <w:webHidden/>
          </w:rPr>
          <w:fldChar w:fldCharType="begin"/>
        </w:r>
        <w:r w:rsidR="00B0037B">
          <w:rPr>
            <w:noProof/>
            <w:webHidden/>
          </w:rPr>
          <w:instrText xml:space="preserve"> PAGEREF _Toc5807416 \h </w:instrText>
        </w:r>
        <w:r w:rsidR="00B0037B">
          <w:rPr>
            <w:noProof/>
            <w:webHidden/>
          </w:rPr>
        </w:r>
        <w:r w:rsidR="00B0037B">
          <w:rPr>
            <w:noProof/>
            <w:webHidden/>
          </w:rPr>
          <w:fldChar w:fldCharType="separate"/>
        </w:r>
        <w:r w:rsidR="000A1546">
          <w:rPr>
            <w:noProof/>
            <w:webHidden/>
          </w:rPr>
          <w:t>128</w:t>
        </w:r>
        <w:r w:rsidR="00B0037B">
          <w:rPr>
            <w:noProof/>
            <w:webHidden/>
          </w:rPr>
          <w:fldChar w:fldCharType="end"/>
        </w:r>
      </w:hyperlink>
    </w:p>
    <w:p w14:paraId="0FF1EDC0" w14:textId="6A17AB69" w:rsidR="00B0037B" w:rsidRPr="008D43DB" w:rsidRDefault="00152AAE">
      <w:pPr>
        <w:pStyle w:val="TableofFigures"/>
        <w:tabs>
          <w:tab w:val="right" w:leader="dot" w:pos="8486"/>
        </w:tabs>
        <w:rPr>
          <w:rFonts w:eastAsia="SimSun"/>
          <w:noProof/>
          <w:lang w:bidi="ar-SA"/>
        </w:rPr>
      </w:pPr>
      <w:hyperlink w:anchor="_Toc5807417" w:history="1">
        <w:r w:rsidR="00B0037B" w:rsidRPr="00870C14">
          <w:rPr>
            <w:rStyle w:val="Hyperlink"/>
            <w:noProof/>
          </w:rPr>
          <w:t xml:space="preserve">Figure </w:t>
        </w:r>
        <w:r w:rsidR="00B0037B">
          <w:rPr>
            <w:rStyle w:val="Hyperlink"/>
            <w:noProof/>
          </w:rPr>
          <w:t>4.4</w:t>
        </w:r>
        <w:r w:rsidR="00B0037B" w:rsidRPr="00870C14">
          <w:rPr>
            <w:rStyle w:val="Hyperlink"/>
            <w:noProof/>
          </w:rPr>
          <w:t xml:space="preserve"> Dose dependent </w:t>
        </w:r>
        <w:r w:rsidR="00B0037B" w:rsidRPr="00870C14">
          <w:rPr>
            <w:rStyle w:val="Hyperlink"/>
            <w:i/>
            <w:noProof/>
          </w:rPr>
          <w:t>Ec</w:t>
        </w:r>
        <w:r w:rsidR="00B0037B" w:rsidRPr="00870C14">
          <w:rPr>
            <w:rStyle w:val="Hyperlink"/>
            <w:noProof/>
          </w:rPr>
          <w:t>ClpP activation by ACP5, and 1</w:t>
        </w:r>
        <w:r w:rsidR="00B0037B">
          <w:rPr>
            <w:noProof/>
            <w:webHidden/>
          </w:rPr>
          <w:tab/>
        </w:r>
        <w:r w:rsidR="00B0037B">
          <w:rPr>
            <w:noProof/>
            <w:webHidden/>
          </w:rPr>
          <w:fldChar w:fldCharType="begin"/>
        </w:r>
        <w:r w:rsidR="00B0037B">
          <w:rPr>
            <w:noProof/>
            <w:webHidden/>
          </w:rPr>
          <w:instrText xml:space="preserve"> PAGEREF _Toc5807417 \h </w:instrText>
        </w:r>
        <w:r w:rsidR="00B0037B">
          <w:rPr>
            <w:noProof/>
            <w:webHidden/>
          </w:rPr>
        </w:r>
        <w:r w:rsidR="00B0037B">
          <w:rPr>
            <w:noProof/>
            <w:webHidden/>
          </w:rPr>
          <w:fldChar w:fldCharType="separate"/>
        </w:r>
        <w:r w:rsidR="000A1546">
          <w:rPr>
            <w:noProof/>
            <w:webHidden/>
          </w:rPr>
          <w:t>130</w:t>
        </w:r>
        <w:r w:rsidR="00B0037B">
          <w:rPr>
            <w:noProof/>
            <w:webHidden/>
          </w:rPr>
          <w:fldChar w:fldCharType="end"/>
        </w:r>
      </w:hyperlink>
    </w:p>
    <w:p w14:paraId="4F3AA123" w14:textId="0E10F304" w:rsidR="00B0037B" w:rsidRPr="008D43DB" w:rsidRDefault="00152AAE">
      <w:pPr>
        <w:pStyle w:val="TableofFigures"/>
        <w:tabs>
          <w:tab w:val="right" w:leader="dot" w:pos="8486"/>
        </w:tabs>
        <w:rPr>
          <w:rFonts w:eastAsia="SimSun"/>
          <w:noProof/>
          <w:lang w:bidi="ar-SA"/>
        </w:rPr>
      </w:pPr>
      <w:hyperlink w:anchor="_Toc5807418" w:history="1">
        <w:r w:rsidR="00B0037B" w:rsidRPr="00870C14">
          <w:rPr>
            <w:rStyle w:val="Hyperlink"/>
            <w:noProof/>
          </w:rPr>
          <w:t xml:space="preserve">Figure </w:t>
        </w:r>
        <w:r w:rsidR="00B0037B">
          <w:rPr>
            <w:rStyle w:val="Hyperlink"/>
            <w:noProof/>
          </w:rPr>
          <w:t>4.6</w:t>
        </w:r>
        <w:r w:rsidR="00B0037B" w:rsidRPr="00870C14">
          <w:rPr>
            <w:rStyle w:val="Hyperlink"/>
            <w:noProof/>
          </w:rPr>
          <w:t xml:space="preserve"> SDS-PAGE degradation of β-casein by ClpP in the presence of 1</w:t>
        </w:r>
        <w:r w:rsidR="00B0037B">
          <w:rPr>
            <w:noProof/>
            <w:webHidden/>
          </w:rPr>
          <w:tab/>
        </w:r>
        <w:r w:rsidR="00B0037B">
          <w:rPr>
            <w:noProof/>
            <w:webHidden/>
          </w:rPr>
          <w:fldChar w:fldCharType="begin"/>
        </w:r>
        <w:r w:rsidR="00B0037B">
          <w:rPr>
            <w:noProof/>
            <w:webHidden/>
          </w:rPr>
          <w:instrText xml:space="preserve"> PAGEREF _Toc5807418 \h </w:instrText>
        </w:r>
        <w:r w:rsidR="00B0037B">
          <w:rPr>
            <w:noProof/>
            <w:webHidden/>
          </w:rPr>
        </w:r>
        <w:r w:rsidR="00B0037B">
          <w:rPr>
            <w:noProof/>
            <w:webHidden/>
          </w:rPr>
          <w:fldChar w:fldCharType="separate"/>
        </w:r>
        <w:r w:rsidR="000A1546">
          <w:rPr>
            <w:noProof/>
            <w:webHidden/>
          </w:rPr>
          <w:t>131</w:t>
        </w:r>
        <w:r w:rsidR="00B0037B">
          <w:rPr>
            <w:noProof/>
            <w:webHidden/>
          </w:rPr>
          <w:fldChar w:fldCharType="end"/>
        </w:r>
      </w:hyperlink>
    </w:p>
    <w:p w14:paraId="17449302" w14:textId="430BAE41" w:rsidR="00B0037B" w:rsidRPr="008D43DB" w:rsidRDefault="00152AAE">
      <w:pPr>
        <w:pStyle w:val="TableofFigures"/>
        <w:tabs>
          <w:tab w:val="right" w:leader="dot" w:pos="8486"/>
        </w:tabs>
        <w:rPr>
          <w:rFonts w:eastAsia="SimSun"/>
          <w:noProof/>
          <w:lang w:bidi="ar-SA"/>
        </w:rPr>
      </w:pPr>
      <w:hyperlink w:anchor="_Toc5807419" w:history="1">
        <w:r w:rsidR="00B0037B" w:rsidRPr="00870C14">
          <w:rPr>
            <w:rStyle w:val="Hyperlink"/>
            <w:noProof/>
          </w:rPr>
          <w:t xml:space="preserve">Figure </w:t>
        </w:r>
        <w:r w:rsidR="00B0037B">
          <w:rPr>
            <w:rStyle w:val="Hyperlink"/>
            <w:noProof/>
          </w:rPr>
          <w:t>4.7</w:t>
        </w:r>
        <w:r w:rsidR="00B0037B" w:rsidRPr="00870C14">
          <w:rPr>
            <w:rStyle w:val="Hyperlink"/>
            <w:noProof/>
          </w:rPr>
          <w:t xml:space="preserve"> Initial paraherquamides structure-activity-relationships</w:t>
        </w:r>
        <w:r w:rsidR="00B0037B">
          <w:rPr>
            <w:noProof/>
            <w:webHidden/>
          </w:rPr>
          <w:tab/>
        </w:r>
        <w:r w:rsidR="00B0037B">
          <w:rPr>
            <w:noProof/>
            <w:webHidden/>
          </w:rPr>
          <w:fldChar w:fldCharType="begin"/>
        </w:r>
        <w:r w:rsidR="00B0037B">
          <w:rPr>
            <w:noProof/>
            <w:webHidden/>
          </w:rPr>
          <w:instrText xml:space="preserve"> PAGEREF _Toc5807419 \h </w:instrText>
        </w:r>
        <w:r w:rsidR="00B0037B">
          <w:rPr>
            <w:noProof/>
            <w:webHidden/>
          </w:rPr>
        </w:r>
        <w:r w:rsidR="00B0037B">
          <w:rPr>
            <w:noProof/>
            <w:webHidden/>
          </w:rPr>
          <w:fldChar w:fldCharType="separate"/>
        </w:r>
        <w:r w:rsidR="000A1546">
          <w:rPr>
            <w:noProof/>
            <w:webHidden/>
          </w:rPr>
          <w:t>132</w:t>
        </w:r>
        <w:r w:rsidR="00B0037B">
          <w:rPr>
            <w:noProof/>
            <w:webHidden/>
          </w:rPr>
          <w:fldChar w:fldCharType="end"/>
        </w:r>
      </w:hyperlink>
    </w:p>
    <w:p w14:paraId="3CC87EA8" w14:textId="63AC1DCF" w:rsidR="00B0037B" w:rsidRDefault="00152AAE">
      <w:pPr>
        <w:pStyle w:val="TableofFigures"/>
        <w:tabs>
          <w:tab w:val="right" w:leader="dot" w:pos="8486"/>
        </w:tabs>
        <w:rPr>
          <w:noProof/>
        </w:rPr>
      </w:pPr>
      <w:hyperlink w:anchor="_Toc5807420" w:history="1">
        <w:r w:rsidR="00B0037B" w:rsidRPr="00870C14">
          <w:rPr>
            <w:rStyle w:val="Hyperlink"/>
            <w:noProof/>
          </w:rPr>
          <w:t xml:space="preserve">Figure </w:t>
        </w:r>
        <w:r w:rsidR="005A4867">
          <w:rPr>
            <w:rStyle w:val="Hyperlink"/>
            <w:noProof/>
          </w:rPr>
          <w:t>4.8</w:t>
        </w:r>
        <w:r w:rsidR="00B0037B" w:rsidRPr="00870C14">
          <w:rPr>
            <w:rStyle w:val="Hyperlink"/>
            <w:noProof/>
          </w:rPr>
          <w:t xml:space="preserve"> A) ADEP analogs synthesized and evaluated in this study. (B) Target fragments for the convergent synthesis of 1-3.</w:t>
        </w:r>
        <w:r w:rsidR="00B0037B">
          <w:rPr>
            <w:noProof/>
            <w:webHidden/>
          </w:rPr>
          <w:tab/>
        </w:r>
        <w:r w:rsidR="00B0037B">
          <w:rPr>
            <w:noProof/>
            <w:webHidden/>
          </w:rPr>
          <w:fldChar w:fldCharType="begin"/>
        </w:r>
        <w:r w:rsidR="00B0037B">
          <w:rPr>
            <w:noProof/>
            <w:webHidden/>
          </w:rPr>
          <w:instrText xml:space="preserve"> PAGEREF _Toc5807420 \h </w:instrText>
        </w:r>
        <w:r w:rsidR="00B0037B">
          <w:rPr>
            <w:noProof/>
            <w:webHidden/>
          </w:rPr>
        </w:r>
        <w:r w:rsidR="00B0037B">
          <w:rPr>
            <w:noProof/>
            <w:webHidden/>
          </w:rPr>
          <w:fldChar w:fldCharType="separate"/>
        </w:r>
        <w:r w:rsidR="000A1546">
          <w:rPr>
            <w:noProof/>
            <w:webHidden/>
          </w:rPr>
          <w:t>135</w:t>
        </w:r>
        <w:r w:rsidR="00B0037B">
          <w:rPr>
            <w:noProof/>
            <w:webHidden/>
          </w:rPr>
          <w:fldChar w:fldCharType="end"/>
        </w:r>
      </w:hyperlink>
    </w:p>
    <w:p w14:paraId="36761BEB" w14:textId="10927F07" w:rsidR="00D05A42" w:rsidRPr="00D05A42" w:rsidRDefault="00D05A42" w:rsidP="00D05A42">
      <w:pPr>
        <w:rPr>
          <w:rFonts w:eastAsia="SimSun"/>
          <w:noProof/>
        </w:rPr>
      </w:pPr>
      <w:r>
        <w:rPr>
          <w:rFonts w:eastAsia="SimSun"/>
          <w:noProof/>
        </w:rPr>
        <w:t>Figure 5.1 Structure of ClpP1 in the Active Extended Conformation...........................155</w:t>
      </w:r>
    </w:p>
    <w:p w14:paraId="72AFBF15" w14:textId="76AC3662" w:rsidR="00B0037B" w:rsidRPr="008D43DB" w:rsidRDefault="00152AAE">
      <w:pPr>
        <w:pStyle w:val="TableofFigures"/>
        <w:tabs>
          <w:tab w:val="right" w:leader="dot" w:pos="8486"/>
        </w:tabs>
        <w:rPr>
          <w:rFonts w:eastAsia="SimSun"/>
          <w:noProof/>
          <w:lang w:bidi="ar-SA"/>
        </w:rPr>
      </w:pPr>
      <w:hyperlink w:anchor="_Toc5807421" w:history="1">
        <w:r w:rsidR="00B0037B" w:rsidRPr="00870C14">
          <w:rPr>
            <w:rStyle w:val="Hyperlink"/>
            <w:noProof/>
          </w:rPr>
          <w:t xml:space="preserve">Figure </w:t>
        </w:r>
        <w:r w:rsidR="005A4867">
          <w:rPr>
            <w:rStyle w:val="Hyperlink"/>
            <w:noProof/>
          </w:rPr>
          <w:t>A.1</w:t>
        </w:r>
        <w:r w:rsidR="00B0037B" w:rsidRPr="00870C14">
          <w:rPr>
            <w:rStyle w:val="Hyperlink"/>
            <w:noProof/>
          </w:rPr>
          <w:t xml:space="preserve"> HR-ESIMS peptide digest and sequencing results.</w:t>
        </w:r>
        <w:r w:rsidR="00B0037B">
          <w:rPr>
            <w:noProof/>
            <w:webHidden/>
          </w:rPr>
          <w:tab/>
        </w:r>
        <w:r w:rsidR="00B0037B">
          <w:rPr>
            <w:noProof/>
            <w:webHidden/>
          </w:rPr>
          <w:fldChar w:fldCharType="begin"/>
        </w:r>
        <w:r w:rsidR="00B0037B">
          <w:rPr>
            <w:noProof/>
            <w:webHidden/>
          </w:rPr>
          <w:instrText xml:space="preserve"> PAGEREF _Toc5807421 \h </w:instrText>
        </w:r>
        <w:r w:rsidR="00B0037B">
          <w:rPr>
            <w:noProof/>
            <w:webHidden/>
          </w:rPr>
        </w:r>
        <w:r w:rsidR="00B0037B">
          <w:rPr>
            <w:noProof/>
            <w:webHidden/>
          </w:rPr>
          <w:fldChar w:fldCharType="separate"/>
        </w:r>
        <w:r w:rsidR="000A1546">
          <w:rPr>
            <w:noProof/>
            <w:webHidden/>
          </w:rPr>
          <w:t>163</w:t>
        </w:r>
        <w:r w:rsidR="00B0037B">
          <w:rPr>
            <w:noProof/>
            <w:webHidden/>
          </w:rPr>
          <w:fldChar w:fldCharType="end"/>
        </w:r>
      </w:hyperlink>
    </w:p>
    <w:p w14:paraId="5B42707A" w14:textId="2B31AA9E" w:rsidR="00B0037B" w:rsidRPr="008D43DB" w:rsidRDefault="00152AAE">
      <w:pPr>
        <w:pStyle w:val="TableofFigures"/>
        <w:tabs>
          <w:tab w:val="right" w:leader="dot" w:pos="8486"/>
        </w:tabs>
        <w:rPr>
          <w:rFonts w:eastAsia="SimSun"/>
          <w:noProof/>
          <w:lang w:bidi="ar-SA"/>
        </w:rPr>
      </w:pPr>
      <w:hyperlink w:anchor="_Toc5807422" w:history="1">
        <w:r w:rsidR="00B0037B" w:rsidRPr="00870C14">
          <w:rPr>
            <w:rStyle w:val="Hyperlink"/>
            <w:noProof/>
          </w:rPr>
          <w:t xml:space="preserve">Figure </w:t>
        </w:r>
        <w:r w:rsidR="005A4867">
          <w:rPr>
            <w:rStyle w:val="Hyperlink"/>
            <w:noProof/>
          </w:rPr>
          <w:t>A.2</w:t>
        </w:r>
        <w:r w:rsidR="00B0037B" w:rsidRPr="00870C14">
          <w:rPr>
            <w:rStyle w:val="Hyperlink"/>
            <w:noProof/>
          </w:rPr>
          <w:t xml:space="preserve"> pUNK DLS results for ClpP1 prepared from </w:t>
        </w:r>
        <w:r w:rsidR="00B0037B" w:rsidRPr="00870C14">
          <w:rPr>
            <w:rStyle w:val="Hyperlink"/>
            <w:noProof/>
            <w:lang w:eastAsia="zh-CN"/>
          </w:rPr>
          <w:t>Δ</w:t>
        </w:r>
        <w:r w:rsidR="00B0037B" w:rsidRPr="00870C14">
          <w:rPr>
            <w:rStyle w:val="Hyperlink"/>
            <w:i/>
            <w:noProof/>
            <w:lang w:eastAsia="zh-CN"/>
          </w:rPr>
          <w:t>Ec</w:t>
        </w:r>
        <w:r w:rsidR="00B0037B" w:rsidRPr="00870C14">
          <w:rPr>
            <w:rStyle w:val="Hyperlink"/>
            <w:noProof/>
            <w:lang w:eastAsia="zh-CN"/>
          </w:rPr>
          <w:t>ClpP cells.</w:t>
        </w:r>
        <w:r w:rsidR="00B0037B">
          <w:rPr>
            <w:noProof/>
            <w:webHidden/>
          </w:rPr>
          <w:tab/>
        </w:r>
        <w:r w:rsidR="00B0037B">
          <w:rPr>
            <w:noProof/>
            <w:webHidden/>
          </w:rPr>
          <w:fldChar w:fldCharType="begin"/>
        </w:r>
        <w:r w:rsidR="00B0037B">
          <w:rPr>
            <w:noProof/>
            <w:webHidden/>
          </w:rPr>
          <w:instrText xml:space="preserve"> PAGEREF _Toc5807422 \h </w:instrText>
        </w:r>
        <w:r w:rsidR="00B0037B">
          <w:rPr>
            <w:noProof/>
            <w:webHidden/>
          </w:rPr>
        </w:r>
        <w:r w:rsidR="00B0037B">
          <w:rPr>
            <w:noProof/>
            <w:webHidden/>
          </w:rPr>
          <w:fldChar w:fldCharType="separate"/>
        </w:r>
        <w:r w:rsidR="000A1546">
          <w:rPr>
            <w:noProof/>
            <w:webHidden/>
          </w:rPr>
          <w:t>163</w:t>
        </w:r>
        <w:r w:rsidR="00B0037B">
          <w:rPr>
            <w:noProof/>
            <w:webHidden/>
          </w:rPr>
          <w:fldChar w:fldCharType="end"/>
        </w:r>
      </w:hyperlink>
    </w:p>
    <w:p w14:paraId="1EE1EF3C" w14:textId="4E1098E4" w:rsidR="00B0037B" w:rsidRPr="008D43DB" w:rsidRDefault="00152AAE">
      <w:pPr>
        <w:pStyle w:val="TableofFigures"/>
        <w:tabs>
          <w:tab w:val="right" w:leader="dot" w:pos="8486"/>
        </w:tabs>
        <w:rPr>
          <w:rFonts w:eastAsia="SimSun"/>
          <w:noProof/>
          <w:lang w:bidi="ar-SA"/>
        </w:rPr>
      </w:pPr>
      <w:hyperlink w:anchor="_Toc5807423" w:history="1">
        <w:r w:rsidR="00B0037B" w:rsidRPr="00870C14">
          <w:rPr>
            <w:rStyle w:val="Hyperlink"/>
            <w:noProof/>
          </w:rPr>
          <w:t xml:space="preserve">Figure </w:t>
        </w:r>
        <w:r w:rsidR="005A4867">
          <w:rPr>
            <w:rStyle w:val="Hyperlink"/>
            <w:noProof/>
          </w:rPr>
          <w:t>A.3</w:t>
        </w:r>
        <w:r w:rsidR="00B0037B" w:rsidRPr="00870C14">
          <w:rPr>
            <w:rStyle w:val="Hyperlink"/>
            <w:noProof/>
          </w:rPr>
          <w:t xml:space="preserve"> pUNK DLS results for ClpP2 prepared from </w:t>
        </w:r>
        <w:r w:rsidR="00B0037B" w:rsidRPr="00870C14">
          <w:rPr>
            <w:rStyle w:val="Hyperlink"/>
            <w:noProof/>
            <w:lang w:eastAsia="zh-CN"/>
          </w:rPr>
          <w:t>Δ</w:t>
        </w:r>
        <w:r w:rsidR="00B0037B" w:rsidRPr="00870C14">
          <w:rPr>
            <w:rStyle w:val="Hyperlink"/>
            <w:i/>
            <w:noProof/>
            <w:lang w:eastAsia="zh-CN"/>
          </w:rPr>
          <w:t>Ec</w:t>
        </w:r>
        <w:r w:rsidR="00B0037B" w:rsidRPr="00870C14">
          <w:rPr>
            <w:rStyle w:val="Hyperlink"/>
            <w:noProof/>
            <w:lang w:eastAsia="zh-CN"/>
          </w:rPr>
          <w:t>ClpP cells.</w:t>
        </w:r>
        <w:r w:rsidR="00B0037B">
          <w:rPr>
            <w:noProof/>
            <w:webHidden/>
          </w:rPr>
          <w:tab/>
        </w:r>
        <w:r w:rsidR="00B0037B">
          <w:rPr>
            <w:noProof/>
            <w:webHidden/>
          </w:rPr>
          <w:fldChar w:fldCharType="begin"/>
        </w:r>
        <w:r w:rsidR="00B0037B">
          <w:rPr>
            <w:noProof/>
            <w:webHidden/>
          </w:rPr>
          <w:instrText xml:space="preserve"> PAGEREF _Toc5807423 \h </w:instrText>
        </w:r>
        <w:r w:rsidR="00B0037B">
          <w:rPr>
            <w:noProof/>
            <w:webHidden/>
          </w:rPr>
        </w:r>
        <w:r w:rsidR="00B0037B">
          <w:rPr>
            <w:noProof/>
            <w:webHidden/>
          </w:rPr>
          <w:fldChar w:fldCharType="separate"/>
        </w:r>
        <w:r w:rsidR="000A1546">
          <w:rPr>
            <w:noProof/>
            <w:webHidden/>
          </w:rPr>
          <w:t>164</w:t>
        </w:r>
        <w:r w:rsidR="00B0037B">
          <w:rPr>
            <w:noProof/>
            <w:webHidden/>
          </w:rPr>
          <w:fldChar w:fldCharType="end"/>
        </w:r>
      </w:hyperlink>
    </w:p>
    <w:p w14:paraId="5CA38E63" w14:textId="6B3D04D5" w:rsidR="00B0037B" w:rsidRPr="008D43DB" w:rsidRDefault="00152AAE">
      <w:pPr>
        <w:pStyle w:val="TableofFigures"/>
        <w:tabs>
          <w:tab w:val="right" w:leader="dot" w:pos="8486"/>
        </w:tabs>
        <w:rPr>
          <w:rFonts w:eastAsia="SimSun"/>
          <w:noProof/>
          <w:lang w:bidi="ar-SA"/>
        </w:rPr>
      </w:pPr>
      <w:hyperlink w:anchor="_Toc5807424" w:history="1">
        <w:r w:rsidR="00B0037B" w:rsidRPr="00870C14">
          <w:rPr>
            <w:rStyle w:val="Hyperlink"/>
            <w:noProof/>
          </w:rPr>
          <w:t xml:space="preserve">Figure </w:t>
        </w:r>
        <w:r w:rsidR="005A4867">
          <w:rPr>
            <w:rStyle w:val="Hyperlink"/>
            <w:noProof/>
          </w:rPr>
          <w:t>A.4</w:t>
        </w:r>
        <w:r w:rsidR="00B0037B" w:rsidRPr="00870C14">
          <w:rPr>
            <w:rStyle w:val="Hyperlink"/>
            <w:noProof/>
          </w:rPr>
          <w:t xml:space="preserve"> Predicted ClpP2 disulfides predicted by DiANNA.</w:t>
        </w:r>
        <w:r w:rsidR="00B0037B">
          <w:rPr>
            <w:noProof/>
            <w:webHidden/>
          </w:rPr>
          <w:tab/>
        </w:r>
        <w:r w:rsidR="00B0037B">
          <w:rPr>
            <w:noProof/>
            <w:webHidden/>
          </w:rPr>
          <w:fldChar w:fldCharType="begin"/>
        </w:r>
        <w:r w:rsidR="00B0037B">
          <w:rPr>
            <w:noProof/>
            <w:webHidden/>
          </w:rPr>
          <w:instrText xml:space="preserve"> PAGEREF _Toc5807424 \h </w:instrText>
        </w:r>
        <w:r w:rsidR="00B0037B">
          <w:rPr>
            <w:noProof/>
            <w:webHidden/>
          </w:rPr>
        </w:r>
        <w:r w:rsidR="00B0037B">
          <w:rPr>
            <w:noProof/>
            <w:webHidden/>
          </w:rPr>
          <w:fldChar w:fldCharType="separate"/>
        </w:r>
        <w:r w:rsidR="000A1546">
          <w:rPr>
            <w:noProof/>
            <w:webHidden/>
          </w:rPr>
          <w:t>164</w:t>
        </w:r>
        <w:r w:rsidR="00B0037B">
          <w:rPr>
            <w:noProof/>
            <w:webHidden/>
          </w:rPr>
          <w:fldChar w:fldCharType="end"/>
        </w:r>
      </w:hyperlink>
    </w:p>
    <w:p w14:paraId="099A51A5" w14:textId="5BEE5A05" w:rsidR="00B0037B" w:rsidRPr="008D43DB" w:rsidRDefault="00152AAE">
      <w:pPr>
        <w:pStyle w:val="TableofFigures"/>
        <w:tabs>
          <w:tab w:val="right" w:leader="dot" w:pos="8486"/>
        </w:tabs>
        <w:rPr>
          <w:rFonts w:eastAsia="SimSun"/>
          <w:noProof/>
          <w:lang w:bidi="ar-SA"/>
        </w:rPr>
      </w:pPr>
      <w:hyperlink w:anchor="_Toc5807425" w:history="1">
        <w:r w:rsidR="00B0037B" w:rsidRPr="00870C14">
          <w:rPr>
            <w:rStyle w:val="Hyperlink"/>
            <w:noProof/>
          </w:rPr>
          <w:t xml:space="preserve">Figure </w:t>
        </w:r>
        <w:r w:rsidR="005A4867">
          <w:rPr>
            <w:rStyle w:val="Hyperlink"/>
            <w:noProof/>
          </w:rPr>
          <w:t>A.5</w:t>
        </w:r>
        <w:r w:rsidR="00B0037B" w:rsidRPr="00870C14">
          <w:rPr>
            <w:rStyle w:val="Hyperlink"/>
            <w:noProof/>
          </w:rPr>
          <w:t xml:space="preserve"> Reduction or oxidation of ClpP2 has no consequences on proteolytic activity.</w:t>
        </w:r>
        <w:r w:rsidR="00B0037B">
          <w:rPr>
            <w:noProof/>
            <w:webHidden/>
          </w:rPr>
          <w:tab/>
        </w:r>
        <w:r w:rsidR="00B0037B">
          <w:rPr>
            <w:noProof/>
            <w:webHidden/>
          </w:rPr>
          <w:fldChar w:fldCharType="begin"/>
        </w:r>
        <w:r w:rsidR="00B0037B">
          <w:rPr>
            <w:noProof/>
            <w:webHidden/>
          </w:rPr>
          <w:instrText xml:space="preserve"> PAGEREF _Toc5807425 \h </w:instrText>
        </w:r>
        <w:r w:rsidR="00B0037B">
          <w:rPr>
            <w:noProof/>
            <w:webHidden/>
          </w:rPr>
        </w:r>
        <w:r w:rsidR="00B0037B">
          <w:rPr>
            <w:noProof/>
            <w:webHidden/>
          </w:rPr>
          <w:fldChar w:fldCharType="separate"/>
        </w:r>
        <w:r w:rsidR="000A1546">
          <w:rPr>
            <w:noProof/>
            <w:webHidden/>
          </w:rPr>
          <w:t>165</w:t>
        </w:r>
        <w:r w:rsidR="00B0037B">
          <w:rPr>
            <w:noProof/>
            <w:webHidden/>
          </w:rPr>
          <w:fldChar w:fldCharType="end"/>
        </w:r>
      </w:hyperlink>
    </w:p>
    <w:p w14:paraId="003AED14" w14:textId="4054DE5A" w:rsidR="00B0037B" w:rsidRPr="008D43DB" w:rsidRDefault="00152AAE">
      <w:pPr>
        <w:pStyle w:val="TableofFigures"/>
        <w:tabs>
          <w:tab w:val="right" w:leader="dot" w:pos="8486"/>
        </w:tabs>
        <w:rPr>
          <w:rFonts w:eastAsia="SimSun"/>
          <w:noProof/>
          <w:lang w:bidi="ar-SA"/>
        </w:rPr>
      </w:pPr>
      <w:hyperlink w:anchor="_Toc5807426" w:history="1">
        <w:r w:rsidR="00B0037B" w:rsidRPr="00870C14">
          <w:rPr>
            <w:rStyle w:val="Hyperlink"/>
            <w:noProof/>
          </w:rPr>
          <w:t xml:space="preserve">Figure </w:t>
        </w:r>
        <w:r w:rsidR="0014171B">
          <w:rPr>
            <w:rStyle w:val="Hyperlink"/>
            <w:noProof/>
          </w:rPr>
          <w:t>A.6</w:t>
        </w:r>
        <w:r w:rsidR="00B0037B" w:rsidRPr="00870C14">
          <w:rPr>
            <w:rStyle w:val="Hyperlink"/>
            <w:noProof/>
          </w:rPr>
          <w:t xml:space="preserve"> Peptidolytic activity of mixed solutions of ClpP1 and ClpP2 compared to homogenous solutions.</w:t>
        </w:r>
        <w:r w:rsidR="00B0037B">
          <w:rPr>
            <w:noProof/>
            <w:webHidden/>
          </w:rPr>
          <w:tab/>
        </w:r>
        <w:r w:rsidR="00B0037B">
          <w:rPr>
            <w:noProof/>
            <w:webHidden/>
          </w:rPr>
          <w:fldChar w:fldCharType="begin"/>
        </w:r>
        <w:r w:rsidR="00B0037B">
          <w:rPr>
            <w:noProof/>
            <w:webHidden/>
          </w:rPr>
          <w:instrText xml:space="preserve"> PAGEREF _Toc5807426 \h </w:instrText>
        </w:r>
        <w:r w:rsidR="00B0037B">
          <w:rPr>
            <w:noProof/>
            <w:webHidden/>
          </w:rPr>
        </w:r>
        <w:r w:rsidR="00B0037B">
          <w:rPr>
            <w:noProof/>
            <w:webHidden/>
          </w:rPr>
          <w:fldChar w:fldCharType="separate"/>
        </w:r>
        <w:r w:rsidR="000A1546">
          <w:rPr>
            <w:noProof/>
            <w:webHidden/>
          </w:rPr>
          <w:t>166</w:t>
        </w:r>
        <w:r w:rsidR="00B0037B">
          <w:rPr>
            <w:noProof/>
            <w:webHidden/>
          </w:rPr>
          <w:fldChar w:fldCharType="end"/>
        </w:r>
      </w:hyperlink>
    </w:p>
    <w:p w14:paraId="6FA5CC57" w14:textId="264464DF" w:rsidR="00B0037B" w:rsidRPr="008D43DB" w:rsidRDefault="00152AAE">
      <w:pPr>
        <w:pStyle w:val="TableofFigures"/>
        <w:tabs>
          <w:tab w:val="right" w:leader="dot" w:pos="8486"/>
        </w:tabs>
        <w:rPr>
          <w:rFonts w:eastAsia="SimSun"/>
          <w:noProof/>
          <w:lang w:bidi="ar-SA"/>
        </w:rPr>
      </w:pPr>
      <w:hyperlink w:anchor="_Toc5807427" w:history="1">
        <w:r w:rsidR="00B0037B" w:rsidRPr="00870C14">
          <w:rPr>
            <w:rStyle w:val="Hyperlink"/>
            <w:noProof/>
          </w:rPr>
          <w:t xml:space="preserve">Figure </w:t>
        </w:r>
        <w:r w:rsidR="0014171B">
          <w:rPr>
            <w:rStyle w:val="Hyperlink"/>
            <w:noProof/>
          </w:rPr>
          <w:t>A.7</w:t>
        </w:r>
        <w:r w:rsidR="00B0037B" w:rsidRPr="00870C14">
          <w:rPr>
            <w:rStyle w:val="Hyperlink"/>
            <w:noProof/>
          </w:rPr>
          <w:t xml:space="preserve"> Non-denaturing PAGE gel (7-15%) of mixed ClpP1 and ClpP2 homotetradecamers after 2 h.</w:t>
        </w:r>
        <w:r w:rsidR="00B0037B">
          <w:rPr>
            <w:noProof/>
            <w:webHidden/>
          </w:rPr>
          <w:tab/>
        </w:r>
        <w:r w:rsidR="00B0037B">
          <w:rPr>
            <w:noProof/>
            <w:webHidden/>
          </w:rPr>
          <w:fldChar w:fldCharType="begin"/>
        </w:r>
        <w:r w:rsidR="00B0037B">
          <w:rPr>
            <w:noProof/>
            <w:webHidden/>
          </w:rPr>
          <w:instrText xml:space="preserve"> PAGEREF _Toc5807427 \h </w:instrText>
        </w:r>
        <w:r w:rsidR="00B0037B">
          <w:rPr>
            <w:noProof/>
            <w:webHidden/>
          </w:rPr>
        </w:r>
        <w:r w:rsidR="00B0037B">
          <w:rPr>
            <w:noProof/>
            <w:webHidden/>
          </w:rPr>
          <w:fldChar w:fldCharType="separate"/>
        </w:r>
        <w:r w:rsidR="000A1546">
          <w:rPr>
            <w:noProof/>
            <w:webHidden/>
          </w:rPr>
          <w:t>167</w:t>
        </w:r>
        <w:r w:rsidR="00B0037B">
          <w:rPr>
            <w:noProof/>
            <w:webHidden/>
          </w:rPr>
          <w:fldChar w:fldCharType="end"/>
        </w:r>
      </w:hyperlink>
    </w:p>
    <w:p w14:paraId="469D08A9" w14:textId="79621100" w:rsidR="00B0037B" w:rsidRPr="008D43DB" w:rsidRDefault="00152AAE">
      <w:pPr>
        <w:pStyle w:val="TableofFigures"/>
        <w:tabs>
          <w:tab w:val="right" w:leader="dot" w:pos="8486"/>
        </w:tabs>
        <w:rPr>
          <w:rFonts w:eastAsia="SimSun"/>
          <w:noProof/>
          <w:lang w:bidi="ar-SA"/>
        </w:rPr>
      </w:pPr>
      <w:hyperlink w:anchor="_Toc5807428" w:history="1">
        <w:r w:rsidR="00B0037B" w:rsidRPr="00870C14">
          <w:rPr>
            <w:rStyle w:val="Hyperlink"/>
            <w:noProof/>
          </w:rPr>
          <w:t xml:space="preserve">Figure </w:t>
        </w:r>
        <w:r w:rsidR="0014171B">
          <w:rPr>
            <w:rStyle w:val="Hyperlink"/>
            <w:noProof/>
          </w:rPr>
          <w:t>A.8</w:t>
        </w:r>
        <w:r w:rsidR="00B0037B" w:rsidRPr="00870C14">
          <w:rPr>
            <w:rStyle w:val="Hyperlink"/>
            <w:noProof/>
          </w:rPr>
          <w:t xml:space="preserve"> SDS-PAGE visualization of ssrA-GFP degradation over time via ClpXP in the presence of 4 mM ATP.</w:t>
        </w:r>
        <w:r w:rsidR="00B0037B">
          <w:rPr>
            <w:noProof/>
            <w:webHidden/>
          </w:rPr>
          <w:tab/>
        </w:r>
        <w:r w:rsidR="00B0037B">
          <w:rPr>
            <w:noProof/>
            <w:webHidden/>
          </w:rPr>
          <w:fldChar w:fldCharType="begin"/>
        </w:r>
        <w:r w:rsidR="00B0037B">
          <w:rPr>
            <w:noProof/>
            <w:webHidden/>
          </w:rPr>
          <w:instrText xml:space="preserve"> PAGEREF _Toc5807428 \h </w:instrText>
        </w:r>
        <w:r w:rsidR="00B0037B">
          <w:rPr>
            <w:noProof/>
            <w:webHidden/>
          </w:rPr>
        </w:r>
        <w:r w:rsidR="00B0037B">
          <w:rPr>
            <w:noProof/>
            <w:webHidden/>
          </w:rPr>
          <w:fldChar w:fldCharType="separate"/>
        </w:r>
        <w:r w:rsidR="000A1546">
          <w:rPr>
            <w:noProof/>
            <w:webHidden/>
          </w:rPr>
          <w:t>167</w:t>
        </w:r>
        <w:r w:rsidR="00B0037B">
          <w:rPr>
            <w:noProof/>
            <w:webHidden/>
          </w:rPr>
          <w:fldChar w:fldCharType="end"/>
        </w:r>
      </w:hyperlink>
    </w:p>
    <w:p w14:paraId="11622891" w14:textId="4000D992" w:rsidR="00B0037B" w:rsidRPr="008D43DB" w:rsidRDefault="00152AAE">
      <w:pPr>
        <w:pStyle w:val="TableofFigures"/>
        <w:tabs>
          <w:tab w:val="right" w:leader="dot" w:pos="8486"/>
        </w:tabs>
        <w:rPr>
          <w:rFonts w:eastAsia="SimSun"/>
          <w:noProof/>
          <w:lang w:bidi="ar-SA"/>
        </w:rPr>
      </w:pPr>
      <w:hyperlink w:anchor="_Toc5807429" w:history="1">
        <w:r w:rsidR="00B0037B" w:rsidRPr="00870C14">
          <w:rPr>
            <w:rStyle w:val="Hyperlink"/>
            <w:noProof/>
          </w:rPr>
          <w:t xml:space="preserve">Figure </w:t>
        </w:r>
        <w:r w:rsidR="0014171B">
          <w:rPr>
            <w:rStyle w:val="Hyperlink"/>
            <w:noProof/>
          </w:rPr>
          <w:t>A.9</w:t>
        </w:r>
        <w:r w:rsidR="00B0037B" w:rsidRPr="00870C14">
          <w:rPr>
            <w:rStyle w:val="Hyperlink"/>
            <w:noProof/>
          </w:rPr>
          <w:t xml:space="preserve"> Raw data replicates of ClpP1 + ADEP thermal shift experiments.</w:t>
        </w:r>
        <w:r w:rsidR="00B0037B">
          <w:rPr>
            <w:noProof/>
            <w:webHidden/>
          </w:rPr>
          <w:tab/>
        </w:r>
        <w:r w:rsidR="00B0037B">
          <w:rPr>
            <w:noProof/>
            <w:webHidden/>
          </w:rPr>
          <w:fldChar w:fldCharType="begin"/>
        </w:r>
        <w:r w:rsidR="00B0037B">
          <w:rPr>
            <w:noProof/>
            <w:webHidden/>
          </w:rPr>
          <w:instrText xml:space="preserve"> PAGEREF _Toc5807429 \h </w:instrText>
        </w:r>
        <w:r w:rsidR="00B0037B">
          <w:rPr>
            <w:noProof/>
            <w:webHidden/>
          </w:rPr>
        </w:r>
        <w:r w:rsidR="00B0037B">
          <w:rPr>
            <w:noProof/>
            <w:webHidden/>
          </w:rPr>
          <w:fldChar w:fldCharType="separate"/>
        </w:r>
        <w:r w:rsidR="000A1546">
          <w:rPr>
            <w:noProof/>
            <w:webHidden/>
          </w:rPr>
          <w:t>168</w:t>
        </w:r>
        <w:r w:rsidR="00B0037B">
          <w:rPr>
            <w:noProof/>
            <w:webHidden/>
          </w:rPr>
          <w:fldChar w:fldCharType="end"/>
        </w:r>
      </w:hyperlink>
    </w:p>
    <w:p w14:paraId="7DBB0F19" w14:textId="681C0754" w:rsidR="00B0037B" w:rsidRPr="008D43DB" w:rsidRDefault="00152AAE">
      <w:pPr>
        <w:pStyle w:val="TableofFigures"/>
        <w:tabs>
          <w:tab w:val="right" w:leader="dot" w:pos="8486"/>
        </w:tabs>
        <w:rPr>
          <w:rFonts w:eastAsia="SimSun"/>
          <w:noProof/>
          <w:lang w:bidi="ar-SA"/>
        </w:rPr>
      </w:pPr>
      <w:hyperlink w:anchor="_Toc5807430" w:history="1">
        <w:r w:rsidR="00B0037B" w:rsidRPr="00870C14">
          <w:rPr>
            <w:rStyle w:val="Hyperlink"/>
            <w:noProof/>
          </w:rPr>
          <w:t xml:space="preserve">Figure </w:t>
        </w:r>
        <w:r w:rsidR="0014171B">
          <w:rPr>
            <w:rStyle w:val="Hyperlink"/>
            <w:noProof/>
          </w:rPr>
          <w:t>A.10</w:t>
        </w:r>
        <w:r w:rsidR="00B0037B" w:rsidRPr="00870C14">
          <w:rPr>
            <w:rStyle w:val="Hyperlink"/>
            <w:noProof/>
          </w:rPr>
          <w:t xml:space="preserve"> Raw data replicates of ClpP2 + ADEP thermal shift experiments.</w:t>
        </w:r>
        <w:r w:rsidR="00B0037B">
          <w:rPr>
            <w:noProof/>
            <w:webHidden/>
          </w:rPr>
          <w:tab/>
        </w:r>
        <w:r w:rsidR="00B0037B">
          <w:rPr>
            <w:noProof/>
            <w:webHidden/>
          </w:rPr>
          <w:fldChar w:fldCharType="begin"/>
        </w:r>
        <w:r w:rsidR="00B0037B">
          <w:rPr>
            <w:noProof/>
            <w:webHidden/>
          </w:rPr>
          <w:instrText xml:space="preserve"> PAGEREF _Toc5807430 \h </w:instrText>
        </w:r>
        <w:r w:rsidR="00B0037B">
          <w:rPr>
            <w:noProof/>
            <w:webHidden/>
          </w:rPr>
        </w:r>
        <w:r w:rsidR="00B0037B">
          <w:rPr>
            <w:noProof/>
            <w:webHidden/>
          </w:rPr>
          <w:fldChar w:fldCharType="separate"/>
        </w:r>
        <w:r w:rsidR="000A1546">
          <w:rPr>
            <w:noProof/>
            <w:webHidden/>
          </w:rPr>
          <w:t>168</w:t>
        </w:r>
        <w:r w:rsidR="00B0037B">
          <w:rPr>
            <w:noProof/>
            <w:webHidden/>
          </w:rPr>
          <w:fldChar w:fldCharType="end"/>
        </w:r>
      </w:hyperlink>
    </w:p>
    <w:p w14:paraId="0C3F3CC7" w14:textId="64E7C3EA" w:rsidR="00B0037B" w:rsidRPr="008D43DB" w:rsidRDefault="00152AAE">
      <w:pPr>
        <w:pStyle w:val="TableofFigures"/>
        <w:tabs>
          <w:tab w:val="right" w:leader="dot" w:pos="8486"/>
        </w:tabs>
        <w:rPr>
          <w:rFonts w:eastAsia="SimSun"/>
          <w:noProof/>
          <w:lang w:bidi="ar-SA"/>
        </w:rPr>
      </w:pPr>
      <w:hyperlink w:anchor="_Toc5807431" w:history="1">
        <w:r w:rsidR="00B0037B" w:rsidRPr="00870C14">
          <w:rPr>
            <w:rStyle w:val="Hyperlink"/>
            <w:noProof/>
          </w:rPr>
          <w:t xml:space="preserve">Figure </w:t>
        </w:r>
        <w:r w:rsidR="0014171B">
          <w:rPr>
            <w:rStyle w:val="Hyperlink"/>
            <w:noProof/>
          </w:rPr>
          <w:t>B.1</w:t>
        </w:r>
        <w:r w:rsidR="00B0037B" w:rsidRPr="00870C14">
          <w:rPr>
            <w:rStyle w:val="Hyperlink"/>
            <w:noProof/>
          </w:rPr>
          <w:t xml:space="preserve"> </w:t>
        </w:r>
        <w:r w:rsidR="00B0037B" w:rsidRPr="008D43DB">
          <w:rPr>
            <w:rStyle w:val="Hyperlink"/>
            <w:noProof/>
          </w:rPr>
          <w:t xml:space="preserve">All </w:t>
        </w:r>
        <w:r w:rsidR="00AB3480" w:rsidRPr="00AB3480">
          <w:rPr>
            <w:rStyle w:val="Hyperlink"/>
            <w:i/>
            <w:noProof/>
          </w:rPr>
          <w:t>C. difficile</w:t>
        </w:r>
        <w:r w:rsidR="00B0037B" w:rsidRPr="008D43DB">
          <w:rPr>
            <w:rStyle w:val="Hyperlink"/>
            <w:noProof/>
          </w:rPr>
          <w:t xml:space="preserve"> strains grown anaerobically in minimal defined media supplemented with glucose at 37 </w:t>
        </w:r>
        <w:r w:rsidR="00B0037B" w:rsidRPr="00870C14">
          <w:rPr>
            <w:rStyle w:val="Hyperlink"/>
            <w:noProof/>
          </w:rPr>
          <w:t>º</w:t>
        </w:r>
        <w:r w:rsidR="00B0037B" w:rsidRPr="008D43DB">
          <w:rPr>
            <w:rStyle w:val="Hyperlink"/>
            <w:noProof/>
          </w:rPr>
          <w:t xml:space="preserve">C and 42 </w:t>
        </w:r>
        <w:r w:rsidR="00B0037B" w:rsidRPr="00870C14">
          <w:rPr>
            <w:rStyle w:val="Hyperlink"/>
            <w:noProof/>
          </w:rPr>
          <w:t>º</w:t>
        </w:r>
        <w:r w:rsidR="00B0037B" w:rsidRPr="008D43DB">
          <w:rPr>
            <w:rStyle w:val="Hyperlink"/>
            <w:noProof/>
          </w:rPr>
          <w:t>C.</w:t>
        </w:r>
        <w:r w:rsidR="00B0037B">
          <w:rPr>
            <w:noProof/>
            <w:webHidden/>
          </w:rPr>
          <w:tab/>
        </w:r>
        <w:r w:rsidR="00B0037B">
          <w:rPr>
            <w:noProof/>
            <w:webHidden/>
          </w:rPr>
          <w:fldChar w:fldCharType="begin"/>
        </w:r>
        <w:r w:rsidR="00B0037B">
          <w:rPr>
            <w:noProof/>
            <w:webHidden/>
          </w:rPr>
          <w:instrText xml:space="preserve"> PAGEREF _Toc5807431 \h </w:instrText>
        </w:r>
        <w:r w:rsidR="00B0037B">
          <w:rPr>
            <w:noProof/>
            <w:webHidden/>
          </w:rPr>
        </w:r>
        <w:r w:rsidR="00B0037B">
          <w:rPr>
            <w:noProof/>
            <w:webHidden/>
          </w:rPr>
          <w:fldChar w:fldCharType="separate"/>
        </w:r>
        <w:r w:rsidR="000A1546">
          <w:rPr>
            <w:noProof/>
            <w:webHidden/>
          </w:rPr>
          <w:t>169</w:t>
        </w:r>
        <w:r w:rsidR="00B0037B">
          <w:rPr>
            <w:noProof/>
            <w:webHidden/>
          </w:rPr>
          <w:fldChar w:fldCharType="end"/>
        </w:r>
      </w:hyperlink>
    </w:p>
    <w:p w14:paraId="710B5A28" w14:textId="6D7C4E41" w:rsidR="00B0037B" w:rsidRPr="008D43DB" w:rsidRDefault="00152AAE">
      <w:pPr>
        <w:pStyle w:val="TableofFigures"/>
        <w:tabs>
          <w:tab w:val="right" w:leader="dot" w:pos="8486"/>
        </w:tabs>
        <w:rPr>
          <w:rFonts w:eastAsia="SimSun"/>
          <w:noProof/>
          <w:lang w:bidi="ar-SA"/>
        </w:rPr>
      </w:pPr>
      <w:hyperlink w:anchor="_Toc5807432" w:history="1">
        <w:r w:rsidR="00B0037B" w:rsidRPr="00870C14">
          <w:rPr>
            <w:rStyle w:val="Hyperlink"/>
            <w:noProof/>
          </w:rPr>
          <w:t xml:space="preserve">Figure </w:t>
        </w:r>
        <w:r w:rsidR="0014171B">
          <w:rPr>
            <w:rStyle w:val="Hyperlink"/>
            <w:noProof/>
          </w:rPr>
          <w:t>B.2</w:t>
        </w:r>
        <w:r w:rsidR="00B0037B" w:rsidRPr="00870C14">
          <w:rPr>
            <w:rStyle w:val="Hyperlink"/>
            <w:noProof/>
          </w:rPr>
          <w:t xml:space="preserve"> </w:t>
        </w:r>
        <w:r w:rsidR="00B0037B" w:rsidRPr="008D43DB">
          <w:rPr>
            <w:rStyle w:val="Hyperlink"/>
            <w:noProof/>
          </w:rPr>
          <w:t>Motility assays were performed in 50% BHIS media (0.3% agar) Motility was not significantly reduced in any of the knockout mutants. Statistical significance was assessed via One-way RM ANOVA using Dunnet’s test to correct for multiple comparisons.</w:t>
        </w:r>
        <w:r w:rsidR="00B0037B">
          <w:rPr>
            <w:noProof/>
            <w:webHidden/>
          </w:rPr>
          <w:tab/>
        </w:r>
        <w:r w:rsidR="00B0037B">
          <w:rPr>
            <w:noProof/>
            <w:webHidden/>
          </w:rPr>
          <w:fldChar w:fldCharType="begin"/>
        </w:r>
        <w:r w:rsidR="00B0037B">
          <w:rPr>
            <w:noProof/>
            <w:webHidden/>
          </w:rPr>
          <w:instrText xml:space="preserve"> PAGEREF _Toc5807432 \h </w:instrText>
        </w:r>
        <w:r w:rsidR="00B0037B">
          <w:rPr>
            <w:noProof/>
            <w:webHidden/>
          </w:rPr>
        </w:r>
        <w:r w:rsidR="00B0037B">
          <w:rPr>
            <w:noProof/>
            <w:webHidden/>
          </w:rPr>
          <w:fldChar w:fldCharType="separate"/>
        </w:r>
        <w:r w:rsidR="000A1546">
          <w:rPr>
            <w:noProof/>
            <w:webHidden/>
          </w:rPr>
          <w:t>170</w:t>
        </w:r>
        <w:r w:rsidR="00B0037B">
          <w:rPr>
            <w:noProof/>
            <w:webHidden/>
          </w:rPr>
          <w:fldChar w:fldCharType="end"/>
        </w:r>
      </w:hyperlink>
    </w:p>
    <w:p w14:paraId="5B8EB5C1" w14:textId="40F6C74F" w:rsidR="00B0037B" w:rsidRPr="008D43DB" w:rsidRDefault="00152AAE">
      <w:pPr>
        <w:pStyle w:val="TableofFigures"/>
        <w:tabs>
          <w:tab w:val="right" w:leader="dot" w:pos="8486"/>
        </w:tabs>
        <w:rPr>
          <w:rFonts w:eastAsia="SimSun"/>
          <w:noProof/>
          <w:lang w:bidi="ar-SA"/>
        </w:rPr>
      </w:pPr>
      <w:hyperlink w:anchor="_Toc5807433" w:history="1">
        <w:r w:rsidR="00B0037B" w:rsidRPr="00870C14">
          <w:rPr>
            <w:rStyle w:val="Hyperlink"/>
            <w:noProof/>
          </w:rPr>
          <w:t xml:space="preserve">Figure </w:t>
        </w:r>
        <w:r w:rsidR="0014171B">
          <w:rPr>
            <w:rStyle w:val="Hyperlink"/>
            <w:noProof/>
          </w:rPr>
          <w:t>B.3</w:t>
        </w:r>
        <w:r w:rsidR="00B0037B" w:rsidRPr="00870C14">
          <w:rPr>
            <w:rStyle w:val="Hyperlink"/>
            <w:noProof/>
          </w:rPr>
          <w:t xml:space="preserve"> </w:t>
        </w:r>
        <w:r w:rsidR="00B0037B" w:rsidRPr="008D43DB">
          <w:rPr>
            <w:rStyle w:val="Hyperlink"/>
            <w:noProof/>
          </w:rPr>
          <w:t xml:space="preserve">Bright field microscopy of elongated </w:t>
        </w:r>
        <w:r w:rsidR="00B0037B" w:rsidRPr="008D43DB">
          <w:rPr>
            <w:rStyle w:val="Hyperlink"/>
            <w:b/>
            <w:bCs/>
            <w:noProof/>
          </w:rPr>
          <w:sym w:font="Symbol" w:char="F044"/>
        </w:r>
        <w:r w:rsidR="00B0037B" w:rsidRPr="008D43DB">
          <w:rPr>
            <w:rStyle w:val="Hyperlink"/>
            <w:noProof/>
          </w:rPr>
          <w:t>P1P2 cell phenotype</w:t>
        </w:r>
        <w:r w:rsidR="00B0037B">
          <w:rPr>
            <w:noProof/>
            <w:webHidden/>
          </w:rPr>
          <w:tab/>
        </w:r>
        <w:r w:rsidR="00B0037B">
          <w:rPr>
            <w:noProof/>
            <w:webHidden/>
          </w:rPr>
          <w:fldChar w:fldCharType="begin"/>
        </w:r>
        <w:r w:rsidR="00B0037B">
          <w:rPr>
            <w:noProof/>
            <w:webHidden/>
          </w:rPr>
          <w:instrText xml:space="preserve"> PAGEREF _Toc5807433 \h </w:instrText>
        </w:r>
        <w:r w:rsidR="00B0037B">
          <w:rPr>
            <w:noProof/>
            <w:webHidden/>
          </w:rPr>
        </w:r>
        <w:r w:rsidR="00B0037B">
          <w:rPr>
            <w:noProof/>
            <w:webHidden/>
          </w:rPr>
          <w:fldChar w:fldCharType="separate"/>
        </w:r>
        <w:r w:rsidR="000A1546">
          <w:rPr>
            <w:noProof/>
            <w:webHidden/>
          </w:rPr>
          <w:t>170</w:t>
        </w:r>
        <w:r w:rsidR="00B0037B">
          <w:rPr>
            <w:noProof/>
            <w:webHidden/>
          </w:rPr>
          <w:fldChar w:fldCharType="end"/>
        </w:r>
      </w:hyperlink>
    </w:p>
    <w:p w14:paraId="0CDF8575" w14:textId="4B1175D8" w:rsidR="00B0037B" w:rsidRPr="008D43DB" w:rsidRDefault="00152AAE">
      <w:pPr>
        <w:pStyle w:val="TableofFigures"/>
        <w:tabs>
          <w:tab w:val="right" w:leader="dot" w:pos="8486"/>
        </w:tabs>
        <w:rPr>
          <w:rFonts w:eastAsia="SimSun"/>
          <w:noProof/>
          <w:lang w:bidi="ar-SA"/>
        </w:rPr>
      </w:pPr>
      <w:hyperlink w:anchor="_Toc5807434" w:history="1">
        <w:r w:rsidR="00B0037B" w:rsidRPr="00870C14">
          <w:rPr>
            <w:rStyle w:val="Hyperlink"/>
            <w:noProof/>
          </w:rPr>
          <w:t xml:space="preserve">Figure </w:t>
        </w:r>
        <w:r w:rsidR="0014171B">
          <w:rPr>
            <w:rStyle w:val="Hyperlink"/>
            <w:noProof/>
          </w:rPr>
          <w:t>B.4</w:t>
        </w:r>
        <w:r w:rsidR="00B0037B" w:rsidRPr="00870C14">
          <w:rPr>
            <w:rStyle w:val="Hyperlink"/>
            <w:noProof/>
          </w:rPr>
          <w:t xml:space="preserve"> </w:t>
        </w:r>
        <w:r w:rsidR="00B0037B" w:rsidRPr="008D43DB">
          <w:rPr>
            <w:rStyle w:val="Hyperlink"/>
            <w:noProof/>
          </w:rPr>
          <w:t>TEM overview image of WT harvested from 70:30 plate media</w:t>
        </w:r>
        <w:r w:rsidR="00B0037B">
          <w:rPr>
            <w:noProof/>
            <w:webHidden/>
          </w:rPr>
          <w:tab/>
        </w:r>
        <w:r w:rsidR="00B0037B">
          <w:rPr>
            <w:noProof/>
            <w:webHidden/>
          </w:rPr>
          <w:fldChar w:fldCharType="begin"/>
        </w:r>
        <w:r w:rsidR="00B0037B">
          <w:rPr>
            <w:noProof/>
            <w:webHidden/>
          </w:rPr>
          <w:instrText xml:space="preserve"> PAGEREF _Toc5807434 \h </w:instrText>
        </w:r>
        <w:r w:rsidR="00B0037B">
          <w:rPr>
            <w:noProof/>
            <w:webHidden/>
          </w:rPr>
        </w:r>
        <w:r w:rsidR="00B0037B">
          <w:rPr>
            <w:noProof/>
            <w:webHidden/>
          </w:rPr>
          <w:fldChar w:fldCharType="separate"/>
        </w:r>
        <w:r w:rsidR="000A1546">
          <w:rPr>
            <w:noProof/>
            <w:webHidden/>
          </w:rPr>
          <w:t>171</w:t>
        </w:r>
        <w:r w:rsidR="00B0037B">
          <w:rPr>
            <w:noProof/>
            <w:webHidden/>
          </w:rPr>
          <w:fldChar w:fldCharType="end"/>
        </w:r>
      </w:hyperlink>
    </w:p>
    <w:p w14:paraId="760F92E5" w14:textId="51646C6E" w:rsidR="00B0037B" w:rsidRPr="008D43DB" w:rsidRDefault="00152AAE">
      <w:pPr>
        <w:pStyle w:val="TableofFigures"/>
        <w:tabs>
          <w:tab w:val="right" w:leader="dot" w:pos="8486"/>
        </w:tabs>
        <w:rPr>
          <w:rFonts w:eastAsia="SimSun"/>
          <w:noProof/>
          <w:lang w:bidi="ar-SA"/>
        </w:rPr>
      </w:pPr>
      <w:hyperlink w:anchor="_Toc5807435" w:history="1">
        <w:r w:rsidR="00B0037B" w:rsidRPr="00870C14">
          <w:rPr>
            <w:rStyle w:val="Hyperlink"/>
            <w:noProof/>
          </w:rPr>
          <w:t xml:space="preserve">Figure </w:t>
        </w:r>
        <w:r w:rsidR="0014171B">
          <w:rPr>
            <w:rStyle w:val="Hyperlink"/>
            <w:noProof/>
          </w:rPr>
          <w:t>B.5</w:t>
        </w:r>
        <w:r w:rsidR="00B0037B" w:rsidRPr="00870C14">
          <w:rPr>
            <w:rStyle w:val="Hyperlink"/>
            <w:noProof/>
          </w:rPr>
          <w:t xml:space="preserve"> </w:t>
        </w:r>
        <w:r w:rsidR="00B0037B" w:rsidRPr="008D43DB">
          <w:rPr>
            <w:rStyle w:val="Hyperlink"/>
            <w:noProof/>
          </w:rPr>
          <w:t>TEM overview image of purified WT spores harvested from 70:30 plate media</w:t>
        </w:r>
        <w:r w:rsidR="00B0037B">
          <w:rPr>
            <w:noProof/>
            <w:webHidden/>
          </w:rPr>
          <w:tab/>
        </w:r>
        <w:r w:rsidR="00B0037B">
          <w:rPr>
            <w:noProof/>
            <w:webHidden/>
          </w:rPr>
          <w:fldChar w:fldCharType="begin"/>
        </w:r>
        <w:r w:rsidR="00B0037B">
          <w:rPr>
            <w:noProof/>
            <w:webHidden/>
          </w:rPr>
          <w:instrText xml:space="preserve"> PAGEREF _Toc5807435 \h </w:instrText>
        </w:r>
        <w:r w:rsidR="00B0037B">
          <w:rPr>
            <w:noProof/>
            <w:webHidden/>
          </w:rPr>
        </w:r>
        <w:r w:rsidR="00B0037B">
          <w:rPr>
            <w:noProof/>
            <w:webHidden/>
          </w:rPr>
          <w:fldChar w:fldCharType="separate"/>
        </w:r>
        <w:r w:rsidR="000A1546">
          <w:rPr>
            <w:noProof/>
            <w:webHidden/>
          </w:rPr>
          <w:t>172</w:t>
        </w:r>
        <w:r w:rsidR="00B0037B">
          <w:rPr>
            <w:noProof/>
            <w:webHidden/>
          </w:rPr>
          <w:fldChar w:fldCharType="end"/>
        </w:r>
      </w:hyperlink>
    </w:p>
    <w:p w14:paraId="4E8360A3" w14:textId="6E8D7C93" w:rsidR="00B0037B" w:rsidRPr="008D43DB" w:rsidRDefault="00152AAE">
      <w:pPr>
        <w:pStyle w:val="TableofFigures"/>
        <w:tabs>
          <w:tab w:val="right" w:leader="dot" w:pos="8486"/>
        </w:tabs>
        <w:rPr>
          <w:rFonts w:eastAsia="SimSun"/>
          <w:noProof/>
          <w:lang w:bidi="ar-SA"/>
        </w:rPr>
      </w:pPr>
      <w:hyperlink w:anchor="_Toc5807436" w:history="1">
        <w:r w:rsidR="00B0037B" w:rsidRPr="00870C14">
          <w:rPr>
            <w:rStyle w:val="Hyperlink"/>
            <w:noProof/>
          </w:rPr>
          <w:t xml:space="preserve">Figure </w:t>
        </w:r>
        <w:r w:rsidR="0014171B">
          <w:rPr>
            <w:rStyle w:val="Hyperlink"/>
            <w:noProof/>
          </w:rPr>
          <w:t>B.6</w:t>
        </w:r>
        <w:r w:rsidR="00B0037B" w:rsidRPr="00870C14">
          <w:rPr>
            <w:rStyle w:val="Hyperlink"/>
            <w:noProof/>
          </w:rPr>
          <w:t xml:space="preserve"> </w:t>
        </w:r>
        <w:r w:rsidR="00B0037B" w:rsidRPr="008D43DB">
          <w:rPr>
            <w:rStyle w:val="Hyperlink"/>
            <w:noProof/>
          </w:rPr>
          <w:t xml:space="preserve">TEM overview image of </w:t>
        </w:r>
        <w:r w:rsidR="00B0037B" w:rsidRPr="008D43DB">
          <w:rPr>
            <w:rStyle w:val="Hyperlink"/>
            <w:b/>
            <w:bCs/>
            <w:noProof/>
          </w:rPr>
          <w:sym w:font="Symbol" w:char="F044"/>
        </w:r>
        <w:r w:rsidR="00B0037B" w:rsidRPr="008D43DB">
          <w:rPr>
            <w:rStyle w:val="Hyperlink"/>
            <w:noProof/>
          </w:rPr>
          <w:t>P1 harvested from 70:30 plate media</w:t>
        </w:r>
        <w:r w:rsidR="00B0037B">
          <w:rPr>
            <w:noProof/>
            <w:webHidden/>
          </w:rPr>
          <w:tab/>
        </w:r>
        <w:r w:rsidR="00B0037B">
          <w:rPr>
            <w:noProof/>
            <w:webHidden/>
          </w:rPr>
          <w:fldChar w:fldCharType="begin"/>
        </w:r>
        <w:r w:rsidR="00B0037B">
          <w:rPr>
            <w:noProof/>
            <w:webHidden/>
          </w:rPr>
          <w:instrText xml:space="preserve"> PAGEREF _Toc5807436 \h </w:instrText>
        </w:r>
        <w:r w:rsidR="00B0037B">
          <w:rPr>
            <w:noProof/>
            <w:webHidden/>
          </w:rPr>
        </w:r>
        <w:r w:rsidR="00B0037B">
          <w:rPr>
            <w:noProof/>
            <w:webHidden/>
          </w:rPr>
          <w:fldChar w:fldCharType="separate"/>
        </w:r>
        <w:r w:rsidR="000A1546">
          <w:rPr>
            <w:noProof/>
            <w:webHidden/>
          </w:rPr>
          <w:t>173</w:t>
        </w:r>
        <w:r w:rsidR="00B0037B">
          <w:rPr>
            <w:noProof/>
            <w:webHidden/>
          </w:rPr>
          <w:fldChar w:fldCharType="end"/>
        </w:r>
      </w:hyperlink>
    </w:p>
    <w:p w14:paraId="211F3A63" w14:textId="6CAA1429" w:rsidR="00B0037B" w:rsidRPr="008D43DB" w:rsidRDefault="00152AAE">
      <w:pPr>
        <w:pStyle w:val="TableofFigures"/>
        <w:tabs>
          <w:tab w:val="right" w:leader="dot" w:pos="8486"/>
        </w:tabs>
        <w:rPr>
          <w:rFonts w:eastAsia="SimSun"/>
          <w:noProof/>
          <w:lang w:bidi="ar-SA"/>
        </w:rPr>
      </w:pPr>
      <w:hyperlink w:anchor="_Toc5807437" w:history="1">
        <w:r w:rsidR="00B0037B" w:rsidRPr="00870C14">
          <w:rPr>
            <w:rStyle w:val="Hyperlink"/>
            <w:noProof/>
          </w:rPr>
          <w:t xml:space="preserve">Figure </w:t>
        </w:r>
        <w:r w:rsidR="0014171B">
          <w:rPr>
            <w:rStyle w:val="Hyperlink"/>
            <w:noProof/>
          </w:rPr>
          <w:t xml:space="preserve">B.7 </w:t>
        </w:r>
        <w:r w:rsidR="00B0037B" w:rsidRPr="008D43DB">
          <w:rPr>
            <w:rStyle w:val="Hyperlink"/>
            <w:noProof/>
          </w:rPr>
          <w:t xml:space="preserve">TEM overview image of purified </w:t>
        </w:r>
        <w:r w:rsidR="00B0037B" w:rsidRPr="008D43DB">
          <w:rPr>
            <w:rStyle w:val="Hyperlink"/>
            <w:b/>
            <w:bCs/>
            <w:noProof/>
          </w:rPr>
          <w:sym w:font="Symbol" w:char="F044"/>
        </w:r>
        <w:r w:rsidR="00B0037B" w:rsidRPr="008D43DB">
          <w:rPr>
            <w:rStyle w:val="Hyperlink"/>
            <w:noProof/>
          </w:rPr>
          <w:t>P1 spores harvested from 70:30 plate media</w:t>
        </w:r>
        <w:r w:rsidR="00B0037B">
          <w:rPr>
            <w:noProof/>
            <w:webHidden/>
          </w:rPr>
          <w:tab/>
        </w:r>
        <w:r w:rsidR="00B0037B">
          <w:rPr>
            <w:noProof/>
            <w:webHidden/>
          </w:rPr>
          <w:fldChar w:fldCharType="begin"/>
        </w:r>
        <w:r w:rsidR="00B0037B">
          <w:rPr>
            <w:noProof/>
            <w:webHidden/>
          </w:rPr>
          <w:instrText xml:space="preserve"> PAGEREF _Toc5807437 \h </w:instrText>
        </w:r>
        <w:r w:rsidR="00B0037B">
          <w:rPr>
            <w:noProof/>
            <w:webHidden/>
          </w:rPr>
        </w:r>
        <w:r w:rsidR="00B0037B">
          <w:rPr>
            <w:noProof/>
            <w:webHidden/>
          </w:rPr>
          <w:fldChar w:fldCharType="separate"/>
        </w:r>
        <w:r w:rsidR="000A1546">
          <w:rPr>
            <w:noProof/>
            <w:webHidden/>
          </w:rPr>
          <w:t>174</w:t>
        </w:r>
        <w:r w:rsidR="00B0037B">
          <w:rPr>
            <w:noProof/>
            <w:webHidden/>
          </w:rPr>
          <w:fldChar w:fldCharType="end"/>
        </w:r>
      </w:hyperlink>
    </w:p>
    <w:p w14:paraId="460FB464" w14:textId="14EAEBC3" w:rsidR="00B0037B" w:rsidRPr="008D43DB" w:rsidRDefault="00152AAE">
      <w:pPr>
        <w:pStyle w:val="TableofFigures"/>
        <w:tabs>
          <w:tab w:val="right" w:leader="dot" w:pos="8486"/>
        </w:tabs>
        <w:rPr>
          <w:rFonts w:eastAsia="SimSun"/>
          <w:noProof/>
          <w:lang w:bidi="ar-SA"/>
        </w:rPr>
      </w:pPr>
      <w:hyperlink w:anchor="_Toc5807438" w:history="1">
        <w:r w:rsidR="00B0037B" w:rsidRPr="00870C14">
          <w:rPr>
            <w:rStyle w:val="Hyperlink"/>
            <w:noProof/>
          </w:rPr>
          <w:t xml:space="preserve">Figure </w:t>
        </w:r>
        <w:r w:rsidR="0014171B">
          <w:rPr>
            <w:rStyle w:val="Hyperlink"/>
            <w:noProof/>
          </w:rPr>
          <w:t>B.8</w:t>
        </w:r>
        <w:r w:rsidR="00B0037B" w:rsidRPr="00870C14">
          <w:rPr>
            <w:rStyle w:val="Hyperlink"/>
            <w:noProof/>
          </w:rPr>
          <w:t xml:space="preserve"> </w:t>
        </w:r>
        <w:r w:rsidR="00B0037B" w:rsidRPr="008D43DB">
          <w:rPr>
            <w:rStyle w:val="Hyperlink"/>
            <w:noProof/>
          </w:rPr>
          <w:t xml:space="preserve">TEM overview image of </w:t>
        </w:r>
        <w:r w:rsidR="00B0037B" w:rsidRPr="008D43DB">
          <w:rPr>
            <w:rStyle w:val="Hyperlink"/>
            <w:b/>
            <w:bCs/>
            <w:noProof/>
          </w:rPr>
          <w:sym w:font="Symbol" w:char="F044"/>
        </w:r>
        <w:r w:rsidR="00B0037B" w:rsidRPr="008D43DB">
          <w:rPr>
            <w:rStyle w:val="Hyperlink"/>
            <w:noProof/>
          </w:rPr>
          <w:t>P2 harvested from 70:30 plate media</w:t>
        </w:r>
        <w:r w:rsidR="00B0037B">
          <w:rPr>
            <w:noProof/>
            <w:webHidden/>
          </w:rPr>
          <w:tab/>
        </w:r>
        <w:r w:rsidR="00B0037B">
          <w:rPr>
            <w:noProof/>
            <w:webHidden/>
          </w:rPr>
          <w:fldChar w:fldCharType="begin"/>
        </w:r>
        <w:r w:rsidR="00B0037B">
          <w:rPr>
            <w:noProof/>
            <w:webHidden/>
          </w:rPr>
          <w:instrText xml:space="preserve"> PAGEREF _Toc5807438 \h </w:instrText>
        </w:r>
        <w:r w:rsidR="00B0037B">
          <w:rPr>
            <w:noProof/>
            <w:webHidden/>
          </w:rPr>
        </w:r>
        <w:r w:rsidR="00B0037B">
          <w:rPr>
            <w:noProof/>
            <w:webHidden/>
          </w:rPr>
          <w:fldChar w:fldCharType="separate"/>
        </w:r>
        <w:r w:rsidR="000A1546">
          <w:rPr>
            <w:noProof/>
            <w:webHidden/>
          </w:rPr>
          <w:t>175</w:t>
        </w:r>
        <w:r w:rsidR="00B0037B">
          <w:rPr>
            <w:noProof/>
            <w:webHidden/>
          </w:rPr>
          <w:fldChar w:fldCharType="end"/>
        </w:r>
      </w:hyperlink>
    </w:p>
    <w:p w14:paraId="638844A8" w14:textId="6635B29A" w:rsidR="00B0037B" w:rsidRPr="008D43DB" w:rsidRDefault="00152AAE">
      <w:pPr>
        <w:pStyle w:val="TableofFigures"/>
        <w:tabs>
          <w:tab w:val="right" w:leader="dot" w:pos="8486"/>
        </w:tabs>
        <w:rPr>
          <w:rFonts w:eastAsia="SimSun"/>
          <w:noProof/>
          <w:lang w:bidi="ar-SA"/>
        </w:rPr>
      </w:pPr>
      <w:hyperlink w:anchor="_Toc5807439" w:history="1">
        <w:r w:rsidR="00B0037B" w:rsidRPr="00870C14">
          <w:rPr>
            <w:rStyle w:val="Hyperlink"/>
            <w:noProof/>
          </w:rPr>
          <w:t xml:space="preserve">Figure </w:t>
        </w:r>
        <w:r w:rsidR="0014171B">
          <w:rPr>
            <w:rStyle w:val="Hyperlink"/>
            <w:noProof/>
          </w:rPr>
          <w:t>B.9</w:t>
        </w:r>
        <w:r w:rsidR="00B0037B" w:rsidRPr="00870C14">
          <w:rPr>
            <w:rStyle w:val="Hyperlink"/>
            <w:noProof/>
          </w:rPr>
          <w:t xml:space="preserve"> </w:t>
        </w:r>
        <w:r w:rsidR="00B0037B" w:rsidRPr="008D43DB">
          <w:rPr>
            <w:rStyle w:val="Hyperlink"/>
            <w:noProof/>
          </w:rPr>
          <w:t xml:space="preserve">TEM overview image of purified </w:t>
        </w:r>
        <w:r w:rsidR="00B0037B" w:rsidRPr="008D43DB">
          <w:rPr>
            <w:rStyle w:val="Hyperlink"/>
            <w:b/>
            <w:bCs/>
            <w:noProof/>
          </w:rPr>
          <w:sym w:font="Symbol" w:char="F044"/>
        </w:r>
        <w:r w:rsidR="00B0037B" w:rsidRPr="008D43DB">
          <w:rPr>
            <w:rStyle w:val="Hyperlink"/>
            <w:noProof/>
          </w:rPr>
          <w:t>P2 spores harvested from 70:30 plate media</w:t>
        </w:r>
        <w:r w:rsidR="00B0037B">
          <w:rPr>
            <w:noProof/>
            <w:webHidden/>
          </w:rPr>
          <w:tab/>
        </w:r>
        <w:r w:rsidR="00B0037B">
          <w:rPr>
            <w:noProof/>
            <w:webHidden/>
          </w:rPr>
          <w:fldChar w:fldCharType="begin"/>
        </w:r>
        <w:r w:rsidR="00B0037B">
          <w:rPr>
            <w:noProof/>
            <w:webHidden/>
          </w:rPr>
          <w:instrText xml:space="preserve"> PAGEREF _Toc5807439 \h </w:instrText>
        </w:r>
        <w:r w:rsidR="00B0037B">
          <w:rPr>
            <w:noProof/>
            <w:webHidden/>
          </w:rPr>
        </w:r>
        <w:r w:rsidR="00B0037B">
          <w:rPr>
            <w:noProof/>
            <w:webHidden/>
          </w:rPr>
          <w:fldChar w:fldCharType="separate"/>
        </w:r>
        <w:r w:rsidR="000A1546">
          <w:rPr>
            <w:noProof/>
            <w:webHidden/>
          </w:rPr>
          <w:t>176</w:t>
        </w:r>
        <w:r w:rsidR="00B0037B">
          <w:rPr>
            <w:noProof/>
            <w:webHidden/>
          </w:rPr>
          <w:fldChar w:fldCharType="end"/>
        </w:r>
      </w:hyperlink>
    </w:p>
    <w:p w14:paraId="7DBEC32F" w14:textId="7FED20B2" w:rsidR="00B0037B" w:rsidRPr="008D43DB" w:rsidRDefault="00152AAE">
      <w:pPr>
        <w:pStyle w:val="TableofFigures"/>
        <w:tabs>
          <w:tab w:val="right" w:leader="dot" w:pos="8486"/>
        </w:tabs>
        <w:rPr>
          <w:rFonts w:eastAsia="SimSun"/>
          <w:noProof/>
          <w:lang w:bidi="ar-SA"/>
        </w:rPr>
      </w:pPr>
      <w:hyperlink w:anchor="_Toc5807440" w:history="1">
        <w:r w:rsidR="00B0037B" w:rsidRPr="00870C14">
          <w:rPr>
            <w:rStyle w:val="Hyperlink"/>
            <w:noProof/>
          </w:rPr>
          <w:t xml:space="preserve">Figure </w:t>
        </w:r>
        <w:r w:rsidR="0014171B">
          <w:rPr>
            <w:rStyle w:val="Hyperlink"/>
            <w:noProof/>
          </w:rPr>
          <w:t>B.10</w:t>
        </w:r>
        <w:r w:rsidR="00B0037B" w:rsidRPr="00870C14">
          <w:rPr>
            <w:rStyle w:val="Hyperlink"/>
            <w:noProof/>
          </w:rPr>
          <w:t xml:space="preserve"> </w:t>
        </w:r>
        <w:r w:rsidR="00B0037B" w:rsidRPr="008D43DB">
          <w:rPr>
            <w:rStyle w:val="Hyperlink"/>
            <w:noProof/>
          </w:rPr>
          <w:t xml:space="preserve">TEM overview image of </w:t>
        </w:r>
        <w:r w:rsidR="00B0037B" w:rsidRPr="008D43DB">
          <w:rPr>
            <w:rStyle w:val="Hyperlink"/>
            <w:b/>
            <w:bCs/>
            <w:noProof/>
          </w:rPr>
          <w:sym w:font="Symbol" w:char="F044"/>
        </w:r>
        <w:r w:rsidR="00B0037B" w:rsidRPr="008D43DB">
          <w:rPr>
            <w:rStyle w:val="Hyperlink"/>
            <w:noProof/>
          </w:rPr>
          <w:t>P1P2 harvested from 70:30 plate media</w:t>
        </w:r>
        <w:r w:rsidR="00B0037B">
          <w:rPr>
            <w:noProof/>
            <w:webHidden/>
          </w:rPr>
          <w:tab/>
        </w:r>
        <w:r w:rsidR="00B0037B">
          <w:rPr>
            <w:noProof/>
            <w:webHidden/>
          </w:rPr>
          <w:fldChar w:fldCharType="begin"/>
        </w:r>
        <w:r w:rsidR="00B0037B">
          <w:rPr>
            <w:noProof/>
            <w:webHidden/>
          </w:rPr>
          <w:instrText xml:space="preserve"> PAGEREF _Toc5807440 \h </w:instrText>
        </w:r>
        <w:r w:rsidR="00B0037B">
          <w:rPr>
            <w:noProof/>
            <w:webHidden/>
          </w:rPr>
        </w:r>
        <w:r w:rsidR="00B0037B">
          <w:rPr>
            <w:noProof/>
            <w:webHidden/>
          </w:rPr>
          <w:fldChar w:fldCharType="separate"/>
        </w:r>
        <w:r w:rsidR="000A1546">
          <w:rPr>
            <w:noProof/>
            <w:webHidden/>
          </w:rPr>
          <w:t>177</w:t>
        </w:r>
        <w:r w:rsidR="00B0037B">
          <w:rPr>
            <w:noProof/>
            <w:webHidden/>
          </w:rPr>
          <w:fldChar w:fldCharType="end"/>
        </w:r>
      </w:hyperlink>
    </w:p>
    <w:p w14:paraId="1A52E055" w14:textId="3D1BDBE9" w:rsidR="00B0037B" w:rsidRPr="008D43DB" w:rsidRDefault="00152AAE">
      <w:pPr>
        <w:pStyle w:val="TableofFigures"/>
        <w:tabs>
          <w:tab w:val="right" w:leader="dot" w:pos="8486"/>
        </w:tabs>
        <w:rPr>
          <w:rFonts w:eastAsia="SimSun"/>
          <w:noProof/>
          <w:lang w:bidi="ar-SA"/>
        </w:rPr>
      </w:pPr>
      <w:hyperlink w:anchor="_Toc5807441" w:history="1">
        <w:r w:rsidR="00B0037B" w:rsidRPr="00870C14">
          <w:rPr>
            <w:rStyle w:val="Hyperlink"/>
            <w:noProof/>
          </w:rPr>
          <w:t xml:space="preserve">Figure </w:t>
        </w:r>
        <w:r w:rsidR="0014171B">
          <w:rPr>
            <w:rStyle w:val="Hyperlink"/>
            <w:noProof/>
          </w:rPr>
          <w:t>B.11</w:t>
        </w:r>
        <w:r w:rsidR="00B0037B" w:rsidRPr="00870C14">
          <w:rPr>
            <w:rStyle w:val="Hyperlink"/>
            <w:noProof/>
          </w:rPr>
          <w:t xml:space="preserve"> </w:t>
        </w:r>
        <w:r w:rsidR="00B0037B" w:rsidRPr="008D43DB">
          <w:rPr>
            <w:rStyle w:val="Hyperlink"/>
            <w:noProof/>
          </w:rPr>
          <w:t xml:space="preserve">TEM overview image of purified </w:t>
        </w:r>
        <w:r w:rsidR="00B0037B" w:rsidRPr="008D43DB">
          <w:rPr>
            <w:rStyle w:val="Hyperlink"/>
            <w:b/>
            <w:bCs/>
            <w:noProof/>
          </w:rPr>
          <w:sym w:font="Symbol" w:char="F044"/>
        </w:r>
        <w:r w:rsidR="00B0037B" w:rsidRPr="008D43DB">
          <w:rPr>
            <w:rStyle w:val="Hyperlink"/>
            <w:noProof/>
          </w:rPr>
          <w:t>P1P2 spores harvested from 70:30 plate media</w:t>
        </w:r>
        <w:r w:rsidR="00B0037B">
          <w:rPr>
            <w:noProof/>
            <w:webHidden/>
          </w:rPr>
          <w:tab/>
        </w:r>
        <w:r w:rsidR="00B0037B">
          <w:rPr>
            <w:noProof/>
            <w:webHidden/>
          </w:rPr>
          <w:fldChar w:fldCharType="begin"/>
        </w:r>
        <w:r w:rsidR="00B0037B">
          <w:rPr>
            <w:noProof/>
            <w:webHidden/>
          </w:rPr>
          <w:instrText xml:space="preserve"> PAGEREF _Toc5807441 \h </w:instrText>
        </w:r>
        <w:r w:rsidR="00B0037B">
          <w:rPr>
            <w:noProof/>
            <w:webHidden/>
          </w:rPr>
        </w:r>
        <w:r w:rsidR="00B0037B">
          <w:rPr>
            <w:noProof/>
            <w:webHidden/>
          </w:rPr>
          <w:fldChar w:fldCharType="separate"/>
        </w:r>
        <w:r w:rsidR="000A1546">
          <w:rPr>
            <w:noProof/>
            <w:webHidden/>
          </w:rPr>
          <w:t>178</w:t>
        </w:r>
        <w:r w:rsidR="00B0037B">
          <w:rPr>
            <w:noProof/>
            <w:webHidden/>
          </w:rPr>
          <w:fldChar w:fldCharType="end"/>
        </w:r>
      </w:hyperlink>
    </w:p>
    <w:p w14:paraId="7874D2E6" w14:textId="043C20EB" w:rsidR="00B0037B" w:rsidRPr="008D43DB" w:rsidRDefault="00152AAE">
      <w:pPr>
        <w:pStyle w:val="TableofFigures"/>
        <w:tabs>
          <w:tab w:val="right" w:leader="dot" w:pos="8486"/>
        </w:tabs>
        <w:rPr>
          <w:rFonts w:eastAsia="SimSun"/>
          <w:noProof/>
          <w:lang w:bidi="ar-SA"/>
        </w:rPr>
      </w:pPr>
      <w:hyperlink w:anchor="_Toc5807442" w:history="1">
        <w:r w:rsidR="00B0037B" w:rsidRPr="00870C14">
          <w:rPr>
            <w:rStyle w:val="Hyperlink"/>
            <w:noProof/>
          </w:rPr>
          <w:t xml:space="preserve">Figure </w:t>
        </w:r>
        <w:r w:rsidR="0014171B">
          <w:rPr>
            <w:rStyle w:val="Hyperlink"/>
            <w:noProof/>
          </w:rPr>
          <w:t>B.12</w:t>
        </w:r>
        <w:r w:rsidR="00B0037B" w:rsidRPr="00870C14">
          <w:rPr>
            <w:rStyle w:val="Hyperlink"/>
            <w:noProof/>
          </w:rPr>
          <w:t xml:space="preserve"> </w:t>
        </w:r>
        <w:r w:rsidR="00B0037B" w:rsidRPr="008D43DB">
          <w:rPr>
            <w:rStyle w:val="Hyperlink"/>
            <w:noProof/>
          </w:rPr>
          <w:t>Spore production is significantly lower in BHIS liquid media for all mutants with comparison to WT</w:t>
        </w:r>
        <w:r w:rsidR="00B0037B">
          <w:rPr>
            <w:noProof/>
            <w:webHidden/>
          </w:rPr>
          <w:tab/>
        </w:r>
        <w:r w:rsidR="00B0037B">
          <w:rPr>
            <w:noProof/>
            <w:webHidden/>
          </w:rPr>
          <w:fldChar w:fldCharType="begin"/>
        </w:r>
        <w:r w:rsidR="00B0037B">
          <w:rPr>
            <w:noProof/>
            <w:webHidden/>
          </w:rPr>
          <w:instrText xml:space="preserve"> PAGEREF _Toc5807442 \h </w:instrText>
        </w:r>
        <w:r w:rsidR="00B0037B">
          <w:rPr>
            <w:noProof/>
            <w:webHidden/>
          </w:rPr>
        </w:r>
        <w:r w:rsidR="00B0037B">
          <w:rPr>
            <w:noProof/>
            <w:webHidden/>
          </w:rPr>
          <w:fldChar w:fldCharType="separate"/>
        </w:r>
        <w:r w:rsidR="000A1546">
          <w:rPr>
            <w:noProof/>
            <w:webHidden/>
          </w:rPr>
          <w:t>179</w:t>
        </w:r>
        <w:r w:rsidR="00B0037B">
          <w:rPr>
            <w:noProof/>
            <w:webHidden/>
          </w:rPr>
          <w:fldChar w:fldCharType="end"/>
        </w:r>
      </w:hyperlink>
    </w:p>
    <w:p w14:paraId="0CB7EAFD" w14:textId="77777777" w:rsidR="004F08F0" w:rsidRDefault="00F7122D" w:rsidP="007D5BF8">
      <w:pPr>
        <w:pStyle w:val="Heading1"/>
      </w:pPr>
      <w:r>
        <w:fldChar w:fldCharType="end"/>
      </w:r>
    </w:p>
    <w:p w14:paraId="5C6DCE2F" w14:textId="77777777" w:rsidR="004F08F0" w:rsidRDefault="004F08F0">
      <w:pPr>
        <w:spacing w:line="240" w:lineRule="auto"/>
        <w:rPr>
          <w:b/>
          <w:bCs/>
          <w:sz w:val="28"/>
          <w:szCs w:val="28"/>
        </w:rPr>
      </w:pPr>
      <w:r>
        <w:br w:type="page"/>
      </w:r>
    </w:p>
    <w:p w14:paraId="746FD70C" w14:textId="1492068B" w:rsidR="00257101" w:rsidRPr="00DA676D" w:rsidRDefault="00257101" w:rsidP="007D5BF8">
      <w:pPr>
        <w:pStyle w:val="Heading1"/>
      </w:pPr>
      <w:bookmarkStart w:id="8" w:name="_Toc8392723"/>
      <w:r w:rsidRPr="00DA676D">
        <w:lastRenderedPageBreak/>
        <w:t>List of Abbreviations</w:t>
      </w:r>
      <w:bookmarkEnd w:id="8"/>
      <w:r w:rsidR="009F2628" w:rsidRPr="00DA676D">
        <w:fldChar w:fldCharType="begin"/>
      </w:r>
      <w:r w:rsidR="009F2628" w:rsidRPr="00DA676D">
        <w:instrText xml:space="preserve"> XE "List of Abbreviations" </w:instrText>
      </w:r>
      <w:r w:rsidR="009F2628" w:rsidRPr="00DA676D">
        <w:fldChar w:fldCharType="end"/>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9"/>
        <w:gridCol w:w="5711"/>
      </w:tblGrid>
      <w:tr w:rsidR="009F2628" w:rsidRPr="00E831D6" w14:paraId="3FBFB65D" w14:textId="77777777" w:rsidTr="009F2628">
        <w:tc>
          <w:tcPr>
            <w:tcW w:w="1695" w:type="pct"/>
          </w:tcPr>
          <w:p w14:paraId="79D1B232" w14:textId="77777777" w:rsidR="009F2628" w:rsidRPr="00E831D6" w:rsidRDefault="009F2628" w:rsidP="00257101">
            <w:pPr>
              <w:spacing w:line="240" w:lineRule="auto"/>
            </w:pPr>
            <w:r w:rsidRPr="00E831D6">
              <w:t>Abz</w:t>
            </w:r>
          </w:p>
        </w:tc>
        <w:tc>
          <w:tcPr>
            <w:tcW w:w="3305" w:type="pct"/>
          </w:tcPr>
          <w:p w14:paraId="7CAE249E" w14:textId="77777777" w:rsidR="009F2628" w:rsidRPr="00E831D6" w:rsidRDefault="009F2628" w:rsidP="00257101">
            <w:pPr>
              <w:spacing w:line="240" w:lineRule="auto"/>
            </w:pPr>
            <w:r>
              <w:t>A</w:t>
            </w:r>
            <w:r w:rsidRPr="00E831D6">
              <w:t xml:space="preserve">minobenzoic </w:t>
            </w:r>
            <w:r>
              <w:t>A</w:t>
            </w:r>
            <w:r w:rsidRPr="00E831D6">
              <w:t xml:space="preserve">cid </w:t>
            </w:r>
            <w:r>
              <w:t>F</w:t>
            </w:r>
            <w:r w:rsidRPr="00E831D6">
              <w:t>luorophore</w:t>
            </w:r>
          </w:p>
        </w:tc>
      </w:tr>
      <w:tr w:rsidR="009F2628" w:rsidRPr="00E831D6" w14:paraId="2DA9BF16" w14:textId="77777777" w:rsidTr="009F2628">
        <w:tc>
          <w:tcPr>
            <w:tcW w:w="1695" w:type="pct"/>
          </w:tcPr>
          <w:p w14:paraId="38C3D617" w14:textId="77777777" w:rsidR="009F2628" w:rsidRPr="00E831D6" w:rsidRDefault="009F2628" w:rsidP="00257101">
            <w:pPr>
              <w:spacing w:line="240" w:lineRule="auto"/>
            </w:pPr>
            <w:r w:rsidRPr="00E831D6">
              <w:t>ACP</w:t>
            </w:r>
          </w:p>
        </w:tc>
        <w:tc>
          <w:tcPr>
            <w:tcW w:w="3305" w:type="pct"/>
          </w:tcPr>
          <w:p w14:paraId="4BF9150F" w14:textId="77777777" w:rsidR="009F2628" w:rsidRPr="00E831D6" w:rsidRDefault="009F2628" w:rsidP="00257101">
            <w:pPr>
              <w:spacing w:line="240" w:lineRule="auto"/>
            </w:pPr>
            <w:r>
              <w:t>Activators of Cylindrical Proteases</w:t>
            </w:r>
          </w:p>
        </w:tc>
      </w:tr>
      <w:tr w:rsidR="009F2628" w:rsidRPr="00E831D6" w14:paraId="2A19BC06" w14:textId="77777777" w:rsidTr="009F2628">
        <w:tc>
          <w:tcPr>
            <w:tcW w:w="1695" w:type="pct"/>
          </w:tcPr>
          <w:p w14:paraId="64147247" w14:textId="77777777" w:rsidR="009F2628" w:rsidRPr="00E831D6" w:rsidRDefault="009F2628" w:rsidP="00257101">
            <w:pPr>
              <w:spacing w:line="240" w:lineRule="auto"/>
            </w:pPr>
            <w:r w:rsidRPr="00E831D6">
              <w:t>ADEP</w:t>
            </w:r>
          </w:p>
        </w:tc>
        <w:tc>
          <w:tcPr>
            <w:tcW w:w="3305" w:type="pct"/>
          </w:tcPr>
          <w:p w14:paraId="7F70EBF9" w14:textId="77777777" w:rsidR="009F2628" w:rsidRPr="00E831D6" w:rsidRDefault="009F2628" w:rsidP="00257101">
            <w:pPr>
              <w:spacing w:line="240" w:lineRule="auto"/>
            </w:pPr>
            <w:r>
              <w:t>Acyldepsipeptides</w:t>
            </w:r>
          </w:p>
        </w:tc>
      </w:tr>
      <w:tr w:rsidR="009F2628" w:rsidRPr="00E831D6" w14:paraId="0E64635C" w14:textId="77777777" w:rsidTr="009F2628">
        <w:tc>
          <w:tcPr>
            <w:tcW w:w="1695" w:type="pct"/>
          </w:tcPr>
          <w:p w14:paraId="384F02BA" w14:textId="77777777" w:rsidR="009F2628" w:rsidRPr="00E831D6" w:rsidRDefault="009F2628" w:rsidP="00257101">
            <w:pPr>
              <w:spacing w:line="240" w:lineRule="auto"/>
            </w:pPr>
            <w:r w:rsidRPr="00E831D6">
              <w:t>ADP</w:t>
            </w:r>
          </w:p>
        </w:tc>
        <w:tc>
          <w:tcPr>
            <w:tcW w:w="3305" w:type="pct"/>
          </w:tcPr>
          <w:p w14:paraId="4A287D86" w14:textId="77777777" w:rsidR="009F2628" w:rsidRPr="00E831D6" w:rsidRDefault="009F2628" w:rsidP="00257101">
            <w:pPr>
              <w:spacing w:line="240" w:lineRule="auto"/>
            </w:pPr>
            <w:r>
              <w:t>Adenosine Phosphate</w:t>
            </w:r>
          </w:p>
        </w:tc>
      </w:tr>
      <w:tr w:rsidR="009F2628" w:rsidRPr="00E831D6" w14:paraId="6A3B593C" w14:textId="77777777" w:rsidTr="009F2628">
        <w:tc>
          <w:tcPr>
            <w:tcW w:w="1695" w:type="pct"/>
          </w:tcPr>
          <w:p w14:paraId="3C44868E" w14:textId="77777777" w:rsidR="009F2628" w:rsidRPr="00E831D6" w:rsidRDefault="009F2628" w:rsidP="00257101">
            <w:pPr>
              <w:spacing w:line="240" w:lineRule="auto"/>
            </w:pPr>
            <w:r w:rsidRPr="00E831D6">
              <w:t>ASE</w:t>
            </w:r>
          </w:p>
        </w:tc>
        <w:tc>
          <w:tcPr>
            <w:tcW w:w="3305" w:type="pct"/>
          </w:tcPr>
          <w:p w14:paraId="2BEAD007" w14:textId="77777777" w:rsidR="009F2628" w:rsidRPr="00E831D6" w:rsidRDefault="009F2628" w:rsidP="00257101">
            <w:pPr>
              <w:spacing w:line="240" w:lineRule="auto"/>
            </w:pPr>
            <w:r>
              <w:t>Apparent Sporulation Efficiency</w:t>
            </w:r>
          </w:p>
        </w:tc>
      </w:tr>
      <w:tr w:rsidR="009F2628" w:rsidRPr="00E831D6" w14:paraId="05A33CA5" w14:textId="77777777" w:rsidTr="009F2628">
        <w:tc>
          <w:tcPr>
            <w:tcW w:w="1695" w:type="pct"/>
          </w:tcPr>
          <w:p w14:paraId="01DB3196" w14:textId="77777777" w:rsidR="009F2628" w:rsidRPr="00E831D6" w:rsidRDefault="009F2628" w:rsidP="00257101">
            <w:pPr>
              <w:spacing w:line="240" w:lineRule="auto"/>
            </w:pPr>
            <w:r w:rsidRPr="00E831D6">
              <w:t>ATP</w:t>
            </w:r>
          </w:p>
        </w:tc>
        <w:tc>
          <w:tcPr>
            <w:tcW w:w="3305" w:type="pct"/>
          </w:tcPr>
          <w:p w14:paraId="5109F25A" w14:textId="77777777" w:rsidR="009F2628" w:rsidRPr="00E831D6" w:rsidRDefault="009F2628" w:rsidP="00257101">
            <w:pPr>
              <w:spacing w:line="240" w:lineRule="auto"/>
            </w:pPr>
            <w:r>
              <w:t>Adenosine Triphosphate</w:t>
            </w:r>
          </w:p>
        </w:tc>
      </w:tr>
      <w:tr w:rsidR="009F2628" w:rsidRPr="00E831D6" w14:paraId="2CA4382B" w14:textId="77777777" w:rsidTr="009F2628">
        <w:tc>
          <w:tcPr>
            <w:tcW w:w="1695" w:type="pct"/>
          </w:tcPr>
          <w:p w14:paraId="625A372B" w14:textId="77777777" w:rsidR="009F2628" w:rsidRPr="00E831D6" w:rsidRDefault="009F2628" w:rsidP="00257101">
            <w:pPr>
              <w:spacing w:line="240" w:lineRule="auto"/>
            </w:pPr>
            <w:r w:rsidRPr="00E831D6">
              <w:t>BCAA</w:t>
            </w:r>
          </w:p>
        </w:tc>
        <w:tc>
          <w:tcPr>
            <w:tcW w:w="3305" w:type="pct"/>
          </w:tcPr>
          <w:p w14:paraId="3A03536C" w14:textId="77777777" w:rsidR="009F2628" w:rsidRPr="00E831D6" w:rsidRDefault="009F2628" w:rsidP="00257101">
            <w:pPr>
              <w:spacing w:line="240" w:lineRule="auto"/>
            </w:pPr>
            <w:r>
              <w:t>Branched Chain Amino Acid</w:t>
            </w:r>
          </w:p>
        </w:tc>
      </w:tr>
      <w:tr w:rsidR="009F2628" w:rsidRPr="00E831D6" w14:paraId="62CBD9DE" w14:textId="77777777" w:rsidTr="009F2628">
        <w:tc>
          <w:tcPr>
            <w:tcW w:w="1695" w:type="pct"/>
          </w:tcPr>
          <w:p w14:paraId="330B8C9C" w14:textId="77777777" w:rsidR="009F2628" w:rsidRPr="00E831D6" w:rsidRDefault="009F2628" w:rsidP="00257101">
            <w:pPr>
              <w:spacing w:line="240" w:lineRule="auto"/>
            </w:pPr>
            <w:r w:rsidRPr="00E831D6">
              <w:t>BHIS</w:t>
            </w:r>
          </w:p>
        </w:tc>
        <w:tc>
          <w:tcPr>
            <w:tcW w:w="3305" w:type="pct"/>
          </w:tcPr>
          <w:p w14:paraId="5D1DFEFB" w14:textId="77777777" w:rsidR="009F2628" w:rsidRPr="00E831D6" w:rsidRDefault="009F2628" w:rsidP="00257101">
            <w:pPr>
              <w:spacing w:line="240" w:lineRule="auto"/>
            </w:pPr>
            <w:r>
              <w:t>Supplemented Brain Heart Infusion</w:t>
            </w:r>
          </w:p>
        </w:tc>
      </w:tr>
      <w:tr w:rsidR="009F2628" w14:paraId="798B3AC7" w14:textId="77777777" w:rsidTr="009F2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5" w:type="pct"/>
            <w:tcBorders>
              <w:top w:val="nil"/>
              <w:left w:val="nil"/>
              <w:bottom w:val="nil"/>
              <w:right w:val="nil"/>
            </w:tcBorders>
          </w:tcPr>
          <w:p w14:paraId="41720F10" w14:textId="77777777" w:rsidR="009F2628" w:rsidRPr="009F2628" w:rsidRDefault="009F2628" w:rsidP="009F2628">
            <w:pPr>
              <w:spacing w:line="240" w:lineRule="auto"/>
              <w:rPr>
                <w:bCs/>
              </w:rPr>
            </w:pPr>
            <w:r w:rsidRPr="009F2628">
              <w:rPr>
                <w:bCs/>
              </w:rPr>
              <w:t>BLAST</w:t>
            </w:r>
          </w:p>
        </w:tc>
        <w:tc>
          <w:tcPr>
            <w:tcW w:w="3305" w:type="pct"/>
            <w:tcBorders>
              <w:top w:val="nil"/>
              <w:left w:val="nil"/>
              <w:bottom w:val="nil"/>
              <w:right w:val="nil"/>
            </w:tcBorders>
          </w:tcPr>
          <w:p w14:paraId="4FB8A47D" w14:textId="77777777" w:rsidR="009F2628" w:rsidRPr="009F2628" w:rsidRDefault="009F2628" w:rsidP="009F2628">
            <w:pPr>
              <w:spacing w:line="240" w:lineRule="auto"/>
              <w:rPr>
                <w:bCs/>
              </w:rPr>
            </w:pPr>
            <w:r w:rsidRPr="009F2628">
              <w:rPr>
                <w:bCs/>
              </w:rPr>
              <w:t>Basic local alignment search tool</w:t>
            </w:r>
          </w:p>
        </w:tc>
      </w:tr>
      <w:tr w:rsidR="009F2628" w:rsidRPr="00E831D6" w14:paraId="71A0595F" w14:textId="77777777" w:rsidTr="009F2628">
        <w:tc>
          <w:tcPr>
            <w:tcW w:w="1695" w:type="pct"/>
          </w:tcPr>
          <w:p w14:paraId="6D5AEFA8" w14:textId="77777777" w:rsidR="009F2628" w:rsidRPr="00E831D6" w:rsidRDefault="009F2628" w:rsidP="00257101">
            <w:pPr>
              <w:spacing w:line="240" w:lineRule="auto"/>
            </w:pPr>
            <w:r w:rsidRPr="009F2628">
              <w:rPr>
                <w:i/>
              </w:rPr>
              <w:t>Bs</w:t>
            </w:r>
            <w:r w:rsidRPr="00E831D6">
              <w:t>ClpP</w:t>
            </w:r>
          </w:p>
        </w:tc>
        <w:tc>
          <w:tcPr>
            <w:tcW w:w="3305" w:type="pct"/>
          </w:tcPr>
          <w:p w14:paraId="54A8FA8A" w14:textId="77777777" w:rsidR="009F2628" w:rsidRPr="00E831D6" w:rsidRDefault="009F2628" w:rsidP="00257101">
            <w:pPr>
              <w:spacing w:line="240" w:lineRule="auto"/>
            </w:pPr>
            <w:r>
              <w:rPr>
                <w:i/>
              </w:rPr>
              <w:t xml:space="preserve">Bacillus subtilis </w:t>
            </w:r>
            <w:r>
              <w:t>Caseinolytic Protease P</w:t>
            </w:r>
          </w:p>
        </w:tc>
      </w:tr>
      <w:tr w:rsidR="009F2628" w:rsidRPr="00E831D6" w14:paraId="0E77C396" w14:textId="77777777" w:rsidTr="009F2628">
        <w:tc>
          <w:tcPr>
            <w:tcW w:w="1695" w:type="pct"/>
          </w:tcPr>
          <w:p w14:paraId="2F91782A" w14:textId="77777777" w:rsidR="009F2628" w:rsidRPr="00E831D6" w:rsidRDefault="009F2628" w:rsidP="00257101">
            <w:pPr>
              <w:spacing w:line="240" w:lineRule="auto"/>
            </w:pPr>
            <w:r w:rsidRPr="00E831D6">
              <w:t>CCK-8</w:t>
            </w:r>
          </w:p>
        </w:tc>
        <w:tc>
          <w:tcPr>
            <w:tcW w:w="3305" w:type="pct"/>
          </w:tcPr>
          <w:p w14:paraId="7ABBB766" w14:textId="77777777" w:rsidR="009F2628" w:rsidRPr="00E831D6" w:rsidRDefault="009F2628" w:rsidP="00257101">
            <w:pPr>
              <w:spacing w:line="240" w:lineRule="auto"/>
            </w:pPr>
            <w:r>
              <w:t>Cell Counting Kit-8</w:t>
            </w:r>
          </w:p>
        </w:tc>
      </w:tr>
      <w:tr w:rsidR="009F2628" w:rsidRPr="00E831D6" w14:paraId="491BA2D8" w14:textId="77777777" w:rsidTr="009F2628">
        <w:tc>
          <w:tcPr>
            <w:tcW w:w="1695" w:type="pct"/>
          </w:tcPr>
          <w:p w14:paraId="23970AF7" w14:textId="77777777" w:rsidR="009F2628" w:rsidRPr="00E831D6" w:rsidRDefault="009F2628" w:rsidP="00257101">
            <w:pPr>
              <w:spacing w:line="240" w:lineRule="auto"/>
            </w:pPr>
            <w:r w:rsidRPr="00E831D6">
              <w:t>CDC</w:t>
            </w:r>
          </w:p>
        </w:tc>
        <w:tc>
          <w:tcPr>
            <w:tcW w:w="3305" w:type="pct"/>
          </w:tcPr>
          <w:p w14:paraId="748C656B" w14:textId="77777777" w:rsidR="009F2628" w:rsidRPr="00E831D6" w:rsidRDefault="009F2628" w:rsidP="00257101">
            <w:pPr>
              <w:spacing w:line="240" w:lineRule="auto"/>
            </w:pPr>
            <w:r>
              <w:t>Centers for Disease Control</w:t>
            </w:r>
          </w:p>
        </w:tc>
      </w:tr>
      <w:tr w:rsidR="009F2628" w:rsidRPr="00E831D6" w14:paraId="1E9D0102" w14:textId="77777777" w:rsidTr="009F2628">
        <w:tc>
          <w:tcPr>
            <w:tcW w:w="1695" w:type="pct"/>
          </w:tcPr>
          <w:p w14:paraId="444324BD" w14:textId="77777777" w:rsidR="009F2628" w:rsidRPr="00E831D6" w:rsidRDefault="009F2628" w:rsidP="00257101">
            <w:pPr>
              <w:spacing w:line="240" w:lineRule="auto"/>
            </w:pPr>
            <w:r w:rsidRPr="00E831D6">
              <w:t>CDI</w:t>
            </w:r>
          </w:p>
        </w:tc>
        <w:tc>
          <w:tcPr>
            <w:tcW w:w="3305" w:type="pct"/>
          </w:tcPr>
          <w:p w14:paraId="5EE5528E" w14:textId="29A99CB8" w:rsidR="009F2628" w:rsidRPr="00E831D6" w:rsidRDefault="00AB3480" w:rsidP="00257101">
            <w:pPr>
              <w:spacing w:line="240" w:lineRule="auto"/>
            </w:pPr>
            <w:r w:rsidRPr="00AB3480">
              <w:rPr>
                <w:i/>
              </w:rPr>
              <w:t>Clostridium difficile</w:t>
            </w:r>
            <w:r w:rsidR="009F2628">
              <w:rPr>
                <w:i/>
              </w:rPr>
              <w:t xml:space="preserve"> </w:t>
            </w:r>
            <w:r w:rsidR="009F2628">
              <w:t>infection</w:t>
            </w:r>
          </w:p>
        </w:tc>
      </w:tr>
      <w:tr w:rsidR="009F2628" w:rsidRPr="00E831D6" w14:paraId="63DC3720" w14:textId="77777777" w:rsidTr="009F2628">
        <w:tc>
          <w:tcPr>
            <w:tcW w:w="1695" w:type="pct"/>
          </w:tcPr>
          <w:p w14:paraId="083C6107" w14:textId="77777777" w:rsidR="009F2628" w:rsidRPr="00E831D6" w:rsidRDefault="009F2628" w:rsidP="00257101">
            <w:pPr>
              <w:spacing w:line="240" w:lineRule="auto"/>
            </w:pPr>
            <w:r w:rsidRPr="00E831D6">
              <w:t>CDTloc</w:t>
            </w:r>
          </w:p>
        </w:tc>
        <w:tc>
          <w:tcPr>
            <w:tcW w:w="3305" w:type="pct"/>
          </w:tcPr>
          <w:p w14:paraId="0F62FEF8" w14:textId="77777777" w:rsidR="009F2628" w:rsidRPr="00E831D6" w:rsidRDefault="009F2628" w:rsidP="00257101">
            <w:pPr>
              <w:spacing w:line="240" w:lineRule="auto"/>
            </w:pPr>
            <w:r w:rsidRPr="00E831D6">
              <w:t>CDT locus</w:t>
            </w:r>
          </w:p>
        </w:tc>
      </w:tr>
      <w:tr w:rsidR="009F2628" w:rsidRPr="00E831D6" w14:paraId="4B67C260" w14:textId="77777777" w:rsidTr="009F2628">
        <w:tc>
          <w:tcPr>
            <w:tcW w:w="1695" w:type="pct"/>
          </w:tcPr>
          <w:p w14:paraId="123BA7F6" w14:textId="77777777" w:rsidR="009F2628" w:rsidRPr="00E831D6" w:rsidRDefault="009F2628" w:rsidP="00257101">
            <w:pPr>
              <w:spacing w:line="240" w:lineRule="auto"/>
            </w:pPr>
            <w:r w:rsidRPr="00E831D6">
              <w:t>CFU</w:t>
            </w:r>
          </w:p>
        </w:tc>
        <w:tc>
          <w:tcPr>
            <w:tcW w:w="3305" w:type="pct"/>
          </w:tcPr>
          <w:p w14:paraId="15A739F9" w14:textId="77777777" w:rsidR="009F2628" w:rsidRPr="00E831D6" w:rsidRDefault="009F2628" w:rsidP="00257101">
            <w:pPr>
              <w:spacing w:line="240" w:lineRule="auto"/>
            </w:pPr>
            <w:r>
              <w:t>Colony Forming Units</w:t>
            </w:r>
          </w:p>
        </w:tc>
      </w:tr>
      <w:tr w:rsidR="009F2628" w:rsidRPr="00E831D6" w14:paraId="183B09D2" w14:textId="77777777" w:rsidTr="009F2628">
        <w:tc>
          <w:tcPr>
            <w:tcW w:w="1695" w:type="pct"/>
          </w:tcPr>
          <w:p w14:paraId="6698AA33" w14:textId="77777777" w:rsidR="009F2628" w:rsidRPr="00E831D6" w:rsidRDefault="009F2628" w:rsidP="00257101">
            <w:pPr>
              <w:spacing w:line="240" w:lineRule="auto"/>
            </w:pPr>
            <w:r w:rsidRPr="00E831D6">
              <w:t>CHO</w:t>
            </w:r>
          </w:p>
        </w:tc>
        <w:tc>
          <w:tcPr>
            <w:tcW w:w="3305" w:type="pct"/>
          </w:tcPr>
          <w:p w14:paraId="09C651C1" w14:textId="77777777" w:rsidR="009F2628" w:rsidRPr="00E831D6" w:rsidRDefault="009F2628" w:rsidP="00257101">
            <w:pPr>
              <w:spacing w:line="240" w:lineRule="auto"/>
            </w:pPr>
            <w:r>
              <w:t>Chinese Hampster Ovary</w:t>
            </w:r>
          </w:p>
        </w:tc>
      </w:tr>
      <w:tr w:rsidR="009F2628" w:rsidRPr="00E831D6" w14:paraId="6B97DB0B" w14:textId="77777777" w:rsidTr="009F2628">
        <w:tc>
          <w:tcPr>
            <w:tcW w:w="1695" w:type="pct"/>
          </w:tcPr>
          <w:p w14:paraId="2BF47350" w14:textId="77777777" w:rsidR="009F2628" w:rsidRPr="00E831D6" w:rsidRDefault="009F2628" w:rsidP="00257101">
            <w:pPr>
              <w:spacing w:line="240" w:lineRule="auto"/>
            </w:pPr>
            <w:r w:rsidRPr="00E831D6">
              <w:t>CHY</w:t>
            </w:r>
          </w:p>
        </w:tc>
        <w:tc>
          <w:tcPr>
            <w:tcW w:w="3305" w:type="pct"/>
          </w:tcPr>
          <w:p w14:paraId="5BF89C7A" w14:textId="77777777" w:rsidR="009F2628" w:rsidRPr="00E831D6" w:rsidRDefault="009F2628" w:rsidP="00257101">
            <w:pPr>
              <w:spacing w:line="240" w:lineRule="auto"/>
            </w:pPr>
            <w:r>
              <w:t>Chymotrypsin</w:t>
            </w:r>
          </w:p>
        </w:tc>
      </w:tr>
      <w:tr w:rsidR="009F2628" w:rsidRPr="00E831D6" w14:paraId="184AED05" w14:textId="77777777" w:rsidTr="009F2628">
        <w:tc>
          <w:tcPr>
            <w:tcW w:w="1695" w:type="pct"/>
          </w:tcPr>
          <w:p w14:paraId="3BBB3653" w14:textId="77777777" w:rsidR="009F2628" w:rsidRPr="00E831D6" w:rsidRDefault="009F2628" w:rsidP="00257101">
            <w:pPr>
              <w:spacing w:line="240" w:lineRule="auto"/>
            </w:pPr>
            <w:r w:rsidRPr="00E831D6">
              <w:t>ClpP</w:t>
            </w:r>
          </w:p>
        </w:tc>
        <w:tc>
          <w:tcPr>
            <w:tcW w:w="3305" w:type="pct"/>
          </w:tcPr>
          <w:p w14:paraId="181FD569" w14:textId="77777777" w:rsidR="009F2628" w:rsidRPr="00E831D6" w:rsidRDefault="009F2628" w:rsidP="00257101">
            <w:pPr>
              <w:spacing w:line="240" w:lineRule="auto"/>
            </w:pPr>
            <w:r>
              <w:t>Caseinolytic Protease P</w:t>
            </w:r>
          </w:p>
        </w:tc>
      </w:tr>
      <w:tr w:rsidR="009F2628" w:rsidRPr="00E831D6" w14:paraId="0BA7438F" w14:textId="77777777" w:rsidTr="009F2628">
        <w:tc>
          <w:tcPr>
            <w:tcW w:w="1695" w:type="pct"/>
          </w:tcPr>
          <w:p w14:paraId="0D73A46C" w14:textId="77777777" w:rsidR="009F2628" w:rsidRPr="00E831D6" w:rsidRDefault="009F2628" w:rsidP="00257101">
            <w:pPr>
              <w:spacing w:line="240" w:lineRule="auto"/>
            </w:pPr>
            <w:r w:rsidRPr="00E831D6">
              <w:t>CRISPR</w:t>
            </w:r>
          </w:p>
        </w:tc>
        <w:tc>
          <w:tcPr>
            <w:tcW w:w="3305" w:type="pct"/>
          </w:tcPr>
          <w:p w14:paraId="28778147" w14:textId="77777777" w:rsidR="009F2628" w:rsidRPr="00E831D6" w:rsidRDefault="009F2628" w:rsidP="00257101">
            <w:pPr>
              <w:spacing w:line="240" w:lineRule="auto"/>
            </w:pPr>
            <w:r>
              <w:t>Clustered Regularly Interspaced Short Palindromic Repeats</w:t>
            </w:r>
          </w:p>
        </w:tc>
      </w:tr>
      <w:tr w:rsidR="009F2628" w:rsidRPr="00E831D6" w14:paraId="22F61250" w14:textId="77777777" w:rsidTr="009F2628">
        <w:tc>
          <w:tcPr>
            <w:tcW w:w="1695" w:type="pct"/>
          </w:tcPr>
          <w:p w14:paraId="2AD7725B" w14:textId="77777777" w:rsidR="009F2628" w:rsidRPr="00E831D6" w:rsidRDefault="009F2628" w:rsidP="00257101">
            <w:pPr>
              <w:spacing w:line="240" w:lineRule="auto"/>
            </w:pPr>
            <w:r w:rsidRPr="00E831D6">
              <w:t>CROP</w:t>
            </w:r>
          </w:p>
        </w:tc>
        <w:tc>
          <w:tcPr>
            <w:tcW w:w="3305" w:type="pct"/>
          </w:tcPr>
          <w:p w14:paraId="264AE9BF" w14:textId="77777777" w:rsidR="009F2628" w:rsidRPr="00E831D6" w:rsidRDefault="009F2628" w:rsidP="00257101">
            <w:pPr>
              <w:spacing w:line="240" w:lineRule="auto"/>
            </w:pPr>
            <w:r>
              <w:rPr>
                <w:iCs/>
              </w:rPr>
              <w:t>C</w:t>
            </w:r>
            <w:r w:rsidRPr="00E831D6">
              <w:rPr>
                <w:iCs/>
              </w:rPr>
              <w:t xml:space="preserve">ombined </w:t>
            </w:r>
            <w:r>
              <w:rPr>
                <w:iCs/>
              </w:rPr>
              <w:t>R</w:t>
            </w:r>
            <w:r w:rsidRPr="00E831D6">
              <w:rPr>
                <w:iCs/>
              </w:rPr>
              <w:t xml:space="preserve">epetitive </w:t>
            </w:r>
            <w:r>
              <w:rPr>
                <w:iCs/>
              </w:rPr>
              <w:t>P</w:t>
            </w:r>
            <w:r w:rsidRPr="00E831D6">
              <w:rPr>
                <w:iCs/>
              </w:rPr>
              <w:t>eptides</w:t>
            </w:r>
          </w:p>
        </w:tc>
      </w:tr>
      <w:tr w:rsidR="009F2628" w:rsidRPr="00E831D6" w14:paraId="6201527E" w14:textId="77777777" w:rsidTr="009F2628">
        <w:tc>
          <w:tcPr>
            <w:tcW w:w="1695" w:type="pct"/>
          </w:tcPr>
          <w:p w14:paraId="55295D4E" w14:textId="77777777" w:rsidR="009F2628" w:rsidRPr="00E831D6" w:rsidRDefault="009F2628" w:rsidP="00257101">
            <w:pPr>
              <w:spacing w:line="240" w:lineRule="auto"/>
            </w:pPr>
            <w:r w:rsidRPr="00E831D6">
              <w:t>CSPG4</w:t>
            </w:r>
          </w:p>
        </w:tc>
        <w:tc>
          <w:tcPr>
            <w:tcW w:w="3305" w:type="pct"/>
          </w:tcPr>
          <w:p w14:paraId="2EED55CC" w14:textId="77777777" w:rsidR="009F2628" w:rsidRPr="00E831D6" w:rsidRDefault="009F2628" w:rsidP="00257101">
            <w:pPr>
              <w:spacing w:line="240" w:lineRule="auto"/>
            </w:pPr>
            <w:r>
              <w:rPr>
                <w:iCs/>
              </w:rPr>
              <w:t>C</w:t>
            </w:r>
            <w:r w:rsidRPr="00E831D6">
              <w:rPr>
                <w:iCs/>
              </w:rPr>
              <w:t xml:space="preserve">hondroitin </w:t>
            </w:r>
            <w:r>
              <w:rPr>
                <w:iCs/>
              </w:rPr>
              <w:t>S</w:t>
            </w:r>
            <w:r w:rsidRPr="00E831D6">
              <w:rPr>
                <w:iCs/>
              </w:rPr>
              <w:t xml:space="preserve">ulfate </w:t>
            </w:r>
            <w:r>
              <w:rPr>
                <w:iCs/>
              </w:rPr>
              <w:t>P</w:t>
            </w:r>
            <w:r w:rsidRPr="00E831D6">
              <w:rPr>
                <w:iCs/>
              </w:rPr>
              <w:t>roteoglycan 4</w:t>
            </w:r>
          </w:p>
        </w:tc>
      </w:tr>
      <w:tr w:rsidR="009F2628" w:rsidRPr="00E831D6" w14:paraId="08A9C35B" w14:textId="77777777" w:rsidTr="009F2628">
        <w:tc>
          <w:tcPr>
            <w:tcW w:w="1695" w:type="pct"/>
          </w:tcPr>
          <w:p w14:paraId="67C68E61" w14:textId="77777777" w:rsidR="009F2628" w:rsidRPr="00E831D6" w:rsidRDefault="009F2628" w:rsidP="00257101">
            <w:pPr>
              <w:spacing w:line="240" w:lineRule="auto"/>
            </w:pPr>
            <w:r w:rsidRPr="00E831D6">
              <w:t>DFAP</w:t>
            </w:r>
          </w:p>
        </w:tc>
        <w:tc>
          <w:tcPr>
            <w:tcW w:w="3305" w:type="pct"/>
          </w:tcPr>
          <w:p w14:paraId="4750FA93" w14:textId="77777777" w:rsidR="009F2628" w:rsidRPr="00E831D6" w:rsidRDefault="009F2628" w:rsidP="00257101">
            <w:pPr>
              <w:spacing w:line="240" w:lineRule="auto"/>
            </w:pPr>
            <w:r w:rsidRPr="00E831D6">
              <w:t>Abz-DFAPKMALVPY</w:t>
            </w:r>
            <w:r w:rsidRPr="00E831D6">
              <w:rPr>
                <w:vertAlign w:val="superscript"/>
              </w:rPr>
              <w:t>NO2</w:t>
            </w:r>
          </w:p>
        </w:tc>
      </w:tr>
      <w:tr w:rsidR="009F2628" w:rsidRPr="00E831D6" w14:paraId="7EB78767" w14:textId="77777777" w:rsidTr="009F2628">
        <w:tc>
          <w:tcPr>
            <w:tcW w:w="1695" w:type="pct"/>
          </w:tcPr>
          <w:p w14:paraId="73B82763" w14:textId="77777777" w:rsidR="009F2628" w:rsidRPr="00E831D6" w:rsidRDefault="009F2628" w:rsidP="00257101">
            <w:pPr>
              <w:spacing w:line="240" w:lineRule="auto"/>
            </w:pPr>
            <w:r w:rsidRPr="00E831D6">
              <w:t>DLS</w:t>
            </w:r>
          </w:p>
        </w:tc>
        <w:tc>
          <w:tcPr>
            <w:tcW w:w="3305" w:type="pct"/>
          </w:tcPr>
          <w:p w14:paraId="7ACBFD0B" w14:textId="77777777" w:rsidR="009F2628" w:rsidRPr="00E831D6" w:rsidRDefault="009F2628" w:rsidP="00257101">
            <w:pPr>
              <w:spacing w:line="240" w:lineRule="auto"/>
            </w:pPr>
            <w:r>
              <w:t>Dynamic Light Scattering</w:t>
            </w:r>
          </w:p>
        </w:tc>
      </w:tr>
      <w:tr w:rsidR="009F2628" w:rsidRPr="00E831D6" w14:paraId="39F49445" w14:textId="77777777" w:rsidTr="009F2628">
        <w:tc>
          <w:tcPr>
            <w:tcW w:w="1695" w:type="pct"/>
          </w:tcPr>
          <w:p w14:paraId="61D276B9" w14:textId="77777777" w:rsidR="009F2628" w:rsidRPr="00E831D6" w:rsidRDefault="009F2628" w:rsidP="00257101">
            <w:pPr>
              <w:spacing w:line="240" w:lineRule="auto"/>
            </w:pPr>
            <w:r w:rsidRPr="00E831D6">
              <w:t>DMSO</w:t>
            </w:r>
          </w:p>
        </w:tc>
        <w:tc>
          <w:tcPr>
            <w:tcW w:w="3305" w:type="pct"/>
          </w:tcPr>
          <w:p w14:paraId="62217E3B" w14:textId="77777777" w:rsidR="009F2628" w:rsidRPr="00E831D6" w:rsidRDefault="009F2628" w:rsidP="00257101">
            <w:pPr>
              <w:spacing w:line="240" w:lineRule="auto"/>
            </w:pPr>
            <w:r>
              <w:t>Dimethylsulfoxide</w:t>
            </w:r>
          </w:p>
        </w:tc>
      </w:tr>
      <w:tr w:rsidR="009F2628" w:rsidRPr="00E831D6" w14:paraId="08317E71" w14:textId="77777777" w:rsidTr="009F2628">
        <w:tc>
          <w:tcPr>
            <w:tcW w:w="1695" w:type="pct"/>
          </w:tcPr>
          <w:p w14:paraId="76E8F80D" w14:textId="77777777" w:rsidR="009F2628" w:rsidRPr="00E831D6" w:rsidRDefault="009F2628" w:rsidP="00257101">
            <w:pPr>
              <w:spacing w:line="240" w:lineRule="auto"/>
            </w:pPr>
            <w:r w:rsidRPr="00E831D6">
              <w:t>DNA</w:t>
            </w:r>
          </w:p>
        </w:tc>
        <w:tc>
          <w:tcPr>
            <w:tcW w:w="3305" w:type="pct"/>
          </w:tcPr>
          <w:p w14:paraId="6280F485" w14:textId="77777777" w:rsidR="009F2628" w:rsidRPr="00E831D6" w:rsidRDefault="009F2628" w:rsidP="00257101">
            <w:pPr>
              <w:spacing w:line="240" w:lineRule="auto"/>
            </w:pPr>
            <w:r>
              <w:t>Deoxyribonucleic Acid</w:t>
            </w:r>
          </w:p>
        </w:tc>
      </w:tr>
      <w:tr w:rsidR="009F2628" w:rsidRPr="00E831D6" w14:paraId="455809EE" w14:textId="77777777" w:rsidTr="009F2628">
        <w:tc>
          <w:tcPr>
            <w:tcW w:w="1695" w:type="pct"/>
          </w:tcPr>
          <w:p w14:paraId="6DCC6CA5" w14:textId="77777777" w:rsidR="009F2628" w:rsidRPr="00E831D6" w:rsidRDefault="009F2628" w:rsidP="00257101">
            <w:pPr>
              <w:spacing w:line="240" w:lineRule="auto"/>
            </w:pPr>
            <w:r w:rsidRPr="00E831D6">
              <w:t>DTT</w:t>
            </w:r>
          </w:p>
        </w:tc>
        <w:tc>
          <w:tcPr>
            <w:tcW w:w="3305" w:type="pct"/>
          </w:tcPr>
          <w:p w14:paraId="5670ED9A" w14:textId="77777777" w:rsidR="009F2628" w:rsidRPr="00E831D6" w:rsidRDefault="009F2628" w:rsidP="00257101">
            <w:pPr>
              <w:spacing w:line="240" w:lineRule="auto"/>
            </w:pPr>
            <w:r>
              <w:t>D</w:t>
            </w:r>
            <w:r w:rsidRPr="00E831D6">
              <w:t>ithiothreitol</w:t>
            </w:r>
          </w:p>
        </w:tc>
      </w:tr>
      <w:tr w:rsidR="009F2628" w:rsidRPr="00E831D6" w14:paraId="04628E0C" w14:textId="77777777" w:rsidTr="009F2628">
        <w:tc>
          <w:tcPr>
            <w:tcW w:w="1695" w:type="pct"/>
          </w:tcPr>
          <w:p w14:paraId="5D81D942" w14:textId="77777777" w:rsidR="009F2628" w:rsidRPr="00E831D6" w:rsidRDefault="009F2628" w:rsidP="00257101">
            <w:pPr>
              <w:spacing w:line="240" w:lineRule="auto"/>
              <w:rPr>
                <w:vertAlign w:val="subscript"/>
              </w:rPr>
            </w:pPr>
            <w:r w:rsidRPr="00E831D6">
              <w:t>EC</w:t>
            </w:r>
            <w:r w:rsidRPr="00E831D6">
              <w:rPr>
                <w:vertAlign w:val="subscript"/>
              </w:rPr>
              <w:t>50</w:t>
            </w:r>
          </w:p>
        </w:tc>
        <w:tc>
          <w:tcPr>
            <w:tcW w:w="3305" w:type="pct"/>
          </w:tcPr>
          <w:p w14:paraId="5978A519" w14:textId="77777777" w:rsidR="009F2628" w:rsidRPr="00E831D6" w:rsidRDefault="009F2628" w:rsidP="00257101">
            <w:pPr>
              <w:spacing w:line="240" w:lineRule="auto"/>
            </w:pPr>
            <w:r>
              <w:t>Half-Maximal Effective Concentration</w:t>
            </w:r>
          </w:p>
        </w:tc>
      </w:tr>
      <w:tr w:rsidR="009F2628" w:rsidRPr="00E831D6" w14:paraId="5AC3885C" w14:textId="77777777" w:rsidTr="009F2628">
        <w:tc>
          <w:tcPr>
            <w:tcW w:w="1695" w:type="pct"/>
          </w:tcPr>
          <w:p w14:paraId="53F00D4B" w14:textId="77777777" w:rsidR="009F2628" w:rsidRPr="00E831D6" w:rsidRDefault="009F2628" w:rsidP="00257101">
            <w:pPr>
              <w:spacing w:line="240" w:lineRule="auto"/>
            </w:pPr>
            <w:r w:rsidRPr="009F2628">
              <w:rPr>
                <w:i/>
              </w:rPr>
              <w:t>Ec</w:t>
            </w:r>
            <w:r w:rsidRPr="00E831D6">
              <w:t>ClpP</w:t>
            </w:r>
          </w:p>
        </w:tc>
        <w:tc>
          <w:tcPr>
            <w:tcW w:w="3305" w:type="pct"/>
          </w:tcPr>
          <w:p w14:paraId="3B3AD328" w14:textId="77777777" w:rsidR="009F2628" w:rsidRPr="00E831D6" w:rsidRDefault="009F2628" w:rsidP="00257101">
            <w:pPr>
              <w:spacing w:line="240" w:lineRule="auto"/>
            </w:pPr>
            <w:r>
              <w:rPr>
                <w:i/>
              </w:rPr>
              <w:t xml:space="preserve">Escherichia Coli </w:t>
            </w:r>
            <w:r>
              <w:t>Caseinolytic Protease P</w:t>
            </w:r>
          </w:p>
        </w:tc>
      </w:tr>
      <w:tr w:rsidR="009F2628" w:rsidRPr="00E831D6" w14:paraId="529388C9" w14:textId="77777777" w:rsidTr="009F2628">
        <w:tc>
          <w:tcPr>
            <w:tcW w:w="1695" w:type="pct"/>
          </w:tcPr>
          <w:p w14:paraId="1A5321AB" w14:textId="77777777" w:rsidR="009F2628" w:rsidRPr="00E831D6" w:rsidRDefault="009F2628" w:rsidP="00257101">
            <w:pPr>
              <w:spacing w:line="240" w:lineRule="auto"/>
            </w:pPr>
            <w:r w:rsidRPr="00E831D6">
              <w:t>EMM</w:t>
            </w:r>
          </w:p>
        </w:tc>
        <w:tc>
          <w:tcPr>
            <w:tcW w:w="3305" w:type="pct"/>
          </w:tcPr>
          <w:p w14:paraId="023F5459" w14:textId="77777777" w:rsidR="009F2628" w:rsidRPr="00E831D6" w:rsidRDefault="009F2628" w:rsidP="00257101">
            <w:pPr>
              <w:spacing w:line="240" w:lineRule="auto"/>
            </w:pPr>
            <w:r>
              <w:t>Eagles Minimal Essential Media</w:t>
            </w:r>
          </w:p>
        </w:tc>
      </w:tr>
      <w:tr w:rsidR="009F2628" w:rsidRPr="00E831D6" w14:paraId="75EF335A" w14:textId="77777777" w:rsidTr="009F2628">
        <w:tc>
          <w:tcPr>
            <w:tcW w:w="1695" w:type="pct"/>
          </w:tcPr>
          <w:p w14:paraId="00F3788B" w14:textId="77777777" w:rsidR="009F2628" w:rsidRPr="00E831D6" w:rsidRDefault="009F2628" w:rsidP="00257101">
            <w:pPr>
              <w:spacing w:line="240" w:lineRule="auto"/>
            </w:pPr>
            <w:r w:rsidRPr="00E831D6">
              <w:rPr>
                <w:bCs/>
              </w:rPr>
              <w:t>EMS</w:t>
            </w:r>
          </w:p>
        </w:tc>
        <w:tc>
          <w:tcPr>
            <w:tcW w:w="3305" w:type="pct"/>
          </w:tcPr>
          <w:p w14:paraId="176417BC" w14:textId="77777777" w:rsidR="009F2628" w:rsidRPr="00E831D6" w:rsidRDefault="009F2628" w:rsidP="00257101">
            <w:pPr>
              <w:spacing w:line="240" w:lineRule="auto"/>
            </w:pPr>
            <w:r w:rsidRPr="00E831D6">
              <w:rPr>
                <w:bCs/>
              </w:rPr>
              <w:t>Epon/Araldite</w:t>
            </w:r>
          </w:p>
        </w:tc>
      </w:tr>
      <w:tr w:rsidR="009F2628" w14:paraId="1BAFDB7E" w14:textId="77777777" w:rsidTr="009F2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5" w:type="pct"/>
            <w:tcBorders>
              <w:top w:val="nil"/>
              <w:left w:val="nil"/>
              <w:bottom w:val="nil"/>
              <w:right w:val="nil"/>
            </w:tcBorders>
          </w:tcPr>
          <w:p w14:paraId="749207E7" w14:textId="77777777" w:rsidR="009F2628" w:rsidRPr="009F2628" w:rsidRDefault="009F2628" w:rsidP="009F2628">
            <w:pPr>
              <w:spacing w:line="240" w:lineRule="auto"/>
              <w:rPr>
                <w:bCs/>
              </w:rPr>
            </w:pPr>
            <w:r w:rsidRPr="009F2628">
              <w:rPr>
                <w:bCs/>
              </w:rPr>
              <w:t>FASTA</w:t>
            </w:r>
          </w:p>
        </w:tc>
        <w:tc>
          <w:tcPr>
            <w:tcW w:w="3305" w:type="pct"/>
            <w:tcBorders>
              <w:top w:val="nil"/>
              <w:left w:val="nil"/>
              <w:bottom w:val="nil"/>
              <w:right w:val="nil"/>
            </w:tcBorders>
          </w:tcPr>
          <w:p w14:paraId="2146296C" w14:textId="77777777" w:rsidR="009F2628" w:rsidRPr="009F2628" w:rsidRDefault="009F2628" w:rsidP="009F2628">
            <w:pPr>
              <w:spacing w:line="240" w:lineRule="auto"/>
              <w:rPr>
                <w:bCs/>
              </w:rPr>
            </w:pPr>
            <w:r w:rsidRPr="009F2628">
              <w:rPr>
                <w:bCs/>
              </w:rPr>
              <w:t>Fast alignment sequence format</w:t>
            </w:r>
          </w:p>
        </w:tc>
      </w:tr>
      <w:tr w:rsidR="009F2628" w:rsidRPr="00E831D6" w14:paraId="3E5707B0" w14:textId="77777777" w:rsidTr="009F2628">
        <w:tc>
          <w:tcPr>
            <w:tcW w:w="1695" w:type="pct"/>
          </w:tcPr>
          <w:p w14:paraId="448440A6" w14:textId="77777777" w:rsidR="009F2628" w:rsidRPr="00E831D6" w:rsidRDefault="009F2628" w:rsidP="00257101">
            <w:pPr>
              <w:spacing w:line="240" w:lineRule="auto"/>
            </w:pPr>
            <w:r w:rsidRPr="00E831D6">
              <w:t>FBS</w:t>
            </w:r>
          </w:p>
        </w:tc>
        <w:tc>
          <w:tcPr>
            <w:tcW w:w="3305" w:type="pct"/>
          </w:tcPr>
          <w:p w14:paraId="20B0EBE9" w14:textId="77777777" w:rsidR="009F2628" w:rsidRPr="00E831D6" w:rsidRDefault="009F2628" w:rsidP="00257101">
            <w:pPr>
              <w:spacing w:line="240" w:lineRule="auto"/>
            </w:pPr>
            <w:r>
              <w:t>Fetal Bovine Serum</w:t>
            </w:r>
          </w:p>
        </w:tc>
      </w:tr>
      <w:tr w:rsidR="009F2628" w:rsidRPr="00E831D6" w14:paraId="693591CB" w14:textId="77777777" w:rsidTr="009F2628">
        <w:tc>
          <w:tcPr>
            <w:tcW w:w="1695" w:type="pct"/>
          </w:tcPr>
          <w:p w14:paraId="2BCEADB3" w14:textId="77777777" w:rsidR="009F2628" w:rsidRPr="00E831D6" w:rsidRDefault="009F2628" w:rsidP="00257101">
            <w:pPr>
              <w:spacing w:line="240" w:lineRule="auto"/>
            </w:pPr>
            <w:r w:rsidRPr="00E831D6">
              <w:t>FDA</w:t>
            </w:r>
          </w:p>
        </w:tc>
        <w:tc>
          <w:tcPr>
            <w:tcW w:w="3305" w:type="pct"/>
          </w:tcPr>
          <w:p w14:paraId="32EA7FCC" w14:textId="77777777" w:rsidR="009F2628" w:rsidRPr="00E831D6" w:rsidRDefault="009F2628" w:rsidP="00257101">
            <w:pPr>
              <w:spacing w:line="240" w:lineRule="auto"/>
            </w:pPr>
            <w:r>
              <w:t>US Food and Drug Administration</w:t>
            </w:r>
          </w:p>
        </w:tc>
      </w:tr>
      <w:tr w:rsidR="009F2628" w:rsidRPr="00E831D6" w14:paraId="6F83C60C" w14:textId="77777777" w:rsidTr="009F2628">
        <w:tc>
          <w:tcPr>
            <w:tcW w:w="1695" w:type="pct"/>
          </w:tcPr>
          <w:p w14:paraId="47270D09" w14:textId="77777777" w:rsidR="009F2628" w:rsidRPr="00E831D6" w:rsidRDefault="009F2628" w:rsidP="00257101">
            <w:pPr>
              <w:spacing w:line="240" w:lineRule="auto"/>
            </w:pPr>
            <w:r w:rsidRPr="00E831D6">
              <w:t>FITC</w:t>
            </w:r>
          </w:p>
        </w:tc>
        <w:tc>
          <w:tcPr>
            <w:tcW w:w="3305" w:type="pct"/>
          </w:tcPr>
          <w:p w14:paraId="402BE883" w14:textId="77777777" w:rsidR="009F2628" w:rsidRPr="00E831D6" w:rsidRDefault="009F2628" w:rsidP="00257101">
            <w:pPr>
              <w:spacing w:line="240" w:lineRule="auto"/>
            </w:pPr>
            <w:r>
              <w:t>Fluorescein isothiocyanate</w:t>
            </w:r>
          </w:p>
        </w:tc>
      </w:tr>
      <w:tr w:rsidR="009F2628" w:rsidRPr="00E831D6" w14:paraId="2389D3B8" w14:textId="77777777" w:rsidTr="009F2628">
        <w:tc>
          <w:tcPr>
            <w:tcW w:w="1695" w:type="pct"/>
          </w:tcPr>
          <w:p w14:paraId="2D51C01C" w14:textId="77777777" w:rsidR="009F2628" w:rsidRPr="00E831D6" w:rsidRDefault="009F2628" w:rsidP="00257101">
            <w:pPr>
              <w:spacing w:line="240" w:lineRule="auto"/>
            </w:pPr>
            <w:r w:rsidRPr="00E831D6">
              <w:t>FMT</w:t>
            </w:r>
          </w:p>
        </w:tc>
        <w:tc>
          <w:tcPr>
            <w:tcW w:w="3305" w:type="pct"/>
          </w:tcPr>
          <w:p w14:paraId="3443AE7D" w14:textId="77777777" w:rsidR="009F2628" w:rsidRPr="00E831D6" w:rsidRDefault="009F2628" w:rsidP="00257101">
            <w:pPr>
              <w:spacing w:line="240" w:lineRule="auto"/>
            </w:pPr>
            <w:r>
              <w:t>Fecal Microbiota Therapy</w:t>
            </w:r>
          </w:p>
        </w:tc>
      </w:tr>
      <w:tr w:rsidR="009F2628" w:rsidRPr="00E831D6" w14:paraId="29179AEA" w14:textId="77777777" w:rsidTr="009F2628">
        <w:tc>
          <w:tcPr>
            <w:tcW w:w="1695" w:type="pct"/>
          </w:tcPr>
          <w:p w14:paraId="798BF94E" w14:textId="77777777" w:rsidR="009F2628" w:rsidRPr="00E831D6" w:rsidRDefault="009F2628" w:rsidP="00257101">
            <w:pPr>
              <w:spacing w:line="240" w:lineRule="auto"/>
            </w:pPr>
            <w:r w:rsidRPr="00E831D6">
              <w:t>FPLC</w:t>
            </w:r>
          </w:p>
        </w:tc>
        <w:tc>
          <w:tcPr>
            <w:tcW w:w="3305" w:type="pct"/>
          </w:tcPr>
          <w:p w14:paraId="09E81FC6" w14:textId="77777777" w:rsidR="009F2628" w:rsidRPr="00E831D6" w:rsidRDefault="009F2628" w:rsidP="00257101">
            <w:pPr>
              <w:spacing w:line="240" w:lineRule="auto"/>
            </w:pPr>
            <w:r>
              <w:t>Fast Protein Liquid Chromatography</w:t>
            </w:r>
          </w:p>
        </w:tc>
      </w:tr>
      <w:tr w:rsidR="009F2628" w:rsidRPr="00E831D6" w14:paraId="0C6D535C" w14:textId="77777777" w:rsidTr="009F2628">
        <w:tc>
          <w:tcPr>
            <w:tcW w:w="1695" w:type="pct"/>
          </w:tcPr>
          <w:p w14:paraId="099ECE64" w14:textId="77777777" w:rsidR="009F2628" w:rsidRPr="00E831D6" w:rsidRDefault="009F2628" w:rsidP="00257101">
            <w:pPr>
              <w:spacing w:line="240" w:lineRule="auto"/>
            </w:pPr>
            <w:r w:rsidRPr="00E831D6">
              <w:t>FZD</w:t>
            </w:r>
          </w:p>
        </w:tc>
        <w:tc>
          <w:tcPr>
            <w:tcW w:w="3305" w:type="pct"/>
          </w:tcPr>
          <w:p w14:paraId="2C607B77" w14:textId="77777777" w:rsidR="009F2628" w:rsidRPr="00E831D6" w:rsidRDefault="009F2628" w:rsidP="00257101">
            <w:pPr>
              <w:spacing w:line="240" w:lineRule="auto"/>
            </w:pPr>
            <w:r w:rsidRPr="00E831D6">
              <w:rPr>
                <w:iCs/>
              </w:rPr>
              <w:t>Wnt receptor Frizzled</w:t>
            </w:r>
          </w:p>
        </w:tc>
      </w:tr>
      <w:tr w:rsidR="009F2628" w:rsidRPr="00E831D6" w14:paraId="0F0354F6" w14:textId="77777777" w:rsidTr="009F2628">
        <w:tc>
          <w:tcPr>
            <w:tcW w:w="1695" w:type="pct"/>
          </w:tcPr>
          <w:p w14:paraId="59239CB4" w14:textId="77777777" w:rsidR="009F2628" w:rsidRPr="00E831D6" w:rsidRDefault="009F2628" w:rsidP="00257101">
            <w:pPr>
              <w:spacing w:line="240" w:lineRule="auto"/>
            </w:pPr>
            <w:r w:rsidRPr="00E831D6">
              <w:t>GDP</w:t>
            </w:r>
          </w:p>
        </w:tc>
        <w:tc>
          <w:tcPr>
            <w:tcW w:w="3305" w:type="pct"/>
          </w:tcPr>
          <w:p w14:paraId="463F8CA4" w14:textId="77777777" w:rsidR="009F2628" w:rsidRPr="00E831D6" w:rsidRDefault="009F2628" w:rsidP="00257101">
            <w:pPr>
              <w:spacing w:line="240" w:lineRule="auto"/>
            </w:pPr>
            <w:r>
              <w:t>Guanosine Diphosphate</w:t>
            </w:r>
          </w:p>
        </w:tc>
      </w:tr>
      <w:tr w:rsidR="009F2628" w:rsidRPr="00E831D6" w14:paraId="35B281EB" w14:textId="77777777" w:rsidTr="009F2628">
        <w:tc>
          <w:tcPr>
            <w:tcW w:w="1695" w:type="pct"/>
          </w:tcPr>
          <w:p w14:paraId="0DDF0BA1" w14:textId="77777777" w:rsidR="009F2628" w:rsidRPr="00E831D6" w:rsidRDefault="009F2628" w:rsidP="00257101">
            <w:pPr>
              <w:spacing w:line="240" w:lineRule="auto"/>
            </w:pPr>
            <w:r w:rsidRPr="00E831D6">
              <w:t>GFP</w:t>
            </w:r>
          </w:p>
        </w:tc>
        <w:tc>
          <w:tcPr>
            <w:tcW w:w="3305" w:type="pct"/>
          </w:tcPr>
          <w:p w14:paraId="40CDE40C" w14:textId="77777777" w:rsidR="009F2628" w:rsidRPr="00E831D6" w:rsidRDefault="009F2628" w:rsidP="00257101">
            <w:pPr>
              <w:spacing w:line="240" w:lineRule="auto"/>
            </w:pPr>
            <w:r>
              <w:t>Green Fluorescent Protein</w:t>
            </w:r>
          </w:p>
        </w:tc>
      </w:tr>
      <w:tr w:rsidR="009F2628" w:rsidRPr="00E831D6" w14:paraId="41DEBB7B" w14:textId="77777777" w:rsidTr="009F2628">
        <w:tc>
          <w:tcPr>
            <w:tcW w:w="1695" w:type="pct"/>
          </w:tcPr>
          <w:p w14:paraId="1C2EDAE2" w14:textId="77777777" w:rsidR="009F2628" w:rsidRPr="00E831D6" w:rsidRDefault="009F2628" w:rsidP="00257101">
            <w:pPr>
              <w:spacing w:line="240" w:lineRule="auto"/>
            </w:pPr>
            <w:r w:rsidRPr="00E831D6">
              <w:t>gRNA</w:t>
            </w:r>
          </w:p>
        </w:tc>
        <w:tc>
          <w:tcPr>
            <w:tcW w:w="3305" w:type="pct"/>
          </w:tcPr>
          <w:p w14:paraId="4C8FC0A8" w14:textId="77777777" w:rsidR="009F2628" w:rsidRPr="00E831D6" w:rsidRDefault="009F2628" w:rsidP="00257101">
            <w:pPr>
              <w:spacing w:line="240" w:lineRule="auto"/>
            </w:pPr>
            <w:r>
              <w:t>Guide Ribonucleic Acid</w:t>
            </w:r>
          </w:p>
        </w:tc>
      </w:tr>
      <w:tr w:rsidR="009F2628" w:rsidRPr="00E831D6" w14:paraId="1362B723" w14:textId="77777777" w:rsidTr="009F2628">
        <w:tc>
          <w:tcPr>
            <w:tcW w:w="1695" w:type="pct"/>
          </w:tcPr>
          <w:p w14:paraId="18CB3E58" w14:textId="77777777" w:rsidR="009F2628" w:rsidRPr="00E831D6" w:rsidRDefault="009F2628" w:rsidP="00257101">
            <w:pPr>
              <w:spacing w:line="240" w:lineRule="auto"/>
            </w:pPr>
            <w:r w:rsidRPr="00E831D6">
              <w:t>GTP</w:t>
            </w:r>
          </w:p>
        </w:tc>
        <w:tc>
          <w:tcPr>
            <w:tcW w:w="3305" w:type="pct"/>
          </w:tcPr>
          <w:p w14:paraId="48237595" w14:textId="77777777" w:rsidR="009F2628" w:rsidRPr="00E831D6" w:rsidRDefault="009F2628" w:rsidP="00257101">
            <w:pPr>
              <w:spacing w:line="240" w:lineRule="auto"/>
            </w:pPr>
            <w:r>
              <w:t>Guanosine Triphosphate</w:t>
            </w:r>
          </w:p>
        </w:tc>
      </w:tr>
      <w:tr w:rsidR="009F2628" w14:paraId="0DB28C8C" w14:textId="77777777" w:rsidTr="009F2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5" w:type="pct"/>
            <w:tcBorders>
              <w:top w:val="nil"/>
              <w:left w:val="nil"/>
              <w:bottom w:val="nil"/>
              <w:right w:val="nil"/>
            </w:tcBorders>
          </w:tcPr>
          <w:p w14:paraId="4D1883AB" w14:textId="77777777" w:rsidR="009F2628" w:rsidRPr="009F2628" w:rsidRDefault="009F2628" w:rsidP="009F2628">
            <w:pPr>
              <w:spacing w:line="240" w:lineRule="auto"/>
              <w:rPr>
                <w:bCs/>
              </w:rPr>
            </w:pPr>
            <w:r>
              <w:rPr>
                <w:bCs/>
              </w:rPr>
              <w:t>HK</w:t>
            </w:r>
          </w:p>
        </w:tc>
        <w:tc>
          <w:tcPr>
            <w:tcW w:w="3305" w:type="pct"/>
            <w:tcBorders>
              <w:top w:val="nil"/>
              <w:left w:val="nil"/>
              <w:bottom w:val="nil"/>
              <w:right w:val="nil"/>
            </w:tcBorders>
          </w:tcPr>
          <w:p w14:paraId="40801BAD" w14:textId="77777777" w:rsidR="009F2628" w:rsidRPr="009F2628" w:rsidRDefault="009F2628" w:rsidP="009F2628">
            <w:pPr>
              <w:spacing w:line="240" w:lineRule="auto"/>
              <w:rPr>
                <w:bCs/>
              </w:rPr>
            </w:pPr>
            <w:r>
              <w:rPr>
                <w:bCs/>
              </w:rPr>
              <w:t>Histidine Kinase</w:t>
            </w:r>
          </w:p>
        </w:tc>
      </w:tr>
      <w:tr w:rsidR="009F2628" w:rsidRPr="00E831D6" w14:paraId="2D4D6F4D" w14:textId="77777777" w:rsidTr="009F2628">
        <w:tc>
          <w:tcPr>
            <w:tcW w:w="1695" w:type="pct"/>
          </w:tcPr>
          <w:p w14:paraId="15C6A264" w14:textId="77777777" w:rsidR="009F2628" w:rsidRPr="00E831D6" w:rsidRDefault="009F2628" w:rsidP="00257101">
            <w:pPr>
              <w:spacing w:line="240" w:lineRule="auto"/>
            </w:pPr>
            <w:r w:rsidRPr="00E831D6">
              <w:t>HR-ESIMS</w:t>
            </w:r>
          </w:p>
        </w:tc>
        <w:tc>
          <w:tcPr>
            <w:tcW w:w="3305" w:type="pct"/>
          </w:tcPr>
          <w:p w14:paraId="00508D68" w14:textId="77777777" w:rsidR="009F2628" w:rsidRPr="00E831D6" w:rsidRDefault="009F2628" w:rsidP="00257101">
            <w:pPr>
              <w:spacing w:line="240" w:lineRule="auto"/>
            </w:pPr>
            <w:r>
              <w:t>High-Resolution Electrospray Ionisation Mass Spectrometry</w:t>
            </w:r>
          </w:p>
        </w:tc>
      </w:tr>
      <w:tr w:rsidR="009F2628" w:rsidRPr="00E831D6" w14:paraId="7A96FAC1" w14:textId="77777777" w:rsidTr="009F2628">
        <w:tc>
          <w:tcPr>
            <w:tcW w:w="1695" w:type="pct"/>
          </w:tcPr>
          <w:p w14:paraId="0EB3B05F" w14:textId="77777777" w:rsidR="009F2628" w:rsidRPr="00E831D6" w:rsidRDefault="009F2628" w:rsidP="00257101">
            <w:pPr>
              <w:spacing w:line="240" w:lineRule="auto"/>
            </w:pPr>
            <w:r w:rsidRPr="00E831D6">
              <w:rPr>
                <w:bCs/>
              </w:rPr>
              <w:lastRenderedPageBreak/>
              <w:t>HRP</w:t>
            </w:r>
          </w:p>
        </w:tc>
        <w:tc>
          <w:tcPr>
            <w:tcW w:w="3305" w:type="pct"/>
          </w:tcPr>
          <w:p w14:paraId="1E81F4BF" w14:textId="77777777" w:rsidR="009F2628" w:rsidRPr="00E831D6" w:rsidRDefault="009F2628" w:rsidP="00257101">
            <w:pPr>
              <w:spacing w:line="240" w:lineRule="auto"/>
            </w:pPr>
            <w:r>
              <w:t>Horseradish Peroxidase</w:t>
            </w:r>
          </w:p>
        </w:tc>
      </w:tr>
      <w:tr w:rsidR="009F2628" w:rsidRPr="00E831D6" w14:paraId="2BA9C034" w14:textId="77777777" w:rsidTr="009F2628">
        <w:tc>
          <w:tcPr>
            <w:tcW w:w="1695" w:type="pct"/>
          </w:tcPr>
          <w:p w14:paraId="0D1EC73C" w14:textId="77777777" w:rsidR="009F2628" w:rsidRPr="00E831D6" w:rsidRDefault="009F2628" w:rsidP="00257101">
            <w:pPr>
              <w:spacing w:line="240" w:lineRule="auto"/>
            </w:pPr>
            <w:r w:rsidRPr="00E831D6">
              <w:t>INPART</w:t>
            </w:r>
          </w:p>
        </w:tc>
        <w:tc>
          <w:tcPr>
            <w:tcW w:w="3305" w:type="pct"/>
          </w:tcPr>
          <w:p w14:paraId="70CE0BDB" w14:textId="77777777" w:rsidR="009F2628" w:rsidRPr="00E831D6" w:rsidRDefault="009F2628" w:rsidP="00257101">
            <w:pPr>
              <w:spacing w:line="240" w:lineRule="auto"/>
            </w:pPr>
            <w:r w:rsidRPr="00E831D6">
              <w:t>Institute for Natural Products Applications and Research Technologies</w:t>
            </w:r>
          </w:p>
        </w:tc>
      </w:tr>
      <w:tr w:rsidR="009F2628" w:rsidRPr="00E831D6" w14:paraId="2894E6C2" w14:textId="77777777" w:rsidTr="009F2628">
        <w:tc>
          <w:tcPr>
            <w:tcW w:w="1695" w:type="pct"/>
          </w:tcPr>
          <w:p w14:paraId="2A3F573F" w14:textId="77777777" w:rsidR="009F2628" w:rsidRPr="00E831D6" w:rsidRDefault="009F2628" w:rsidP="00257101">
            <w:pPr>
              <w:spacing w:line="240" w:lineRule="auto"/>
            </w:pPr>
            <w:r w:rsidRPr="00E831D6">
              <w:t>IPTG</w:t>
            </w:r>
          </w:p>
        </w:tc>
        <w:tc>
          <w:tcPr>
            <w:tcW w:w="3305" w:type="pct"/>
          </w:tcPr>
          <w:p w14:paraId="13FB3E62" w14:textId="7DDB0738" w:rsidR="009F2628" w:rsidRPr="00E831D6" w:rsidRDefault="009F2628" w:rsidP="00257101">
            <w:pPr>
              <w:spacing w:line="240" w:lineRule="auto"/>
            </w:pPr>
            <w:r w:rsidRPr="00057D32">
              <w:t>Isopropyl β-D-1-thiogalactopyranoside</w:t>
            </w:r>
          </w:p>
        </w:tc>
      </w:tr>
      <w:tr w:rsidR="009F2628" w14:paraId="1C6BB2DB" w14:textId="77777777" w:rsidTr="009F2628">
        <w:tc>
          <w:tcPr>
            <w:tcW w:w="1695" w:type="pct"/>
          </w:tcPr>
          <w:p w14:paraId="736559F2" w14:textId="77777777" w:rsidR="009F2628" w:rsidRPr="00E831D6" w:rsidRDefault="009F2628" w:rsidP="00257101">
            <w:pPr>
              <w:spacing w:line="240" w:lineRule="auto"/>
            </w:pPr>
            <w:r>
              <w:t>K</w:t>
            </w:r>
            <w:r>
              <w:rPr>
                <w:vertAlign w:val="subscript"/>
              </w:rPr>
              <w:t>d</w:t>
            </w:r>
          </w:p>
        </w:tc>
        <w:tc>
          <w:tcPr>
            <w:tcW w:w="3305" w:type="pct"/>
          </w:tcPr>
          <w:p w14:paraId="12387EF8" w14:textId="77777777" w:rsidR="009F2628" w:rsidRDefault="009F2628" w:rsidP="00257101">
            <w:pPr>
              <w:spacing w:line="240" w:lineRule="auto"/>
            </w:pPr>
            <w:r>
              <w:t>Equilibrium Constant</w:t>
            </w:r>
          </w:p>
        </w:tc>
      </w:tr>
      <w:tr w:rsidR="009F2628" w:rsidRPr="00E831D6" w14:paraId="463766D1" w14:textId="77777777" w:rsidTr="009F2628">
        <w:tc>
          <w:tcPr>
            <w:tcW w:w="1695" w:type="pct"/>
          </w:tcPr>
          <w:p w14:paraId="6AB94F53" w14:textId="77777777" w:rsidR="009F2628" w:rsidRPr="00E831D6" w:rsidRDefault="009F2628" w:rsidP="00257101">
            <w:pPr>
              <w:spacing w:line="240" w:lineRule="auto"/>
              <w:rPr>
                <w:vertAlign w:val="subscript"/>
              </w:rPr>
            </w:pPr>
            <w:r w:rsidRPr="00E831D6">
              <w:t>K</w:t>
            </w:r>
            <w:r w:rsidRPr="00E831D6">
              <w:rPr>
                <w:vertAlign w:val="subscript"/>
              </w:rPr>
              <w:t>m</w:t>
            </w:r>
          </w:p>
        </w:tc>
        <w:tc>
          <w:tcPr>
            <w:tcW w:w="3305" w:type="pct"/>
          </w:tcPr>
          <w:p w14:paraId="62252633" w14:textId="77777777" w:rsidR="009F2628" w:rsidRPr="00E831D6" w:rsidRDefault="009F2628" w:rsidP="00257101">
            <w:pPr>
              <w:spacing w:line="240" w:lineRule="auto"/>
            </w:pPr>
            <w:r>
              <w:t>One-half V</w:t>
            </w:r>
            <w:r w:rsidRPr="00D34CEC">
              <w:rPr>
                <w:vertAlign w:val="subscript"/>
              </w:rPr>
              <w:t>max</w:t>
            </w:r>
          </w:p>
        </w:tc>
      </w:tr>
      <w:tr w:rsidR="009F2628" w:rsidRPr="00E831D6" w14:paraId="4E9FC103" w14:textId="77777777" w:rsidTr="009F2628">
        <w:tc>
          <w:tcPr>
            <w:tcW w:w="1695" w:type="pct"/>
          </w:tcPr>
          <w:p w14:paraId="5670362B" w14:textId="77777777" w:rsidR="009F2628" w:rsidRPr="00E831D6" w:rsidRDefault="009F2628" w:rsidP="00257101">
            <w:pPr>
              <w:spacing w:line="240" w:lineRule="auto"/>
            </w:pPr>
            <w:r w:rsidRPr="00E831D6">
              <w:t>L.O.D</w:t>
            </w:r>
          </w:p>
        </w:tc>
        <w:tc>
          <w:tcPr>
            <w:tcW w:w="3305" w:type="pct"/>
          </w:tcPr>
          <w:p w14:paraId="29DAEC16" w14:textId="77777777" w:rsidR="009F2628" w:rsidRPr="00E831D6" w:rsidRDefault="009F2628" w:rsidP="00257101">
            <w:pPr>
              <w:spacing w:line="240" w:lineRule="auto"/>
            </w:pPr>
            <w:r>
              <w:t>Limit of Detection</w:t>
            </w:r>
          </w:p>
        </w:tc>
      </w:tr>
      <w:tr w:rsidR="009F2628" w:rsidRPr="00E831D6" w14:paraId="41B8D3F3" w14:textId="77777777" w:rsidTr="009F2628">
        <w:tc>
          <w:tcPr>
            <w:tcW w:w="1695" w:type="pct"/>
          </w:tcPr>
          <w:p w14:paraId="61BC72B2" w14:textId="77777777" w:rsidR="009F2628" w:rsidRPr="00E831D6" w:rsidRDefault="009F2628" w:rsidP="00257101">
            <w:pPr>
              <w:spacing w:line="240" w:lineRule="auto"/>
            </w:pPr>
            <w:r w:rsidRPr="00E831D6">
              <w:t>LB</w:t>
            </w:r>
          </w:p>
        </w:tc>
        <w:tc>
          <w:tcPr>
            <w:tcW w:w="3305" w:type="pct"/>
          </w:tcPr>
          <w:p w14:paraId="1588F201" w14:textId="77777777" w:rsidR="009F2628" w:rsidRPr="00E831D6" w:rsidRDefault="009F2628" w:rsidP="00257101">
            <w:pPr>
              <w:spacing w:line="240" w:lineRule="auto"/>
            </w:pPr>
            <w:r>
              <w:t>Luria Bertani media</w:t>
            </w:r>
          </w:p>
        </w:tc>
      </w:tr>
      <w:tr w:rsidR="009F2628" w:rsidRPr="00E831D6" w14:paraId="3B156265" w14:textId="77777777" w:rsidTr="009F2628">
        <w:tc>
          <w:tcPr>
            <w:tcW w:w="1695" w:type="pct"/>
          </w:tcPr>
          <w:p w14:paraId="6AA7E4F8" w14:textId="77777777" w:rsidR="009F2628" w:rsidRPr="00E831D6" w:rsidRDefault="009F2628" w:rsidP="00257101">
            <w:pPr>
              <w:spacing w:line="240" w:lineRule="auto"/>
            </w:pPr>
            <w:r w:rsidRPr="00E831D6">
              <w:t>LSR</w:t>
            </w:r>
          </w:p>
        </w:tc>
        <w:tc>
          <w:tcPr>
            <w:tcW w:w="3305" w:type="pct"/>
          </w:tcPr>
          <w:p w14:paraId="4607FA2D" w14:textId="77777777" w:rsidR="009F2628" w:rsidRPr="00E831D6" w:rsidRDefault="009F2628" w:rsidP="00257101">
            <w:pPr>
              <w:spacing w:line="240" w:lineRule="auto"/>
            </w:pPr>
            <w:r>
              <w:rPr>
                <w:iCs/>
              </w:rPr>
              <w:t>L</w:t>
            </w:r>
            <w:r w:rsidRPr="00E831D6">
              <w:rPr>
                <w:iCs/>
              </w:rPr>
              <w:t xml:space="preserve">ipoprotein </w:t>
            </w:r>
            <w:r>
              <w:rPr>
                <w:iCs/>
              </w:rPr>
              <w:t>R</w:t>
            </w:r>
            <w:r w:rsidRPr="00E831D6">
              <w:rPr>
                <w:iCs/>
              </w:rPr>
              <w:t>eceptor</w:t>
            </w:r>
          </w:p>
        </w:tc>
      </w:tr>
      <w:tr w:rsidR="009F2628" w:rsidRPr="00E831D6" w14:paraId="271D3974" w14:textId="77777777" w:rsidTr="009F2628">
        <w:tc>
          <w:tcPr>
            <w:tcW w:w="1695" w:type="pct"/>
          </w:tcPr>
          <w:p w14:paraId="3E6C928F" w14:textId="77777777" w:rsidR="009F2628" w:rsidRPr="00E831D6" w:rsidRDefault="009F2628" w:rsidP="00257101">
            <w:pPr>
              <w:spacing w:line="240" w:lineRule="auto"/>
            </w:pPr>
            <w:r w:rsidRPr="00E831D6">
              <w:t>MIC</w:t>
            </w:r>
          </w:p>
        </w:tc>
        <w:tc>
          <w:tcPr>
            <w:tcW w:w="3305" w:type="pct"/>
          </w:tcPr>
          <w:p w14:paraId="663F57EE" w14:textId="77777777" w:rsidR="009F2628" w:rsidRPr="00E831D6" w:rsidRDefault="009F2628" w:rsidP="00257101">
            <w:pPr>
              <w:spacing w:line="240" w:lineRule="auto"/>
            </w:pPr>
            <w:r>
              <w:t>Minimum Inhibitory Concentration</w:t>
            </w:r>
          </w:p>
        </w:tc>
      </w:tr>
      <w:tr w:rsidR="009F2628" w:rsidRPr="00E831D6" w14:paraId="41B356DF" w14:textId="77777777" w:rsidTr="009F2628">
        <w:tc>
          <w:tcPr>
            <w:tcW w:w="1695" w:type="pct"/>
          </w:tcPr>
          <w:p w14:paraId="2731D183" w14:textId="77777777" w:rsidR="009F2628" w:rsidRPr="00E831D6" w:rsidRDefault="009F2628" w:rsidP="00257101">
            <w:pPr>
              <w:spacing w:line="240" w:lineRule="auto"/>
            </w:pPr>
            <w:r w:rsidRPr="00E831D6">
              <w:t>MW</w:t>
            </w:r>
          </w:p>
        </w:tc>
        <w:tc>
          <w:tcPr>
            <w:tcW w:w="3305" w:type="pct"/>
          </w:tcPr>
          <w:p w14:paraId="3D3F552C" w14:textId="77777777" w:rsidR="009F2628" w:rsidRPr="00E831D6" w:rsidRDefault="009F2628" w:rsidP="00257101">
            <w:pPr>
              <w:spacing w:line="240" w:lineRule="auto"/>
            </w:pPr>
            <w:r>
              <w:t>Molecular Weight</w:t>
            </w:r>
          </w:p>
        </w:tc>
      </w:tr>
      <w:tr w:rsidR="009F2628" w:rsidRPr="00E831D6" w14:paraId="11649CAC" w14:textId="77777777" w:rsidTr="009F2628">
        <w:tc>
          <w:tcPr>
            <w:tcW w:w="1695" w:type="pct"/>
          </w:tcPr>
          <w:p w14:paraId="18187358" w14:textId="77777777" w:rsidR="009F2628" w:rsidRPr="00E831D6" w:rsidRDefault="009F2628" w:rsidP="00257101">
            <w:pPr>
              <w:spacing w:line="240" w:lineRule="auto"/>
            </w:pPr>
            <w:r w:rsidRPr="00E831D6">
              <w:t>NMR</w:t>
            </w:r>
          </w:p>
        </w:tc>
        <w:tc>
          <w:tcPr>
            <w:tcW w:w="3305" w:type="pct"/>
          </w:tcPr>
          <w:p w14:paraId="7D0DB1A2" w14:textId="77777777" w:rsidR="009F2628" w:rsidRPr="00E831D6" w:rsidRDefault="009F2628" w:rsidP="00257101">
            <w:pPr>
              <w:spacing w:line="240" w:lineRule="auto"/>
            </w:pPr>
            <w:r>
              <w:t>Nuclear Magnetic Resonance</w:t>
            </w:r>
          </w:p>
        </w:tc>
      </w:tr>
      <w:tr w:rsidR="009F2628" w:rsidRPr="00E831D6" w14:paraId="482DEAF9" w14:textId="77777777" w:rsidTr="009F2628">
        <w:tc>
          <w:tcPr>
            <w:tcW w:w="1695" w:type="pct"/>
          </w:tcPr>
          <w:p w14:paraId="5BDB4009" w14:textId="77777777" w:rsidR="009F2628" w:rsidRPr="00E831D6" w:rsidRDefault="009F2628" w:rsidP="00257101">
            <w:pPr>
              <w:spacing w:line="240" w:lineRule="auto"/>
            </w:pPr>
            <w:r w:rsidRPr="00E831D6">
              <w:t>OD</w:t>
            </w:r>
          </w:p>
        </w:tc>
        <w:tc>
          <w:tcPr>
            <w:tcW w:w="3305" w:type="pct"/>
          </w:tcPr>
          <w:p w14:paraId="0534730A" w14:textId="77777777" w:rsidR="009F2628" w:rsidRPr="00E831D6" w:rsidRDefault="009F2628" w:rsidP="00257101">
            <w:pPr>
              <w:spacing w:line="240" w:lineRule="auto"/>
            </w:pPr>
            <w:r>
              <w:t>Optical Density</w:t>
            </w:r>
          </w:p>
        </w:tc>
      </w:tr>
      <w:tr w:rsidR="009F2628" w:rsidRPr="00E831D6" w14:paraId="0555B531" w14:textId="77777777" w:rsidTr="009F2628">
        <w:tc>
          <w:tcPr>
            <w:tcW w:w="1695" w:type="pct"/>
          </w:tcPr>
          <w:p w14:paraId="249C2FF8" w14:textId="77777777" w:rsidR="009F2628" w:rsidRPr="00E831D6" w:rsidRDefault="009F2628" w:rsidP="00257101">
            <w:pPr>
              <w:spacing w:line="240" w:lineRule="auto"/>
            </w:pPr>
            <w:r w:rsidRPr="00E831D6">
              <w:t>OMRF</w:t>
            </w:r>
          </w:p>
        </w:tc>
        <w:tc>
          <w:tcPr>
            <w:tcW w:w="3305" w:type="pct"/>
          </w:tcPr>
          <w:p w14:paraId="16E90AF2" w14:textId="77777777" w:rsidR="009F2628" w:rsidRPr="00E831D6" w:rsidRDefault="009F2628" w:rsidP="00257101">
            <w:pPr>
              <w:spacing w:line="240" w:lineRule="auto"/>
            </w:pPr>
            <w:r w:rsidRPr="00E831D6">
              <w:t>Oklahoma Medical Research Foundation</w:t>
            </w:r>
          </w:p>
        </w:tc>
      </w:tr>
      <w:tr w:rsidR="009F2628" w:rsidRPr="00E831D6" w14:paraId="35B395C8" w14:textId="77777777" w:rsidTr="009F2628">
        <w:tc>
          <w:tcPr>
            <w:tcW w:w="1695" w:type="pct"/>
          </w:tcPr>
          <w:p w14:paraId="4414D305" w14:textId="77777777" w:rsidR="009F2628" w:rsidRPr="00E831D6" w:rsidRDefault="009F2628" w:rsidP="00257101">
            <w:pPr>
              <w:spacing w:line="240" w:lineRule="auto"/>
            </w:pPr>
            <w:r w:rsidRPr="00E831D6">
              <w:t>PaLoc</w:t>
            </w:r>
          </w:p>
        </w:tc>
        <w:tc>
          <w:tcPr>
            <w:tcW w:w="3305" w:type="pct"/>
          </w:tcPr>
          <w:p w14:paraId="6DF045D3" w14:textId="77777777" w:rsidR="009F2628" w:rsidRPr="00E831D6" w:rsidRDefault="009F2628" w:rsidP="00257101">
            <w:pPr>
              <w:spacing w:line="240" w:lineRule="auto"/>
            </w:pPr>
            <w:r>
              <w:t>Pathogenicity Locus</w:t>
            </w:r>
          </w:p>
        </w:tc>
      </w:tr>
      <w:tr w:rsidR="009F2628" w:rsidRPr="00E831D6" w14:paraId="6C1D2634" w14:textId="77777777" w:rsidTr="009F2628">
        <w:tc>
          <w:tcPr>
            <w:tcW w:w="1695" w:type="pct"/>
          </w:tcPr>
          <w:p w14:paraId="4585E350" w14:textId="77777777" w:rsidR="009F2628" w:rsidRPr="00E831D6" w:rsidRDefault="009F2628" w:rsidP="00257101">
            <w:pPr>
              <w:spacing w:line="240" w:lineRule="auto"/>
            </w:pPr>
            <w:r w:rsidRPr="00E831D6">
              <w:t>PBS</w:t>
            </w:r>
          </w:p>
        </w:tc>
        <w:tc>
          <w:tcPr>
            <w:tcW w:w="3305" w:type="pct"/>
          </w:tcPr>
          <w:p w14:paraId="3C6E3CBE" w14:textId="77777777" w:rsidR="009F2628" w:rsidRPr="00E831D6" w:rsidRDefault="009F2628" w:rsidP="00257101">
            <w:pPr>
              <w:spacing w:line="240" w:lineRule="auto"/>
            </w:pPr>
            <w:r>
              <w:t>Phosphate Buffered Saline</w:t>
            </w:r>
          </w:p>
        </w:tc>
      </w:tr>
      <w:tr w:rsidR="009F2628" w:rsidRPr="00E831D6" w14:paraId="423931CA" w14:textId="77777777" w:rsidTr="009F2628">
        <w:tc>
          <w:tcPr>
            <w:tcW w:w="1695" w:type="pct"/>
          </w:tcPr>
          <w:p w14:paraId="354F8949" w14:textId="77777777" w:rsidR="009F2628" w:rsidRPr="00E831D6" w:rsidRDefault="009F2628" w:rsidP="00257101">
            <w:pPr>
              <w:spacing w:line="240" w:lineRule="auto"/>
            </w:pPr>
            <w:r w:rsidRPr="00E831D6">
              <w:t>PCR</w:t>
            </w:r>
          </w:p>
        </w:tc>
        <w:tc>
          <w:tcPr>
            <w:tcW w:w="3305" w:type="pct"/>
          </w:tcPr>
          <w:p w14:paraId="47527AAE" w14:textId="77777777" w:rsidR="009F2628" w:rsidRPr="00E831D6" w:rsidRDefault="009F2628" w:rsidP="00257101">
            <w:pPr>
              <w:spacing w:line="240" w:lineRule="auto"/>
            </w:pPr>
            <w:r>
              <w:t>Polymerase Chain Reaction</w:t>
            </w:r>
          </w:p>
        </w:tc>
      </w:tr>
      <w:tr w:rsidR="009F2628" w:rsidRPr="00E831D6" w14:paraId="26812AF7" w14:textId="77777777" w:rsidTr="009F2628">
        <w:tc>
          <w:tcPr>
            <w:tcW w:w="1695" w:type="pct"/>
          </w:tcPr>
          <w:p w14:paraId="2737DE49" w14:textId="77777777" w:rsidR="009F2628" w:rsidRPr="00E831D6" w:rsidRDefault="009F2628" w:rsidP="00257101">
            <w:pPr>
              <w:spacing w:line="240" w:lineRule="auto"/>
            </w:pPr>
            <w:r w:rsidRPr="00E831D6">
              <w:t>PMB</w:t>
            </w:r>
          </w:p>
        </w:tc>
        <w:tc>
          <w:tcPr>
            <w:tcW w:w="3305" w:type="pct"/>
          </w:tcPr>
          <w:p w14:paraId="2557706F" w14:textId="77777777" w:rsidR="009F2628" w:rsidRPr="00E831D6" w:rsidRDefault="009F2628" w:rsidP="00257101">
            <w:pPr>
              <w:spacing w:line="240" w:lineRule="auto"/>
            </w:pPr>
            <w:r>
              <w:t>P</w:t>
            </w:r>
            <w:r w:rsidRPr="00E831D6">
              <w:t>olymyxin-nonapeptide B</w:t>
            </w:r>
          </w:p>
        </w:tc>
      </w:tr>
      <w:tr w:rsidR="009F2628" w:rsidRPr="00E831D6" w14:paraId="2B0CE52E" w14:textId="77777777" w:rsidTr="009F2628">
        <w:tc>
          <w:tcPr>
            <w:tcW w:w="1695" w:type="pct"/>
          </w:tcPr>
          <w:p w14:paraId="445A1B00" w14:textId="77777777" w:rsidR="009F2628" w:rsidRPr="00E831D6" w:rsidRDefault="009F2628" w:rsidP="00257101">
            <w:pPr>
              <w:spacing w:line="240" w:lineRule="auto"/>
            </w:pPr>
            <w:r w:rsidRPr="00E831D6">
              <w:t>PMC</w:t>
            </w:r>
          </w:p>
        </w:tc>
        <w:tc>
          <w:tcPr>
            <w:tcW w:w="3305" w:type="pct"/>
          </w:tcPr>
          <w:p w14:paraId="4FCA9D99" w14:textId="77777777" w:rsidR="009F2628" w:rsidRPr="00E831D6" w:rsidRDefault="009F2628" w:rsidP="00257101">
            <w:pPr>
              <w:spacing w:line="240" w:lineRule="auto"/>
            </w:pPr>
            <w:r>
              <w:t>Pseudomembranous Colitis</w:t>
            </w:r>
          </w:p>
        </w:tc>
      </w:tr>
      <w:tr w:rsidR="009F2628" w:rsidRPr="00E831D6" w14:paraId="1AD875E1" w14:textId="77777777" w:rsidTr="009F2628">
        <w:tc>
          <w:tcPr>
            <w:tcW w:w="1695" w:type="pct"/>
          </w:tcPr>
          <w:p w14:paraId="28C0CD16" w14:textId="77777777" w:rsidR="009F2628" w:rsidRPr="00E831D6" w:rsidRDefault="009F2628" w:rsidP="00257101">
            <w:pPr>
              <w:spacing w:line="240" w:lineRule="auto"/>
            </w:pPr>
            <w:r w:rsidRPr="00E831D6">
              <w:t>PTS</w:t>
            </w:r>
          </w:p>
        </w:tc>
        <w:tc>
          <w:tcPr>
            <w:tcW w:w="3305" w:type="pct"/>
          </w:tcPr>
          <w:p w14:paraId="07888163" w14:textId="77777777" w:rsidR="009F2628" w:rsidRPr="00E831D6" w:rsidRDefault="009F2628" w:rsidP="00257101">
            <w:pPr>
              <w:spacing w:line="240" w:lineRule="auto"/>
            </w:pPr>
            <w:r>
              <w:t>Phosphotransferase</w:t>
            </w:r>
          </w:p>
        </w:tc>
      </w:tr>
      <w:tr w:rsidR="009F2628" w:rsidRPr="00E831D6" w14:paraId="4EFB0DA7" w14:textId="77777777" w:rsidTr="009F2628">
        <w:tc>
          <w:tcPr>
            <w:tcW w:w="1695" w:type="pct"/>
          </w:tcPr>
          <w:p w14:paraId="7D2EF414" w14:textId="77777777" w:rsidR="009F2628" w:rsidRPr="00E831D6" w:rsidRDefault="009F2628" w:rsidP="00257101">
            <w:pPr>
              <w:spacing w:line="240" w:lineRule="auto"/>
            </w:pPr>
            <w:r w:rsidRPr="00E831D6">
              <w:t>qRT-PCR</w:t>
            </w:r>
          </w:p>
        </w:tc>
        <w:tc>
          <w:tcPr>
            <w:tcW w:w="3305" w:type="pct"/>
          </w:tcPr>
          <w:p w14:paraId="0D569E14" w14:textId="77777777" w:rsidR="009F2628" w:rsidRPr="00E831D6" w:rsidRDefault="009F2628" w:rsidP="00257101">
            <w:pPr>
              <w:spacing w:line="240" w:lineRule="auto"/>
            </w:pPr>
            <w:r>
              <w:t>Quantitative Real-Time Polymerase Chain Reaction</w:t>
            </w:r>
          </w:p>
        </w:tc>
      </w:tr>
      <w:tr w:rsidR="009F2628" w:rsidRPr="00E831D6" w14:paraId="70E4C94D" w14:textId="77777777" w:rsidTr="009F2628">
        <w:tc>
          <w:tcPr>
            <w:tcW w:w="1695" w:type="pct"/>
          </w:tcPr>
          <w:p w14:paraId="104795D7" w14:textId="77777777" w:rsidR="009F2628" w:rsidRPr="00E831D6" w:rsidRDefault="009F2628" w:rsidP="00257101">
            <w:pPr>
              <w:spacing w:line="240" w:lineRule="auto"/>
            </w:pPr>
            <w:r w:rsidRPr="00E831D6">
              <w:t>RFU</w:t>
            </w:r>
          </w:p>
        </w:tc>
        <w:tc>
          <w:tcPr>
            <w:tcW w:w="3305" w:type="pct"/>
          </w:tcPr>
          <w:p w14:paraId="254C083D" w14:textId="77777777" w:rsidR="009F2628" w:rsidRPr="00E831D6" w:rsidRDefault="009F2628" w:rsidP="00257101">
            <w:pPr>
              <w:spacing w:line="240" w:lineRule="auto"/>
            </w:pPr>
            <w:r>
              <w:t>Relative Fluorescence Units</w:t>
            </w:r>
          </w:p>
        </w:tc>
      </w:tr>
      <w:tr w:rsidR="009F2628" w:rsidRPr="00E831D6" w14:paraId="012C9BD1" w14:textId="77777777" w:rsidTr="009F2628">
        <w:tc>
          <w:tcPr>
            <w:tcW w:w="1695" w:type="pct"/>
          </w:tcPr>
          <w:p w14:paraId="140B7135" w14:textId="77777777" w:rsidR="009F2628" w:rsidRPr="00E831D6" w:rsidRDefault="009F2628" w:rsidP="00257101">
            <w:pPr>
              <w:spacing w:line="240" w:lineRule="auto"/>
            </w:pPr>
            <w:r w:rsidRPr="00E831D6">
              <w:t>RNA</w:t>
            </w:r>
          </w:p>
        </w:tc>
        <w:tc>
          <w:tcPr>
            <w:tcW w:w="3305" w:type="pct"/>
          </w:tcPr>
          <w:p w14:paraId="1602B6D4" w14:textId="77777777" w:rsidR="009F2628" w:rsidRPr="00E831D6" w:rsidRDefault="009F2628" w:rsidP="00257101">
            <w:pPr>
              <w:spacing w:line="240" w:lineRule="auto"/>
            </w:pPr>
            <w:r>
              <w:t>Ribonucleic Acid</w:t>
            </w:r>
          </w:p>
        </w:tc>
      </w:tr>
      <w:tr w:rsidR="009F2628" w:rsidRPr="00E831D6" w14:paraId="0DA2E5F6" w14:textId="77777777" w:rsidTr="009F2628">
        <w:tc>
          <w:tcPr>
            <w:tcW w:w="1695" w:type="pct"/>
          </w:tcPr>
          <w:p w14:paraId="27624844" w14:textId="77777777" w:rsidR="009F2628" w:rsidRPr="00E831D6" w:rsidRDefault="009F2628" w:rsidP="00257101">
            <w:pPr>
              <w:spacing w:line="240" w:lineRule="auto"/>
            </w:pPr>
            <w:r w:rsidRPr="00E831D6">
              <w:t>RNAP</w:t>
            </w:r>
          </w:p>
        </w:tc>
        <w:tc>
          <w:tcPr>
            <w:tcW w:w="3305" w:type="pct"/>
          </w:tcPr>
          <w:p w14:paraId="007B1A0C" w14:textId="77777777" w:rsidR="009F2628" w:rsidRPr="00E831D6" w:rsidRDefault="009F2628" w:rsidP="00257101">
            <w:pPr>
              <w:spacing w:line="240" w:lineRule="auto"/>
            </w:pPr>
            <w:r>
              <w:t>Ribonucleic Acid Polymerase</w:t>
            </w:r>
          </w:p>
        </w:tc>
      </w:tr>
      <w:tr w:rsidR="009F2628" w:rsidRPr="00E831D6" w14:paraId="79A6B8C9" w14:textId="77777777" w:rsidTr="009F2628">
        <w:tc>
          <w:tcPr>
            <w:tcW w:w="1695" w:type="pct"/>
          </w:tcPr>
          <w:p w14:paraId="3D5CD4EA" w14:textId="77777777" w:rsidR="009F2628" w:rsidRPr="00E831D6" w:rsidRDefault="009F2628" w:rsidP="00257101">
            <w:pPr>
              <w:spacing w:line="240" w:lineRule="auto"/>
            </w:pPr>
            <w:r w:rsidRPr="00E831D6">
              <w:t>SAR</w:t>
            </w:r>
          </w:p>
        </w:tc>
        <w:tc>
          <w:tcPr>
            <w:tcW w:w="3305" w:type="pct"/>
          </w:tcPr>
          <w:p w14:paraId="2D60E7BB" w14:textId="77777777" w:rsidR="009F2628" w:rsidRPr="00E831D6" w:rsidRDefault="009F2628" w:rsidP="00257101">
            <w:pPr>
              <w:spacing w:line="240" w:lineRule="auto"/>
            </w:pPr>
            <w:r>
              <w:t>Structure Activity Relationships</w:t>
            </w:r>
          </w:p>
        </w:tc>
      </w:tr>
      <w:tr w:rsidR="009F2628" w:rsidRPr="00E831D6" w14:paraId="5686708B" w14:textId="77777777" w:rsidTr="009F2628">
        <w:tc>
          <w:tcPr>
            <w:tcW w:w="1695" w:type="pct"/>
          </w:tcPr>
          <w:p w14:paraId="0C0BFEA5" w14:textId="77777777" w:rsidR="009F2628" w:rsidRPr="00E831D6" w:rsidRDefault="009F2628" w:rsidP="00257101">
            <w:pPr>
              <w:spacing w:line="240" w:lineRule="auto"/>
            </w:pPr>
            <w:r w:rsidRPr="00E831D6">
              <w:t>SDS-PAGE</w:t>
            </w:r>
          </w:p>
        </w:tc>
        <w:tc>
          <w:tcPr>
            <w:tcW w:w="3305" w:type="pct"/>
          </w:tcPr>
          <w:p w14:paraId="4334AABA" w14:textId="0101A2C7" w:rsidR="009F2628" w:rsidRPr="00E831D6" w:rsidRDefault="009F2628" w:rsidP="00257101">
            <w:pPr>
              <w:spacing w:line="240" w:lineRule="auto"/>
            </w:pPr>
            <w:r>
              <w:t>Sodium dodecyl sulfate Polyacrylamide Gel Electrophoresis</w:t>
            </w:r>
          </w:p>
        </w:tc>
      </w:tr>
      <w:tr w:rsidR="009F2628" w:rsidRPr="00E831D6" w14:paraId="5C893F40" w14:textId="77777777" w:rsidTr="009F2628">
        <w:tc>
          <w:tcPr>
            <w:tcW w:w="1695" w:type="pct"/>
          </w:tcPr>
          <w:p w14:paraId="7E986F91" w14:textId="77777777" w:rsidR="009F2628" w:rsidRPr="00E831D6" w:rsidRDefault="009F2628" w:rsidP="00257101">
            <w:pPr>
              <w:spacing w:line="240" w:lineRule="auto"/>
            </w:pPr>
            <w:r w:rsidRPr="00E831D6">
              <w:t>SEC</w:t>
            </w:r>
          </w:p>
        </w:tc>
        <w:tc>
          <w:tcPr>
            <w:tcW w:w="3305" w:type="pct"/>
          </w:tcPr>
          <w:p w14:paraId="38FCFD2B" w14:textId="77777777" w:rsidR="009F2628" w:rsidRPr="00E831D6" w:rsidRDefault="009F2628" w:rsidP="00257101">
            <w:pPr>
              <w:spacing w:line="240" w:lineRule="auto"/>
            </w:pPr>
            <w:r>
              <w:t>Size Exclusion Chromatography</w:t>
            </w:r>
          </w:p>
        </w:tc>
      </w:tr>
      <w:tr w:rsidR="009F2628" w:rsidRPr="00E831D6" w14:paraId="76068F1A" w14:textId="77777777" w:rsidTr="009F2628">
        <w:tc>
          <w:tcPr>
            <w:tcW w:w="1695" w:type="pct"/>
          </w:tcPr>
          <w:p w14:paraId="184C51EB" w14:textId="77777777" w:rsidR="009F2628" w:rsidRPr="00E831D6" w:rsidRDefault="009F2628" w:rsidP="00257101">
            <w:pPr>
              <w:spacing w:line="240" w:lineRule="auto"/>
            </w:pPr>
            <w:r w:rsidRPr="00E831D6">
              <w:t>SLY-AMC</w:t>
            </w:r>
          </w:p>
        </w:tc>
        <w:tc>
          <w:tcPr>
            <w:tcW w:w="3305" w:type="pct"/>
          </w:tcPr>
          <w:p w14:paraId="42EF6BC7" w14:textId="77777777" w:rsidR="009F2628" w:rsidRPr="00E831D6" w:rsidRDefault="009F2628" w:rsidP="00257101">
            <w:pPr>
              <w:spacing w:line="240" w:lineRule="auto"/>
            </w:pPr>
            <w:r w:rsidRPr="00E831D6">
              <w:t>Leu-Tyr-aminomethylcoumarin</w:t>
            </w:r>
          </w:p>
        </w:tc>
      </w:tr>
      <w:tr w:rsidR="009F2628" w:rsidRPr="00E831D6" w14:paraId="34D5FDF5" w14:textId="77777777" w:rsidTr="009F2628">
        <w:tc>
          <w:tcPr>
            <w:tcW w:w="1695" w:type="pct"/>
          </w:tcPr>
          <w:p w14:paraId="74ACC22B" w14:textId="77777777" w:rsidR="009F2628" w:rsidRPr="00E831D6" w:rsidRDefault="009F2628" w:rsidP="00257101">
            <w:pPr>
              <w:spacing w:line="240" w:lineRule="auto"/>
            </w:pPr>
            <w:r w:rsidRPr="00E831D6">
              <w:t>SMC</w:t>
            </w:r>
          </w:p>
        </w:tc>
        <w:tc>
          <w:tcPr>
            <w:tcW w:w="3305" w:type="pct"/>
          </w:tcPr>
          <w:p w14:paraId="22A1D0DA" w14:textId="77777777" w:rsidR="009F2628" w:rsidRPr="00E831D6" w:rsidRDefault="009F2628" w:rsidP="00257101">
            <w:pPr>
              <w:spacing w:line="240" w:lineRule="auto"/>
            </w:pPr>
            <w:r>
              <w:t>Sporulation Media Culture</w:t>
            </w:r>
          </w:p>
        </w:tc>
      </w:tr>
      <w:tr w:rsidR="009F2628" w:rsidRPr="00E831D6" w14:paraId="69652E52" w14:textId="77777777" w:rsidTr="009F2628">
        <w:tc>
          <w:tcPr>
            <w:tcW w:w="1695" w:type="pct"/>
          </w:tcPr>
          <w:p w14:paraId="107C73C7" w14:textId="77777777" w:rsidR="009F2628" w:rsidRPr="00E831D6" w:rsidRDefault="009F2628" w:rsidP="00257101">
            <w:pPr>
              <w:spacing w:line="240" w:lineRule="auto"/>
            </w:pPr>
            <w:r w:rsidRPr="00E831D6">
              <w:t>Spo</w:t>
            </w:r>
          </w:p>
        </w:tc>
        <w:tc>
          <w:tcPr>
            <w:tcW w:w="3305" w:type="pct"/>
          </w:tcPr>
          <w:p w14:paraId="11724F9F" w14:textId="77777777" w:rsidR="009F2628" w:rsidRPr="00E831D6" w:rsidRDefault="009F2628" w:rsidP="00257101">
            <w:pPr>
              <w:spacing w:line="240" w:lineRule="auto"/>
            </w:pPr>
            <w:r>
              <w:t>Sporulation Regulatory Proteins</w:t>
            </w:r>
          </w:p>
        </w:tc>
      </w:tr>
      <w:tr w:rsidR="009F2628" w:rsidRPr="00E831D6" w14:paraId="4A88368D" w14:textId="77777777" w:rsidTr="009F2628">
        <w:tc>
          <w:tcPr>
            <w:tcW w:w="1695" w:type="pct"/>
          </w:tcPr>
          <w:p w14:paraId="69AEFC65" w14:textId="77777777" w:rsidR="009F2628" w:rsidRPr="00E831D6" w:rsidRDefault="009F2628" w:rsidP="00257101">
            <w:pPr>
              <w:spacing w:line="240" w:lineRule="auto"/>
            </w:pPr>
            <w:r w:rsidRPr="00E831D6">
              <w:rPr>
                <w:bCs/>
              </w:rPr>
              <w:t>TBST</w:t>
            </w:r>
          </w:p>
        </w:tc>
        <w:tc>
          <w:tcPr>
            <w:tcW w:w="3305" w:type="pct"/>
          </w:tcPr>
          <w:p w14:paraId="79158B26" w14:textId="77777777" w:rsidR="009F2628" w:rsidRPr="00E831D6" w:rsidRDefault="009F2628" w:rsidP="00257101">
            <w:pPr>
              <w:spacing w:line="240" w:lineRule="auto"/>
            </w:pPr>
            <w:r>
              <w:t>Tris Buffered Saline with Tween</w:t>
            </w:r>
          </w:p>
        </w:tc>
      </w:tr>
      <w:tr w:rsidR="009F2628" w:rsidRPr="00E831D6" w14:paraId="101B598A" w14:textId="77777777" w:rsidTr="009F2628">
        <w:tc>
          <w:tcPr>
            <w:tcW w:w="1695" w:type="pct"/>
          </w:tcPr>
          <w:p w14:paraId="66A1A1E7" w14:textId="77777777" w:rsidR="009F2628" w:rsidRPr="00E831D6" w:rsidRDefault="009F2628" w:rsidP="00257101">
            <w:pPr>
              <w:spacing w:line="240" w:lineRule="auto"/>
            </w:pPr>
            <w:r w:rsidRPr="00E831D6">
              <w:t>TEM</w:t>
            </w:r>
          </w:p>
        </w:tc>
        <w:tc>
          <w:tcPr>
            <w:tcW w:w="3305" w:type="pct"/>
          </w:tcPr>
          <w:p w14:paraId="61CCFD39" w14:textId="77777777" w:rsidR="009F2628" w:rsidRPr="00E831D6" w:rsidRDefault="009F2628" w:rsidP="00257101">
            <w:pPr>
              <w:spacing w:line="240" w:lineRule="auto"/>
            </w:pPr>
            <w:r>
              <w:t>Transmission Electron Microscopy</w:t>
            </w:r>
          </w:p>
        </w:tc>
      </w:tr>
      <w:tr w:rsidR="009F2628" w:rsidRPr="00E831D6" w14:paraId="05613FC8" w14:textId="77777777" w:rsidTr="009F2628">
        <w:tc>
          <w:tcPr>
            <w:tcW w:w="1695" w:type="pct"/>
          </w:tcPr>
          <w:p w14:paraId="0446B0D8" w14:textId="77777777" w:rsidR="009F2628" w:rsidRPr="00E831D6" w:rsidRDefault="009F2628" w:rsidP="00257101">
            <w:pPr>
              <w:spacing w:line="240" w:lineRule="auto"/>
            </w:pPr>
            <w:r w:rsidRPr="00E831D6">
              <w:t>TSA</w:t>
            </w:r>
          </w:p>
        </w:tc>
        <w:tc>
          <w:tcPr>
            <w:tcW w:w="3305" w:type="pct"/>
          </w:tcPr>
          <w:p w14:paraId="26FAFA4E" w14:textId="77777777" w:rsidR="009F2628" w:rsidRPr="00E831D6" w:rsidRDefault="009F2628" w:rsidP="00257101">
            <w:pPr>
              <w:spacing w:line="240" w:lineRule="auto"/>
            </w:pPr>
            <w:r>
              <w:t>Thermal Shift Assay</w:t>
            </w:r>
          </w:p>
        </w:tc>
      </w:tr>
      <w:tr w:rsidR="009F2628" w14:paraId="343373C8" w14:textId="77777777" w:rsidTr="009F2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5" w:type="pct"/>
            <w:tcBorders>
              <w:top w:val="nil"/>
              <w:left w:val="nil"/>
              <w:bottom w:val="nil"/>
              <w:right w:val="nil"/>
            </w:tcBorders>
          </w:tcPr>
          <w:p w14:paraId="7ED88D08" w14:textId="77777777" w:rsidR="009F2628" w:rsidRPr="009F2628" w:rsidRDefault="009F2628" w:rsidP="009F2628">
            <w:pPr>
              <w:spacing w:line="240" w:lineRule="auto"/>
              <w:rPr>
                <w:bCs/>
              </w:rPr>
            </w:pPr>
            <w:r>
              <w:rPr>
                <w:bCs/>
              </w:rPr>
              <w:t>UV</w:t>
            </w:r>
          </w:p>
        </w:tc>
        <w:tc>
          <w:tcPr>
            <w:tcW w:w="3305" w:type="pct"/>
            <w:tcBorders>
              <w:top w:val="nil"/>
              <w:left w:val="nil"/>
              <w:bottom w:val="nil"/>
              <w:right w:val="nil"/>
            </w:tcBorders>
          </w:tcPr>
          <w:p w14:paraId="54A760A5" w14:textId="77777777" w:rsidR="009F2628" w:rsidRPr="009F2628" w:rsidRDefault="009F2628" w:rsidP="009F2628">
            <w:pPr>
              <w:spacing w:line="240" w:lineRule="auto"/>
              <w:rPr>
                <w:bCs/>
              </w:rPr>
            </w:pPr>
            <w:r>
              <w:rPr>
                <w:bCs/>
              </w:rPr>
              <w:t>Ultraviolet</w:t>
            </w:r>
          </w:p>
        </w:tc>
      </w:tr>
      <w:tr w:rsidR="009F2628" w:rsidRPr="00E831D6" w14:paraId="5B7ABE81" w14:textId="77777777" w:rsidTr="009F2628">
        <w:tc>
          <w:tcPr>
            <w:tcW w:w="1695" w:type="pct"/>
          </w:tcPr>
          <w:p w14:paraId="34ED9154" w14:textId="77777777" w:rsidR="009F2628" w:rsidRPr="00E831D6" w:rsidRDefault="009F2628" w:rsidP="00257101">
            <w:pPr>
              <w:spacing w:line="240" w:lineRule="auto"/>
            </w:pPr>
            <w:r w:rsidRPr="00E831D6">
              <w:t>WT</w:t>
            </w:r>
          </w:p>
        </w:tc>
        <w:tc>
          <w:tcPr>
            <w:tcW w:w="3305" w:type="pct"/>
          </w:tcPr>
          <w:p w14:paraId="18ED1CE8" w14:textId="77777777" w:rsidR="009F2628" w:rsidRPr="00E831D6" w:rsidRDefault="009F2628" w:rsidP="00257101">
            <w:pPr>
              <w:spacing w:line="240" w:lineRule="auto"/>
            </w:pPr>
            <w:r>
              <w:t>Wildtype</w:t>
            </w:r>
          </w:p>
        </w:tc>
      </w:tr>
    </w:tbl>
    <w:p w14:paraId="283FFB65" w14:textId="33C69A0A" w:rsidR="00223DA9" w:rsidRDefault="00223DA9" w:rsidP="00755BAF">
      <w:pPr>
        <w:spacing w:line="240" w:lineRule="auto"/>
        <w:jc w:val="center"/>
        <w:rPr>
          <w:b/>
          <w:bCs/>
          <w:sz w:val="28"/>
          <w:szCs w:val="28"/>
        </w:rPr>
      </w:pPr>
    </w:p>
    <w:p w14:paraId="65105270" w14:textId="77777777" w:rsidR="00223DA9" w:rsidRDefault="00223DA9">
      <w:pPr>
        <w:spacing w:line="240" w:lineRule="auto"/>
        <w:rPr>
          <w:b/>
          <w:bCs/>
          <w:sz w:val="28"/>
          <w:szCs w:val="28"/>
        </w:rPr>
      </w:pPr>
    </w:p>
    <w:p w14:paraId="34CBC056" w14:textId="54F07832" w:rsidR="00DA1971" w:rsidRDefault="00DA1971" w:rsidP="007D5BF8">
      <w:pPr>
        <w:pStyle w:val="Heading1"/>
      </w:pPr>
      <w:r>
        <w:br w:type="page"/>
      </w:r>
      <w:bookmarkStart w:id="9" w:name="_Toc310579467"/>
      <w:bookmarkStart w:id="10" w:name="_Toc8392724"/>
      <w:r>
        <w:lastRenderedPageBreak/>
        <w:t>Abstract</w:t>
      </w:r>
      <w:bookmarkEnd w:id="9"/>
      <w:bookmarkEnd w:id="10"/>
    </w:p>
    <w:p w14:paraId="7406B25F" w14:textId="78D782DA" w:rsidR="004F08F0" w:rsidRPr="00126E6F" w:rsidRDefault="00AB3480" w:rsidP="00632C4D">
      <w:pPr>
        <w:ind w:firstLine="720"/>
        <w:jc w:val="both"/>
      </w:pPr>
      <w:r w:rsidRPr="00AB3480">
        <w:rPr>
          <w:i/>
        </w:rPr>
        <w:t>Clostridium difficile</w:t>
      </w:r>
      <w:r w:rsidR="00483F49">
        <w:t xml:space="preserve"> is a Gram-positive, spore-forming, toxin producing pathogen that has rapidly gained resistance to several broad-spectrum antibiotics.</w:t>
      </w:r>
      <w:r w:rsidR="00632C4D">
        <w:t xml:space="preserve"> </w:t>
      </w:r>
      <w:r w:rsidRPr="00AB3480">
        <w:rPr>
          <w:i/>
          <w:iCs/>
        </w:rPr>
        <w:t>C. difficile</w:t>
      </w:r>
      <w:r w:rsidR="00D2676A" w:rsidRPr="00D2676A">
        <w:t> infection (CDI) is a leading cause of hospital-acquired illness and presents a unique challenge to therapeutic development, as it is both caused by and clinically managed with antibiotics that indiscriminately</w:t>
      </w:r>
      <w:r w:rsidR="00483F49">
        <w:t xml:space="preserve"> kill bacteria present in gut microbiota</w:t>
      </w:r>
      <w:r w:rsidR="00D2676A" w:rsidRPr="00D2676A">
        <w:t>.</w:t>
      </w:r>
      <w:r w:rsidR="00D2676A">
        <w:t xml:space="preserve"> </w:t>
      </w:r>
      <w:r w:rsidR="00483F49">
        <w:t>As such, i</w:t>
      </w:r>
      <w:r w:rsidR="00D2676A" w:rsidRPr="00AF31F4">
        <w:t xml:space="preserve">dentifying new drug targets </w:t>
      </w:r>
      <w:r w:rsidR="00D2676A">
        <w:t xml:space="preserve">that affect novel pathways is urgently required in order to combat the rise of CDI. </w:t>
      </w:r>
      <w:r w:rsidR="00483F49">
        <w:t>To address this, we focus on elucidating the c</w:t>
      </w:r>
      <w:r w:rsidR="004F08F0" w:rsidRPr="004F08F0">
        <w:t xml:space="preserve">aseinolytic protease P (ClpP) </w:t>
      </w:r>
      <w:r w:rsidR="00483F49">
        <w:t xml:space="preserve">system in </w:t>
      </w:r>
      <w:r w:rsidRPr="00AB3480">
        <w:rPr>
          <w:i/>
        </w:rPr>
        <w:t>C. difficile</w:t>
      </w:r>
      <w:r w:rsidR="00483F49">
        <w:t xml:space="preserve">, which </w:t>
      </w:r>
      <w:r w:rsidR="004F08F0" w:rsidRPr="00483F49">
        <w:t>has</w:t>
      </w:r>
      <w:r w:rsidR="004F08F0" w:rsidRPr="004F08F0">
        <w:t xml:space="preserve"> emerged as a promising new target for antibacterial development.</w:t>
      </w:r>
      <w:r w:rsidR="00483F49">
        <w:t xml:space="preserve"> Herein, we describe the biochemical characterization </w:t>
      </w:r>
      <w:r w:rsidR="00126E6F">
        <w:t xml:space="preserve">and phenotypic response to loss of </w:t>
      </w:r>
      <w:r w:rsidR="00483F49">
        <w:t xml:space="preserve">ClpP1 and ClpP2 </w:t>
      </w:r>
      <w:r w:rsidR="00483F49">
        <w:rPr>
          <w:i/>
        </w:rPr>
        <w:t>in vitro</w:t>
      </w:r>
      <w:r w:rsidR="00483F49">
        <w:t xml:space="preserve"> to establish:</w:t>
      </w:r>
      <w:r w:rsidR="004F08F0" w:rsidRPr="004F08F0">
        <w:t xml:space="preserve"> </w:t>
      </w:r>
      <w:r w:rsidR="00483F49">
        <w:t xml:space="preserve">1) </w:t>
      </w:r>
      <w:r w:rsidR="00126E6F" w:rsidRPr="006818EE">
        <w:t>proteolytic activity and susceptibility to chemo-activation differ between ClpP1 and ClpP2 and that these two isoforms are capable of functioning in an uncoupled fashion.</w:t>
      </w:r>
      <w:r w:rsidR="004F08F0" w:rsidRPr="004F08F0">
        <w:t xml:space="preserve"> </w:t>
      </w:r>
      <w:r w:rsidR="00483F49">
        <w:t xml:space="preserve">2) </w:t>
      </w:r>
      <w:r w:rsidR="00126E6F">
        <w:t xml:space="preserve">ClpP1 and ClpP2 together are required for sporulation and thus are viable drug targets. We conclude this work with our initial discovery of a novel ClpP activator, Sclerotiamde, and our work towards the optimization of </w:t>
      </w:r>
      <w:r w:rsidR="00632C4D">
        <w:t>another class of ClpP activators</w:t>
      </w:r>
      <w:r w:rsidR="00126E6F">
        <w:t xml:space="preserve">. </w:t>
      </w:r>
      <w:r w:rsidR="004F08F0" w:rsidRPr="004F08F0">
        <w:t xml:space="preserve">The </w:t>
      </w:r>
      <w:r w:rsidR="00126E6F">
        <w:t>work</w:t>
      </w:r>
      <w:r w:rsidR="004F08F0" w:rsidRPr="004F08F0">
        <w:t xml:space="preserve"> </w:t>
      </w:r>
      <w:r w:rsidR="00126E6F">
        <w:t>herein</w:t>
      </w:r>
      <w:r w:rsidR="004F08F0" w:rsidRPr="004F08F0">
        <w:t xml:space="preserve"> </w:t>
      </w:r>
      <w:r w:rsidR="00632C4D">
        <w:t>describes</w:t>
      </w:r>
      <w:r w:rsidR="00126E6F">
        <w:t xml:space="preserve"> </w:t>
      </w:r>
      <w:r w:rsidR="00632C4D">
        <w:t xml:space="preserve">the </w:t>
      </w:r>
      <w:r w:rsidR="00632C4D" w:rsidRPr="004F08F0">
        <w:t>uniqueness</w:t>
      </w:r>
      <w:r w:rsidR="004F08F0" w:rsidRPr="004F08F0">
        <w:t xml:space="preserve"> of the ClpP system in </w:t>
      </w:r>
      <w:r w:rsidRPr="00AB3480">
        <w:rPr>
          <w:i/>
          <w:iCs/>
        </w:rPr>
        <w:t>C. difficile</w:t>
      </w:r>
      <w:r w:rsidR="004F08F0" w:rsidRPr="004F08F0">
        <w:t>, open</w:t>
      </w:r>
      <w:r w:rsidR="00632C4D">
        <w:t>s</w:t>
      </w:r>
      <w:r w:rsidR="004F08F0" w:rsidRPr="004F08F0">
        <w:t xml:space="preserve"> new avenues of inquiry, and highlight</w:t>
      </w:r>
      <w:r w:rsidR="00632C4D">
        <w:t>s</w:t>
      </w:r>
      <w:r w:rsidR="004F08F0" w:rsidRPr="004F08F0">
        <w:t xml:space="preserve"> </w:t>
      </w:r>
      <w:r w:rsidR="00632C4D">
        <w:t>added impact</w:t>
      </w:r>
      <w:r w:rsidR="004F08F0" w:rsidRPr="004F08F0">
        <w:t xml:space="preserve"> of</w:t>
      </w:r>
      <w:r w:rsidR="00126E6F">
        <w:t xml:space="preserve"> additional</w:t>
      </w:r>
      <w:r w:rsidR="004F08F0" w:rsidRPr="004F08F0">
        <w:t xml:space="preserve"> detailed structural, genetic, and biological characterization of th</w:t>
      </w:r>
      <w:r w:rsidR="00126E6F">
        <w:t>is system.</w:t>
      </w:r>
    </w:p>
    <w:p w14:paraId="2A5E1B44" w14:textId="6622C808" w:rsidR="004F08F0" w:rsidRDefault="004F08F0" w:rsidP="00DA1971"/>
    <w:p w14:paraId="5F60C574" w14:textId="1885D5F8" w:rsidR="00B62462" w:rsidRDefault="00B62462" w:rsidP="00DA1971"/>
    <w:p w14:paraId="214C6441" w14:textId="77777777" w:rsidR="007D5BF8" w:rsidRDefault="007D5BF8" w:rsidP="00B62462">
      <w:pPr>
        <w:spacing w:line="240" w:lineRule="auto"/>
        <w:sectPr w:rsidR="007D5BF8" w:rsidSect="007D5BF8">
          <w:footerReference w:type="default" r:id="rId20"/>
          <w:footerReference w:type="first" r:id="rId21"/>
          <w:pgSz w:w="12240" w:h="15840" w:code="1"/>
          <w:pgMar w:top="1440" w:right="1440" w:bottom="1440" w:left="2160" w:header="720" w:footer="720" w:gutter="0"/>
          <w:pgNumType w:fmt="lowerRoman" w:start="4"/>
          <w:cols w:space="720"/>
          <w:titlePg/>
          <w:docGrid w:linePitch="360"/>
        </w:sectPr>
      </w:pPr>
    </w:p>
    <w:p w14:paraId="690DF060" w14:textId="23A270C2" w:rsidR="004C5D1A" w:rsidRDefault="00135AEF" w:rsidP="007D5BF8">
      <w:pPr>
        <w:pStyle w:val="Heading1"/>
      </w:pPr>
      <w:bookmarkStart w:id="11" w:name="_Toc8392725"/>
      <w:r w:rsidRPr="000F56FF">
        <w:lastRenderedPageBreak/>
        <w:t>Chapter 1</w:t>
      </w:r>
      <w:bookmarkEnd w:id="11"/>
    </w:p>
    <w:p w14:paraId="66535ED2" w14:textId="7C050E99" w:rsidR="00135AEF" w:rsidRDefault="00135AEF" w:rsidP="007D5BF8">
      <w:pPr>
        <w:pStyle w:val="Heading1"/>
      </w:pPr>
      <w:bookmarkStart w:id="12" w:name="_Toc8392726"/>
      <w:r w:rsidRPr="000F56FF">
        <w:t>Introduction</w:t>
      </w:r>
      <w:bookmarkEnd w:id="12"/>
    </w:p>
    <w:p w14:paraId="27698C5C" w14:textId="4905D3FE" w:rsidR="00135AEF" w:rsidRDefault="00AE6C6D" w:rsidP="004E7821">
      <w:pPr>
        <w:pStyle w:val="Heading2"/>
        <w:rPr>
          <w:iCs/>
        </w:rPr>
      </w:pPr>
      <w:bookmarkStart w:id="13" w:name="_Toc8392727"/>
      <w:r>
        <w:t xml:space="preserve">1.1 </w:t>
      </w:r>
      <w:r w:rsidR="00AB3480" w:rsidRPr="004C5D1A">
        <w:rPr>
          <w:i/>
        </w:rPr>
        <w:t>Clostridium difficile</w:t>
      </w:r>
      <w:r w:rsidR="00135AEF" w:rsidRPr="004C5D1A">
        <w:rPr>
          <w:i/>
        </w:rPr>
        <w:t xml:space="preserve"> </w:t>
      </w:r>
      <w:r w:rsidR="00135AEF">
        <w:t>Infection</w:t>
      </w:r>
      <w:bookmarkEnd w:id="13"/>
    </w:p>
    <w:p w14:paraId="173A78BF" w14:textId="3C5006FD" w:rsidR="00135AEF" w:rsidRDefault="00AB3480" w:rsidP="00135AEF">
      <w:pPr>
        <w:ind w:firstLine="720"/>
        <w:jc w:val="both"/>
      </w:pPr>
      <w:r w:rsidRPr="00AB3480">
        <w:rPr>
          <w:i/>
          <w:iCs/>
          <w:szCs w:val="28"/>
        </w:rPr>
        <w:t>Clostridium difficile</w:t>
      </w:r>
      <w:r w:rsidR="00135AEF" w:rsidRPr="008D43DB">
        <w:rPr>
          <w:szCs w:val="28"/>
        </w:rPr>
        <w:t xml:space="preserve"> is a </w:t>
      </w:r>
      <w:r w:rsidR="00135AEF">
        <w:t>Gram-positive, anaerobic, toxin-producing, spore-forming bacteria that causes infection in the lower intestinal tract, capable of producing life-threatening diarrhea and pseudomembranous colitis</w:t>
      </w:r>
      <w:r w:rsidR="00135AEF" w:rsidRPr="008D43DB">
        <w:rPr>
          <w:szCs w:val="28"/>
        </w:rPr>
        <w:t>.</w:t>
      </w:r>
      <w:r w:rsidR="00135AEF" w:rsidRPr="008D43DB">
        <w:rPr>
          <w:szCs w:val="28"/>
        </w:rPr>
        <w:fldChar w:fldCharType="begin"/>
      </w:r>
      <w:r w:rsidR="00135AEF" w:rsidRPr="008D43DB">
        <w:rPr>
          <w:szCs w:val="28"/>
        </w:rPr>
        <w:instrText>ADDIN F1000_CSL_CITATION&lt;~#@#~&gt;[{"DOI":"10.1056/NEJMra1403772","First":false,"Last":false,"PMID":"25875259","author":[{"family":"Leffler","given":"Daniel A"},{"family":"Lamont","given":"J Thomas"}],"authorYearDisplayFormat":false,"citation-label":"837639","container-title":"The New England Journal of Medicine","container-title-short":"N. Engl. J. Med.","id":"837639","invisible":false,"issue":"16","issued":{"date-parts":[["2015","4","16"]]},"journalAbbreviation":"N. Engl. J. Med.","page":"1539-1548","suppress-author":false,"title":"Clostridium difficile infection.","type":"article-journal","volume":"372"},{"First":false,"Last":false,"abstract":"Review Article from The New England Journal of Medicine — Clostridium difficile — More Difficult Than Ever.","author":[{"family":"Kelly","given":"C P"},{"family":"LaMont","given":"J T"}],"authorYearDisplayFormat":false,"citation-label":"5997146","container-title":"New England Journal of Medicine","container-title-short":"New England Journal of Medicine","id":"5997146","invisible":false,"issued":{"date-parts":[["2008"]]},"journalAbbreviation":"New England Journal of Medicine","suppress-author":false,"title":"Clostridium difficile — More Difficult Than Ever","type":"article-journal"},{"DOI":"10.1056/NEJMoa1408913","First":false,"Last":false,"PMID":"25714160","abstract":"&lt;strong&gt;BACKGROUND:&lt;/strong&gt; The magnitude and scope of Clostridium difficile infection in the United States continue to evolve.&lt;br&gt;&lt;br&gt;&lt;strong&gt;METHODS:&lt;/strong&gt; In 2011, we performed active population- and laboratory-based surveillance across 10 geographic areas in the United States to identify cases of C. difficile infection (stool specimens positive for C. difficile on either toxin or molecular assay in residents ≥ 1 year of age). Cases were classified as community-associated or health care-associated. In a sample of cases of C. difficile infection, specimens were cultured and isolates underwent molecular typing. We used regression models to calculate estimates of national incidence and total number of infections, first recurrences, and deaths within 30 days after the diagnosis of C. difficile infection.&lt;br&gt;&lt;br&gt;&lt;strong&gt;RESULTS:&lt;/strong&gt; A total of 15,461 cases of C. difficile infection were identified in the 10 geographic areas; 65.8% were health care-associated, but only 24.2% had onset during hospitalization. After adjustment for predictors of disease incidence, the estimated number of incident C. difficile infections in the United States was 453,000 (95% confidence interval [CI], 397,100 to 508,500). The incidence was estimated to be higher among females (rate ratio, 1.26; 95% CI, 1.25 to 1.27), whites (rate ratio, 1.72; 95% CI, 1.56 to 2.0), and persons 65 years of age or older (rate ratio, 8.65; 95% CI, 8.16 to 9.31). The estimated number of first recurrences of C. difficile infection was 83,000 (95% CI, 57,000 to 108,900), and the estimated number of deaths was 29,300 (95% CI, 16,500 to 42,100). The North American pulsed-field gel electrophoresis type 1 (NAP1) strain was more prevalent among health care-associated infections than among community-associated infections (30.7% vs. 18.8%, P&lt; 0.001).&lt;br&gt;&lt;br&gt;&lt;strong&gt;CONCLUSIONS:&lt;/strong&gt; C. difficile was responsible for almost half a million infections and was associated with approximately 29,000 deaths in 2011. (Funded by the Centers for Disease Control and Prevention.).","author":[{"family":"Lessa","given":"Fernanda C"},{"family":"Mu","given":"Yi"},{"family":"Bamberg","given":"Wendy M"},{"family":"Beldavs","given":"Zintars G"},{"family":"Dumyati","given":"Ghinwa K"},{"family":"Dunn","given":"John R"},{"family":"Farley","given":"Monica M"},{"family":"Holzbauer","given":"Stacy M"},{"family":"Meek","given":"James I"},{"family":"Phipps","given":"Erin C"},{"family":"Wilson","given":"Lucy E"},{"family":"Winston","given":"Lisa G"},{"family":"Cohen","given":"Jessica A"},{"family":"Limbago","given":"Brandi M"},{"family":"Fridkin","given":"Scott K"},{"family":"Gerding","given":"Dale N"},{"family":"McDonald","given":"L Clifford"}],"authorYearDisplayFormat":false,"citation-label":"1149578","container-title":"The New England Journal of Medicine","container-title-short":"N. Engl. J. Med.","id":"1149578","invisible":false,"issue":"9","issued":{"date-parts":[["2015","2","26"]]},"journalAbbreviation":"N. Engl. J. Med.","page":"825-834","suppress-author":false,"title":"Burden of Clostridium difficile infection in the United States.","type":"article-journal","volume":"372"},{"DOI":"10.1086/502600","First":false,"Last":false,"author":[{"family":"McDonald","given":"L. Clifford"}],"authorYearDisplayFormat":false,"citation-label":"5999005","container-title":"Infection Control and Hospital Epidemiology","container-title-short":"Infect. Control Hosp. Epidemiol.","id":"5999005","invisible":false,"issue":"08","issued":{"date-parts":[["2005","8"]]},"journalAbbreviation":"Infect. Control Hosp. Epidemiol.","page":"672-675","suppress-author":false,"title":"Clostridium difficile: Responding to a New Threat From an Old Enemy","type":"article-journal","volume":"26"},{"DOI":"10.1056/NEJM199401273300406","First":false,"Last":false,"PMID":"8043060","author":[{"family":"Kelly","given":"C P"},{"family":"Pothoulakis","given":"C"},{"family":"LaMont","given":"J T"}],"authorYearDisplayFormat":false,"citation-label":"3932842","container-title":"The New England Journal of Medicine","container-title-short":"N. Engl. J. Med.","id":"3932842","invisible":false,"issue":"4","issued":{"date-parts":[["1994","1","27"]]},"journalAbbreviation":"N. Engl. J. Med.","page":"257-262","suppress-author":false,"title":"Clostridium difficile colitis.","type":"article-journal","volume":"330"}]</w:instrText>
      </w:r>
      <w:r w:rsidR="00135AEF" w:rsidRPr="008D43DB">
        <w:rPr>
          <w:szCs w:val="28"/>
        </w:rPr>
        <w:fldChar w:fldCharType="separate"/>
      </w:r>
      <w:r w:rsidR="00135AEF" w:rsidRPr="002B161E">
        <w:rPr>
          <w:noProof/>
          <w:szCs w:val="28"/>
          <w:vertAlign w:val="superscript"/>
        </w:rPr>
        <w:t>1–5</w:t>
      </w:r>
      <w:r w:rsidR="00135AEF" w:rsidRPr="008D43DB">
        <w:rPr>
          <w:szCs w:val="28"/>
        </w:rPr>
        <w:fldChar w:fldCharType="end"/>
      </w:r>
      <w:r w:rsidR="00135AEF" w:rsidRPr="008D43DB">
        <w:rPr>
          <w:szCs w:val="28"/>
        </w:rPr>
        <w:t xml:space="preserve"> </w:t>
      </w:r>
      <w:r w:rsidRPr="00AB3480">
        <w:rPr>
          <w:i/>
        </w:rPr>
        <w:t>C. difficile</w:t>
      </w:r>
      <w:r w:rsidR="00135AEF">
        <w:t xml:space="preserve"> infections (CDI) are the predominant cause of nosocomial diarrhea and typically arise due to broad-spectrum antibiotic use that eradicate protective intestinal microflora.</w:t>
      </w:r>
      <w:r w:rsidR="00135AEF">
        <w:fldChar w:fldCharType="begin"/>
      </w:r>
      <w:r w:rsidR="00135AEF">
        <w:instrText>ADDIN F1000_CSL_CITATION&lt;~#@#~&gt;[{"DOI":"10.1093/jac/dkr253","First":false,"Last":false,"PMID":"21676904","abstract":"&lt;strong&gt;OBJECTIVES:&lt;/strong&gt; To evaluate the impact of an 'intervention' consisting of revised antibiotic guidelines for empirical treatment of common infections and enhanced stewardship on reducing broad-spectrum antibiotic usage and its effect on incidence of Clostridium difficile infection (CDI).&lt;br&gt;&lt;br&gt;&lt;strong&gt;METHODS:&lt;/strong&gt; This was a retrospective, quasi-experimental study using interrupted time series (ITS) over 12 months before and after the intervention. The setting was adult medical and surgical wards in University Hospital Lewisham, an acute general hospital in London. The intervention was introduced in April 2006. Revised guidelines avoided broad-spectrum antibiotics, e.g. fluoroquinolones, cephalosporins, clindamycin, amoxicillin and co-amoxiclav, as they were considered to be 'high risk' for CDI. Instead, 'low risk' antibiotics such as penicillin, clarithromycin, doxycycline, gentamicin, vancomycin, trimethoprim and nitrofurantoin were recommended. Changes in antibiotic usage and incidence of CDI before and after the intervention were compared using segmented regression analysis. The negative binomial model was used to analyse the time series to estimate the CDI incidence rate ratio (IRR) following the intervention.&lt;br&gt;&lt;br&gt;&lt;strong&gt;RESULTS:&lt;/strong&gt; The intervention was associated with a significant reduction in the use of fluoroquinolones by 105.33 defined daily doses (DDDs)/1000 occupied bed-days (OBDs) per month [95% confidence interval (CI) 34.18-176.48, P &lt;  0.001] and cephalosporins by 45.93 DDDs/1000 OBDs/month (95% CI 24.11-67.74, P &lt;  0.0001). There was no significant change in total antibiotic, clindamycin, amoxicillin or co-amoxiclav use. There was a significant decrease in CDI following the intervention [IRR 0.34 (0.20-0.58), P &lt;  0.0001].&lt;br&gt;&lt;br&gt;&lt;strong&gt;CONCLUSIONS:&lt;/strong&gt; Revised antibiotic guidelines and enhanced stewardship was associated with a significant stepwise reduction in the use of cephalosporins and fluoroquinolones and a significant decrease in the incidence of CDI.","author":[{"family":"Talpaert","given":"Moïra Joëlle"},{"family":"Gopal Rao","given":"Guduru"},{"family":"Cooper","given":"Ben Symons"},{"family":"Wade","given":"Paul"}],"authorYearDisplayFormat":false,"citation-label":"832048","container-title":"The Journal of Antimicrobial Chemotherapy","container-title-short":"J. Antimicrob. Chemother.","id":"832048","invisible":false,"issue":"9","issued":{"date-parts":[["2011","9"]]},"journalAbbreviation":"J. Antimicrob. Chemother.","page":"2168-2174","suppress-author":false,"title":"Impact of guidelines and enhanced antibiotic stewardship on reducing broad-spectrum antibiotic usage and its effect on incidence of Clostridium difficile infection.","type":"article-journal","volume":"66"},{"First":false,"Last":false,"abstract":"Clinical Practice from The New England Journal of Medicine — Antibiotic-Associated Diarrhea.","author":[{"family":"Bartlett","given":"J G"}],"authorYearDisplayFormat":false,"citation-label":"6682766","container-title":"New England journal of medicine","container-title-short":"New England journal of medicine","id":"6682766","invisible":false,"issued":{"date-parts":[["2002"]]},"journalAbbreviation":"New England journal of medicine","suppress-author":false,"title":"Antibiotic-associated diarrhea","type":"article-journal"},{"First":false,"Last":false,"abstract":"… day; 2) fever &gt;101°F; 3) leukocyte count &gt;16000/mm 3 with or without hemodynamic compromise … In addition, a compromised immune system in patients with severe hypoalbuminemia may be … F. Role of competition for nutrients in suppression of C. difficile by colonic microflora …","author":[{"family":"Nair","given":"S"},{"family":"Yadav","given":"D"},{"family":"Corpuz","given":"M"}],"authorYearDisplayFormat":false,"citation-label":"6682769","container-title":"The American journal of …","container-title-short":"The American journal of …","id":"6682769","invisible":false,"issued":{"date-parts":[["1998"]]},"journalAbbreviation":"The American journal of …","suppress-author":false,"title":"Clostridium difficile colitis: factors influencing treatment failure and relapse—a prospective evaluation","type":"article-journal"}]</w:instrText>
      </w:r>
      <w:r w:rsidR="00135AEF">
        <w:fldChar w:fldCharType="separate"/>
      </w:r>
      <w:r w:rsidR="00135AEF" w:rsidRPr="002B161E">
        <w:rPr>
          <w:noProof/>
          <w:vertAlign w:val="superscript"/>
        </w:rPr>
        <w:t>6–8</w:t>
      </w:r>
      <w:r w:rsidR="00135AEF">
        <w:fldChar w:fldCharType="end"/>
      </w:r>
      <w:r w:rsidR="00135AEF">
        <w:t xml:space="preserve"> The Centers of Disease Control (CDC) lists </w:t>
      </w:r>
      <w:r w:rsidRPr="00AB3480">
        <w:rPr>
          <w:i/>
        </w:rPr>
        <w:t>C. difficile</w:t>
      </w:r>
      <w:r w:rsidR="00135AEF">
        <w:rPr>
          <w:i/>
        </w:rPr>
        <w:t xml:space="preserve"> </w:t>
      </w:r>
      <w:r w:rsidR="00135AEF">
        <w:t>as one the top three threats to human health. This pathogen caused &gt;29,000 mortalities and produced an estimated $5B in additional healthcare expenditures in 2011.</w:t>
      </w:r>
      <w:r w:rsidR="00135AEF">
        <w:fldChar w:fldCharType="begin"/>
      </w:r>
      <w:r w:rsidR="00135AEF">
        <w:instrText>ADDIN F1000_CSL_CITATION&lt;~#@#~&gt;[{"DOI":"10.1089/sur.2006.062","First":false,"Last":false,"PMID":"18171114","author":[{"family":"Zerey","given":"Marc"},{"family":"Paton","given":"B Lauren"},{"family":"Lincourt","given":"Amy E"},{"family":"Gersin","given":"Keith S"},{"family":"Kercher","given":"Kent W"},{"family":"Heniford","given":"B Todd"}],"authorYearDisplayFormat":false,"citation-label":"5601808","container-title":"Surgical Infections","container-title-short":"Surg Infect (Larchmt)","id":"5601808","invisible":false,"issue":"6","issued":{"date-parts":[["2007","12"]]},"journalAbbreviation":"Surg Infect (Larchmt)","page":"557-566","suppress-author":false,"title":"The burden of Clostridium difficile in surgical patients in the United States.","type":"article-journal","volume":"8"},{"DOI":"10.1056/NEJMoa1408913","First":false,"Last":false,"PMID":"25714160","abstract":"&lt;strong&gt;BACKGROUND:&lt;/strong&gt; The magnitude and scope of Clostridium difficile infection in the United States continue to evolve.&lt;br&gt;&lt;br&gt;&lt;strong&gt;METHODS:&lt;/strong&gt; In 2011, we performed active population- and laboratory-based surveillance across 10 geographic areas in the United States to identify cases of C. difficile infection (stool specimens positive for C. difficile on either toxin or molecular assay in residents ≥ 1 year of age). Cases were classified as community-associated or health care-associated. In a sample of cases of C. difficile infection, specimens were cultured and isolates underwent molecular typing. We used regression models to calculate estimates of national incidence and total number of infections, first recurrences, and deaths within 30 days after the diagnosis of C. difficile infection.&lt;br&gt;&lt;br&gt;&lt;strong&gt;RESULTS:&lt;/strong&gt; A total of 15,461 cases of C. difficile infection were identified in the 10 geographic areas; 65.8% were health care-associated, but only 24.2% had onset during hospitalization. After adjustment for predictors of disease incidence, the estimated number of incident C. difficile infections in the United States was 453,000 (95% confidence interval [CI], 397,100 to 508,500). The incidence was estimated to be higher among females (rate ratio, 1.26; 95% CI, 1.25 to 1.27), whites (rate ratio, 1.72; 95% CI, 1.56 to 2.0), and persons 65 years of age or older (rate ratio, 8.65; 95% CI, 8.16 to 9.31). The estimated number of first recurrences of C. difficile infection was 83,000 (95% CI, 57,000 to 108,900), and the estimated number of deaths was 29,300 (95% CI, 16,500 to 42,100). The North American pulsed-field gel electrophoresis type 1 (NAP1) strain was more prevalent among health care-associated infections than among community-associated infections (30.7% vs. 18.8%, P&lt; 0.001).&lt;br&gt;&lt;br&gt;&lt;strong&gt;CONCLUSIONS:&lt;/strong&gt; C. difficile was responsible for almost half a million infections and was associated with approximately 29,000 deaths in 2011. (Funded by the Centers for Disease Control and Prevention.).","author":[{"family":"Lessa","given":"Fernanda C"},{"family":"Mu","given":"Yi"},{"family":"Bamberg","given":"Wendy M"},{"family":"Beldavs","given":"Zintars G"},{"family":"Dumyati","given":"Ghinwa K"},{"family":"Dunn","given":"John R"},{"family":"Farley","given":"Monica M"},{"family":"Holzbauer","given":"Stacy M"},{"family":"Meek","given":"James I"},{"family":"Phipps","given":"Erin C"},{"family":"Wilson","given":"Lucy E"},{"family":"Winston","given":"Lisa G"},{"family":"Cohen","given":"Jessica A"},{"family":"Limbago","given":"Brandi M"},{"family":"Fridkin","given":"Scott K"},{"family":"Gerding","given":"Dale N"},{"family":"McDonald","given":"L Clifford"}],"authorYearDisplayFormat":false,"citation-label":"1149578","container-title":"The New England Journal of Medicine","container-title-short":"N. Engl. J. Med.","id":"1149578","invisible":false,"issue":"9","issued":{"date-parts":[["2015","2","26"]]},"journalAbbreviation":"N. Engl. J. Med.","page":"825-834","suppress-author":false,"title":"Burden of Clostridium difficile infection in the United States.","type":"article-journal","volume":"372"}]</w:instrText>
      </w:r>
      <w:r w:rsidR="00135AEF">
        <w:fldChar w:fldCharType="separate"/>
      </w:r>
      <w:r w:rsidR="00135AEF" w:rsidRPr="002B161E">
        <w:rPr>
          <w:noProof/>
          <w:vertAlign w:val="superscript"/>
        </w:rPr>
        <w:t>3,9</w:t>
      </w:r>
      <w:r w:rsidR="00135AEF">
        <w:fldChar w:fldCharType="end"/>
      </w:r>
      <w:r w:rsidR="00135AEF">
        <w:t xml:space="preserve"> Relapse has increased five to ten-fold over the last decade, emphasizing the increased transmission and subsequent recurrence of CDI.</w:t>
      </w:r>
      <w:r w:rsidR="00135AEF">
        <w:fldChar w:fldCharType="begin"/>
      </w:r>
      <w:r w:rsidR="00135AEF">
        <w:instrText>ADDIN F1000_CSL_CITATION&lt;~#@#~&gt;[{"DOI":"10.1053/j.gastro.2006.02.044","First":false,"Last":false,"PMID":"16618421","author":[{"family":"Maroo","given":"Seema"},{"family":"Lamont","given":"J Thomas"}],"authorYearDisplayFormat":false,"citation-label":"2863986","container-title":"Gastroenterology","container-title-short":"Gastroenterology","id":"2863986","invisible":false,"issue":"4","issued":{"date-parts":[["2006","4"]]},"journalAbbreviation":"Gastroenterology","page":"1311-1316","suppress-author":false,"title":"Recurrent clostridium difficile.","type":"article-journal","volume":"130"},{"DOI":"10.1002/jhm.1914","First":false,"Last":false,"PMID":"22407994","abstract":"Recurrent Clostridium difficile infection (CDI) is a growing problem that poses significant management challenges. There is no strong evidence to support a particular treatment strategy for recurrent CDI, especially those with multiple recurrences. However, a key strategy for reducing recurrent CDI is prompt diagnosis and treatment, facilitated by early recognition of patients at risk for recurrence.&lt;br&gt;&lt;br&gt;Copyright © 2012 Society of Hospital Medicine.","author":[{"family":"Johnson","given":"Stuart"}],"authorYearDisplayFormat":false,"citation-label":"5963018","container-title":"Journal of Hospital Medicine (Online)","container-title-short":"J. Hosp. Med.","id":"5963018","invisible":false,"issued":{"date-parts":[["2012","3"]]},"journalAbbreviation":"J. Hosp. Med.","page":"S11-3","suppress-author":false,"title":"Meeting the challenge of recurrent Clostridium difficile infection.","type":"article-journal","volume":"7 Suppl 3"},{"DOI":"10.1016/S0924-8579(09)70014-7","First":false,"Last":false,"PMID":"19303567","abstract":"Recurrent diarrhoea after successful treatment of the primary episode is a common complication of Clostridium difficile infection (CDI) and may be increasing in frequency. Evidence suggests that persistent alterations in the indigenous bowel flora and failure to mount an effective antibody response to C. difficile toxins are the main mechanisms whereby recurrent CDIs occur. Treatment of the first recurrence with the same agent used for the treatment of the primary episode is reasonable, but a different approach is needed for patients with multiple CDI recurrences. Prolonged, repeated courses of metronidazole are discouraged, but a practical first option in these patients is to use tapered-dose oral vancomycin followed by a pulsed-dose regimen. Other potential options include probiotic approaches, restoration of the normal flora, immunological approaches, toxin-binding approaches, and serial therapy with vancomycin followed by rifaximin. Randomised studies including a sufficient numbers of patients have not yet been conducted for the treatment of recurrent CDI and are needed to help guide the formulation of effective recommendations.","author":[{"family":"Johnson","given":"Stuart"}],"authorYearDisplayFormat":false,"citation-label":"5963019","container-title":"International Journal of Antimicrobial Agents","container-title-short":"Int. J. Antimicrob. Agents","id":"5963019","invisible":false,"issued":{"date-parts":[["2009","3"]]},"journalAbbreviation":"Int. J. Antimicrob. Agents","page":"S33-6","suppress-author":false,"title":"Recurrent Clostridium difficile infection: causality and therapeutic approaches.","type":"article-journal","volume":"33 Suppl 1"}]</w:instrText>
      </w:r>
      <w:r w:rsidR="00135AEF">
        <w:fldChar w:fldCharType="separate"/>
      </w:r>
      <w:r w:rsidR="00135AEF" w:rsidRPr="002B161E">
        <w:rPr>
          <w:noProof/>
          <w:vertAlign w:val="superscript"/>
        </w:rPr>
        <w:t>10–12</w:t>
      </w:r>
      <w:r w:rsidR="00135AEF">
        <w:fldChar w:fldCharType="end"/>
      </w:r>
      <w:r w:rsidR="00135AEF">
        <w:t xml:space="preserve"> Reports of antibiotic resistant </w:t>
      </w:r>
      <w:r w:rsidRPr="00AB3480">
        <w:rPr>
          <w:i/>
          <w:iCs/>
        </w:rPr>
        <w:t>C. difficile</w:t>
      </w:r>
      <w:r w:rsidR="00135AEF">
        <w:t xml:space="preserve"> hospital outbreaks became more common in the early 2000’s, as mortality rates rose sharply.</w:t>
      </w:r>
      <w:r w:rsidR="00135AEF">
        <w:fldChar w:fldCharType="begin"/>
      </w:r>
      <w:r w:rsidR="00135AEF">
        <w:instrText>ADDIN F1000_CSL_CITATION&lt;~#@#~&gt;[{"DOI":"10.1111/j.1469-0691.2006.01580.x","First":false,"Last":false,"PMID":"16965399","author":[{"family":"Kuijper","given":"E J"},{"family":"Coignard","given":"B"},{"family":"Tüll","given":"P"},{"family":"ESCMID Study Group for Clostridium difficile"},{"family":"EU Member States"},{"family":"European Centre for Disease Prevention and Control"}],"authorYearDisplayFormat":false,"citation-label":"5999009","container-title":"Clinical Microbiology and Infection","container-title-short":"Clin. Microbiol. Infect.","id":"5999009","invisible":false,"issued":{"date-parts":[["2006","10"]]},"journalAbbreviation":"Clin. Microbiol. Infect.","page":"2-18","suppress-author":false,"title":"Emergence of Clostridium difficile-associated disease in North America and Europe.","type":"article-journal","volume":"12 Suppl 6"},{"DOI":"10.1016/S0140-6736(05)67420-X","First":false,"Last":false,"PMID":"16182895","abstract":"&lt;strong&gt;BACKGROUND:&lt;/strong&gt; Toxins A and B are the primary virulence factors of Clostridium difficile. Since 2002, an epidemic of C difficile-associated disease with increased morbidity and mortality has been present in Quebec province, Canada. We characterised the dominant strain of this epidemic to determine whether it produces higher amounts of toxins A and B than those produced by non-epidemic strains.&lt;br&gt;&lt;br&gt;&lt;strong&gt;METHODS:&lt;/strong&gt; We obtained isolates from 124 patients from Centre Hospitalier Universitaire de Sherbrooke in Quebec. Additional isolates from the USA, Canada, and the UK were included to increase the genetic diversity of the toxinotypes tested. Isolate characterisation included toxinotyping, pulsed-field gel electrophoresis (PFGE), PCR ribotyping, detection of a binary toxin gene, and detection of deletions in a putative negative regulator for toxins A and B (tcdC). By use of an enzyme-linked immunoassay, we measured the in-vitro production of toxins A and B by epidemic strain and non-dominant strain isolates.&lt;br&gt;&lt;br&gt;&lt;strong&gt;FINDINGS:&lt;/strong&gt; The epidemic strain was characterised as toxinotype III, North American PFGE type 1, and PCR-ribotype 027 (NAP1/027). This strain carried the binary toxin gene cdtB and an 18-bp deletion in tcdC. We isolated this strain from 72 patients with C difficile-associated disease (58 [67%] of 86 with health-care-associated disease; 14 [37%] of 38 with community-acquired disease). Peak median (IQR) toxin A and toxin B concentrations produced in vitro by NAP1/027 were 16 and 23 times higher, respectively, than those measured in isolates representing 12 different PFGE types, known as toxinotype 0 (toxin A, median 848 microg/L [IQR 504-1022] vs 54 microg/L [23-203]; toxin B, 180 microg/L [137-210] vs 8 microg/L [5-25]; p&lt; 0.0001 for both toxins).&lt;br&gt;&lt;br&gt;&lt;strong&gt;INTERPRETATION:&lt;/strong&gt; The severity of C difficile-associated disease caused by NAP1/027 could result from hyperproduction of toxins A and B. Dissemination of this strain in North America and Europe could lead to important changes in the epidemiology of C difficile-associated disease.","author":[{"family":"Warny","given":"Michel"},{"family":"Pepin","given":"Jacques"},{"family":"Fang","given":"Aiqi"},{"family":"Killgore","given":"George"},{"family":"Thompson","given":"Angela"},{"family":"Brazier","given":"Jon"},{"family":"Frost","given":"Eric"},{"family":"McDonald","given":"L Clifford"}],"authorYearDisplayFormat":false,"citation-label":"3168673","container-title":"The Lancet","container-title-short":"Lancet","id":"3168673","invisible":false,"issue":"9491","issued":{"date-parts":[["2005","9","30"]]},"journalAbbreviation":"Lancet","page":"1079-1084","suppress-author":false,"title":"Toxin production by an emerging strain of Clostridium difficile associated with outbreaks of severe disease in North America and Europe.","type":"article-journal","volume":"366"}]</w:instrText>
      </w:r>
      <w:r w:rsidR="00135AEF">
        <w:fldChar w:fldCharType="separate"/>
      </w:r>
      <w:r w:rsidR="00135AEF" w:rsidRPr="002B161E">
        <w:rPr>
          <w:noProof/>
          <w:vertAlign w:val="superscript"/>
        </w:rPr>
        <w:t>13,14</w:t>
      </w:r>
      <w:r w:rsidR="00135AEF">
        <w:fldChar w:fldCharType="end"/>
      </w:r>
      <w:r w:rsidR="00135AEF">
        <w:t xml:space="preserve"> Poor antibiotic stewardship is largely cited as the driving force behind </w:t>
      </w:r>
      <w:r w:rsidRPr="00AB3480">
        <w:rPr>
          <w:i/>
        </w:rPr>
        <w:t>C. difficile</w:t>
      </w:r>
      <w:r w:rsidR="00135AEF">
        <w:t xml:space="preserve"> becoming such a deadly pathogen. Continued evolution has now led to hypervirulent strains of </w:t>
      </w:r>
      <w:r w:rsidRPr="00AB3480">
        <w:rPr>
          <w:i/>
          <w:iCs/>
        </w:rPr>
        <w:t>C. difficile</w:t>
      </w:r>
      <w:r w:rsidR="00135AEF">
        <w:t xml:space="preserve"> that have begun to outcompete the previously more common less deadly endemic strains.</w:t>
      </w:r>
      <w:r w:rsidR="00135AEF">
        <w:fldChar w:fldCharType="begin"/>
      </w:r>
      <w:r w:rsidR="00135AEF">
        <w:instrText>ADDIN F1000_CSL_CITATION&lt;~#@#~&gt;[{"DOI":"10.1128/JB.00445-10","First":false,"Last":false,"PMCID":"PMC2944552","PMID":"20675495","abstract":"Toxigenic Clostridium difficile strains produce two toxins (TcdA and TcdB) during the stationary phase of growth and are the leading cause of antibiotic-associated diarrhea. C. difficile isolates of the molecular type NAP1/027/BI have been associated with severe disease and hospital outbreaks worldwide. It has been suggested that these \"hypervirulent\" strains produce larger amounts of toxin and that a mutation in a putative negative regulator (TcdC) allows toxin production at all growth phases. To rigorously explore this possibility, we conducted a quantitative examination of the toxin production of multiple hypervirulent and nonhypervirulent C. difficile strains. Toxin gene (tcdA and tcdB) and toxin gene regulator (tcdR and tcdC) expression was also monitored. To obtain additional correlates for the hypervirulence phenotype, sporulation kinetics and efficiency were measured. In the exponential phase, low basal levels of tcdA, tcdB, and tcdR expression were evident in both hypervirulent and nonhypervirulent strains, but contrary to previous assumptions, toxin levels were below the detectable thresholds. While hypervirulent strains displayed robust toxin production during the stationary phase of growth, the amounts were not significantly different from those of the nonhypervirulent strains tested; further, total toxin amounts were directly proportional to tcdA, tcdB, and tcdR gene expression. Interestingly, tcdC expression did not diminish in stationary phase, suggesting that TcdC may have a modulatory rather than a strictly repressive role. Comparative genomic analyses of the closely related nonhypervirulent strains VPI 10463 (the highest toxin producer) and 630 (the lowest toxin producer) revealed polymorphisms in the tcdR ribosome binding site and the tcdR-tcdB intergenic region, suggesting that a mechanistic basis for increased toxin production in VPI 10463 could be increased TcdR translation and read-through transcription of the tcdA and tcdB genes. Hypervirulent isolates produced significantly more spores, and did so earlier, than all other isolates. Increased sporulation, potentially in synergy with robust toxin production, may therefore contribute to the widespread disease now associated with hypervirulent C. difficile strains.","author":[{"family":"Merrigan","given":"Michelle"},{"family":"Venugopal","given":"Anilrudh"},{"family":"Mallozzi","given":"Michael"},{"family":"Roxas","given":"Bryan"},{"family":"Viswanathan","given":"V K"},{"family":"Johnson","given":"Stuart"},{"family":"Gerding","given":"Dale N"},{"family":"Vedantam","given":"Gayatri"}],"authorYearDisplayFormat":false,"citation-label":"3168674","container-title":"Journal of Bacteriology","container-title-short":"J. Bacteriol.","id":"3168674","invisible":false,"issue":"19","issued":{"date-parts":[["2010","10"]]},"journalAbbreviation":"J. Bacteriol.","page":"4904-4911","suppress-author":false,"title":"Human hypervirulent Clostridium difficile strains exhibit increased sporulation as well as robust toxin production.","type":"article-journal","volume":"192"},{"DOI":"10.1099/jmm.0.036194-0","First":false,"Last":false,"PMCID":"PMC4645450","PMID":"21903827","abstract":"Clostridium difficile is the most common cause of antibiotic-associated diarrhoea worldwide. Over the past 10 years, the incidence and severity of disease have increased in North America and Europe due to the emergence of a hypervirulent clone designated PCR ribotype 027. In this study, we sought to identify phenotypic differences among a collection of 26 presumed PCR ribotype 027 strains from the US and the UK isolated between 1988 and 2008 and also re-evaluated the PCR ribotype. We demonstrated that some of the strains typed as BI by restriction endonuclease analysis, and presumed to be PCR ribotype 027, were in fact other PCR ribotypes such as 176, 198 and 244 due to slight variation in banding pattern compared to the 027 strains. The reassigned 176, 198 and 244 ribotype strains were isolated in the US between 2001 and 2004 and appeared to have evolved recently from the 027 lineage. In addition, the UK strains were more motile and more resistant to most of the antibiotics compared to the US counterparts. We conclude that there should be a heightened awareness of newly identified PCR ribotypes such as 176, 198 and 244, and that they may be as problematic as the notorious 027 strains.","author":[{"family":"Valiente","given":"Esmeralda"},{"family":"Dawson","given":"Lisa F"},{"family":"Cairns","given":"Michelle D"},{"family":"Stabler","given":"Richard A"},{"family":"Wren","given":"Brendan W"}],"authorYearDisplayFormat":false,"citation-label":"6677991","container-title":"Journal of Medical Microbiology","container-title-short":"J. Med. Microbiol.","id":"6677991","invisible":false,"issue":"Pt 1","issued":{"date-parts":[["2012","1"]]},"journalAbbreviation":"J. Med. Microbiol.","page":"49-56","suppress-author":false,"title":"Emergence of new PCR ribotypes from the hypervirulent Clostridium difficile 027 lineage.","type":"article-journal","volume":"61"},{"DOI":"10.1371/journal.pone.0025754","First":false,"Last":false,"PMCID":"PMC3201945","PMID":"22039420","abstract":"The increased prevalence of Clostridium difficile infection (CDI) has coincided with enhanced transmissibility and severity of disease, which is often linked to two distinct clonal lineages designated PCR-ribotype 027 and 017 responsible for CDI outbreaks in the USA, Europe and Asia. We assessed sporulation and susceptibility of three PCR-ribotypes; 012, 017 and 027 to four classes of disinfectants; chlorine releasing agents (CRAs), peroxygens, quaternary ammonium compounds (QAC) and biguanides. The 017 PCR-ribotype, showed the highest sporulation frequency under these test conditions. The oxidizing biocides and CRAs were the most efficacious in decontamination of C. difficile vegetative cells and spores, the efficacy of the CRAs were concentration dependent irrespective of PCR-ribotype. However, there were differences observed in the susceptibility of the PCR-ribotypes, independent of the concentrations tested for Virkon®, Newgenn®, Proceine 40® and Hibiscrub®. Whereas, for Steri7® and Biocleanse® the difference observed between the disinfectants were dependent on both PCR-ribotype and concentration. The oxidizing agent Perasafe® was consistently efficacious across all three PCR ribotypes at varying concentrations; with a consistent five Log10 reduction in spore titre. The PCR-ribotype and concentration dependent differences in the efficacy of the disinfectants in this study indicate that disinfectant choice is a factor for llimiting the survival and transmission of C. difficile spores in healthcare settings.","author":[{"family":"Dawson","given":"Lisa F"},{"family":"Valiente","given":"Esmeralda"},{"family":"Donahue","given":"Elizabeth H"},{"family":"Birchenough","given":"George"},{"family":"Wren","given":"Brendan W"}],"authorYearDisplayFormat":false,"citation-label":"6677993","container-title":"Plos One","container-title-short":"PLoS ONE","id":"6677993","invisible":false,"issue":"10","issued":{"date-parts":[["2011","10","25"]]},"journalAbbreviation":"PLoS ONE","page":"e25754","suppress-author":false,"title":"Hypervirulent Clostridium difficile PCR-ribotypes exhibit resistance to widely used disinfectants.","type":"article-journal","volume":"6"}]</w:instrText>
      </w:r>
      <w:r w:rsidR="00135AEF">
        <w:fldChar w:fldCharType="separate"/>
      </w:r>
      <w:r w:rsidR="00135AEF" w:rsidRPr="002B161E">
        <w:rPr>
          <w:noProof/>
          <w:vertAlign w:val="superscript"/>
        </w:rPr>
        <w:t>15–17</w:t>
      </w:r>
      <w:r w:rsidR="00135AEF">
        <w:fldChar w:fldCharType="end"/>
      </w:r>
      <w:r w:rsidR="00135AEF">
        <w:t xml:space="preserve"> </w:t>
      </w:r>
    </w:p>
    <w:p w14:paraId="3936EA44" w14:textId="4FA6A3A5" w:rsidR="00135AEF" w:rsidRPr="00AB13D7" w:rsidRDefault="00135AEF" w:rsidP="00135AEF">
      <w:pPr>
        <w:ind w:firstLine="720"/>
        <w:jc w:val="both"/>
      </w:pPr>
      <w:r>
        <w:t>Collectively referred to as the “BI/NAP1/027” group, these hypervirulent strains produce significantly more toxin than</w:t>
      </w:r>
      <w:r w:rsidR="00AB3480">
        <w:t xml:space="preserve"> former less virulent strains</w:t>
      </w:r>
      <w:r>
        <w:t>.</w:t>
      </w:r>
      <w:r>
        <w:fldChar w:fldCharType="begin"/>
      </w:r>
      <w:r>
        <w:instrText>ADDIN F1000_CSL_CITATION&lt;~#@#~&gt;[{"DOI":"10.1128/JCM.01964-07","First":false,"Last":false,"PMCID":"PMC2292905","PMID":"18287318","abstract":"Clostridium difficile PCR ribotype 027 comprised 0.2% of a collection of Swedish isolates in 1997-2001 (3 of 1,325 isolates). These isolates had lower moxifloxacin MICs than the epidemic type 027 isolates, but they had the same tcdC sequence and toxin yield. Type 027 produced 3- to 13-fold more toxin than did major Swedish types. One epidemic strain (027/NAP1a) sporulated more than did other type 027 isolates, a feature that should contribute to its survival and spread.","author":[{"family":"Akerlund","given":"Thomas"},{"family":"Persson","given":"Ingela"},{"family":"Unemo","given":"Magnus"},{"family":"Norén","given":"Torbjörn"},{"family":"Svenungsson","given":"Bo"},{"family":"Wullt","given":"Marlene"},{"family":"Burman","given":"Lars G"}],"authorYearDisplayFormat":false,"citation-label":"5948205","container-title":"Journal of Clinical Microbiology","container-title-short":"J. Clin. Microbiol.","id":"5948205","invisible":false,"issue":"4","issued":{"date-parts":[["2008","4"]]},"journalAbbreviation":"J. Clin. Microbiol.","page":"1530-1533","suppress-author":false,"title":"Increased sporulation rate of epidemic Clostridium difficile Type 027/NAP1.","type":"article-journal","volume":"46"},{"DOI":"10.1007/978-3-319-72799-8_4","First":false,"Last":false,"PMID":"29383663","abstract":"Clostridium difficile is a major bacterial cause of post-antibiotic diarrhoea. The epidemiology of C. difficile infections (CDI) has dramatically changed since the early 2000s, with an increasing incidence and severity across Europe. This trend is partly due to the emergence and rapid worldwide spread of the hypervirulent and epidemic PCR ribotype 027. Profiles of patients with CDI have also evolved, with description of community-acquired (CA) infections in patients with no traditional risk factors for CDI. However, recent epidemiological studies indicated that some European countries have successfully controlled the dissemination of the 027 clone whereas other countries recently reported the emergence of other virulent or unusual strains. The aims of this review are to summarize the current European CDI epidemiology and to describe the new virulent C. difficile strains circulating in Europe, as well as other potential emerging strains described elsewhere. Standardized typing methods and surveillance programmes are mandatory for a better understanding and monitoring of CDI in Europe.","author":[{"family":"Couturier","given":"Jeanne"},{"family":"Davies","given":"Kerrie"},{"family":"Gateau","given":"Cécile"},{"family":"Barbut","given":"Frédéric"}],"authorYearDisplayFormat":false,"citation-label":"5948209","container-title":"Advances in Experimental Medicine and Biology","container-title-short":"Adv. Exp. Med. Biol.","id":"5948209","invisible":false,"issued":{"date-parts":[["2018"]]},"journalAbbreviation":"Adv. Exp. Med. Biol.","page":"45-58","suppress-author":false,"title":"Ribotypes and new virulent strains across europe.","type":"article-journal","volume":"1050"},{"DOI":"10.1128/MMBR.00017-13","First":false,"Last":false,"PMCID":"PMC3973386","PMID":"24296572","abstract":"Clostridium difficile is a Gram-positive, spore-forming organism which infects and colonizes the large intestine, produces potent toxins, triggers inflammation, and causes significant systemic complications. Treating C. difficile infection (CDI) has always been difficult, because the disease is both caused and resolved by antibiotic treatment. For three and a half decades, C. difficile has presented a treatment challenge to clinicians, and the situation took a turn for the worse about 10 years ago. An increase in epidemic outbreaks related to CDI was first noticed around 2003, and these outbreaks correlated with a sudden increase in the mortality rate of this illness. Further studies discovered that these changes in CDI epidemiology were associated with the rapid emergence of hypervirulent strains of C. difficile, now collectively referred to as NAP1/BI/027 strains. The discovery of new epidemic strains of C. difficile has provided a unique opportunity for retrospective and prospective studies that have sought to understand how these strains have essentially replaced more historical strains as a major cause of CDI. Moreover, detailed studies on the pathogenesis of NAP1/BI/027 strains are leading to new hypotheses on how this emerging strain causes severe disease and is more commonly associated with epidemics. In this review, we provide an overview of CDI, discuss critical mechanisms of C. difficile virulence, and explain how differences in virulence-associated factors between historical and newly emerging strains might explain the hypervirulence exhibited by this pathogen during the past decade.","author":[{"family":"Hunt","given":"Jonathan J"},{"family":"Ballard","given":"Jimmy D"}],"authorYearDisplayFormat":false,"citation-label":"4875794","container-title":"Microbiology and Molecular Biology Reviews","container-title-short":"Microbiol. Mol. Biol. Rev.","id":"4875794","invisible":false,"issue":"4","issued":{"date-parts":[["2013","12"]]},"journalAbbreviation":"Microbiol. Mol. Biol. Rev.","page":"567-581","suppress-author":false,"title":"Variations in virulence and molecular biology among emerging strains of Clostridium difficile.","type":"article-journal","volume":"77"},{"DOI":"10.1128/JB.00445-10","First":false,"Last":false,"PMCID":"PMC2944552","PMID":"20675495","abstract":"Toxigenic Clostridium difficile strains produce two toxins (TcdA and TcdB) during the stationary phase of growth and are the leading cause of antibiotic-associated diarrhea. C. difficile isolates of the molecular type NAP1/027/BI have been associated with severe disease and hospital outbreaks worldwide. It has been suggested that these \"hypervirulent\" strains produce larger amounts of toxin and that a mutation in a putative negative regulator (TcdC) allows toxin production at all growth phases. To rigorously explore this possibility, we conducted a quantitative examination of the toxin production of multiple hypervirulent and nonhypervirulent C. difficile strains. Toxin gene (tcdA and tcdB) and toxin gene regulator (tcdR and tcdC) expression was also monitored. To obtain additional correlates for the hypervirulence phenotype, sporulation kinetics and efficiency were measured. In the exponential phase, low basal levels of tcdA, tcdB, and tcdR expression were evident in both hypervirulent and nonhypervirulent strains, but contrary to previous assumptions, toxin levels were below the detectable thresholds. While hypervirulent strains displayed robust toxin production during the stationary phase of growth, the amounts were not significantly different from those of the nonhypervirulent strains tested; further, total toxin amounts were directly proportional to tcdA, tcdB, and tcdR gene expression. Interestingly, tcdC expression did not diminish in stationary phase, suggesting that TcdC may have a modulatory rather than a strictly repressive role. Comparative genomic analyses of the closely related nonhypervirulent strains VPI 10463 (the highest toxin producer) and 630 (the lowest toxin producer) revealed polymorphisms in the tcdR ribosome binding site and the tcdR-tcdB intergenic region, suggesting that a mechanistic basis for increased toxin production in VPI 10463 could be increased TcdR translation and read-through transcription of the tcdA and tcdB genes. Hypervirulent isolates produced significantly more spores, and did so earlier, than all other isolates. Increased sporulation, potentially in synergy with robust toxin production, may therefore contribute to the widespread disease now associated with hypervirulent C. difficile strains.","author":[{"family":"Merrigan","given":"Michelle"},{"family":"Venugopal","given":"Anilrudh"},{"family":"Mallozzi","given":"Michael"},{"family":"Roxas","given":"Bryan"},{"family":"Viswanathan","given":"V K"},{"family":"Johnson","given":"Stuart"},{"family":"Gerding","given":"Dale N"},{"family":"Vedantam","given":"Gayatri"}],"authorYearDisplayFormat":false,"citation-label":"3168674","container-title":"Journal of Bacteriology","container-title-short":"J. Bacteriol.","id":"3168674","invisible":false,"issue":"19","issued":{"date-parts":[["2010","10"]]},"journalAbbreviation":"J. Bacteriol.","page":"4904-4911","suppress-author":false,"title":"Human hypervirulent Clostridium difficile strains exhibit increased sporulation as well as robust toxin production.","type":"article-journal","volume":"192"},{"DOI":"10.1099/jmm.0.036194-0","First":false,"Last":false,"PMCID":"PMC4645450","PMID":"21903827","abstract":"Clostridium difficile is the most common cause of antibiotic-associated diarrhoea worldwide. Over the past 10 years, the incidence and severity of disease have increased in North America and Europe due to the emergence of a hypervirulent clone designated PCR ribotype 027. In this study, we sought to identify phenotypic differences among a collection of 26 presumed PCR ribotype 027 strains from the US and the UK isolated between 1988 and 2008 and also re-evaluated the PCR ribotype. We demonstrated that some of the strains typed as BI by restriction endonuclease analysis, and presumed to be PCR ribotype 027, were in fact other PCR ribotypes such as 176, 198 and 244 due to slight variation in banding pattern compared to the 027 strains. The reassigned 176, 198 and 244 ribotype strains were isolated in the US between 2001 and 2004 and appeared to have evolved recently from the 027 lineage. In addition, the UK strains were more motile and more resistant to most of the antibiotics compared to the US counterparts. We conclude that there should be a heightened awareness of newly identified PCR ribotypes such as 176, 198 and 244, and that they may be as problematic as the notorious 027 strains.","author":[{"family":"Valiente","given":"Esmeralda"},{"family":"Dawson","given":"Lisa F"},{"family":"Cairns","given":"Michelle D"},{"family":"Stabler","given":"Richard A"},{"family":"Wren","given":"Brendan W"}],"authorYearDisplayFormat":false,"citation-label":"6677992","container-title":"Journal of Medical Microbiology","container-title-short":"J. Med. Microbiol.","id":"6677992","invisible":false,"issue":"Pt 1","issued":{"date-parts":[["2012","1"]]},"journalAbbreviation":"J. Med. Microbiol.","page":"49-56","suppress-author":false,"title":"Emergence of new PCR ribotypes from the hypervirulent Clostridium difficile 027 lineage.","type":"article-journal","volume":"61"},{"DOI":"10.1053/j.gastro.2009.02.073","First":false,"Last":false,"PMID":"19457419","abstract":"Rates and severity of Clostridium difficile infection (CDI) in hospitals in North America and Europe have increased since 2000 and correlate with dissemination of an epidemic strain characterized by higher than usual toxin A and B production, the presence of a third toxin, binary toxin, and high-level resistance to fluoroquinolone antibiotics. The strain, which is restriction endonuclease analysis group BI, pulse-field gel electrophoresis type NAP1, and polymerase chain reaction ribotype 027, is designated BI/NAP1/027. How this strain has become so widely distributed geographically and produces such severe CDI is the subject of active investigation. The deletion at position 117 of the tcdC gene, a repressor of toxin A and B production, is one possible contributor to increased levels of the toxins. The role of binary toxin is unknown. Recent isolates of BI/NAP1/027 were found to be resistant to fluoroquinolones, which is likely to contribute to the dissemination of this strain. Other virulence factors such as increased sporulation and surface layer protein adherence are also under investigation. Infections caused by this organism are particularly frequent among elderly hospitalized patients, in whom the attributable 30-day mortality is greater than 5%. Major risk factors for BI/NAP1/027 infection include advanced age, hospitalization, and exposure to specific antimicrobials, especially fluoroquinolones and cephalosporins. When CDI is severe, vancomycin treatment is more effective than metronidazole; for mild disease either agent can be used. Control of hospital outbreaks caused by BI/NAP1/027 is difficult but possible through a combination of barrier precautions, environmental cleaning, and antimicrobial stewardship.","author":[{"family":"O'Connor","given":"Jennifer R"},{"family":"Johnson","given":"Stuart"},{"family":"Gerding","given":"Dale N"}],"authorYearDisplayFormat":false,"citation-label":"5898161","container-title":"Gastroenterology","container-title-short":"Gastroenterology","id":"5898161","invisible":false,"issue":"6","issued":{"date-parts":[["2009","5","7"]]},"journalAbbreviation":"Gastroenterology","page":"1913-1924","suppress-author":false,"title":"Clostridium difficile infection caused by the epidemic BI/NAP1/027 strain.","type":"article-journal","volume":"136"},{"DOI":"10.1099/mic.0.046243-0","First":false,"Last":false,"PMID":"21330434","abstract":"Clostridium difficile is a major cause of nosocomial diarrhoea. The toxins that it produces (TcdA and TcdB) are responsible for the characteristic pathology of C. difficile infection (CDI), while its spores persist in the environment, causing its widespread transmission. Many different strains of C. difficile exist worldwide and the epidemiology of the strains is ever-changing: in Scotland, PCR ribotype 012 was once prevalent, but currently ribotypes 106, 001 and 027 are endemic. This study aimed to identify the differences among these ribotypes with respect to their growth, and toxin and spore production in vitro. It was observed that the hypervirulent ribotype 027 produces significantly more toxin than the other ribotypes in the exponential and stationary phases of growth. Further, the endemic strains produce significantly more toxins and spores than ribotype 012. Of note was the observation that tcdC expression did not decrease into the stationary phase of growth, implying that it may have a modulatory rather than repressive effect on toxin production. Further, the increased expression of tcdE in ribotype 027 suggests its importance in the release of the toxins. It can thus be concluded that several genotypic and phenotypic traits might synergistically contribute to the hypervirulence of ribotype 027. These observations might suggest a changing trend towards increased virulence in the strains currently responsible for CDI.","author":[{"family":"Vohra","given":"Prerna"},{"family":"Poxton","given":"Ian R"}],"authorYearDisplayFormat":false,"citation-label":"5898223","container-title":"Microbiology","container-title-short":"Microbiology (Reading, Engl)","id":"5898223","invisible":false,"issue":"Pt 5","issued":{"date-parts":[["2011","5"]]},"journalAbbreviation":"Microbiology (Reading, Engl)","page":"1343-1353","suppress-author":false,"title":"Comparison of toxin and spore production in clinically relevant strains of Clostridium difficile.","type":"article-journal","volume":"157"},{"DOI":"10.1016/S0140-6736(05)67420-X","First":false,"Last":false,"PMID":"16182895","abstract":"&lt;strong&gt;BACKGROUND:&lt;/strong&gt; Toxins A and B are the primary virulence factors of Clostridium difficile. Since 2002, an epidemic of C difficile-associated disease with increased morbidity and mortality has been present in Quebec province, Canada. We characterised the dominant strain of this epidemic to determine whether it produces higher amounts of toxins A and B than those produced by non-epidemic strains.&lt;br&gt;&lt;br&gt;&lt;strong&gt;METHODS:&lt;/strong&gt; We obtained isolates from 124 patients from Centre Hospitalier Universitaire de Sherbrooke in Quebec. Additional isolates from the USA, Canada, and the UK were included to increase the genetic diversity of the toxinotypes tested. Isolate characterisation included toxinotyping, pulsed-field gel electrophoresis (PFGE), PCR ribotyping, detection of a binary toxin gene, and detection of deletions in a putative negative regulator for toxins A and B (tcdC). By use of an enzyme-linked immunoassay, we measured the in-vitro production of toxins A and B by epidemic strain and non-dominant strain isolates.&lt;br&gt;&lt;br&gt;&lt;strong&gt;FINDINGS:&lt;/strong&gt; The epidemic strain was characterised as toxinotype III, North American PFGE type 1, and PCR-ribotype 027 (NAP1/027). This strain carried the binary toxin gene cdtB and an 18-bp deletion in tcdC. We isolated this strain from 72 patients with C difficile-associated disease (58 [67%] of 86 with health-care-associated disease; 14 [37%] of 38 with community-acquired disease). Peak median (IQR) toxin A and toxin B concentrations produced in vitro by NAP1/027 were 16 and 23 times higher, respectively, than those measured in isolates representing 12 different PFGE types, known as toxinotype 0 (toxin A, median 848 microg/L [IQR 504-1022] vs 54 microg/L [23-203]; toxin B, 180 microg/L [137-210] vs 8 microg/L [5-25]; p&lt; 0.0001 for both toxins).&lt;br&gt;&lt;br&gt;&lt;strong&gt;INTERPRETATION:&lt;/strong&gt; The severity of C difficile-associated disease caused by NAP1/027 could result from hyperproduction of toxins A and B. Dissemination of this strain in North America and Europe could lead to important changes in the epidemiology of C difficile-associated disease.","author":[{"family":"Warny","given":"Michel"},{"family":"Pepin","given":"Jacques"},{"family":"Fang","given":"Aiqi"},{"family":"Killgore","given":"George"},{"family":"Thompson","given":"Angela"},{"family":"Brazier","given":"Jon"},{"family":"Frost","given":"Eric"},{"family":"McDonald","given":"L Clifford"}],"authorYearDisplayFormat":false,"citation-label":"3168673","container-title":"The Lancet","container-title-short":"Lancet","id":"3168673","invisible":false,"issue":"9491","issued":{"date-parts":[["2005","9","30"]]},"journalAbbreviation":"Lancet","page":"1079-1084","suppress-author":false,"title":"Toxin production by an emerging strain of Clostridium difficile associated with outbreaks of severe disease in North America and Europe.","type":"article-journal","volume":"366"}]</w:instrText>
      </w:r>
      <w:r>
        <w:fldChar w:fldCharType="separate"/>
      </w:r>
      <w:r w:rsidRPr="002B161E">
        <w:rPr>
          <w:noProof/>
          <w:vertAlign w:val="superscript"/>
        </w:rPr>
        <w:t>14,15,18–23</w:t>
      </w:r>
      <w:r>
        <w:fldChar w:fldCharType="end"/>
      </w:r>
      <w:r>
        <w:t xml:space="preserve"> Gradually, hypervirulent strains have largely replaced endemic strains, especially in communal settings, suggesting that the increase in virulence is advantageous to the pathogen.</w:t>
      </w:r>
      <w:r>
        <w:fldChar w:fldCharType="begin"/>
      </w:r>
      <w:r>
        <w:instrText>ADDIN F1000_CSL_CITATION&lt;~#@#~&gt;[{"DOI":"10.1099/mic.0.051953-0","First":false,"Last":false,"PMID":"21873406","abstract":"Rapid identification of hypervirulent Clostridium difficile strains is essential for preventing their spread. Recent completion of several full-length C. difficile genomes provided an excellent opportunity to identify potentially unique genes that characterize hypervirulent strains. Based on sequence comparisons between C. difficile strains we describe two gene insertions into the genome of hypervirulent PCR ribotypes 078 and 027. Analysis of these regions, of 1.7 and 4.2 kb, respectively, revealed that they contain several interesting ORFs. The 078 region is inserted intergenically and introduces an enzyme that is involved in the biosynthesis of several antibiotics. The 027 insert disrupts the thymidylate synthetase (thyX) gene and replaces it with an equivalent, catalytically more efficient, thyA gene. Both gene insertions were used to develop ribotype-specific PCRs, which were validated by screening a large strain collection consisting of 68 different PCR ribotypes supplemented with diverse 078 and 027 strains derived from different geographical locations and individual outbreaks. The genetic markers were stably present in the hypervirulent PCR ribotypes 078 and 027, but were also found in several other PCR ribotypes. Comparative analysis of amplified fragment length polymorphisms, PCR ribotype banding patterns and toxin profiles showed that all PCR ribotypes sharing the same insert from phylogenetically coherent clusters. The identified loci are unique to these clusters, to which the hypervirulent ribotypes 078 and 027 belong. This provides valuable information on strains belonging to two distinct lineages within C. difficile that are highly related to hypervirulent strains.","author":[{"family":"Knetsch","given":"Cornelis W"},{"family":"Hensgens","given":"Marjolein P M"},{"family":"Harmanus","given":"Céline"},{"family":"van der Bijl","given":"Madelon W"},{"family":"Savelkoul","given":"Paul H M"},{"family":"Kuijper","given":"Ed J"},{"family":"Corver","given":"Jeroen"},{"family":"van Leeuwen","given":"Hans C"}],"authorYearDisplayFormat":false,"citation-label":"6678032","container-title":"Microbiology","container-title-short":"Microbiology (Reading, Engl)","id":"6678032","invisible":false,"issue":"Pt 11","issued":{"date-parts":[["2011","11"]]},"journalAbbreviation":"Microbiology (Reading, Engl)","page":"3113-3123","suppress-author":false,"title":"Genetic markers for Clostridium difficile lineages linked to hypervirulence.","type":"article-journal","volume":"157"}]</w:instrText>
      </w:r>
      <w:r>
        <w:fldChar w:fldCharType="separate"/>
      </w:r>
      <w:r w:rsidRPr="002B161E">
        <w:rPr>
          <w:noProof/>
          <w:vertAlign w:val="superscript"/>
        </w:rPr>
        <w:t>24</w:t>
      </w:r>
      <w:r>
        <w:fldChar w:fldCharType="end"/>
      </w:r>
      <w:r>
        <w:t xml:space="preserve"> Some hypervirulent strains also demonstrate increased sporulation rates (hypersporulating), which dramatically increases the number of spores shed in fecal matter and results in more </w:t>
      </w:r>
      <w:r>
        <w:lastRenderedPageBreak/>
        <w:t>efficient transmission of the infection.</w:t>
      </w:r>
      <w:r>
        <w:fldChar w:fldCharType="begin"/>
      </w:r>
      <w:r>
        <w:instrText>ADDIN F1000_CSL_CITATION&lt;~#@#~&gt;[{"DOI":"10.1128/JB.00445-10","First":false,"Last":false,"PMCID":"PMC2944552","PMID":"20675495","abstract":"Toxigenic Clostridium difficile strains produce two toxins (TcdA and TcdB) during the stationary phase of growth and are the leading cause of antibiotic-associated diarrhea. C. difficile isolates of the molecular type NAP1/027/BI have been associated with severe disease and hospital outbreaks worldwide. It has been suggested that these \"hypervirulent\" strains produce larger amounts of toxin and that a mutation in a putative negative regulator (TcdC) allows toxin production at all growth phases. To rigorously explore this possibility, we conducted a quantitative examination of the toxin production of multiple hypervirulent and nonhypervirulent C. difficile strains. Toxin gene (tcdA and tcdB) and toxin gene regulator (tcdR and tcdC) expression was also monitored. To obtain additional correlates for the hypervirulence phenotype, sporulation kinetics and efficiency were measured. In the exponential phase, low basal levels of tcdA, tcdB, and tcdR expression were evident in both hypervirulent and nonhypervirulent strains, but contrary to previous assumptions, toxin levels were below the detectable thresholds. While hypervirulent strains displayed robust toxin production during the stationary phase of growth, the amounts were not significantly different from those of the nonhypervirulent strains tested; further, total toxin amounts were directly proportional to tcdA, tcdB, and tcdR gene expression. Interestingly, tcdC expression did not diminish in stationary phase, suggesting that TcdC may have a modulatory rather than a strictly repressive role. Comparative genomic analyses of the closely related nonhypervirulent strains VPI 10463 (the highest toxin producer) and 630 (the lowest toxin producer) revealed polymorphisms in the tcdR ribosome binding site and the tcdR-tcdB intergenic region, suggesting that a mechanistic basis for increased toxin production in VPI 10463 could be increased TcdR translation and read-through transcription of the tcdA and tcdB genes. Hypervirulent isolates produced significantly more spores, and did so earlier, than all other isolates. Increased sporulation, potentially in synergy with robust toxin production, may therefore contribute to the widespread disease now associated with hypervirulent C. difficile strains.","author":[{"family":"Merrigan","given":"Michelle"},{"family":"Venugopal","given":"Anilrudh"},{"family":"Mallozzi","given":"Michael"},{"family":"Roxas","given":"Bryan"},{"family":"Viswanathan","given":"V K"},{"family":"Johnson","given":"Stuart"},{"family":"Gerding","given":"Dale N"},{"family":"Vedantam","given":"Gayatri"}],"authorYearDisplayFormat":false,"citation-label":"3168674","container-title":"Journal of Bacteriology","container-title-short":"J. Bacteriol.","id":"3168674","invisible":false,"issue":"19","issued":{"date-parts":[["2010","10"]]},"journalAbbreviation":"J. Bacteriol.","page":"4904-4911","suppress-author":false,"title":"Human hypervirulent Clostridium difficile strains exhibit increased sporulation as well as robust toxin production.","type":"article-journal","volume":"192"},{"DOI":"10.1099/mic.0.046243-0","First":false,"Last":false,"PMID":"21330434","abstract":"Clostridium difficile is a major cause of nosocomial diarrhoea. The toxins that it produces (TcdA and TcdB) are responsible for the characteristic pathology of C. difficile infection (CDI), while its spores persist in the environment, causing its widespread transmission. Many different strains of C. difficile exist worldwide and the epidemiology of the strains is ever-changing: in Scotland, PCR ribotype 012 was once prevalent, but currently ribotypes 106, 001 and 027 are endemic. This study aimed to identify the differences among these ribotypes with respect to their growth, and toxin and spore production in vitro. It was observed that the hypervirulent ribotype 027 produces significantly more toxin than the other ribotypes in the exponential and stationary phases of growth. Further, the endemic strains produce significantly more toxins and spores than ribotype 012. Of note was the observation that tcdC expression did not decrease into the stationary phase of growth, implying that it may have a modulatory rather than repressive effect on toxin production. Further, the increased expression of tcdE in ribotype 027 suggests its importance in the release of the toxins. It can thus be concluded that several genotypic and phenotypic traits might synergistically contribute to the hypervirulence of ribotype 027. These observations might suggest a changing trend towards increased virulence in the strains currently responsible for CDI.","author":[{"family":"Vohra","given":"Prerna"},{"family":"Poxton","given":"Ian R"}],"authorYearDisplayFormat":false,"citation-label":"5898223","container-title":"Microbiology","container-title-short":"Microbiology (Reading, Engl)","id":"5898223","invisible":false,"issue":"Pt 5","issued":{"date-parts":[["2011","5"]]},"journalAbbreviation":"Microbiology (Reading, Engl)","page":"1343-1353","suppress-author":false,"title":"Comparison of toxin and spore production in clinically relevant strains of Clostridium difficile.","type":"article-journal","volume":"157"},{"DOI":"10.1371/journal.pone.0025754","First":false,"Last":false,"PMCID":"PMC3201945","PMID":"22039420","abstract":"The increased prevalence of Clostridium difficile infection (CDI) has coincided with enhanced transmissibility and severity of disease, which is often linked to two distinct clonal lineages designated PCR-ribotype 027 and 017 responsible for CDI outbreaks in the USA, Europe and Asia. We assessed sporulation and susceptibility of three PCR-ribotypes; 012, 017 and 027 to four classes of disinfectants; chlorine releasing agents (CRAs), peroxygens, quaternary ammonium compounds (QAC) and biguanides. The 017 PCR-ribotype, showed the highest sporulation frequency under these test conditions. The oxidizing biocides and CRAs were the most efficacious in decontamination of C. difficile vegetative cells and spores, the efficacy of the CRAs were concentration dependent irrespective of PCR-ribotype. However, there were differences observed in the susceptibility of the PCR-ribotypes, independent of the concentrations tested for Virkon®, Newgenn®, Proceine 40® and Hibiscrub®. Whereas, for Steri7® and Biocleanse® the difference observed between the disinfectants were dependent on both PCR-ribotype and concentration. The oxidizing agent Perasafe® was consistently efficacious across all three PCR ribotypes at varying concentrations; with a consistent five Log10 reduction in spore titre. The PCR-ribotype and concentration dependent differences in the efficacy of the disinfectants in this study indicate that disinfectant choice is a factor for llimiting the survival and transmission of C. difficile spores in healthcare settings.","author":[{"family":"Dawson","given":"Lisa F"},{"family":"Valiente","given":"Esmeralda"},{"family":"Donahue","given":"Elizabeth H"},{"family":"Birchenough","given":"George"},{"family":"Wren","given":"Brendan W"}],"authorYearDisplayFormat":false,"citation-label":"6677993","container-title":"Plos One","container-title-short":"PLoS ONE","id":"6677993","invisible":false,"issue":"10","issued":{"date-parts":[["2011","10","25"]]},"journalAbbreviation":"PLoS ONE","page":"e25754","suppress-author":false,"title":"Hypervirulent Clostridium difficile PCR-ribotypes exhibit resistance to widely used disinfectants.","type":"article-journal","volume":"6"},{"DOI":"10.1128/JCM.01964-07","First":false,"Last":false,"PMCID":"PMC2292905","PMID":"18287318","abstract":"Clostridium difficile PCR ribotype 027 comprised 0.2% of a collection of Swedish isolates in 1997-2001 (3 of 1,325 isolates). These isolates had lower moxifloxacin MICs than the epidemic type 027 isolates, but they had the same tcdC sequence and toxin yield. Type 027 produced 3- to 13-fold more toxin than did major Swedish types. One epidemic strain (027/NAP1a) sporulated more than did other type 027 isolates, a feature that should contribute to its survival and spread.","author":[{"family":"Akerlund","given":"Thomas"},{"family":"Persson","given":"Ingela"},{"family":"Unemo","given":"Magnus"},{"family":"Norén","given":"Torbjörn"},{"family":"Svenungsson","given":"Bo"},{"family":"Wullt","given":"Marlene"},{"family":"Burman","given":"Lars G"}],"authorYearDisplayFormat":false,"citation-label":"5948205","container-title":"Journal of Clinical Microbiology","container-title-short":"J. Clin. Microbiol.","id":"5948205","invisible":false,"issue":"4","issued":{"date-parts":[["2008","4"]]},"journalAbbreviation":"J. Clin. Microbiol.","page":"1530-1533","suppress-author":false,"title":"Increased sporulation rate of epidemic Clostridium difficile Type 027/NAP1.","type":"article-journal","volume":"46"},{"DOI":"10.1128/IAI.02323-14","First":false,"Last":false,"PMCID":"PMC4187847","PMID":"25069979","abstract":"The anaerobic gastrointestinal pathogen Clostridium difficile must form a metabolically dormant spore to survive in oxygenic environments and be transmitted from host to host. The regulatory factors by which C. difficile initiates and controls the early stages of sporulation in C. difficile are not highly conserved in other Clostridium or Bacillus species. Here, we investigated the role of two conserved oligopeptide permeases, Opp and App, in the regulation of sporulation in C. difficile. These permeases are known to positively affect sporulation in Bacillus species through the import of sporulation-specific quorum-sensing peptides. In contrast to other spore-forming bacteria, we discovered that inactivating these permeases in C. difficile resulted in the earlier expression of early sporulation genes and increased sporulation in vitro. Furthermore, disruption of opp and app resulted in greater virulence and increased the amounts of spores recovered from feces in the hamster model of C. difficile infection. Our data suggest that Opp and App indirectly inhibit sporulation, likely through the activities of the transcriptional regulator SinR and its inhibitor, SinI. Taken together, these results indicate that the Opp and App transporters serve a different function in controlling sporulation and virulence in C. difficile than in Bacillus subtilis and suggest that nutrient availability plays a significant role in pathogenesis and sporulation in vivo. This study suggests a link between the nutritional status of the environment and sporulation initiation in C. difficile. &lt;br&gt;&lt;br&gt;Copyright © 2014, American Society for Microbiology. All Rights Reserved.","author":[{"family":"Edwards","given":"Adrianne N"},{"family":"Nawrocki","given":"Kathryn L"},{"family":"McBride","given":"Shonna M"}],"authorYearDisplayFormat":false,"citation-label":"5963097","container-title":"Infection and Immunity","container-title-short":"Infect. Immun.","id":"5963097","invisible":false,"issue":"10","issued":{"date-parts":[["2014","10"]]},"journalAbbreviation":"Infect. Immun.","page":"4276-4291","suppress-author":false,"title":"Conserved oligopeptide permeases modulate sporulation initiation in Clostridium difficile.","type":"article-journal","volume":"82"}]</w:instrText>
      </w:r>
      <w:r>
        <w:fldChar w:fldCharType="separate"/>
      </w:r>
      <w:r w:rsidRPr="002B161E">
        <w:rPr>
          <w:noProof/>
          <w:vertAlign w:val="superscript"/>
        </w:rPr>
        <w:t>15,17,18,23,25</w:t>
      </w:r>
      <w:r>
        <w:fldChar w:fldCharType="end"/>
      </w:r>
      <w:r w:rsidRPr="00AF5AAF">
        <w:t xml:space="preserve"> </w:t>
      </w:r>
      <w:r w:rsidRPr="008D43DB">
        <w:rPr>
          <w:iCs/>
        </w:rPr>
        <w:t>Spores are the metabolically dormant vessel some Gram-positive organisms produce in response to stress. These spores are able to withstand harsh environments for a prolonged time period (some for millions of years)</w:t>
      </w:r>
      <w:r w:rsidRPr="008D43DB">
        <w:rPr>
          <w:iCs/>
        </w:rPr>
        <w:fldChar w:fldCharType="begin"/>
      </w:r>
      <w:r w:rsidRPr="008D43DB">
        <w:rPr>
          <w:iCs/>
        </w:rPr>
        <w:instrText>ADDIN F1000_CSL_CITATION&lt;~#@#~&gt;[{"DOI":"10.1038/35038060","First":false,"Last":false,"PMID":"11057666","abstract":"Bacteria have been found associated with a variety of ancient samples, however few studies are generally accepted due to questions about sample quality and contamination. When Cano and Borucki isolated a strain of Bacillus sphaericus from an extinct bee trapped in 25-30 million-year-old amber, careful sample selection and stringent sterilization techniques were the keys to acceptance. Here we report the isolation and growth of a previously unrecognized spore-forming bacterium (Bacillus species, designated 2-9-3) from a brine inclusion within a 250 million-year-old salt crystal from the Permian Salado Formation. Complete gene sequences of the 16S ribosomal DNA show that the organism is part of the lineage of Bacillus marismortui and Virgibacillus pantothenticus. Delicate crystal structures and sedimentary features indicate the salt has not recrystallized since formation. Samples were rejected if brine inclusions showed physical signs of possible contamination. Surfaces of salt crystal samples were sterilized with strong alkali and acid before extracting brines from inclusions. Sterilization procedures reduce the probability of contamination to less than 1 in 10(9).","author":[{"family":"Vreeland","given":"R H"},{"family":"Rosenzweig","given":"W D"},{"family":"Powers","given":"D W"}],"authorYearDisplayFormat":false,"citation-label":"1979310","container-title":"Nature","container-title-short":"Nature","id":"1979310","invisible":false,"issue":"6806","issued":{"date-parts":[["2000","10","19"]]},"journalAbbreviation":"Nature","page":"897-900","suppress-author":false,"title":"Isolation of a 250 million-year-old halotolerant bacterium from a primary salt crystal.","type":"article-journal","volume":"407"}]</w:instrText>
      </w:r>
      <w:r w:rsidRPr="008D43DB">
        <w:rPr>
          <w:iCs/>
        </w:rPr>
        <w:fldChar w:fldCharType="separate"/>
      </w:r>
      <w:r w:rsidRPr="002B161E">
        <w:rPr>
          <w:iCs/>
          <w:noProof/>
          <w:vertAlign w:val="superscript"/>
        </w:rPr>
        <w:t>26</w:t>
      </w:r>
      <w:r w:rsidRPr="008D43DB">
        <w:rPr>
          <w:iCs/>
        </w:rPr>
        <w:fldChar w:fldCharType="end"/>
      </w:r>
      <w:r w:rsidRPr="008D43DB">
        <w:rPr>
          <w:iCs/>
        </w:rPr>
        <w:t xml:space="preserve"> until favorable growth conditions trigger spore germination and outgrowth.</w:t>
      </w:r>
      <w:r w:rsidRPr="008D43DB">
        <w:rPr>
          <w:iCs/>
        </w:rPr>
        <w:fldChar w:fldCharType="begin"/>
      </w:r>
      <w:r w:rsidRPr="008D43DB">
        <w:rPr>
          <w:iCs/>
        </w:rPr>
        <w:instrText>ADDIN F1000_CSL_CITATION&lt;~#@#~&gt;[{"DOI":"10.1016/j.anaerobe.2017.02.018","First":false,"Last":false,"PMID":"28254263","abstract":"Clostridium difficile is a Gram-positive, anaerobic spore former, and an important nosocomial pathogenic bacterium. C. difficile spores are the morphotype of transmission and recurrence of the disease. The formation of C. difficile spores and their subsequent germination are essential processes during the infection. Recent in vitro and in vivo work has shed light on how spores are formed and the timing of in vivo sporulation in a mouse model. Advances have also been made in our understanding of the machineries involved in spore germination, and how antibiotic-induced dysbiosis affects the metabolism of bile salts and thus impacts C. difficile germination in vivo. Studies have also attempted to identify how C. difficile spores interact with the host's intestinal mucosa. Spore resistance has also been revisited by several groups highlighting the extreme resistance of this morphotype to traditional food processing regimes and disinfectants used in clinical settings. Therefore, the aim of this review is to summarize recent advances on spore formation/germination in vitro and in vivo, spore-host interactions, and spore resistance that contribute to our knowledge of the role of C. difficile spores in the infectious process.&lt;br&gt;&lt;br&gt;Copyright © 2017. Published by Elsevier Ltd.","author":[{"family":"Gil","given":"Fernando"},{"family":"Lagos-Moraga","given":"Sebastián"},{"family":"Calderón-Romero","given":"Paulina"},{"family":"Pizarro-Guajardo","given":"Marjorie"},{"family":"Paredes-Sabja","given":"Daniel"}],"authorYearDisplayFormat":false,"citation-label":"6681395","container-title":"Anaerobe","container-title-short":"Anaerobe","id":"6681395","invisible":false,"issued":{"date-parts":[["2017","6"]]},"journalAbbreviation":"Anaerobe","page":"3-9","suppress-author":false,"title":"Updates on Clostridium difficile spore biology.","type":"article-journal","volume":"45"}]</w:instrText>
      </w:r>
      <w:r w:rsidRPr="008D43DB">
        <w:rPr>
          <w:iCs/>
        </w:rPr>
        <w:fldChar w:fldCharType="separate"/>
      </w:r>
      <w:r w:rsidRPr="002B161E">
        <w:rPr>
          <w:iCs/>
          <w:noProof/>
          <w:vertAlign w:val="superscript"/>
        </w:rPr>
        <w:t>27</w:t>
      </w:r>
      <w:r w:rsidRPr="008D43DB">
        <w:rPr>
          <w:iCs/>
        </w:rPr>
        <w:fldChar w:fldCharType="end"/>
      </w:r>
      <w:r w:rsidRPr="008D43DB">
        <w:rPr>
          <w:iCs/>
        </w:rPr>
        <w:t xml:space="preserve"> Harsh</w:t>
      </w:r>
      <w:r>
        <w:t xml:space="preserve"> sterilization approaches (e.g., peroxides, radiation, heat, and chemical fixation) often times fail to eradicate spores from surfaces.</w:t>
      </w:r>
      <w:r>
        <w:fldChar w:fldCharType="begin"/>
      </w:r>
      <w:r>
        <w:instrText>ADDIN F1000_CSL_CITATION&lt;~#@#~&gt;[{"DOI":"10.1016/S0140-6736(00)02819-1","First":false,"Last":false,"author":[{"family":"Wilcox","given":"Mark H"},{"family":"Fawley","given":"Warren N"}],"authorYearDisplayFormat":false,"citation-label":"6678078","container-title":"The Lancet","container-title-short":"Lancet","id":"6678078","invisible":false,"issue":"9238","issued":{"date-parts":[["2000","10"]]},"journalAbbreviation":"Lancet","page":"1324","suppress-author":false,"title":"Hospital disinfectants and spore formation by Clostridium difficile","type":"article-journal","volume":"356"},{"DOI":"10.1016/j.ajic.2010.04.196","First":false,"Last":false,"PMID":"20569853","abstract":"Health care-associated infections (HAI) remain a major cause of patient morbidity and mortality. Although the main source of nosocomial pathogens is likely the patient's endogenous flora, an estimated 20% to 40% of HAI have been attributed to cross infection via the hands of health care personnel, who have become contaminated from direct contact with the patient or indirectly by touching contaminated environmental surfaces. Multiple studies strongly suggest that environmental contamination plays an important role in the transmission of methicillin-resistant Staphylococcus aureus and vancomycin-resistant Enterococcus spp. More recently, evidence suggests that environmental contamination also plays a role in the nosocomial transmission of norovirus, Clostridium difficile, and Acinetobacter spp. All 3 pathogens survive for prolonged periods of time in the environment, and infections have been associated with frequent surface contamination in hospital rooms and health care worker hands. In some cases, the extent of patient-to-patient transmission has been found to be directly proportional to the level of environmental contamination. Improved cleaning/disinfection of environmental surfaces and hand hygiene have been shown to reduce the spread of all of these pathogens. Importantly, norovirus and C difficile are relatively resistant to the most common surface disinfectants and waterless alcohol-based antiseptics. Current hand hygiene guidelines and recommendations for surface cleaning/disinfection should be followed in managing outbreaks because of these emerging pathogens.&lt;br&gt;&lt;br&gt;(c) 2010 Association for Professionals in Infection Control and Epidemiology, Inc. Published by Mosby, Inc. All rights reserved.","author":[{"family":"Weber","given":"David J"},{"family":"Rutala","given":"William A"},{"family":"Miller","given":"Melissa B"},{"family":"Huslage","given":"Kirk"},{"family":"Sickbert-Bennett","given":"Emily"}],"authorYearDisplayFormat":false,"citation-label":"1089493","container-title":"American Journal of Infection Control","container-title-short":"Am. J. Infect. Control","id":"1089493","invisible":false,"issue":"5 Suppl 1","issued":{"date-parts":[["2010","6"]]},"journalAbbreviation":"Am. J. Infect. Control","page":"S25-33","suppress-author":false,"title":"Role of hospital surfaces in the transmission of emerging health care-associated pathogens: norovirus, Clostridium difficile, and Acinetobacter species.","type":"article-journal","volume":"38"},{"DOI":"10.1086/519201","First":false,"Last":false,"PMID":"17620238","abstract":"&lt;strong&gt;OBJECTIVE:&lt;/strong&gt; To compare the effects of hospital cleaning agents and germicides on the survival of epidemic Clostridium difficile strains.&lt;br&gt;&lt;br&gt;&lt;strong&gt;METHODS:&lt;/strong&gt; We compared the activity of and effects of exposure to 5 cleaning agents and/or germicides (3 containing chlorine, 1 containing only detergent, and 1 containing hydrogen peroxide) on vegetative and spore forms of epidemic and non-epidemic C. difficile strains (3 of each). We carried out in vitro exposure experiments using a human fecal emulsion to mimic conditions found in situ.&lt;br&gt;&lt;br&gt;&lt;strong&gt;RESULTS:&lt;/strong&gt; Cleaning agent and germicide exposure experiments yielded very different results for C. difficile vegetative cells, compared with those for spores. Working-strength concentrations of all of the agents inhibited the growth of C. difficile in culture. However, when used at recommended working concentrations, only chlorine-based germicides were able to inactivate C. difficile spores. C. difficile epidemic strains had a greater sporulation rate than nonepidemic strains. The mean sporulation rate, expressed as the proportion of a cell population that is in spore form, was 13% for all strains not exposed to any cleaning agent or germicide, and it was significantly increased by exposure to cleaning agents or germicides containing detergent alone (34%), a combination of detergent and hypochlorite (24%), or hydrogen peroxide (33%). By contrast, the mean sporulation rate did not change substantially after exposure to germicides containing either a combination of detergent and dichloroisocyanurate (9%) or dichloroisocyanurate alone (15%).&lt;br&gt;&lt;br&gt;&lt;strong&gt;CONCLUSIONS:&lt;/strong&gt; These results highlight differences in the activity of cleaning agents and germicides against C. difficile spores and the potential for some of these products to promote sporulation.","author":[{"family":"Fawley","given":"Warren N"},{"family":"Underwood","given":"Sarah"},{"family":"Freeman","given":"Jane"},{"family":"Baines","given":"Simon D"},{"family":"Saxton","given":"Katie"},{"family":"Stephenson","given":"Keith"},{"family":"Owens","given":"Robert C"},{"family":"Wilcox","given":"Mark H"}],"authorYearDisplayFormat":false,"citation-label":"6678082","container-title":"Infection Control and Hospital Epidemiology","container-title-short":"Infect. Control Hosp. Epidemiol.","id":"6678082","invisible":false,"issue":"8","issued":{"date-parts":[["2007","8"]]},"journalAbbreviation":"Infect. Control Hosp. Epidemiol.","page":"920-925","suppress-author":false,"title":"Efficacy of hospital cleaning agents and germicides against epidemic Clostridium difficile strains.","type":"article-journal","volume":"28"},{"DOI":"10.1186/1471-2334-10-197","First":false,"Last":false,"PMCID":"PMC2910020","PMID":"20615229","abstract":"&lt;strong&gt;BACKGROUND:&lt;/strong&gt; Environmental surfaces play an important role in transmission of healthcare-associated pathogens. There is a need for new disinfection methods that are effective against Clostridium difficile spores, but also safe, rapid, and automated.&lt;br&gt;&lt;br&gt;&lt;strong&gt;METHODS:&lt;/strong&gt; The Tru-D Rapid Room Disinfection device is a mobile, fully-automated room decontamination technology that utilizes ultraviolet-C irradiation to kill pathogens. We examined the efficacy of environmental disinfection using the Tru-D device in the laboratory and in rooms of hospitalized patients. Cultures for C. difficile, methicillin-resistant Staphylococcus aureus (MRSA), and vancomycin-resistant Enterococcus (VRE) were collected from commonly touched surfaces before and after use of Tru-D.&lt;br&gt;&lt;br&gt;&lt;strong&gt;RESULTS:&lt;/strong&gt; On inoculated surfaces, application of Tru-D at a reflected dose of 22,000 microWs/cm(2) for approximately 45 minutes consistently reduced recovery of C. difficile spores and MRSA by &gt;2-3 log10 colony forming units (CFU)/cm2 and of VRE by &gt;3-4 log10 CFU/cm(2). Similar killing of MRSA and VRE was achieved in approximately 20 minutes at a reflected dose of 12,000 microWs/cm(2), but killing of C. difficile spores was reduced. Disinfection of hospital rooms with Tru-D reduced the frequency of positive MRSA and VRE cultures by 93% and of C. difficile cultures by 80%. After routine hospital cleaning of the rooms of MRSA carriers, 18% of sites under the edges of bedside tables (i.e., a frequently touched site not easily amenable to manual application of disinfectant) were contaminated with MRSA, versus 0% after Tru-D (P &lt;  0.001). The system required &lt; 5 minutes to set up and did not require continuous monitoring.&lt;br&gt;&lt;br&gt;&lt;strong&gt;CONCLUSIONS:&lt;/strong&gt; The Tru-D Rapid Room Disinfection device is a novel, automated, and efficient environmental disinfection technology that significantly reduces C. difficile, VRE and MRSA contamination on commonly touched hospital surfaces.","author":[{"family":"Nerandzic","given":"Michelle M"},{"family":"Cadnum","given":"Jennifer L"},{"family":"Pultz","given":"Michael J"},{"family":"Donskey","given":"Curtis J"}],"authorYearDisplayFormat":false,"citation-label":"107259","container-title":"BMC Infectious Diseases","container-title-short":"BMC Infect. Dis.","id":"107259","invisible":false,"issued":{"date-parts":[["2010","7","8"]]},"journalAbbreviation":"BMC Infect. Dis.","page":"197","suppress-author":false,"title":"Evaluation of an automated ultraviolet radiation device for decontamination of Clostridium difficile and other healthcare-associated pathogens in hospital rooms.","type":"article-journal","volume":"10"},{"DOI":"10.1086/597232","First":false,"Last":false,"PMID":"19379098","abstract":"&lt;strong&gt;OBJECTIVE:&lt;/strong&gt; To compare a hydrogen peroxide dry-mist system and a 0.5% hypochlorite solution with respect to their ability to disinfect Clostridium difficile-contaminated surfaces in vitro and in situ.&lt;br&gt;&lt;br&gt;&lt;strong&gt;DESIGN:&lt;/strong&gt; Prospective, randomized, before-after trial.&lt;br&gt;&lt;br&gt;&lt;strong&gt;SETTING:&lt;/strong&gt; Two French hospitals affected by C. difficile.&lt;br&gt;&lt;br&gt;&lt;strong&gt;INTERVENTION:&lt;/strong&gt; In situ efficacy of disinfectants was assessed in rooms that had housed patients with C. difficile infection. A prospective study was performed at 2 hospitals that involved randomization of disinfection processes. When a patient with C. difficile infection was discharged, environmental contamination in the patient's room was evaluated before and after disinfection. Environmental surfaces were sampled for C. difficile by use of moistened swabs; swab samples were cultured on selective plates and in broth. Both disinfectants were tested in vitro with a spore-carrier test; in this test, 2 types of material, vinyl polychloride (representative of the room's floor) and laminate (representative of the room's furniture), were experimentally contaminated with spores from 3 C. difficile strains, including the epidemic clone ribotype 027-North American pulsed-field gel electrophoresis type 1.&lt;br&gt;&lt;br&gt;&lt;strong&gt;RESULTS:&lt;/strong&gt; There were 748 surface samples collected (360 from rooms treated with hydrogen peroxide and 388 from rooms treated with hypochlorite). Before disinfection, 46 (24%) of 194 samples obtained in the rooms randomized to hypochlorite treatment and 34 (19%) of 180 samples obtained in the rooms randomized to hydrogen peroxide treatment showed environmental contamination. After disinfection, 23 (12%) of 194 samples from hypochlorite-treated rooms and 4 (2%) of 180 samples from hydrogen peroxide treated rooms showed environmental contamination, a decrease in contamination of 50% after hypochlorite decontamination and 91% after hydrogen peroxide decontamination (P &lt;  .005). The in vitro activity of 0.5% hypochlorite was time dependent. The mean (+/-SD) reduction in initial log(10) bacterial count was 4.32 +/- 0.35 log(10) colony-forming units after 10 minutes of exposure to hypochlorite and 4.18 +/- 0.8 log(10) colony-forming units after 1 cycle of hydrogen peroxide decontamination.&lt;br&gt;&lt;br&gt;&lt;strong&gt;CONCLUSION:&lt;/strong&gt; In situ experiments indicate that the hydrogen peroxide dry-mist disinfection system is significantly more effective than 0.5% sodium hypochlorite solution at eradicating C. difficile spores and might represent a new alternative for disinfecting the rooms of patients with C. difficile infection.","author":[{"family":"Barbut","given":"F"},{"family":"Menuet","given":"D"},{"family":"Verachten","given":"M"},{"family":"Girou","given":"E"}],"authorYearDisplayFormat":false,"citation-label":"5963046","container-title":"Infection Control and Hospital Epidemiology","container-title-short":"Infect. Control Hosp. Epidemiol.","id":"5963046","invisible":false,"issue":"6","issued":{"date-parts":[["2009","6"]]},"journalAbbreviation":"Infect. Control Hosp. Epidemiol.","page":"507-514","suppress-author":false,"title":"Comparison of the efficacy of a hydrogen peroxide dry-mist disinfection system and sodium hypochlorite solution for eradication of Clostridium difficile spores.","type":"article-journal","volume":"30"}]</w:instrText>
      </w:r>
      <w:r>
        <w:fldChar w:fldCharType="separate"/>
      </w:r>
      <w:r w:rsidRPr="002B161E">
        <w:rPr>
          <w:noProof/>
          <w:vertAlign w:val="superscript"/>
        </w:rPr>
        <w:t>28–32</w:t>
      </w:r>
      <w:r>
        <w:fldChar w:fldCharType="end"/>
      </w:r>
      <w:r>
        <w:t xml:space="preserve"> In nosocomial settings, spores have been reported to germinate after a &gt;6-month desiccation period,</w:t>
      </w:r>
      <w:r>
        <w:fldChar w:fldCharType="begin"/>
      </w:r>
      <w:r>
        <w:instrText>ADDIN F1000_CSL_CITATION&lt;~#@#~&gt;[{"DOI":"10.1111/j.1365-2672.2005.02736.x","First":false,"Last":false,"PMID":"16907802","author":[{"family":"Setlow","given":"P"}],"authorYearDisplayFormat":false,"citation-label":"735320","container-title":"Journal of Applied Microbiology","container-title-short":"J. Appl. Microbiol.","id":"735320","invisible":false,"issue":"3","issued":{"date-parts":[["2006","9"]]},"journalAbbreviation":"J. Appl. Microbiol.","page":"514-525","suppress-author":false,"title":"Spores of Bacillus subtilis: their resistance to and killing by radiation, heat and chemicals.","type":"article-journal","volume":"101"}]</w:instrText>
      </w:r>
      <w:r>
        <w:fldChar w:fldCharType="separate"/>
      </w:r>
      <w:r w:rsidRPr="002B161E">
        <w:rPr>
          <w:noProof/>
          <w:vertAlign w:val="superscript"/>
        </w:rPr>
        <w:t>33</w:t>
      </w:r>
      <w:r>
        <w:fldChar w:fldCharType="end"/>
      </w:r>
      <w:r>
        <w:t xml:space="preserve"> and in some cases become airborne.</w:t>
      </w:r>
      <w:r>
        <w:fldChar w:fldCharType="begin"/>
      </w:r>
      <w:r>
        <w:instrText>ADDIN F1000_CSL_CITATION&lt;~#@#~&gt;[{"DOI":"10.1186/1471-2334-8-7","First":false,"Last":false,"PMCID":"PMC2245947","PMID":"18218089","abstract":"&lt;strong&gt;BACKGROUND:&lt;/strong&gt; Clostridium difficile-associated diarrhoea (CDAD) is a frequently occurring healthcare-associated infection, which is responsible for significant morbidity and mortality amongst elderly patients in healthcare facilities. Environmental contamination is known to play an important contributory role in the spread of CDAD and it is suspected that contamination might be occurring as a result of aerial dissemination of C. difficile spores. However previous studies have failed to isolate C. difficile from air in hospitals. In an attempt to clarify this issue we undertook a short controlled pilot study in an elderly care ward with the aim of culturing C. difficile from the air.&lt;br&gt;&lt;br&gt;&lt;strong&gt;METHODS:&lt;/strong&gt; In a survey undertaken during February (two days) 2006 and March (two days) 2007, air samples were collected using a portable cyclone sampler and surface samples collected using contact plates in a UK hospital. Sampling took place in a six bedded elderly care bay (Study) during February 2006 and in March 2007 both the study bay and a four bedded orthopaedic bay (Control). Particulate material from the air was collected in Ringer's solution, alcohol shocked and plated out in triplicate onto Brazier's CCEY agar without egg yolk, but supplemented with 5 mg/L of lysozyme. After incubation, the identity of isolates was confirmed by standard techniques. Ribotyping and REP-PCR fingerprinting were used to further characterise isolates.&lt;br&gt;&lt;br&gt;&lt;strong&gt;RESULTS:&lt;/strong&gt; On both days in February 2006, C. difficile was cultured from the air with 23 samples yielding the bacterium (mean counts 53 - 426 cfu/m3 of air). One representative isolate from each of these was characterized further. Of the 23 isolates, 22 were ribotype 001 and were indistinguishable on REP-PCR typing. C. difficile was not cultured from the air or surfaces of either hospital bay during the two days in March 2007.&lt;br&gt;&lt;br&gt;&lt;strong&gt;CONCLUSION:&lt;/strong&gt; This pilot study produced clear evidence of sporadic aerial dissemination of spores of a clone of C. difficile, a finding which may help to explain why CDAD is so persistent within hospitals and difficult to eradicate. Although preliminary, the findings reinforce concerns that current C. difficile control measures may be inadequate and suggest that improved ward ventilation may help to reduce the spread of CDAD in healthcare facilities.","author":[{"family":"Roberts","given":"Katherine"},{"family":"Smith","given":"Caroline F"},{"family":"Snelling","given":"Anna M"},{"family":"Kerr","given":"Kevin G"},{"family":"Banfield","given":"Kathleen R"},{"family":"Sleigh","given":"P Andrew"},{"family":"Beggs","given":"Clive B"}],"authorYearDisplayFormat":false,"citation-label":"116284","container-title":"BMC Infectious Diseases","container-title-short":"BMC Infect. Dis.","id":"116284","invisible":false,"issued":{"date-parts":[["2008","1","24"]]},"journalAbbreviation":"BMC Infect. Dis.","page":"7","suppress-author":false,"title":"Aerial dissemination of Clostridium difficile spores.","type":"article-journal","volume":"8"}]</w:instrText>
      </w:r>
      <w:r>
        <w:fldChar w:fldCharType="separate"/>
      </w:r>
      <w:r w:rsidRPr="002B161E">
        <w:rPr>
          <w:noProof/>
          <w:vertAlign w:val="superscript"/>
        </w:rPr>
        <w:t>34</w:t>
      </w:r>
      <w:r>
        <w:fldChar w:fldCharType="end"/>
      </w:r>
      <w:r>
        <w:t xml:space="preserve"> These factors sometimes coalesce and recalcitrant spores can broadly inhabit an entire hospital wing, forcing closure.</w:t>
      </w:r>
      <w:r>
        <w:fldChar w:fldCharType="begin"/>
      </w:r>
      <w:r>
        <w:instrText>ADDIN F1000_CSL_CITATION&lt;~#@#~&gt;[{"DOI":"10.1016/j.resmic.2010.09.007","First":false,"Last":false,"PMID":"20863888","abstract":"Endospore production is vital for the spread of Clostridium difficile infection. However, in order to cause disease, these spores must germinate and return to vegetative cell growth. Knowledge of germination is therefore important, with potential practical implications for routine cleaning, outbreak management and potentially in the design of new therapeutics. Germination has been well studied in Bacillus, but until recently there had been few studies reported in C. difficile. The role of bile salts as germinants for C. difficile spores has now been described in some detail, which improves our understanding of how C. difficile spores interact with their environment following ingestion by susceptible individuals. Furthermore, with the aid of novel genetic tools, it has now become possible to study the germination of C. difficile spores using both a forward and reverse genetics approach. Significant progress is beginning to be made in the study of this important aspect of C. difficile disease.&lt;br&gt;&lt;br&gt;Copyright © 2010 Institut Pasteur. Published by Elsevier SAS. All rights reserved.","author":[{"family":"Burns","given":"David A"},{"family":"Heap","given":"John T"},{"family":"Minton","given":"Nigel P"}],"authorYearDisplayFormat":false,"citation-label":"6689557","container-title":"Research in Microbiology","container-title-short":"Res. Microbiol.","id":"6689557","invisible":false,"issue":"9","issued":{"date-parts":[["2010","11"]]},"journalAbbreviation":"Res. Microbiol.","page":"730-734","suppress-author":false,"title":"Clostridium difficile spore germination: an update.","type":"article-journal","volume":"161"}]</w:instrText>
      </w:r>
      <w:r>
        <w:fldChar w:fldCharType="separate"/>
      </w:r>
      <w:r w:rsidRPr="002B161E">
        <w:rPr>
          <w:noProof/>
          <w:vertAlign w:val="superscript"/>
        </w:rPr>
        <w:t>35</w:t>
      </w:r>
      <w:r>
        <w:fldChar w:fldCharType="end"/>
      </w:r>
      <w:r>
        <w:t xml:space="preserve"> Taken together, hypervirulent strains rapidly shift between heavy toxin and spore producing phenotypes to cause greater damage to the host and ensure future propagation. </w:t>
      </w:r>
      <w:r w:rsidRPr="008D43DB">
        <w:t xml:space="preserve">These features propagate CDI by increasing gastrointestinal destruction and inflammation in the host, which induces severe diarrhea, and thus provides the vehicle for transmission. </w:t>
      </w:r>
    </w:p>
    <w:p w14:paraId="0AC5F2FF" w14:textId="77777777" w:rsidR="00135AEF" w:rsidRDefault="00135AEF" w:rsidP="00135AEF">
      <w:pPr>
        <w:keepNext/>
        <w:jc w:val="both"/>
      </w:pPr>
      <w:r w:rsidRPr="00F9529F">
        <w:rPr>
          <w:noProof/>
          <w:lang w:eastAsia="zh-CN" w:bidi="ar-SA"/>
        </w:rPr>
        <w:drawing>
          <wp:inline distT="0" distB="0" distL="0" distR="0" wp14:anchorId="360F9E7F" wp14:editId="25E501CB">
            <wp:extent cx="5613467" cy="1579945"/>
            <wp:effectExtent l="0" t="0" r="0" b="0"/>
            <wp:docPr id="12" name="Picture 30" descr="../../../../Downloads/Thesis%20Images/Figur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Downloads/Thesis%20Images/Figure1.png"/>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3353" cy="1599615"/>
                    </a:xfrm>
                    <a:prstGeom prst="rect">
                      <a:avLst/>
                    </a:prstGeom>
                    <a:noFill/>
                    <a:ln>
                      <a:noFill/>
                    </a:ln>
                  </pic:spPr>
                </pic:pic>
              </a:graphicData>
            </a:graphic>
          </wp:inline>
        </w:drawing>
      </w:r>
    </w:p>
    <w:p w14:paraId="6707CE44" w14:textId="2BC153BF" w:rsidR="00135AEF" w:rsidRDefault="00135AEF" w:rsidP="00135AEF">
      <w:pPr>
        <w:pStyle w:val="Caption"/>
        <w:jc w:val="both"/>
      </w:pPr>
      <w:bookmarkStart w:id="14" w:name="_Toc5807393"/>
      <w:r>
        <w:t xml:space="preserve">Figure </w:t>
      </w:r>
      <w:r>
        <w:rPr>
          <w:noProof/>
        </w:rPr>
        <w:fldChar w:fldCharType="begin"/>
      </w:r>
      <w:r>
        <w:rPr>
          <w:noProof/>
        </w:rPr>
        <w:instrText xml:space="preserve"> SEQ Figure \* ARABIC </w:instrText>
      </w:r>
      <w:r>
        <w:rPr>
          <w:noProof/>
        </w:rPr>
        <w:fldChar w:fldCharType="separate"/>
      </w:r>
      <w:r w:rsidR="0032380F">
        <w:rPr>
          <w:noProof/>
        </w:rPr>
        <w:t>1</w:t>
      </w:r>
      <w:r>
        <w:rPr>
          <w:noProof/>
        </w:rPr>
        <w:fldChar w:fldCharType="end"/>
      </w:r>
      <w:r>
        <w:t>.1 The CDI Cycle</w:t>
      </w:r>
      <w:bookmarkEnd w:id="14"/>
      <w:r>
        <w:t xml:space="preserve"> </w:t>
      </w:r>
    </w:p>
    <w:p w14:paraId="3180F84C" w14:textId="544D90B9" w:rsidR="00135AEF" w:rsidRPr="00141BAC" w:rsidRDefault="00135AEF" w:rsidP="005B655A">
      <w:pPr>
        <w:pStyle w:val="Caption"/>
        <w:contextualSpacing/>
        <w:jc w:val="both"/>
      </w:pPr>
      <w:r>
        <w:rPr>
          <w:b w:val="0"/>
          <w:bCs w:val="0"/>
        </w:rPr>
        <w:t xml:space="preserve">The process of </w:t>
      </w:r>
      <w:r w:rsidR="00AB3480" w:rsidRPr="00AB3480">
        <w:rPr>
          <w:b w:val="0"/>
          <w:bCs w:val="0"/>
          <w:i/>
        </w:rPr>
        <w:t>C. difficile</w:t>
      </w:r>
      <w:r>
        <w:rPr>
          <w:b w:val="0"/>
          <w:bCs w:val="0"/>
          <w:iCs/>
        </w:rPr>
        <w:t xml:space="preserve"> infection from hospitalization to clinical outcome. Clinical interventions include but are not limited to antibiotic treatment, rehydration and/or fecal transplants. Adapted from Hunt and Ballard.</w:t>
      </w:r>
      <w:r>
        <w:rPr>
          <w:b w:val="0"/>
          <w:bCs w:val="0"/>
          <w:iCs/>
        </w:rPr>
        <w:fldChar w:fldCharType="begin"/>
      </w:r>
      <w:r>
        <w:rPr>
          <w:b w:val="0"/>
          <w:bCs w:val="0"/>
          <w:iCs/>
        </w:rPr>
        <w:instrText>ADDIN F1000_CSL_CITATION&lt;~#@#~&gt;[{"DOI":"10.1128/MMBR.00017-13","First":false,"Last":false,"PMCID":"PMC3973386","PMID":"24296572","abstract":"Clostridium difficile is a Gram-positive, spore-forming organism which infects and colonizes the large intestine, produces potent toxins, triggers inflammation, and causes significant systemic complications. Treating C. difficile infection (CDI) has always been difficult, because the disease is both caused and resolved by antibiotic treatment. For three and a half decades, C. difficile has presented a treatment challenge to clinicians, and the situation took a turn for the worse about 10 years ago. An increase in epidemic outbreaks related to CDI was first noticed around 2003, and these outbreaks correlated with a sudden increase in the mortality rate of this illness. Further studies discovered that these changes in CDI epidemiology were associated with the rapid emergence of hypervirulent strains of C. difficile, now collectively referred to as NAP1/BI/027 strains. The discovery of new epidemic strains of C. difficile has provided a unique opportunity for retrospective and prospective studies that have sought to understand how these strains have essentially replaced more historical strains as a major cause of CDI. Moreover, detailed studies on the pathogenesis of NAP1/BI/027 strains are leading to new hypotheses on how this emerging strain causes severe disease and is more commonly associated with epidemics. In this review, we provide an overview of CDI, discuss critical mechanisms of C. difficile virulence, and explain how differences in virulence-associated factors between historical and newly emerging strains might explain the hypervirulence exhibited by this pathogen during the past decade.","author":[{"family":"Hunt","given":"Jonathan J"},{"family":"Ballard","given":"Jimmy D"}],"authorYearDisplayFormat":false,"citation-label":"4875794","container-title":"Microbiology and Molecular Biology Reviews","container-title-short":"Microbiol. Mol. Biol. Rev.","id":"4875794","invisible":false,"issue":"4","issued":{"date-parts":[["2013","12"]]},"journalAbbreviation":"Microbiol. Mol. Biol. Rev.","page":"567-581","suppress-author":false,"title":"Variations in virulence and molecular biology among emerging strains of Clostridium difficile.","type":"article-journal","volume":"77"}]</w:instrText>
      </w:r>
      <w:r>
        <w:rPr>
          <w:b w:val="0"/>
          <w:bCs w:val="0"/>
          <w:iCs/>
        </w:rPr>
        <w:fldChar w:fldCharType="separate"/>
      </w:r>
      <w:r w:rsidRPr="002B161E">
        <w:rPr>
          <w:b w:val="0"/>
          <w:bCs w:val="0"/>
          <w:iCs/>
          <w:noProof/>
          <w:vertAlign w:val="superscript"/>
        </w:rPr>
        <w:t>20</w:t>
      </w:r>
      <w:r>
        <w:rPr>
          <w:b w:val="0"/>
          <w:bCs w:val="0"/>
          <w:iCs/>
        </w:rPr>
        <w:fldChar w:fldCharType="end"/>
      </w:r>
    </w:p>
    <w:p w14:paraId="2232E8CF" w14:textId="77777777" w:rsidR="005B655A" w:rsidRDefault="005B655A" w:rsidP="005B655A">
      <w:pPr>
        <w:spacing w:line="240" w:lineRule="auto"/>
        <w:contextualSpacing/>
        <w:jc w:val="both"/>
        <w:rPr>
          <w:szCs w:val="28"/>
        </w:rPr>
      </w:pPr>
    </w:p>
    <w:p w14:paraId="25B1985A" w14:textId="53955035" w:rsidR="00135AEF" w:rsidRDefault="00135AEF" w:rsidP="005B655A">
      <w:pPr>
        <w:ind w:firstLine="720"/>
        <w:contextualSpacing/>
        <w:jc w:val="both"/>
      </w:pPr>
      <w:r w:rsidRPr="008D43DB">
        <w:rPr>
          <w:szCs w:val="28"/>
        </w:rPr>
        <w:t xml:space="preserve">The disease cycle of </w:t>
      </w:r>
      <w:r>
        <w:t>CDI initiates when spores are ingested via contact with a contaminated source, often facilitated by the close quartered nature of healthcare and community settings (</w:t>
      </w:r>
      <w:r>
        <w:rPr>
          <w:b/>
        </w:rPr>
        <w:t>Figure 1.1</w:t>
      </w:r>
      <w:r>
        <w:t>).</w:t>
      </w:r>
      <w:r>
        <w:fldChar w:fldCharType="begin"/>
      </w:r>
      <w:r>
        <w:instrText>ADDIN F1000_CSL_CITATION&lt;~#@#~&gt;[{"First":false,"Last":false,"PMID":"1975332","abstract":"To assess the risk of acquiring Clostridium difficile diarrhoea or colitis in patients colonised with C difficile, rectal swabs taken weekly for 9 weeks from patients with long-term (at least 7 days) hospital stays on three wards were cultured for C difficile. 60 (21%) of 282 patients were culture-positive for C difficile during their hospital stay, of whom 51 were symptom-free faecal excretors. C difficile diarrhoea developed in the other 9 patients; 2 were culture-positive for C difficile and had diarrhoea at the time of first culture, and 7 had diarrhoea or pseudomembranous colitis after 1-6 previously negative weekly rectal cultures. All patients with diarrhoea were on one ward, but symptom-free, excretors were found on all wards. HindIII chromosomal restriction endonuclease analysis (REA) of the C difficile isolates revealed 18 distinct types. All isolates from the patients with diarrhoea were one of two nearly identical REA types, B or B2. 26 of the 29 total B/B2 isolates were from patients on the same ward, which points to a nosocomial outbreak. The symptom-free excretors were not at increased risk of subsequent clinical illness.","author":[{"family":"Johnson","given":"S"},{"family":"Clabots","given":"C R"},{"family":"Linn","given":"F V"},{"family":"Olson","given":"M M"},{"family":"Peterson","given":"L R"},{"family":"Gerding","given":"D N"}],"authorYearDisplayFormat":false,"citation-label":"5839601","container-title":"The Lancet","container-title-short":"Lancet","id":"5839601","invisible":false,"issue":"8707","issued":{"date-parts":[["1990","7","14"]]},"journalAbbreviation":"Lancet","page":"97-100","suppress-author":false,"title":"Nosocomial Clostridium difficile colonisation and disease.","type":"article-journal","volume":"336"},{"DOI":"10.1056/NEJM198901263200402","First":false,"Last":false,"PMID":"2911306","abstract":"We studied the acquisition and transmission of Clostridium difficile infection prospectively on a general medical ward by serially culturing rectal-swab specimens from 428 patients admitted over an 11-month period. Immunoblot typing was used to differentiate individual strains of C. difficile. Seven percent of the patients (29) had positive cultures at admission. Eighty-three (21 percent) of the 399 patients with negative cultures acquired C. difficile during their hospitalizations. Of these patients, 52 (63 percent) remained asymptomatic and 31 (37 percent) had diarrhea; none had colitis. Patient-to-patient transmission of C. difficile was evidenced by time-space clustering of incident cases with identical immunoblot types and by significantly more frequent and earlier acquisition of C. difficile among patients exposed to roommates with positive cultures. Of the hospital personnel caring for patients with positive cultures, 59 percent (20) had positive cultures for C. difficile from their hands. The hospital rooms occupied by symptomatic patients (49 percent) as well as those occupied by asymptomatic patients (29 percent) were frequently contaminated. Eighty-two percent of the infected cohort still had positive cultures at hospital discharge, and such patients were significantly more likely to be discharged to a long-term care facility. We conclude that nosocomial C. difficile infection, which was associated with diarrhea in about one third of cases, is frequently transmitted among hospitalized patients and that the organism is often present on the hands of hospital personnel caring for such patients. Effective preventive measures are needed to reduce nosocomial acquisition of C. difficile.","author":[{"family":"McFarland","given":"L V"},{"family":"Mulligan","given":"M E"},{"family":"Kwok","given":"R Y"},{"family":"Stamm","given":"W E"}],"authorYearDisplayFormat":false,"citation-label":"3932852","container-title":"The New England Journal of Medicine","container-title-short":"N. Engl. J. Med.","id":"3932852","invisible":false,"issue":"4","issued":{"date-parts":[["1989","1","26"]]},"journalAbbreviation":"N. Engl. J. Med.","page":"204-210","suppress-author":false,"title":"Nosocomial acquisition of Clostridium difficile infection.","type":"article-journal","volume":"320"}]</w:instrText>
      </w:r>
      <w:r>
        <w:fldChar w:fldCharType="separate"/>
      </w:r>
      <w:r w:rsidRPr="002B161E">
        <w:rPr>
          <w:noProof/>
          <w:vertAlign w:val="superscript"/>
        </w:rPr>
        <w:t>36,37</w:t>
      </w:r>
      <w:r>
        <w:fldChar w:fldCharType="end"/>
      </w:r>
      <w:r>
        <w:t xml:space="preserve"> Once ingested, spores pass into the stomach where </w:t>
      </w:r>
      <w:r>
        <w:lastRenderedPageBreak/>
        <w:t>the acidic environment dissolves the mother cell (the larger body that matures the forespore) and releases the enclosed spore. Upon activation of germination sensors, outgrowth occurs in the lower gastrointestinal tract where the environment is anoxygenic (</w:t>
      </w:r>
      <w:r>
        <w:rPr>
          <w:b/>
        </w:rPr>
        <w:t>Figure 1.2</w:t>
      </w:r>
      <w:r>
        <w:t>).</w:t>
      </w:r>
      <w:r>
        <w:fldChar w:fldCharType="begin"/>
      </w:r>
      <w:r>
        <w:instrText>ADDIN F1000_CSL_CITATION&lt;~#@#~&gt;[{"First":false,"Last":false,"PMCID":"PMC270959","PMID":"6630458","abstract":"Taurocholate, desoxycholate, and cholate stimulated germination of Clostridium difficile spores in broth medium and enhanced recovery of C. difficile spores on a selective agar medium. Desoxycholate and some crude taurocholate preparations also inhibited multiplication of vegetative cells. At a concentration of 1.2 X 10(-2) M, sodium cholate inhibited multiplication of vegetative cells, but at concentrations of 1.2 X 10(-3) to 2.4 X 10(-3) M, it stimulated germination without inhibiting cell multiplication. Thus, pure sodium taurocholate and sodium cholate may effectively be incorporated in cefoxitin-cycloserine-fructose agar, whereas some crude preparations of sodium taurocholate decrease recovery on this medium.","author":[{"family":"Wilson","given":"K H"}],"authorYearDisplayFormat":false,"citation-label":"3625801","container-title":"Journal of Clinical Microbiology","container-title-short":"J. Clin. Microbiol.","id":"3625801","invisible":false,"issue":"4","issued":{"date-parts":[["1983","10"]]},"journalAbbreviation":"J. Clin. Microbiol.","page":"1017-1019","suppress-author":false,"title":"Efficiency of various bile salt preparations for stimulation of Clostridium difficile spore germination.","type":"article-journal","volume":"18"},{"DOI":"10.1128/JB.01765-07","First":false,"Last":false,"PMCID":"PMC2293200","PMID":"18245298","abstract":"Spore formation by Clostridium difficile is a significant obstacle to overcoming hospital-acquired C. difficile-associated disease. Spores are resistant to heat, radiation, chemicals, and antibiotics, making a contaminated environment difficult to clean. To cause disease, however, spores must germinate and grow out as vegetative cells. The germination of C. difficile spores has not been examined in detail. In an effort to understand the germination of C. difficile spores, we characterized the response of C. difficile spores to bile. We found that cholate derivatives and the amino acid glycine act as cogerminants. Deoxycholate, a metabolite of cholate produced by the normal intestinal flora, also induced germination of C. difficile spores but prevented the growth of vegetative C. difficile. A model of resistance to C. difficile colonization mediated by the normal bacterial flora is proposed.","author":[{"family":"Sorg","given":"Joseph A"},{"family":"Sonenshein","given":"Abraham L"}],"authorYearDisplayFormat":false,"citation-label":"3049960","container-title":"Journal of Bacteriology","container-title-short":"J. Bacteriol.","id":"3049960","invisible":false,"issue":"7","issued":{"date-parts":[["2008","4"]]},"journalAbbreviation":"J. Bacteriol.","page":"2505-2512","suppress-author":false,"title":"Bile salts and glycine as cogerminants for Clostridium difficile spores.","type":"article-journal","volume":"190"}]</w:instrText>
      </w:r>
      <w:r>
        <w:fldChar w:fldCharType="separate"/>
      </w:r>
      <w:r w:rsidRPr="002B161E">
        <w:rPr>
          <w:noProof/>
          <w:vertAlign w:val="superscript"/>
        </w:rPr>
        <w:t>38,39</w:t>
      </w:r>
      <w:r>
        <w:fldChar w:fldCharType="end"/>
      </w:r>
      <w:r>
        <w:t xml:space="preserve"> In an asymptomatic infection, germination is largely inhibited by the low concentration of nutrients, and secreted metabolites from commensal bacteria.</w:t>
      </w:r>
      <w:r>
        <w:fldChar w:fldCharType="begin"/>
      </w:r>
      <w:r>
        <w:instrText>ADDIN F1000_CSL_CITATION&lt;~#@#~&gt;[{"DOI":"10.1128/JB.01209-09","First":false,"Last":false,"PMCID":"PMC2812441","PMID":"19933358","abstract":"Clostridium difficile is the major cause of infectious diarrhea and a major burden to health care services. The ability of this organism to form endospores plays a pivotal role in infection and disease transmission. Spores are highly resistant to many forms of disinfection and thus are able to persist on hospital surfaces and disseminate infection. In order to cause disease, the spores must germinate and the organism must grow vegetatively. Spore germination in Bacillus is well understood, and genes important for this process have recently been identified in Clostridium perfringens; however, little is known about C. difficile. Apparent homologues of the spore cortex lytic enzyme genes cwlJ and sleB (Bacillus subtilis) and sleC (C. perfringens) are present in the C. difficile genome, and we describe inactivation of these homologues in C. difficile 630Delta erm and a B1/NAP1/027 clinical isolate. Spores of a sleC mutant were unable to form colonies when germination was induced with taurocholate, although decoated sleC spores formed the same number of heat-resistant colonies as the parental control, even in the absence of germinants. This suggests that sleC is absolutely required for conversion of spores to vegetative cells, in contrast to CD3563 (a cwlJ/sleB homologue), inactivation of which had no effect on germination and outgrowth of C. difficile spores under the same conditions. The B1/NAP1/027 strain R20291 was found to sporulate more slowly and produce fewer spores than 630Delta erm. Furthermore, fewer R20291 spores germinated, indicating that there are differences in both sporulation and germination between these epidemic and nonepidemic C. difficile isolates.","author":[{"family":"Burns","given":"David A"},{"family":"Heap","given":"John T"},{"family":"Minton","given":"Nigel P"}],"authorYearDisplayFormat":false,"citation-label":"735306","container-title":"Journal of Bacteriology","container-title-short":"J. Bacteriol.","id":"735306","invisible":false,"issue":"3","issued":{"date-parts":[["2010","2"]]},"journalAbbreviation":"J. Bacteriol.","page":"657-664","suppress-author":false,"title":"SleC is essential for germination of Clostridium difficile spores in nutrient-rich medium supplemented with the bile salt taurocholate.","type":"article-journal","volume":"192"},{"DOI":"10.1016/j.tim.2014.04.003","First":false,"Last":false,"PMCID":"PMC4098856","PMID":"24814671","abstract":"Clostridium difficile is a Gram-positive, spore-forming obligate anaerobe and a major nosocomial pathogen of worldwide concern. Owing to its strict anaerobic requirements, the infectious and transmissible morphotype is the dormant spore. In susceptible patients, C. difficile spores germinate in the colon to form the vegetative cells that initiate Clostridium difficile infections (CDI). During CDI, C. difficile induces a sporulation pathway that produces more spores; these spores are responsible for the persistence of C. difficile in patients and horizontal transmission between hospitalized patients. Although important to the C. difficile lifecycle, the C. difficile spore proteome is poorly conserved when compared to members of the Bacillus genus. Further, recent studies have revealed significant differences between C. difficile and Bacillus subtilis at the level of sporulation, germination, and spore coat and exosporium morphogenesis. In this review, the regulation of the sporulation and germination pathways and the morphogenesis of the spore coat and exosporium will be discussed. &lt;br&gt;&lt;br&gt;Copyright © 2014 Elsevier Ltd. All rights reserved.","author":[{"family":"Paredes-Sabja","given":"Daniel"},{"family":"Shen","given":"Aimee"},{"family":"Sorg","given":"Joseph A"}],"authorYearDisplayFormat":false,"citation-label":"6690180","container-title":"Trends in Microbiology","container-title-short":"Trends Microbiol.","id":"6690180","invisible":false,"issue":"7","issued":{"date-parts":[["2014","7"]]},"journalAbbreviation":"Trends Microbiol.","page":"406-416","suppress-author":false,"title":"Clostridium difficile spore biology: sporulation, germination, and spore structural proteins.","type":"article-journal","volume":"22"}]</w:instrText>
      </w:r>
      <w:r>
        <w:fldChar w:fldCharType="separate"/>
      </w:r>
      <w:r w:rsidRPr="002B161E">
        <w:rPr>
          <w:noProof/>
          <w:vertAlign w:val="superscript"/>
        </w:rPr>
        <w:t>40,41</w:t>
      </w:r>
      <w:r>
        <w:fldChar w:fldCharType="end"/>
      </w:r>
      <w:r>
        <w:t xml:space="preserve"> Lack of a host-defense response may also inhibit germination, as evidence suggests </w:t>
      </w:r>
      <w:r w:rsidR="00AB3480" w:rsidRPr="00AB3480">
        <w:rPr>
          <w:i/>
        </w:rPr>
        <w:t>C. difficile</w:t>
      </w:r>
      <w:r>
        <w:t xml:space="preserve"> senses the human antimicrobial peptide LL-37 via the transcriptional regulator ClnR to globally regulate toxin production and sporulation.</w:t>
      </w:r>
      <w:r>
        <w:fldChar w:fldCharType="begin"/>
      </w:r>
      <w:r>
        <w:instrText>ADDIN F1000_CSL_CITATION&lt;~#@#~&gt;[{"DOI":"10.1128/IAI.02323-14","First":false,"Last":false,"PMCID":"PMC4187847","PMID":"25069979","abstract":"The anaerobic gastrointestinal pathogen Clostridium difficile must form a metabolically dormant spore to survive in oxygenic environments and be transmitted from host to host. The regulatory factors by which C. difficile initiates and controls the early stages of sporulation in C. difficile are not highly conserved in other Clostridium or Bacillus species. Here, we investigated the role of two conserved oligopeptide permeases, Opp and App, in the regulation of sporulation in C. difficile. These permeases are known to positively affect sporulation in Bacillus species through the import of sporulation-specific quorum-sensing peptides. In contrast to other spore-forming bacteria, we discovered that inactivating these permeases in C. difficile resulted in the earlier expression of early sporulation genes and increased sporulation in vitro. Furthermore, disruption of opp and app resulted in greater virulence and increased the amounts of spores recovered from feces in the hamster model of C. difficile infection. Our data suggest that Opp and App indirectly inhibit sporulation, likely through the activities of the transcriptional regulator SinR and its inhibitor, SinI. Taken together, these results indicate that the Opp and App transporters serve a different function in controlling sporulation and virulence in C. difficile than in Bacillus subtilis and suggest that nutrient availability plays a significant role in pathogenesis and sporulation in vivo. This study suggests a link between the nutritional status of the environment and sporulation initiation in C. difficile. &lt;br&gt;&lt;br&gt;Copyright © 2014, American Society for Microbiology. All Rights Reserved.","author":[{"family":"Edwards","given":"Adrianne N"},{"family":"Nawrocki","given":"Kathryn L"},{"family":"McBride","given":"Shonna M"}],"authorYearDisplayFormat":false,"citation-label":"5963097","container-title":"Infection and Immunity","container-title-short":"Infect. Immun.","id":"5963097","invisible":false,"issue":"10","issued":{"date-parts":[["2014","10"]]},"journalAbbreviation":"Infect. Immun.","page":"4276-4291","suppress-author":false,"title":"Conserved oligopeptide permeases modulate sporulation initiation in Clostridium difficile.","type":"article-journal","volume":"82"},{"DOI":"10.1371/journal.ppat.1007153","First":false,"Last":false,"PMCID":"PMC6117091","PMID":"30125334","abstract":"To cause disease, Clostridioides (Clostridium) difficile must resist killing by innate immune effectors in the intestine, including the host antimicrobial peptide, cathelicidin (LL-37). The mechanisms that enable C. difficile to adapt to the intestine in the presence of antimicrobial peptides are unknown. Expression analyses revealed an operon, CD630_16170-CD630_16190 (clnRAB), which is highly induced by LL-37 and is not expressed in response to other cell-surface active antimicrobials. This operon encodes a predicted transcriptional regulator (ClnR) and an ABC transporter system (ClnAB), all of which are required for function. Analyses of a clnR mutant indicate that ClnR is a pleiotropic regulator that directly binds to LL-37 and controls expression of numerous genes, including many involved in metabolism, cellular transport, signaling, gene regulation, and pathogenesis. The data suggest that ClnRAB is a novel regulatory mechanism that senses LL-37 as a host signal and regulates gene expression to adapt to the host intestinal environment during infection.","author":[{"family":"Woods","given":"Emily C"},{"family":"Edwards","given":"Adrianne N"},{"family":"Childress","given":"Kevin O"},{"family":"Jones","given":"Joshua B"},{"family":"McBride","given":"Shonna M"}],"authorYearDisplayFormat":false,"citation-label":"5918065","container-title":"PLoS Pathogens","container-title-short":"PLoS Pathog.","id":"5918065","invisible":false,"issue":"8","issued":{"date-parts":[["2018","8","20"]]},"journalAbbreviation":"PLoS Pathog.","page":"e1007153","suppress-author":false,"title":"The C. difficile clnRAB operon initiates adaptations to the host environment in response to LL-37.","type":"article-journal","volume":"14"}]</w:instrText>
      </w:r>
      <w:r>
        <w:fldChar w:fldCharType="separate"/>
      </w:r>
      <w:r w:rsidRPr="002B161E">
        <w:rPr>
          <w:noProof/>
          <w:vertAlign w:val="superscript"/>
        </w:rPr>
        <w:t>25,42</w:t>
      </w:r>
      <w:r>
        <w:fldChar w:fldCharType="end"/>
      </w:r>
      <w:r>
        <w:t xml:space="preserve"> In this manner, asymptomatic carriers shed spores in stool over 1-3 weeks.</w:t>
      </w:r>
      <w:r>
        <w:fldChar w:fldCharType="begin"/>
      </w:r>
      <w:r>
        <w:instrText>ADDIN F1000_CSL_CITATION&lt;~#@#~&gt;[{"DOI":"10.1016/j.tim.2014.04.003","First":false,"Last":false,"PMCID":"PMC4098856","PMID":"24814671","abstract":"Clostridium difficile is a Gram-positive, spore-forming obligate anaerobe and a major nosocomial pathogen of worldwide concern. Owing to its strict anaerobic requirements, the infectious and transmissible morphotype is the dormant spore. In susceptible patients, C. difficile spores germinate in the colon to form the vegetative cells that initiate Clostridium difficile infections (CDI). During CDI, C. difficile induces a sporulation pathway that produces more spores; these spores are responsible for the persistence of C. difficile in patients and horizontal transmission between hospitalized patients. Although important to the C. difficile lifecycle, the C. difficile spore proteome is poorly conserved when compared to members of the Bacillus genus. Further, recent studies have revealed significant differences between C. difficile and Bacillus subtilis at the level of sporulation, germination, and spore coat and exosporium morphogenesis. In this review, the regulation of the sporulation and germination pathways and the morphogenesis of the spore coat and exosporium will be discussed. &lt;br&gt;&lt;br&gt;Copyright © 2014 Elsevier Ltd. All rights reserved.","author":[{"family":"Paredes-Sabja","given":"Daniel"},{"family":"Shen","given":"Aimee"},{"family":"Sorg","given":"Joseph A"}],"authorYearDisplayFormat":false,"citation-label":"6681412","container-title":"Trends in Microbiology","container-title-short":"Trends Microbiol.","id":"6681412","invisible":false,"issue":"7","issued":{"date-parts":[["2014","7"]]},"journalAbbreviation":"Trends Microbiol.","page":"406-416","suppress-author":false,"title":"Clostridium difficile spore biology: sporulation, germination, and spore structural proteins.","type":"article-journal","volume":"22"}]</w:instrText>
      </w:r>
      <w:r>
        <w:fldChar w:fldCharType="separate"/>
      </w:r>
      <w:r w:rsidRPr="002B161E">
        <w:rPr>
          <w:noProof/>
          <w:vertAlign w:val="superscript"/>
        </w:rPr>
        <w:t>43</w:t>
      </w:r>
      <w:r>
        <w:fldChar w:fldCharType="end"/>
      </w:r>
      <w:r>
        <w:t xml:space="preserve"> </w:t>
      </w:r>
      <w:r>
        <w:rPr>
          <w:iCs/>
        </w:rPr>
        <w:t xml:space="preserve">In this transient model of infection </w:t>
      </w:r>
      <w:r w:rsidR="00AB3480" w:rsidRPr="00AB3480">
        <w:rPr>
          <w:i/>
          <w:iCs/>
        </w:rPr>
        <w:t>C. difficile</w:t>
      </w:r>
      <w:r>
        <w:rPr>
          <w:i/>
          <w:iCs/>
        </w:rPr>
        <w:t xml:space="preserve"> </w:t>
      </w:r>
      <w:r>
        <w:rPr>
          <w:iCs/>
        </w:rPr>
        <w:t>is not considered pathogenic, because host colonic flora has not been disrupted by antibiotic intervention.</w:t>
      </w:r>
      <w:r>
        <w:rPr>
          <w:iCs/>
        </w:rPr>
        <w:fldChar w:fldCharType="begin"/>
      </w:r>
      <w:r>
        <w:rPr>
          <w:iCs/>
        </w:rPr>
        <w:instrText>ADDIN F1000_CSL_CITATION&lt;~#@#~&gt;[{"First":false,"Last":false,"PMID":"10602670","abstract":"Clostridium difficile is now established as a major nosocomial pathogen. C. difficile infection is seen almost exclusively as a complication of antibiotic therapy, and is particularly associated with clindamycin and third-generation cephalosporins. Depletion of the indigenous gut microflora by antibiotic therapy has long been established as a major factor in the disease. However, the direct influence of antimicrobials upon virulence mechanisms such as toxin production and adhesion in the bowel, and the exact mechanisms by which the organism causes disease remain to be elucidated.","author":[{"family":"Freeman","given":"J"},{"family":"Wilcox","given":"M H"}],"authorYearDisplayFormat":false,"citation-label":"6681415","container-title":"Microbes and Infection","container-title-short":"Microbes Infect.","id":"6681415","invisible":false,"issue":"5","issued":{"date-parts":[["1999","4"]]},"journalAbbreviation":"Microbes Infect.","page":"377-384","suppress-author":false,"title":"Antibiotics and Clostridium difficile.","type":"article-journal","volume":"1"}]</w:instrText>
      </w:r>
      <w:r>
        <w:rPr>
          <w:iCs/>
        </w:rPr>
        <w:fldChar w:fldCharType="separate"/>
      </w:r>
      <w:r w:rsidRPr="002B161E">
        <w:rPr>
          <w:iCs/>
          <w:noProof/>
          <w:vertAlign w:val="superscript"/>
        </w:rPr>
        <w:t>44</w:t>
      </w:r>
      <w:r>
        <w:rPr>
          <w:iCs/>
        </w:rPr>
        <w:fldChar w:fldCharType="end"/>
      </w:r>
      <w:r>
        <w:rPr>
          <w:iCs/>
        </w:rPr>
        <w:t xml:space="preserve"> </w:t>
      </w:r>
    </w:p>
    <w:p w14:paraId="292E8698" w14:textId="77777777" w:rsidR="00135AEF" w:rsidRDefault="00135AEF" w:rsidP="00135AEF">
      <w:pPr>
        <w:keepNext/>
        <w:jc w:val="both"/>
      </w:pPr>
      <w:r w:rsidRPr="00F9529F">
        <w:rPr>
          <w:noProof/>
          <w:lang w:eastAsia="zh-CN" w:bidi="ar-SA"/>
        </w:rPr>
        <w:drawing>
          <wp:inline distT="0" distB="0" distL="0" distR="0" wp14:anchorId="0919A168" wp14:editId="3751CAFA">
            <wp:extent cx="5400040" cy="2087245"/>
            <wp:effectExtent l="0" t="0" r="0" b="0"/>
            <wp:docPr id="2" name="Picture 2" descr="PicturesForThesis/Fig1-3_CDIcycl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icturesForThesis/Fig1-3_CDIcycle.png"/>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00040" cy="2087245"/>
                    </a:xfrm>
                    <a:prstGeom prst="rect">
                      <a:avLst/>
                    </a:prstGeom>
                    <a:noFill/>
                    <a:ln>
                      <a:noFill/>
                    </a:ln>
                  </pic:spPr>
                </pic:pic>
              </a:graphicData>
            </a:graphic>
          </wp:inline>
        </w:drawing>
      </w:r>
    </w:p>
    <w:p w14:paraId="78EE3D26" w14:textId="2512726A" w:rsidR="00135AEF" w:rsidRDefault="00135AEF" w:rsidP="00135AEF">
      <w:pPr>
        <w:pStyle w:val="Caption"/>
        <w:jc w:val="both"/>
      </w:pPr>
      <w:bookmarkStart w:id="15" w:name="_Toc5807394"/>
      <w:r>
        <w:t>Figure 1.</w:t>
      </w:r>
      <w:r>
        <w:rPr>
          <w:noProof/>
        </w:rPr>
        <w:fldChar w:fldCharType="begin"/>
      </w:r>
      <w:r>
        <w:rPr>
          <w:noProof/>
        </w:rPr>
        <w:instrText xml:space="preserve"> SEQ Figure \* ARABIC </w:instrText>
      </w:r>
      <w:r>
        <w:rPr>
          <w:noProof/>
        </w:rPr>
        <w:fldChar w:fldCharType="separate"/>
      </w:r>
      <w:r w:rsidR="0032380F">
        <w:rPr>
          <w:noProof/>
        </w:rPr>
        <w:t>2</w:t>
      </w:r>
      <w:r>
        <w:rPr>
          <w:noProof/>
        </w:rPr>
        <w:fldChar w:fldCharType="end"/>
      </w:r>
      <w:r>
        <w:t xml:space="preserve"> Stages of CDI Disease Progression</w:t>
      </w:r>
      <w:bookmarkEnd w:id="15"/>
      <w:r>
        <w:t xml:space="preserve"> </w:t>
      </w:r>
    </w:p>
    <w:p w14:paraId="2779D5D9" w14:textId="7B909FF7" w:rsidR="003F1CCD" w:rsidRDefault="00135AEF" w:rsidP="00D05A42">
      <w:pPr>
        <w:pStyle w:val="Caption"/>
        <w:contextualSpacing/>
        <w:jc w:val="both"/>
        <w:rPr>
          <w:b w:val="0"/>
          <w:bCs w:val="0"/>
        </w:rPr>
      </w:pPr>
      <w:r>
        <w:rPr>
          <w:b w:val="0"/>
          <w:bCs w:val="0"/>
        </w:rPr>
        <w:t xml:space="preserve">Shown on the left are the stages of CDI disease progression beginning with (A) the ingestion of </w:t>
      </w:r>
      <w:r w:rsidR="00AB3480" w:rsidRPr="00AB3480">
        <w:rPr>
          <w:b w:val="0"/>
          <w:bCs w:val="0"/>
          <w:i/>
          <w:iCs/>
        </w:rPr>
        <w:t>C. difficile</w:t>
      </w:r>
      <w:r>
        <w:rPr>
          <w:b w:val="0"/>
          <w:bCs w:val="0"/>
        </w:rPr>
        <w:t xml:space="preserve"> spores. Spores then move from the stomach to the small intestine (B) and migrate through the small intestine (C) before germinating in the large intestine (D). Germinating </w:t>
      </w:r>
      <w:r w:rsidR="00AB3480" w:rsidRPr="00AB3480">
        <w:rPr>
          <w:b w:val="0"/>
          <w:bCs w:val="0"/>
          <w:i/>
          <w:iCs/>
        </w:rPr>
        <w:t>C. difficile</w:t>
      </w:r>
      <w:r>
        <w:rPr>
          <w:b w:val="0"/>
          <w:bCs w:val="0"/>
        </w:rPr>
        <w:t xml:space="preserve"> spores release toxins in the colon (E) during outgrowth, before new spores are made (F), which are shed in fecal matter allowing transmission and/or re-infection of the host. The image on the right shows the individual stages leading to, and during the disease state of CDI. Image was adapted and modified</w:t>
      </w:r>
      <w:r w:rsidR="00D05A42">
        <w:rPr>
          <w:b w:val="0"/>
          <w:bCs w:val="0"/>
        </w:rPr>
        <w:t xml:space="preserve"> from </w:t>
      </w:r>
      <w:r w:rsidR="00D05A42" w:rsidRPr="00D05A42">
        <w:rPr>
          <w:b w:val="0"/>
          <w:noProof/>
        </w:rPr>
        <w:t>Breitrück</w:t>
      </w:r>
      <w:r w:rsidR="00D05A42">
        <w:rPr>
          <w:b w:val="0"/>
          <w:noProof/>
        </w:rPr>
        <w:t xml:space="preserve"> </w:t>
      </w:r>
      <w:r w:rsidR="00D05A42">
        <w:rPr>
          <w:b w:val="0"/>
          <w:i/>
          <w:noProof/>
        </w:rPr>
        <w:t>et al</w:t>
      </w:r>
      <w:r>
        <w:rPr>
          <w:b w:val="0"/>
          <w:bCs w:val="0"/>
        </w:rPr>
        <w:t>.</w:t>
      </w:r>
      <w:r>
        <w:rPr>
          <w:b w:val="0"/>
          <w:bCs w:val="0"/>
        </w:rPr>
        <w:fldChar w:fldCharType="begin"/>
      </w:r>
      <w:r>
        <w:rPr>
          <w:b w:val="0"/>
          <w:bCs w:val="0"/>
        </w:rPr>
        <w:instrText>ADDIN F1000_CSL_CITATION&lt;~#@#~&gt;[{"DOI":"10.3389/fmicb.2018.00646","First":false,"Last":false,"PMCID":"PMC5902504","PMID":"29692762","abstract":"Clostridium difficile is the most frequent cause of nosocomial antibiotic-associated diarrhea. The incidence of C. difficile infection (CDI) has been rising worldwide with subsequent increases in morbidity, mortality, and health care costs. Asymptomatic colonization with C. difficile is common and a high prevalence has been found in specific cohorts, e.g., hospitalized patients, adults in nursing homes and in infants. However, the risk of infection with C. difficile differs significantly between these cohorts. While CDI is a clear indication for therapy, colonization with C. difficile is not believed to be a direct precursor for CDI and therefore does not require treatment. Antibiotic therapy causes alterations of the intestinal microbial composition, enabling C. difficile colonization and consecutive toxin production leading to disruption of the colonic epithelial cells. Clinical symptoms of CDI range from mild diarrhea to potentially life-threatening conditions like pseudomembranous colitis or toxic megacolon. While antibiotics are still the treatment of choice for CDI, new therapies have emerged in recent years such as antibodies against C. difficile toxin B and fecal microbial transfer (FMT). This specific therapy for CDI underscores the role of the indigenous bacterial composition in the prevention of the disease in healthy individuals and its role in the pathogenesis after alteration by antibiotic treatment. In addition to the pathogenesis of CDI, this review focuses on the colonization of C. difficile in the human gut and factors promoting CDI.","author":[{"family":"Schäffler","given":"Holger"},{"family":"Breitrück","given":"Anne"}],"authorYearDisplayFormat":false,"citation-label":"5178116","container-title":"Frontiers in microbiology","container-title-short":"Front. Microbiol.","id":"5178116","invisible":false,"issued":{"date-parts":[["2018","4","10"]]},"journalAbbreviation":"Front. Microbiol.","page":"646","suppress-author":false,"title":"Clostridium difficile - From Colonization to Infection.","type":"article-journal","volume":"9"}]</w:instrText>
      </w:r>
      <w:r>
        <w:rPr>
          <w:b w:val="0"/>
          <w:bCs w:val="0"/>
        </w:rPr>
        <w:fldChar w:fldCharType="separate"/>
      </w:r>
      <w:r w:rsidRPr="002B161E">
        <w:rPr>
          <w:b w:val="0"/>
          <w:bCs w:val="0"/>
          <w:noProof/>
          <w:vertAlign w:val="superscript"/>
        </w:rPr>
        <w:t>45</w:t>
      </w:r>
      <w:r>
        <w:rPr>
          <w:b w:val="0"/>
          <w:bCs w:val="0"/>
        </w:rPr>
        <w:fldChar w:fldCharType="end"/>
      </w:r>
    </w:p>
    <w:p w14:paraId="7C376B88" w14:textId="77777777" w:rsidR="00D05A42" w:rsidRPr="00D05A42" w:rsidRDefault="00D05A42" w:rsidP="00D05A42"/>
    <w:p w14:paraId="29B97E4E" w14:textId="39D0BEAC" w:rsidR="00135AEF" w:rsidRDefault="00135AEF" w:rsidP="00135AEF">
      <w:pPr>
        <w:ind w:firstLine="720"/>
        <w:jc w:val="both"/>
      </w:pPr>
      <w:r>
        <w:lastRenderedPageBreak/>
        <w:t>In a symptomatic infection, the disease state is proportional to the amount of toxin produced and secreted, which will be more severe with a hypervirulent CDI.</w:t>
      </w:r>
      <w:r>
        <w:fldChar w:fldCharType="begin"/>
      </w:r>
      <w:r>
        <w:instrText>ADDIN F1000_CSL_CITATION&lt;~#@#~&gt;[{"DOI":"10.1016/S0140-6736(05)67420-X","First":false,"Last":false,"PMID":"16182895","abstract":"&lt;strong&gt;BACKGROUND:&lt;/strong&gt; Toxins A and B are the primary virulence factors of Clostridium difficile. Since 2002, an epidemic of C difficile-associated disease with increased morbidity and mortality has been present in Quebec province, Canada. We characterised the dominant strain of this epidemic to determine whether it produces higher amounts of toxins A and B than those produced by non-epidemic strains.&lt;br&gt;&lt;br&gt;&lt;strong&gt;METHODS:&lt;/strong&gt; We obtained isolates from 124 patients from Centre Hospitalier Universitaire de Sherbrooke in Quebec. Additional isolates from the USA, Canada, and the UK were included to increase the genetic diversity of the toxinotypes tested. Isolate characterisation included toxinotyping, pulsed-field gel electrophoresis (PFGE), PCR ribotyping, detection of a binary toxin gene, and detection of deletions in a putative negative regulator for toxins A and B (tcdC). By use of an enzyme-linked immunoassay, we measured the in-vitro production of toxins A and B by epidemic strain and non-dominant strain isolates.&lt;br&gt;&lt;br&gt;&lt;strong&gt;FINDINGS:&lt;/strong&gt; The epidemic strain was characterised as toxinotype III, North American PFGE type 1, and PCR-ribotype 027 (NAP1/027). This strain carried the binary toxin gene cdtB and an 18-bp deletion in tcdC. We isolated this strain from 72 patients with C difficile-associated disease (58 [67%] of 86 with health-care-associated disease; 14 [37%] of 38 with community-acquired disease). Peak median (IQR) toxin A and toxin B concentrations produced in vitro by NAP1/027 were 16 and 23 times higher, respectively, than those measured in isolates representing 12 different PFGE types, known as toxinotype 0 (toxin A, median 848 microg/L [IQR 504-1022] vs 54 microg/L [23-203]; toxin B, 180 microg/L [137-210] vs 8 microg/L [5-25]; p&lt; 0.0001 for both toxins).&lt;br&gt;&lt;br&gt;&lt;strong&gt;INTERPRETATION:&lt;/strong&gt; The severity of C difficile-associated disease caused by NAP1/027 could result from hyperproduction of toxins A and B. Dissemination of this strain in North America and Europe could lead to important changes in the epidemiology of C difficile-associated disease.","author":[{"family":"Warny","given":"Michel"},{"family":"Pepin","given":"Jacques"},{"family":"Fang","given":"Aiqi"},{"family":"Killgore","given":"George"},{"family":"Thompson","given":"Angela"},{"family":"Brazier","given":"Jon"},{"family":"Frost","given":"Eric"},{"family":"McDonald","given":"L Clifford"}],"authorYearDisplayFormat":false,"citation-label":"3168673","container-title":"The Lancet","container-title-short":"Lancet","id":"3168673","invisible":false,"issue":"9491","issued":{"date-parts":[["2005","9","30"]]},"journalAbbreviation":"Lancet","page":"1079-1084","suppress-author":false,"title":"Toxin production by an emerging strain of Clostridium difficile associated with outbreaks of severe disease in North America and Europe.","type":"article-journal","volume":"366"},{"DOI":"10.1128/JCM.44.2.353-358.2006","First":false,"Last":false,"PMCID":"PMC1392646","PMID":"16455883","abstract":"We investigated in vivo and in vitro yields of toxins A and B from and PCR ribotypes of Clostridium difficile isolates from 164 patients with differing severities of C. difficile-associated diarrhea (CDAD) (patients were grouped as follows: &lt; 3 loose stools per day, n = 45; 3 to 10 per day, n = 97; &gt;10 per day, n = 22). The median fecal toxin levels in each group were 0.5, 6.8, and 149 U/g feces (P &lt;  0.001), respectively. Patients with severe diarrhea also had more-frequent occurrence of blood in stool and vomiting, but there was no association with fecal toxin levels per se. There was no correlation between fecal toxin level and toxin yield in vitro for the corresponding C. difficile isolate or between its PCR ribotype and disease severity. A broad range of toxin yields among isolates belonging to major PCR ribotypes indicated a presence of many subtypes. We hypothesize that bacterial and host factors that affect C. difficile toxin levels in feces are important determinants of symptoms in CDAD patients. An inverse correlation between toxin yield and spore count (r = 0.66) in stationary-phase cultures supported the notion that toxin production and sporulation represent opposite alternative survival strategies for C. difficile cells facing nutrient shortage.","author":[{"family":"Akerlund","given":"Thomas"},{"family":"Svenungsson","given":"Bo"},{"family":"Lagergren","given":"Asa"},{"family":"Burman","given":"Lars G"}],"authorYearDisplayFormat":false,"citation-label":"6690093","container-title":"Journal of Clinical Microbiology","container-title-short":"J. Clin. Microbiol.","id":"6690093","invisible":false,"issue":"2","issued":{"date-parts":[["2006","2"]]},"journalAbbreviation":"J. Clin. Microbiol.","page":"353-358","suppress-author":false,"title":"Correlation of disease severity with fecal toxin levels in patients with Clostridium difficile-associated diarrhea and distribution of PCR ribotypes and toxin yields in vitro of corresponding isolates.","type":"article-journal","volume":"44"}]</w:instrText>
      </w:r>
      <w:r>
        <w:fldChar w:fldCharType="separate"/>
      </w:r>
      <w:r w:rsidRPr="002B161E">
        <w:rPr>
          <w:noProof/>
          <w:vertAlign w:val="superscript"/>
        </w:rPr>
        <w:t>14,46</w:t>
      </w:r>
      <w:r>
        <w:fldChar w:fldCharType="end"/>
      </w:r>
      <w:r>
        <w:t xml:space="preserve"> Toxin production and sporulation are heavily influenced by nutrient availability and carbon catabolite repression.</w:t>
      </w:r>
      <w:r>
        <w:fldChar w:fldCharType="begin"/>
      </w:r>
      <w:r>
        <w:instrText>ADDIN F1000_CSL_CITATION&lt;~#@#~&gt;[{"DOI":"10.1128/CMR.18.2.247-263.2005","First":false,"Last":false,"PMCID":"PMC1082799","PMID":"15831824","abstract":"As the leading cause of hospital-acquired diarrhea, Clostridium difficile colonizes the large bowel of patients undergoing antibiotic therapy and produces two toxins, which cause notable disease pathologies. These two toxins, TcdA and TcdB, are encoded on a pathogenicity locus along with negative and positive regulators of their expression. Following expression and release from the bacterium, TcdA and TcdB translocate to the cytosol of target cells and inactivate small GTP-binding proteins, which include Rho, Rac, and Cdc42. Inactivation of these substrates occurs through monoglucosylation of a single reactive threonine, which lies within the effector-binding loop and coordinates a divalent cation critical to binding GTP. By glucosylating small GTPases, TcdA and TcdB cause actin condensation and cell rounding, which is followed by death of the cell. TcdA elicits effects primarily within the intestinal epithelium, while TcdB has a broader cell tropism. Important advances in the study of these toxins have been made in the past 15 years, and these are detailed in this review. The domains, subdomains, and residues of these toxins important for receptor binding and enzymatic activity have been elegantly studied and are highlighted herein. Furthermore, there have been major advances in defining the role of these toxins in modulating the inflammatory events involving the disruption of cell junctions, neuronal activation, cytokine production, and infiltration by polymorphonuclear cells. Collectively, the present review provides a comprehensive update on TcdA and TcdB's mechanism of action as well as the role of these toxins in disease.","author":[{"family":"Voth","given":"Daniel E"},{"family":"Ballard","given":"Jimmy D"}],"authorYearDisplayFormat":false,"citation-label":"2124272","container-title":"Clinical Microbiology Reviews","container-title-short":"Clin. Microbiol. Rev.","id":"2124272","invisible":false,"issue":"2","issued":{"date-parts":[["2005","4"]]},"journalAbbreviation":"Clin. Microbiol. Rev.","page":"247-263","suppress-author":false,"title":"Clostridium difficile toxins: mechanism of action and role in disease.","type":"article-journal","volume":"18"},{"First":false,"Last":false,"PMID":"9466260","abstract":"The Clostridium difficile toxA and toxB genes, encoding cytotoxic and enterotoxic proteins responsible for antibiotic-associated colitis and pseudomembranous colitis, were shown to be transcribed both from gene-specific promoters and from promoters of upstream genes. However, the gene-specific transcripts represented the majority of tox gene mRNAs. The 5' ends of these mRNAs were shown to correspond to DNA sequences that had promoter activity when fused to the Escherichia coli beta-glucuronidase (gusA) gene and introduced into C. perfringens. The appearance of tox mRNA in C. difficile was repressed during exponential growth phase but increased substantially as cells entered stationary phase. When glucose or other rapidly metabolizable sugars were present in the medium, the stationary phase-associated induction was inhibited, indicating that the toxin genes are subject to a form of catabolite repression. This glucose effect was general to many toxinogenic strains having varying levels of toxin production.","author":[{"family":"Dupuy","given":"B"},{"family":"Sonenshein","given":"A L"}],"authorYearDisplayFormat":false,"citation-label":"6678225","container-title":"Molecular Microbiology","container-title-short":"Mol. Microbiol.","id":"6678225","invisible":false,"issue":"1","issued":{"date-parts":[["1998","1"]]},"journalAbbreviation":"Mol. Microbiol.","page":"107-120","suppress-author":false,"title":"Regulated transcription of Clostridium difficile toxin genes.","type":"article-journal","volume":"27"},{"First":false,"Last":false,"PMID":"9108241","abstract":"To analyse the transcription pattern of the five tcdA-E genes of the pathogenicity locus (PaLoc) of Clostridium difficile a protocol was established to purify RNA from strain VPI10463. Transcription analysis of the five tcdA-E genes showed that they were all transcribed. In the early exponential phase, a high level of tcdC and low levels of tcdA,B,D,E transcripts were detectable; this was inverted in the stationary phase, suggesting that TcdC might have a negative influence on transcription of the other genes. Three transcription initiation sites, one for tcdA and two for tcdB were determined by primer extension analysis. Readthrough transcripts from outside the locus were not obtainable, so that parts of the transcription of tcdD, tcdB, tcdA and tcdC must occur by monocistronic transcription. Within the locus all possible intergenic readthrough transcripts were detectable except that between tcdC and tcdA, a stretch of DNA interrupted by a functional transcription terminator. Thus we found mono- and polycistronic transcription of tcdA and tcdB to occur which should lead to production of a surplus of tcdA over tcdB transcripts. This would explain the surplus of TcdA over TcdB expression observed in vitro. Due to its basic nature and similarity to BcnA of Clostridium perfringens and to Orf-22 of Clostridium botulinum, TcdD is most probably a regulatory protein with DNA-binding properties. On the basis of the presented study we discuss a model for the growth-phase-related, coordinate regulation of toxin expression wherein tcdC has a negative and tcdD a positive regulatory function on transcription of the tcdD,B,E and tcdA genes.","author":[{"family":"Hundsberger","given":"T"},{"family":"Braun","given":"V"},{"family":"Weidmann","given":"M"},{"family":"Leukel","given":"P"},{"family":"Sauerborn","given":"M"},{"family":"von Eichel-Streiber","given":"C"}],"authorYearDisplayFormat":false,"citation-label":"3092309","container-title":"European Journal of Biochemistry / FEBS","container-title-short":"Eur. J. Biochem.","id":"3092309","invisible":false,"issue":"3","issued":{"date-parts":[["1997","3","15"]]},"journalAbbreviation":"Eur. J. Biochem.","page":"735-742","suppress-author":false,"title":"Transcription analysis of the genes tcdA-E of the pathogenicity locus of Clostridium difficile.","type":"article-journal","volume":"244"},{"DOI":"10.1099/mic.0.2008/019778-0","First":false,"Last":false,"PMID":"18957596","abstract":"Certain amino acids, and cysteine in particular, promptly blocked toxin expression in Clostridium difficile strain VPI 10463 when added to late-exponential-phase peptone-yeast cultures, i.e. prior to normal induction of toxins A and B. Glucose reduced toxin yields by 80-fold, but only when supplemented at inoculation. Forty upregulated C. difficile proteins were identified during maximum toxin expression, and most of these were enzymes involved in energy exchange, e.g. succinate, CO/folate and butyrate metabolism. Transcription of tcdA (toxin operon) and folD (CO/folate operon) was induced by 20- and 10-fold, respectively, and with strikingly similar kinetics between OD 0.8 and 1.2. The sigma factors tcdR and sigH were upregulated simultaneously with tcdA and folD (3.5-fold increase of mRNA level), whereas transcription of tcdC, codY, sigB and sigL showed little or no correlation with that of tcdA and folD. The results suggest a connection between toxin expression, alternative energy metabolism and initial sporulation events in C. difficile.","author":[{"family":"Karlsson","given":"Sture"},{"family":"Burman","given":"Lars G"},{"family":"Akerlund","given":"Thomas"}],"authorYearDisplayFormat":false,"citation-label":"6690096","container-title":"Microbiology","container-title-short":"Microbiology (Reading, Engl)","id":"6690096","invisible":false,"issue":"Pt 11","issued":{"date-parts":[["2008","11"]]},"journalAbbreviation":"Microbiology (Reading, Engl)","page":"3430-3436","suppress-author":false,"title":"Induction of toxins in Clostridium difficile is associated with dramatic changes of its metabolism.","type":"article-journal","volume":"154"}]</w:instrText>
      </w:r>
      <w:r>
        <w:fldChar w:fldCharType="separate"/>
      </w:r>
      <w:r w:rsidRPr="002B161E">
        <w:rPr>
          <w:noProof/>
          <w:vertAlign w:val="superscript"/>
        </w:rPr>
        <w:t>47–50</w:t>
      </w:r>
      <w:r>
        <w:fldChar w:fldCharType="end"/>
      </w:r>
      <w:r>
        <w:t xml:space="preserve"> Primarily, oligopeptide transferases (</w:t>
      </w:r>
      <w:r w:rsidR="005B655A">
        <w:t>O</w:t>
      </w:r>
      <w:r>
        <w:t>pp/</w:t>
      </w:r>
      <w:r w:rsidR="005B655A">
        <w:t>A</w:t>
      </w:r>
      <w:r>
        <w:t>pp) and the phosphotransferase system (PTS) uptake nutrients that passively inhibit toxin production and/or sporulation, by influencing CcpA and CodY.</w:t>
      </w:r>
      <w:r>
        <w:fldChar w:fldCharType="begin"/>
      </w:r>
      <w:r>
        <w:instrText>ADDIN F1000_CSL_CITATION&lt;~#@#~&gt;[{"First":false,"Last":false,"PMCID":"PMC167515","PMID":"7793964","abstract":"Clostridium difficile ATCC 43255 fermented less than 10% of the mannitol in a medium at pH 7; however, when the initial pH of the medium was adjusted to 8.5 or 9, about 80% of the mannitol was fermented. Cell extracts of C. difficile phosphorylated mannitol with phosphoenolpyruvate, not ATP, indicating a phosphoenolpyruvate phosphotransferase system transport phosphorylation of mannitol. The phosphorylation product was dehydrogenated by D-mannitol-1-phosphate:NAD oxidoreductase. Growth at an initial pH of 8.5 yielded cytotoxin titers of 10(7) to 10(8) in Trypticase-yeast extract-mannitol medium, wit a titer of 10(8) as early as 13 h.","author":[{"family":"Kazamias","given":"M T"},{"family":"Sperry","given":"J F"}],"authorYearDisplayFormat":false,"citation-label":"6681785","container-title":"Applied and Environmental Microbiology","container-title-short":"Appl. Environ. Microbiol.","id":"6681785","invisible":false,"issue":"6","issued":{"date-parts":[["1995","6"]]},"journalAbbreviation":"Appl. Environ. Microbiol.","page":"2425-2427","suppress-author":false,"title":"Enhanced fermentation of mannitol and release of cytotoxin by Clostridium difficile in alkaline culture media.","type":"article-journal","volume":"61"},{"First":false,"Last":false,"PMID":"9466260","abstract":"The Clostridium difficile toxA and toxB genes, encoding cytotoxic and enterotoxic proteins responsible for antibiotic-associated colitis and pseudomembranous colitis, were shown to be transcribed both from gene-specific promoters and from promoters of upstream genes. However, the gene-specific transcripts represented the majority of tox gene mRNAs. The 5' ends of these mRNAs were shown to correspond to DNA sequences that had promoter activity when fused to the Escherichia coli beta-glucuronidase (gusA) gene and introduced into C. perfringens. The appearance of tox mRNA in C. difficile was repressed during exponential growth phase but increased substantially as cells entered stationary phase. When glucose or other rapidly metabolizable sugars were present in the medium, the stationary phase-associated induction was inhibited, indicating that the toxin genes are subject to a form of catabolite repression. This glucose effect was general to many toxinogenic strains having varying levels of toxin production.","author":[{"family":"Dupuy","given":"B"},{"family":"Sonenshein","given":"A L"}],"authorYearDisplayFormat":false,"citation-label":"6678225","container-title":"Molecular Microbiology","container-title-short":"Mol. Microbiol.","id":"6678225","invisible":false,"issue":"1","issued":{"date-parts":[["1998","1"]]},"journalAbbreviation":"Mol. Microbiol.","page":"107-120","suppress-author":false,"title":"Regulated transcription of Clostridium difficile toxin genes.","type":"article-journal","volume":"27"},{"DOI":"10.1111/j.1365-2958.2010.07495.x","First":false,"Last":false,"PMID":"21299645","abstract":"The presence of glucose or other rapidly metabolizable carbon sources in the bacterial growth medium strongly represses Clostridium difficile toxin synthesis independently of strain origin. In Gram-positive bacteria, carbon catabolite repression (CCR) is generally regarded as a regulatory mechanism that responds to carbohydrate availability. In the C. difficile genome all elements involved in CCR are present. To elucidate in vivo the role of CCR in C. difficile toxin synthesis, we used the ClosTron gene knockout system to construct mutants of strain JIR8094 that were unable to produce the major components of the CCR signal transduction pathway: the phosphotransferase system (PTS) proteins (Enzyme I and HPr), the HPr kinase/phosphorylase (HprK/P) and the catabolite control protein A, CcpA. Inactivation of the ptsI, ptsH and ccpA genes resulted in derepression of toxin gene expression in the presence of glucose, whereas repression of toxin production was still observed in the hprK mutant, indicating that uptake of glucose is required for repression but that phosphorylation of HPr by HprK is not. C. difficile CcpA was found to bind to the regulatory regions of the tcdA and tcdB genes but not through a consensus cre site motif. Moreover in vivo and in vitro results confirmed that HPr-Ser45-P does not stimulate CcpA-dependent binding to DNA targets. However, fructose-1,6-biphosphate (FBP) alone did increase CcpA binding affinity in the absence of HPr-Ser45-P. These results showed that CcpA represses toxin expression in response to PTS sugar availability, thus linking carbon source utilization to virulence gene expression in C. difficile.&lt;br&gt;&lt;br&gt;© 2010 Blackwell Publishing Ltd.","author":[{"family":"Antunes","given":"Ana"},{"family":"Martin-Verstraete","given":"Isabelle"},{"family":"Dupuy","given":"Bruno"}],"authorYearDisplayFormat":false,"citation-label":"6690342","container-title":"Molecular Microbiology","container-title-short":"Mol. Microbiol.","id":"6690342","invisible":false,"issue":"4","issued":{"date-parts":[["2011","2"]]},"journalAbbreviation":"Mol. Microbiol.","page":"882-899","suppress-author":false,"title":"CcpA-mediated repression of Clostridium difficile toxin gene expression.","type":"article-journal","volume":"79"}]</w:instrText>
      </w:r>
      <w:r>
        <w:fldChar w:fldCharType="separate"/>
      </w:r>
      <w:r w:rsidRPr="002B161E">
        <w:rPr>
          <w:noProof/>
          <w:vertAlign w:val="superscript"/>
        </w:rPr>
        <w:t>48,51,52</w:t>
      </w:r>
      <w:r>
        <w:fldChar w:fldCharType="end"/>
      </w:r>
      <w:r>
        <w:t xml:space="preserve"> Both CcpA and CodY are known as nutrient sensors and act as global regulatory factors in </w:t>
      </w:r>
      <w:r w:rsidR="00AB3480" w:rsidRPr="00AB3480">
        <w:rPr>
          <w:i/>
        </w:rPr>
        <w:t>C. difficile</w:t>
      </w:r>
      <w:r>
        <w:t>.</w:t>
      </w:r>
      <w:r>
        <w:fldChar w:fldCharType="begin"/>
      </w:r>
      <w:r>
        <w:instrText>ADDIN F1000_CSL_CITATION&lt;~#@#~&gt;[{"DOI":"10.1016/j.resmic.2014.10.002","First":false,"Last":false,"PMCID":"PMC4398617","PMID":"25445566","abstract":"Synthesis of the major toxin proteins of the diarrheal pathogen, Clostridium difficile, is dependent on the activity of TcdR, an initiation (sigma) factor of RNA polymerase. The synthesis of TcdR and the activation of toxin gene expression are responsive to multiple components in the bacterium's nutritional environment, such as the presence of certain sugars, amino acids, and fatty acids. This review summarizes current knowledge about the mechanisms responsible for repression of toxin synthesis when glucose or branched-chain amino acids or proline are in excess and the pathways that lead to synthesis of butyrate, an activator of toxin synthesis. The regulatory proteins implicated in these mechanisms also play key roles in modulating bacterial metabolic pathways, suggesting that C. difficile pathogenesis is intimately connected to the bacterium's metabolic state.&lt;br&gt;&lt;br&gt;Copyright © 2015 Institut Pasteur. Published by Elsevier Masson SAS. All rights reserved.","author":[{"family":"Bouillaut","given":"Laurent"},{"family":"Dubois","given":"Thomas"},{"family":"Sonenshein","given":"Abraham L"},{"family":"Dupuy","given":"Bruno"}],"authorYearDisplayFormat":false,"citation-label":"6681727","container-title":"Research in Microbiology","container-title-short":"Res. Microbiol.","id":"6681727","invisible":false,"issue":"4","issued":{"date-parts":[["2015","5"]]},"journalAbbreviation":"Res. Microbiol.","page":"375-383","suppress-author":false,"title":"Integration of metabolism and virulence in Clostridium difficile.","type":"article-journal","volume":"166"},{"First":false,"Last":false,"PMID":"9466260","abstract":"The Clostridium difficile toxA and toxB genes, encoding cytotoxic and enterotoxic proteins responsible for antibiotic-associated colitis and pseudomembranous colitis, were shown to be transcribed both from gene-specific promoters and from promoters of upstream genes. However, the gene-specific transcripts represented the majority of tox gene mRNAs. The 5' ends of these mRNAs were shown to correspond to DNA sequences that had promoter activity when fused to the Escherichia coli beta-glucuronidase (gusA) gene and introduced into C. perfringens. The appearance of tox mRNA in C. difficile was repressed during exponential growth phase but increased substantially as cells entered stationary phase. When glucose or other rapidly metabolizable sugars were present in the medium, the stationary phase-associated induction was inhibited, indicating that the toxin genes are subject to a form of catabolite repression. This glucose effect was general to many toxinogenic strains having varying levels of toxin production.","author":[{"family":"Dupuy","given":"B"},{"family":"Sonenshein","given":"A L"}],"authorYearDisplayFormat":false,"citation-label":"6678225","container-title":"Molecular Microbiology","container-title-short":"Mol. Microbiol.","id":"6678225","invisible":false,"issue":"1","issued":{"date-parts":[["1998","1"]]},"journalAbbreviation":"Mol. Microbiol.","page":"107-120","suppress-author":false,"title":"Regulated transcription of Clostridium difficile toxin genes.","type":"article-journal","volume":"27"},{"DOI":"10.1128/JB.00341-10","First":false,"Last":false,"PMCID":"PMC2950512","PMID":"20709897","abstract":"CodY, a global regulatory protein that monitors the nutrient sufficiency of the environment by responding to the intracellular levels of GTP and the branched-chain amino acids, was previously shown to be a potent repressor of toxin gene expression in Clostridium difficile during growth in rich medium. In the intestinal tract, such derepression of toxin synthesis would lead to destruction of epithelial cells and the liberation of potential nutrients for the bacterium. CodY is likely to play an important role in regulating overall cellular physiology as well. In this study, DNA microarray analysis and affinity purification of CodY-DNA complexes were used to identify and distinguish the direct and indirect effects of CodY on global gene transcription. A codY null mutation resulted in &gt;4-fold overexpression of 146 genes (organized in 82 apparent transcription units) and underexpression of 19 genes. In addition to the toxin genes, genes for amino acid biosynthesis, nutrient transport, fermentation pathways, membrane components, and surface proteins were overexpressed in the codY mutant. Genome-wide analysis identified more than 350 CodY binding regions, many of which are likely to correspond to sites of direct CodY-mediated regulation. About 60% of the CodY-repressed transcription units were associated with binding regions. Several of these genes were confirmed to be direct targets of CodY by gel mobility shift and DNase I footprinting assays.","author":[{"family":"Dineen","given":"Sean S"},{"family":"McBride","given":"Shonna M"},{"family":"Sonenshein","given":"Abraham L"}],"authorYearDisplayFormat":false,"citation-label":"6681273","container-title":"Journal of Bacteriology","container-title-short":"J. Bacteriol.","id":"6681273","invisible":false,"issue":"20","issued":{"date-parts":[["2010","10"]]},"journalAbbreviation":"J. Bacteriol.","page":"5350-5362","suppress-author":false,"title":"Integration of metabolism and virulence by Clostridium difficile CodY.","type":"article-journal","volume":"192"},{"DOI":"10.1099/13500872-145-7-1683","First":false,"Last":false,"PMID":"10439407","abstract":"The impact of various growth conditions on the expression of toxins and other proteins by Clostridium difficile VPI 10463 was studied. During non-starved conditions, the rate of toxin synthesis paralleled that of total protein during both exponential growth and stationary phase, and in both defined and complex media. Biotin limitation reduced growth rate and bulk protein synthesis, whereas toxin expression continued, leading to a 50- to 200-fold increase in intracellular toxin levels. Concomitantly, several 22 kDa proteins were up-regulated as revealed by two-dimensional PAGE analysis. The toxin yield was 30-fold higher in peptone yeast extract (PY) than in PY containing glucose (PYG). By contrast, glucose limitation reduced toxin yields by 20- to 100-fold in defined media. By elevating the buffering capacity and bicarbonate concentration, toxin yields were increased by 10-fold in PY and PYG. The high toxin production by C. difficile during growth in PY was lowered 100-fold by adding a blend of nine amino acids and several 60-100 kDa proteins were concomitantly down-regulated. It was concluded that toxin expression in C. difficile VPI 10463 was not affected by growth rate, growth phase, catabolite repression or the stringent response. Instead the co-expression of toxins and a few specific additional proteins appeared to be influenced by metabolic pathways involving CO2 assimilation, carboxylation reactions and metabolism of certain amino acids.","author":[{"family":"Karlsson","given":"S"},{"family":"Burman","given":"L G"},{"family":"Akerlund","given":"T"}],"authorYearDisplayFormat":false,"citation-label":"6681666","container-title":"Microbiology","container-title-short":"Microbiology (Reading, Engl)","id":"6681666","invisible":false,"issued":{"date-parts":[["1999","7"]]},"journalAbbreviation":"Microbiology (Reading, Engl)","page":"1683-1693","suppress-author":false,"title":"Suppression of toxin production in Clostridium difficile VPI 10463 by amino acids.","type":"article-journal","volume":"145 ( Pt 7)"}]</w:instrText>
      </w:r>
      <w:r>
        <w:fldChar w:fldCharType="separate"/>
      </w:r>
      <w:r w:rsidRPr="002B161E">
        <w:rPr>
          <w:noProof/>
          <w:vertAlign w:val="superscript"/>
        </w:rPr>
        <w:t>48,53–55</w:t>
      </w:r>
      <w:r>
        <w:fldChar w:fldCharType="end"/>
      </w:r>
      <w:r>
        <w:t xml:space="preserve"> In the presence of guanosine triphosphate (GTP) and branched-chain amino acids (BCAA) CodY binds DNA to block expression, suppressing sporulation initiation factors and toxin production.</w:t>
      </w:r>
      <w:r>
        <w:fldChar w:fldCharType="begin"/>
      </w:r>
      <w:r>
        <w:instrText>ADDIN F1000_CSL_CITATION&lt;~#@#~&gt;[{"DOI":"10.1371/journal.ppat.1005758","First":false,"Last":false,"PMCID":"PMC4944984","PMID":"27414650","abstract":"Clostridium difficile is a global health burden and the leading cause of antibiotic-associated diarrhoea worldwide, causing severe gastrointestinal disease and death. Three well characterised toxins are encoded by this bacterium in two genetic loci, specifically, TcdB (toxin B) and TcdA (toxin A) in the Pathogenicity Locus (PaLoc) and binary toxin (CDT) in the genomically distinct CDT locus (CdtLoc). Toxin production is controlled by regulators specific to each locus. The orphan response regulator, CdtR, encoded within the CdtLoc, up-regulates CDT production. Until now there has been no suggestion that CdtR influences TcdA and TcdB production since it is not carried by all PaLoc-containing strains and CdtLoc is not linked genetically to PaLoc. Here we show that, in addition to CDT, CdtR regulates TcdA and TcdB production but that this effect is strain dependent. Of clinical relevance, CdtR increased the production of TcdA, TcdB and CDT in two epidemic ribotype 027 human strains, modulating their virulence in a mouse infection model. Strains traditionally from animal lineages, notably ribotype 078 strains, are increasingly being isolated from humans and their genetic and phenotypic analysis is critical for future studies on this important pathogen. Here we show that CdtR-mediated toxin regulation did not occur in other strain backgrounds, including a ribotype 078 animal strain. The finding that toxin gene regulation is strain dependent highlights the regulatory diversity between C. difficile isolates and the importance of studying virulence regulation in diverse lineages and clinically relevant strains. Our work provides the first evidence that TcdA, TcdB and CDT production is linked by a common regulatory mechanism and that CdtR may act as a global regulator of virulence in epidemic 027 strains.","author":[{"family":"Lyon","given":"Shelley A"},{"family":"Hutton","given":"Melanie L"},{"family":"Rood","given":"Julian I"},{"family":"Cheung","given":"Jackie K"},{"family":"Lyras","given":"Dena"}],"authorYearDisplayFormat":false,"citation-label":"6681440","container-title":"PLoS Pathogens","container-title-short":"PLoS Pathog.","id":"6681440","invisible":false,"issue":"7","issued":{"date-parts":[["2016","7","14"]]},"journalAbbreviation":"PLoS Pathog.","page":"e1005758","suppress-author":false,"title":"CdtR Regulates TcdA and TcdB Production in Clostridium difficile.","type":"article-journal","volume":"12"},{"DOI":"10.1128/JB.00341-10","First":false,"Last":false,"PMCID":"PMC2950512","PMID":"20709897","abstract":"CodY, a global regulatory protein that monitors the nutrient sufficiency of the environment by responding to the intracellular levels of GTP and the branched-chain amino acids, was previously shown to be a potent repressor of toxin gene expression in Clostridium difficile during growth in rich medium. In the intestinal tract, such derepression of toxin synthesis would lead to destruction of epithelial cells and the liberation of potential nutrients for the bacterium. CodY is likely to play an important role in regulating overall cellular physiology as well. In this study, DNA microarray analysis and affinity purification of CodY-DNA complexes were used to identify and distinguish the direct and indirect effects of CodY on global gene transcription. A codY null mutation resulted in &gt;4-fold overexpression of 146 genes (organized in 82 apparent transcription units) and underexpression of 19 genes. In addition to the toxin genes, genes for amino acid biosynthesis, nutrient transport, fermentation pathways, membrane components, and surface proteins were overexpressed in the codY mutant. Genome-wide analysis identified more than 350 CodY binding regions, many of which are likely to correspond to sites of direct CodY-mediated regulation. About 60% of the CodY-repressed transcription units were associated with binding regions. Several of these genes were confirmed to be direct targets of CodY by gel mobility shift and DNase I footprinting assays.","author":[{"family":"Dineen","given":"Sean S"},{"family":"McBride","given":"Shonna M"},{"family":"Sonenshein","given":"Abraham L"}],"authorYearDisplayFormat":false,"citation-label":"6681273","container-title":"Journal of Bacteriology","container-title-short":"J. Bacteriol.","id":"6681273","invisible":false,"issue":"20","issued":{"date-parts":[["2010","10"]]},"journalAbbreviation":"J. Bacteriol.","page":"5350-5362","suppress-author":false,"title":"Integration of metabolism and virulence by Clostridium difficile CodY.","type":"article-journal","volume":"192"},{"DOI":"10.1128/JB.00220-16","First":false,"Last":false,"PMCID":"PMC4944225","PMID":"27246573","abstract":"&lt;strong&gt;UNLABELLED:&lt;/strong&gt; Clostridium difficile must form a spore to survive outside the gastrointestinal tract. The factors that trigger sporulation in C. difficile remain poorly understood. Previous studies have suggested that a link exists between nutritional status and sporulation initiation in C. difficile In this study, we investigated the impact of the global nutritional regulator CodY on sporulation in C. difficile strains from the historical 012 ribotype and the current epidemic 027 ribotype. Sporulation frequencies were increased in both backgrounds, demonstrating that CodY represses sporulation in C. difficile The 027 codY mutant exhibited a greater increase in spore formation than the 012 codY mutant. To determine the role of CodY in the observed sporulation phenotypes, we examined several factors that are known to influence sporulation in C. difficile Using transcriptional reporter fusions and quantitative reverse transcription-PCR (qRT-PCR) analysis, we found that two loci associated with the initiation of sporulation, opp and sinR, are regulated by CodY. The data demonstrate that CodY is a repressor of sporulation in C. difficile and that the impact of CodY on sporulation and expression of specific genes is significantly influenced by the strain background. These results suggest that the variability of CodY-dependent regulation is an important contributor to virulence and sporulation in current epidemic isolates. This report provides further evidence that nutritional state, virulence, and sporulation are linked in C. difficile&lt;br&gt;&lt;br&gt;&lt;strong&gt;IMPORTANCE:&lt;/strong&gt; This study sought to examine the relationship between nutrition and sporulation in C. difficile by examining the global nutritional regulator CodY. CodY is a known virulence and nutritional regulator of C. difficile, but its role in sporulation was unknown. Here, we demonstrate that CodY is a negative regulator of sporulation in two different ribotypes of C. difficile We also demonstrate that CodY regulates known effectors of sporulation, Opp and SinR. These results support the idea that nutrient limitation is a trigger for sporulation in C. difficile and that the response to nutrient limitation is coordinated by CodY. Additionally, we demonstrate that CodY has an altered role in sporulation regulation for some strains.&lt;br&gt;&lt;br&gt;Copyright © 2016, American Society for Microbiology. All Rights Reserved.","author":[{"family":"Nawrocki","given":"Kathryn L"},{"family":"Edwards","given":"Adrianne N"},{"family":"Daou","given":"Nadine"},{"family":"Bouillaut","given":"Laurent"},{"family":"McBride","given":"Shonna M"}],"authorYearDisplayFormat":false,"citation-label":"5898133","container-title":"Journal of Bacteriology","container-title-short":"J. Bacteriol.","id":"5898133","invisible":false,"issue":"15","issued":{"date-parts":[["2016","8","1"]]},"journalAbbreviation":"J. Bacteriol.","page":"2113-2130","suppress-author":false,"title":"CodY-Dependent Regulation of Sporulation in Clostridium difficile.","type":"article-journal","volume":"198"}]</w:instrText>
      </w:r>
      <w:r>
        <w:fldChar w:fldCharType="separate"/>
      </w:r>
      <w:r w:rsidRPr="002B161E">
        <w:rPr>
          <w:noProof/>
          <w:vertAlign w:val="superscript"/>
        </w:rPr>
        <w:t>54,56,57</w:t>
      </w:r>
      <w:r>
        <w:fldChar w:fldCharType="end"/>
      </w:r>
      <w:r>
        <w:t xml:space="preserve"> Additionally, in the presence of glucose, CcpA suppresses toxin production, but the mechanism of toxin downregulation in this case is unclear, as </w:t>
      </w:r>
      <w:r>
        <w:rPr>
          <w:i/>
        </w:rPr>
        <w:t xml:space="preserve">ccpA </w:t>
      </w:r>
      <w:r>
        <w:t>mutants also attenuate toxin production.</w:t>
      </w:r>
      <w:r>
        <w:fldChar w:fldCharType="begin"/>
      </w:r>
      <w:r>
        <w:instrText>ADDIN F1000_CSL_CITATION&lt;~#@#~&gt;[{"DOI":"10.1111/j.1365-2958.2010.07495.x","First":false,"Last":false,"PMID":"21299645","abstract":"The presence of glucose or other rapidly metabolizable carbon sources in the bacterial growth medium strongly represses Clostridium difficile toxin synthesis independently of strain origin. In Gram-positive bacteria, carbon catabolite repression (CCR) is generally regarded as a regulatory mechanism that responds to carbohydrate availability. In the C. difficile genome all elements involved in CCR are present. To elucidate in vivo the role of CCR in C. difficile toxin synthesis, we used the ClosTron gene knockout system to construct mutants of strain JIR8094 that were unable to produce the major components of the CCR signal transduction pathway: the phosphotransferase system (PTS) proteins (Enzyme I and HPr), the HPr kinase/phosphorylase (HprK/P) and the catabolite control protein A, CcpA. Inactivation of the ptsI, ptsH and ccpA genes resulted in derepression of toxin gene expression in the presence of glucose, whereas repression of toxin production was still observed in the hprK mutant, indicating that uptake of glucose is required for repression but that phosphorylation of HPr by HprK is not. C. difficile CcpA was found to bind to the regulatory regions of the tcdA and tcdB genes but not through a consensus cre site motif. Moreover in vivo and in vitro results confirmed that HPr-Ser45-P does not stimulate CcpA-dependent binding to DNA targets. However, fructose-1,6-biphosphate (FBP) alone did increase CcpA binding affinity in the absence of HPr-Ser45-P. These results showed that CcpA represses toxin expression in response to PTS sugar availability, thus linking carbon source utilization to virulence gene expression in C. difficile.&lt;br&gt;&lt;br&gt;© 2010 Blackwell Publishing Ltd.","author":[{"family":"Antunes","given":"Ana"},{"family":"Martin-Verstraete","given":"Isabelle"},{"family":"Dupuy","given":"Bruno"}],"authorYearDisplayFormat":false,"citation-label":"6690342","container-title":"Molecular Microbiology","container-title-short":"Mol. Microbiol.","id":"6690342","invisible":false,"issue":"4","issued":{"date-parts":[["2011","2"]]},"journalAbbreviation":"Mol. Microbiol.","page":"882-899","suppress-author":false,"title":"CcpA-mediated repression of Clostridium difficile toxin gene expression.","type":"article-journal","volume":"79"}]</w:instrText>
      </w:r>
      <w:r>
        <w:fldChar w:fldCharType="separate"/>
      </w:r>
      <w:r w:rsidRPr="002B161E">
        <w:rPr>
          <w:noProof/>
          <w:vertAlign w:val="superscript"/>
        </w:rPr>
        <w:t>52</w:t>
      </w:r>
      <w:r>
        <w:fldChar w:fldCharType="end"/>
      </w:r>
      <w:r>
        <w:t xml:space="preserve"> Unlike CodY, which inhibits transcription through binding DNA, CcpA is suggested to bind Spo0A and prevent phosphorylation/activation to reduce sporulation and suppress toxin production.</w:t>
      </w:r>
      <w:r>
        <w:fldChar w:fldCharType="begin"/>
      </w:r>
      <w:r>
        <w:instrText xml:space="preserve">ADDIN F1000_CSL_CITATION&lt;~#@#~&gt;[{"DOI":"10.1093/nar/gks864","First":false,"Last":false,"PMCID":"PMC3510511","PMID":"22989714","abstract":"The catabolite control protein CcpA is a pleiotropic regulator that mediates the global transcriptional response to rapidly catabolizable carbohydrates, like glucose in Gram-positive bacteria. By whole transcriptome analyses, we characterized glucose-dependent and CcpA-dependent gene regulation in Clostridium difficile. About 18% of all C. difficile genes are regulated by glucose, for which 50% depend on CcpA for regulation. The CcpA regulon comprises genes involved in sugar uptake, fermentation and amino acids metabolism, confirming the role of CcpA as a link between carbon and nitrogen pathways. Using combination of chromatin immunoprecipitation and genome sequence analysis, we detected 55 CcpA binding sites corresponding to </w:instrText>
      </w:r>
      <w:r>
        <w:rPr>
          <w:rFonts w:ascii="Cambria Math" w:hAnsi="Cambria Math" w:cs="Cambria Math"/>
        </w:rPr>
        <w:instrText>∼</w:instrText>
      </w:r>
      <w:r>
        <w:instrText>140 genes directly controlled by CcpA. We defined the C. difficile CcpA consensus binding site (cre(CD) motif), that is, 'RRGAAAANGTTTTCWW'. Binding of purified CcpA protein to 19 target cre(CD) sites was demonstrated by electrophoretic mobility shift assay. CcpA also directly represses key factors in early steps of sporulation (Spo0A and SigF). Furthermore, the C. difficile toxin genes (tcdA and tcdB) and their regulators (tcdR and tcdC) are direct CcpA targets. Finally, CcpA controls a complex and extended regulatory network through the modulation of a large set of regulators.","author":[{"family":"Antunes","given":"Ana"},{"family":"Camiade","given":"Emilie"},{"family":"Monot","given":"Marc"},{"family":"Courtois","given":"Emmanuelle"},{"family":"Barbut","given":"Frédéric"},{"family":"Sernova","given":"Natalia V"},{"family":"Rodionov","given":"Dmitry A"},{"family":"Martin-Verstraete","given":"Isabelle"},{"family":"Dupuy","given":"Bruno"}],"authorYearDisplayFormat":false,"citation-label":"6681726","container-title":"Nucleic Acids Research","container-title-short":"Nucleic Acids Res.","id":"6681726","invisible":false,"issue":"21","issued":{"date-parts":[["2012","11"]]},"journalAbbreviation":"Nucleic Acids Res.","page":"10701-10718","suppress-author":false,"title":"Global transcriptional control by glucose and carbon regulator CcpA in Clostridium difficile.","type":"article-journal","volume":"40"}]</w:instrText>
      </w:r>
      <w:r>
        <w:fldChar w:fldCharType="separate"/>
      </w:r>
      <w:r w:rsidRPr="002B161E">
        <w:rPr>
          <w:noProof/>
          <w:vertAlign w:val="superscript"/>
        </w:rPr>
        <w:t>58</w:t>
      </w:r>
      <w:r>
        <w:fldChar w:fldCharType="end"/>
      </w:r>
      <w:r>
        <w:t xml:space="preserve"> These two global regulators often converge to strictly regulate these two critical processes.  </w:t>
      </w:r>
    </w:p>
    <w:p w14:paraId="4C2F3BA5" w14:textId="007A230C" w:rsidR="00135AEF" w:rsidRDefault="00135AEF" w:rsidP="00135AEF">
      <w:pPr>
        <w:ind w:firstLine="720"/>
        <w:jc w:val="both"/>
      </w:pPr>
      <w:r>
        <w:t>The destruction of the intestinal tissue begins with the glucosylation of Rho proteins by toxins TcdA and TcdB.</w:t>
      </w:r>
      <w:r>
        <w:fldChar w:fldCharType="begin"/>
      </w:r>
      <w:r>
        <w:instrText>ADDIN F1000_CSL_CITATION&lt;~#@#~&gt;[{"DOI":"10.1093/glycob/cwm004","First":false,"Last":false,"PMID":"17237138","abstract":"Clostridium difficile causes pseudomembranous colitis and is responsible for many cases of nosocomial antibiotic-associated diarrhea. Major virulence factors of C. difficile are the glucosylating exotoxins A and B. Both toxins enter target cells in a pH- dependent manner from endosomes by forming pores. They translocate the N-terminal catalytic domains into the cytosol of host cells and inactivate Rho guanosine triphosphatases by glucosylation. The crystal structure of the catalytic domain of toxin B was solved in a complex with uridine diphosphate, glucose, and manganese ion, exhibiting a folding of type A family glycosyltransferases. Crystallization of fragments of the C-terminus of toxin A, which is characterized by polypeptide repeats, revealed a solenoid-like structure often found in bacterial cell surface proteins. These studies, which provide new insights into structure, uptake, and function of the family of clostridial glucosylating toxins, are reviewed.","author":[{"family":"Jank","given":"Thomas"},{"family":"Giesemann","given":"Torsten"},{"family":"Aktories","given":"Klaus"}],"authorYearDisplayFormat":false,"citation-label":"2869532","container-title":"Glycobiology","container-title-short":"Glycobiology","id":"2869532","invisible":false,"issue":"4","issued":{"date-parts":[["2007","4"]]},"journalAbbreviation":"Glycobiology","page":"15R-22R","suppress-author":false,"title":"Rho-glucosylating Clostridium difficile toxins A and B: new insights into structure and function.","type":"article-journal","volume":"17"},{"First":false,"Last":false,"PMCID":"PMC351151","PMID":"7068210","abstract":"Toxin preparations were obtained by growing Clostridium difficile VPI strain 10463 in 2-liter brain heart infusion dialysis flasks at 37 degrees C for 3 days. The initial step of the purification scheme involved ultrafiltration through an XM-100 membrane filter. Two toxic activities, designated toxins A and B, were separated by ion-exchange chromatography on DEAE-NaCl gradients. Toxin A was purified to homogeneity by an acetic acid precipitation at pH 5.5. Other separation techniques, including CM Sepharose CL-6B, (NH4)2SO4 and acetic acid precipitations, and hydrophobic interaction chromatography, were examined in attempts to further purify toxin B. Although these methods failed to increase the specific activity of toxin B, they provided additional evidence that the two toxins are distinct molecules. The toxins are acid and heat labile and are inactivated by trypsin and chymotrypsin, but not by amylase. The molecular weight of toxin A, as estimated by gel filtration and gradient polyacrylamide electrophoresis, ranged from 440,000 to 500,000. The estimated molecular weight of toxin B was 360,000 to 470,000.","author":[{"family":"Sullivan","given":"N M"},{"family":"Pellett","given":"S"},{"family":"Wilkins","given":"T D"}],"authorYearDisplayFormat":false,"citation-label":"5997125","container-title":"Infection and Immunity","container-title-short":"Infect. Immun.","id":"5997125","invisible":false,"issue":"3","issued":{"date-parts":[["1982","3"]]},"journalAbbreviation":"Infect. Immun.","page":"1032-1040","suppress-author":false,"title":"Purification and characterization of toxins A and B of Clostridium difficile.","type":"article-journal","volume":"35"},{"First":false,"Last":false,"PMCID":"PMC351167","PMID":"7068215","abstract":"Examination of the biological activities of the two known toxins of Clostridium difficile revealed that one of the toxins (toxin A) elicited a hemorrhagic fluid response in rabbit intestinal loops and a positive fluid response in infant mice. The other toxin (toxin B) did not produce a significant fluid response in either model, although the toxin was more lethal in infant mice. Both toxins elicited erythematous and hemorrhagic skin reactions and increased vascular permeability in rabbit skin.","author":[{"family":"Lyerly","given":"D M"},{"family":"Lockwood","given":"D E"},{"family":"Richardson","given":"S H"},{"family":"Wilkins","given":"T D"}],"authorYearDisplayFormat":false,"citation-label":"5997133","container-title":"Infection and Immunity","container-title-short":"Infect. Immun.","id":"5997133","invisible":false,"issue":"3","issued":{"date-parts":[["1982","3"]]},"journalAbbreviation":"Infect. Immun.","page":"1147-1150","suppress-author":false,"title":"Biological activities of toxins A and B of Clostridium difficile.","type":"article-journal","volume":"35"},{"DOI":"10.1038/nature09397","First":false,"Last":false,"PMID":"20844489","abstract":"Clostridium difficile infection is the leading cause of healthcare-associated diarrhoea in Europe and North America. During infection, C. difficile produces two key virulence determinants, toxin A and toxin B. Experiments with purified toxins have indicated that toxin A alone is able to evoke the symptoms of C. difficile infection, but toxin B is unable to do so unless it is mixed with toxin A or there is prior damage to the gut mucosa. However, a recent study indicated that toxin B is essential for C. difficile virulence and that a strain producing toxin A alone was avirulent. This creates a paradox over the individual importance of toxin A and toxin B. Here we show that isogenic mutants of C. difficile producing either toxin A or toxin B alone can cause fulminant disease in the hamster model of infection. By using a gene knockout system to inactivate the toxin genes permanently, we found that C. difficile producing either one or both toxins showed cytotoxic activity in vitro that translated directly into virulence in vivo. Furthermore, by constructing the first ever double-mutant strain of C. difficile, in which both toxin genes were inactivated, we were able to completely attenuate virulence. Our findings re-establish the importance of both toxin A and toxin B and highlight the need to continue to consider both toxins in the development of diagnostic tests and effective countermeasures against C. difficile.","author":[{"family":"Kuehne","given":"Sarah A"},{"family":"Cartman","given":"Stephen T"},{"family":"Heap","given":"John T"},{"family":"Kelly","given":"Michelle L"},{"family":"Cockayne","given":"Alan"},{"family":"Minton","given":"Nigel P"}],"authorYearDisplayFormat":false,"citation-label":"1611195","container-title":"Nature","container-title-short":"Nature","id":"1611195","invisible":false,"issue":"7316","issued":{"date-parts":[["2010","10","7"]]},"journalAbbreviation":"Nature","page":"711-713","suppress-author":false,"title":"The role of toxin A and toxin B in Clostridium difficile infection.","type":"article-journal","volume":"467"}]</w:instrText>
      </w:r>
      <w:r>
        <w:fldChar w:fldCharType="separate"/>
      </w:r>
      <w:r w:rsidRPr="002B161E">
        <w:rPr>
          <w:noProof/>
          <w:vertAlign w:val="superscript"/>
        </w:rPr>
        <w:t>59–62</w:t>
      </w:r>
      <w:r>
        <w:fldChar w:fldCharType="end"/>
      </w:r>
      <w:r>
        <w:t xml:space="preserve"> Glucosylation of host Rho proteins stimulates the immune response and triggers inflammation.</w:t>
      </w:r>
      <w:r>
        <w:fldChar w:fldCharType="begin"/>
      </w:r>
      <w:r>
        <w:instrText>ADDIN F1000_CSL_CITATION&lt;~#@#~&gt;[{"DOI":"10.1159/000332946","First":false,"Last":false,"PMCID":"PMC3388264","PMID":"22237401","abstract":"Clostridium difficile is a significant problem in hospital settings as the most common cause of nosocomial diarrhea worldwide. C. difficile infections (CDIs) are characterized by an acute intestinal inflammatory response with neutrophil infiltration. These symptoms are primarily caused by the glucosylating toxins, TcdA and TcdB. In the past decade, the frequency and severity of CDIs have increased markedly due to the emergence of so-called hypervirulent strains that overproduce cytotoxic glucosylating toxins relative to historical strains. In addition, these strains produce a third toxin, binary toxin or C. difficile transferase (CDT), that may contribute to hypervirulence. Both the glucosylating toxins and CDT covalently modify target cell proteins to cause disassembly of the actin cytoskeleton and induce severe inflammation. This review summarizes our current knowledge of the mechanisms by which glucosylating toxins and CDT disrupt target cell function, alter host physiology and stimulate immune responses.&lt;br&gt;&lt;br&gt;Copyright © 2012 S. Karger AG, Basel.","author":[{"family":"Shen","given":"Aimee"}],"authorYearDisplayFormat":false,"citation-label":"6678575","container-title":"Journal of Innate Immunity","container-title-short":"J. Innate Immun.","id":"6678575","invisible":false,"issue":"2","issued":{"date-parts":[["2012","1","10"]]},"journalAbbreviation":"J. Innate Immun.","page":"149-158","suppress-author":false,"title":"Clostridium difficile toxins: mediators of inflammation.","type":"article-journal","volume":"4"},{"DOI":"10.1038/nrmicro.2016.108","First":false,"Last":false,"PMCID":"PMC5109054","PMID":"27573580","abstract":"Clostridium difficile is a major cause of intestinal infection and diarrhoea in individuals following antibiotic treatment. Recent studies have begun to elucidate the mechanisms that induce spore formation and germination and have determined the roles of C. difficile toxins in disease pathogenesis. Exciting progress has also been made in defining the role of the microbiome, specific commensal bacterial species and host immunity in defence against infection with C. difficile. This Review will summarize the recent discoveries and developments in our understanding of C. difficile infection and pathogenesis.","author":[{"family":"Abt","given":"Michael C"},{"family":"McKenney","given":"Peter T"},{"family":"Pamer","given":"Eric G"}],"authorYearDisplayFormat":false,"citation-label":"2062428","container-title":"Nature Reviews. Microbiology","container-title-short":"Nat. Rev. Microbiol.","id":"2062428","invisible":false,"issue":"10","issued":{"date-parts":[["2016","8","30"]]},"journalAbbreviation":"Nat. Rev. Microbiol.","page":"609-620","suppress-author":false,"title":"Clostridium difficile colitis: pathogenesis and host defence.","type":"article-journal","volume":"14"}]</w:instrText>
      </w:r>
      <w:r>
        <w:fldChar w:fldCharType="separate"/>
      </w:r>
      <w:r w:rsidRPr="002B161E">
        <w:rPr>
          <w:noProof/>
          <w:vertAlign w:val="superscript"/>
        </w:rPr>
        <w:t>63,64</w:t>
      </w:r>
      <w:r>
        <w:fldChar w:fldCharType="end"/>
      </w:r>
      <w:r>
        <w:t xml:space="preserve"> Severe diarrhea occurs as a result of tissue damage, due to water infiltration of the extracellular space. As tissue turns necrotic, macrophages, neutrophils, and macrophils diffuse to the infection site to attack </w:t>
      </w:r>
      <w:r w:rsidR="00AB3480" w:rsidRPr="00AB3480">
        <w:rPr>
          <w:i/>
          <w:iCs/>
        </w:rPr>
        <w:t>C. difficile</w:t>
      </w:r>
      <w:r>
        <w:rPr>
          <w:i/>
          <w:iCs/>
        </w:rPr>
        <w:t>,</w:t>
      </w:r>
      <w:r>
        <w:rPr>
          <w:iCs/>
        </w:rPr>
        <w:t xml:space="preserve"> resulting in pseudomembranous colitis (PMC, </w:t>
      </w:r>
      <w:r>
        <w:rPr>
          <w:b/>
          <w:iCs/>
        </w:rPr>
        <w:t>Figure 1.</w:t>
      </w:r>
      <w:r w:rsidRPr="00FD0C73">
        <w:rPr>
          <w:b/>
          <w:iCs/>
        </w:rPr>
        <w:t>2</w:t>
      </w:r>
      <w:r>
        <w:rPr>
          <w:iCs/>
        </w:rPr>
        <w:t>).</w:t>
      </w:r>
      <w:r>
        <w:rPr>
          <w:iCs/>
        </w:rPr>
        <w:fldChar w:fldCharType="begin"/>
      </w:r>
      <w:r>
        <w:rPr>
          <w:iCs/>
        </w:rPr>
        <w:instrText>ADDIN F1000_CSL_CITATION&lt;~#@#~&gt;[{"DOI":"10.1016/j.disamonth.2015.01.006","First":false,"Last":false,"PMCID":"PMC4402243","PMID":"25769243","author":[{"family":"Farooq","given":"Priya D"},{"family":"Urrunaga","given":"Nathalie H"},{"family":"Tang","given":"Derek M"},{"family":"von Rosenvinge","given":"Erik C"}],"authorYearDisplayFormat":false,"citation-label":"2444186","container-title":"Disease-a-month : DM","container-title-short":"Dis. Mon.","id":"2444186","invisible":false,"issue":"5","issued":{"date-parts":[["2015","5"]]},"journalAbbreviation":"Dis. Mon.","page":"181-206","suppress-author":false,"title":"Pseudomembranous colitis.","type":"article-journal","volume":"61"}]</w:instrText>
      </w:r>
      <w:r>
        <w:rPr>
          <w:iCs/>
        </w:rPr>
        <w:fldChar w:fldCharType="separate"/>
      </w:r>
      <w:r w:rsidRPr="002B161E">
        <w:rPr>
          <w:iCs/>
          <w:noProof/>
          <w:vertAlign w:val="superscript"/>
        </w:rPr>
        <w:t>65</w:t>
      </w:r>
      <w:r>
        <w:rPr>
          <w:iCs/>
        </w:rPr>
        <w:fldChar w:fldCharType="end"/>
      </w:r>
      <w:r>
        <w:rPr>
          <w:iCs/>
        </w:rPr>
        <w:t xml:space="preserve"> Characteristic yellow</w:t>
      </w:r>
      <w:r>
        <w:t xml:space="preserve"> plaques form on the surface of the inflamed tissue, where toxins have begun to erode the intestinal mucosa. If clinical intervention is delayed or PMC is left untreated, the illness can progress to toxic megacolon.</w:t>
      </w:r>
      <w:r>
        <w:fldChar w:fldCharType="begin"/>
      </w:r>
      <w:r>
        <w:instrText>ADDIN F1000_CSL_CITATION&lt;~#@#~&gt;[{"DOI":"10.1007/s00134-003-1754-7","First":false,"Last":false,"PMID":"12734650","author":[{"family":"Dobson","given":"Giles"},{"family":"Hickey","given":"Caroline"},{"family":"Trinder","given":"John"}],"authorYearDisplayFormat":false,"citation-label":"6699938","container-title":"Intensive Care Medicine","container-title-short":"Intensive Care Med.","id":"6699938","invisible":false,"issue":"6","issued":{"date-parts":[["2003","6"]]},"journalAbbreviation":"Intensive Care Med.","page":"1030","suppress-author":false,"title":"Clostridium difficile colitis causing toxic megacolon, severe sepsis and multiple organ dysfunction syndrome.","type":"article-journal","volume":"29"}]</w:instrText>
      </w:r>
      <w:r>
        <w:fldChar w:fldCharType="separate"/>
      </w:r>
      <w:r w:rsidRPr="002B161E">
        <w:rPr>
          <w:noProof/>
          <w:vertAlign w:val="superscript"/>
        </w:rPr>
        <w:t>66</w:t>
      </w:r>
      <w:r>
        <w:fldChar w:fldCharType="end"/>
      </w:r>
      <w:r>
        <w:t xml:space="preserve"> Antibiotic treatment in this case warrants discretion, as the bacterial load is </w:t>
      </w:r>
      <w:r>
        <w:lastRenderedPageBreak/>
        <w:t>high and some hypervirulent strains increase toxin production in the presence of antibiotics.</w:t>
      </w:r>
      <w:r>
        <w:fldChar w:fldCharType="begin"/>
      </w:r>
      <w:r>
        <w:instrText>ADDIN F1000_CSL_CITATION&lt;~#@#~&gt;[{"DOI":"10.1099/jmm.0.05387-0","First":false,"Last":false,"PMID":"14614060","abstract":"Effects on growth and toxin A production of sub-MIC concentrations of six different antibiotics were investigated in three strains of Clostridium difficile: reference strain NCTC 11223, a fully sequenced strain (630) and a locally endemic isolate (strain 338a). The antibiotics chosen for investigation were the agents used to treat C. difficile-associated disease (CDAD), i.e. vancomycin and metronidazole, and four antibiotics that are commonly involved in precipitating CDAD (amoxycillin, clindamycin, cefoxitin and ceftriaxone). Strains were cultured in sublethal concentrations of antibiotics (1/2, 1/4 and 1/8 MIC) over 104 h and growth and toxin A production were measured three times a day. Effects varied between strain and antibiotic. The most common effect on growth of the strains was to increase the initial lag period by approximately 4 h, compared with antibiotic-free controls; however, strain NCTC 11223, which has high-level clindamycin resistance (&gt; or = 512 microg ml(-1)), showed no lag whatsoever in comparison with the controls when grown in this antibiotic. The most common effect on production of toxin A was in the onset of toxin elaboration. Normally, toxins began to appear at low levels in the early stationary phase, before accumulating to high levels by the start of decline. In the presence of sub-MIC antibiotics, this onset appeared before that of the antibiotic-free controls. This effect was seen with metronidazole, amoxycillin and clindamycin, rarely with vancomycin and never with cefoxitin. These results suggest a very complex, strain-dependent relationship between the effects of growth and toxin production.","author":[{"family":"Drummond","given":"Lisa J"},{"family":"Smith","given":"David G E"},{"family":"Poxton","given":"Ian R"}],"authorYearDisplayFormat":false,"citation-label":"6699976","container-title":"Journal of Medical Microbiology","container-title-short":"J. Med. Microbiol.","id":"6699976","invisible":false,"issue":"Pt 12","issued":{"date-parts":[["2003","12"]]},"journalAbbreviation":"J. Med. Microbiol.","page":"1033-1038","suppress-author":false,"title":"Effects of sub-MIC concentrations of antibiotics on growth of and toxin production by Clostridium difficile.","type":"article-journal","volume":"52"},{"First":false,"Last":false,"abstract":"Review Article from The New England Journal of Medicine — Clostridium difficile — More Difficult Than Ever.","author":[{"family":"Kelly","given":"C P"},{"family":"LaMont","given":"J T"}],"authorYearDisplayFormat":false,"citation-label":"5997146","container-title":"New England Journal of Medicine","container-title-short":"New England Journal of Medicine","id":"5997146","invisible":false,"issued":{"date-parts":[["2008"]]},"journalAbbreviation":"New England Journal of Medicine","suppress-author":false,"title":"Clostridium difficile — More Difficult Than Ever","type":"article-journal"}]</w:instrText>
      </w:r>
      <w:r>
        <w:fldChar w:fldCharType="separate"/>
      </w:r>
      <w:r w:rsidRPr="002B161E">
        <w:rPr>
          <w:noProof/>
          <w:vertAlign w:val="superscript"/>
        </w:rPr>
        <w:t>2,67</w:t>
      </w:r>
      <w:r>
        <w:fldChar w:fldCharType="end"/>
      </w:r>
      <w:r>
        <w:t xml:space="preserve"> In severe cases, the necrotic section of intestine is removed via colectomy because the damage is too extensive for recovery.</w:t>
      </w:r>
      <w:r>
        <w:fldChar w:fldCharType="begin"/>
      </w:r>
      <w:r>
        <w:instrText>ADDIN F1000_CSL_CITATION&lt;~#@#~&gt;[{"DOI":"10.1097/01.sla.0000236628.79550.e5","First":false,"Last":false,"PMCID":"PMC1876996","PMID":"17245181","abstract":"&lt;strong&gt;OBJECTIVES:&lt;/strong&gt; To determine whether emergency colectomy reduces mortality in patients with fulminant Clostridium difficile-associated disease (CDAD), and to identify subgroups of patients more likely to benefit from the procedure.&lt;br&gt;&lt;br&gt;&lt;strong&gt;SUMMARY BACKGROUND DATA:&lt;/strong&gt; Many hospitals in Quebec, Canada, have noted since 2003 a dramatic increase in CDAD incidence and in the proportion of cases severe enough to require intensive care unit (ICU) admission. The decision to perform an emergency colectomy remains largely empirical.&lt;br&gt;&lt;br&gt;&lt;strong&gt;METHODS:&lt;/strong&gt; Retrospective observational cohort study of 165 cases of CDAD that required ICU admission or prolongation of ICU stay between January 2003 and June 2005 in 2 tertiary care hospitals of Quebec. Multivariate analysis was performed through logistic regression; adjusted odds ratios (AOR) and their 95% confidence intervals (CI) were calculated. The primary outcome was mortality within 30 days of ICU admission.&lt;br&gt;&lt;br&gt;&lt;strong&gt;RESULTS:&lt;/strong&gt; Eighty-seven (53%) cases resulted in death within 30 days of ICU admission, almost half (38 of 87, 44%) within 48 hours of ICU admission. The independent predictors of 30-day mortality were: leukocytosis &gt;or=50 x 10(9)/L (AOR, 18.6; 95% CI, 3.7-94.7), lactate &gt;or=5 mmol/L (AOR, 12.4; 95% CI, 2.4-63.7), age &gt;or=75 years (AOR, 6.5; 95% CI, 1.7-24.3), immunosuppression (AOR, 7.9; 95% CI, 2.3-27.2) and shock requiring vasopressors (AOR, 3.4; 95% CI, 1.3-8.7). After adjustment for these confounders, patients who had an emergency colectomy were less likely to die (AOR, 0.22; 95% CI, 0.07-0.67, P = 0.008) than those treated medically. Colectomy seemed more beneficial in patients aged 65 years or more, in those immunocompetent, those with a leukocytosis &gt;or=20 x 10(9)/L or lactate between 2.2 and 4.9 mmol/L.&lt;br&gt;&lt;br&gt;&lt;strong&gt;CONCLUSION:&lt;/strong&gt; Emergency colectomy reduces mortality in some patients with fulminant CDAD.","author":[{"family":"Lamontagne","given":"François"},{"family":"Labbé","given":"Annie-Claude"},{"family":"Haeck","given":"Olivier"},{"family":"Lesur","given":"Olivier"},{"family":"Lalancette","given":"Mathieu"},{"family":"Patino","given":"Carlos"},{"family":"Leblanc","given":"Martine"},{"family":"Laverdière","given":"Michel"},{"family":"Pépin","given":"Jacques"}],"authorYearDisplayFormat":false,"citation-label":"2864016","container-title":"Annals of Surgery","container-title-short":"Ann. Surg.","id":"2864016","invisible":false,"issue":"2","issued":{"date-parts":[["2007","2"]]},"journalAbbreviation":"Ann. Surg.","page":"267-272","suppress-author":false,"title":"Impact of emergency colectomy on survival of patients with fulminant Clostridium difficile colitis during an epidemic caused by a hypervirulent strain.","type":"article-journal","volume":"245"}]</w:instrText>
      </w:r>
      <w:r>
        <w:fldChar w:fldCharType="separate"/>
      </w:r>
      <w:r w:rsidRPr="002B161E">
        <w:rPr>
          <w:noProof/>
          <w:vertAlign w:val="superscript"/>
        </w:rPr>
        <w:t>68</w:t>
      </w:r>
      <w:r>
        <w:fldChar w:fldCharType="end"/>
      </w:r>
      <w:r>
        <w:rPr>
          <w:i/>
        </w:rPr>
        <w:t xml:space="preserve"> </w:t>
      </w:r>
      <w:r w:rsidR="00AB3480" w:rsidRPr="00AB3480">
        <w:rPr>
          <w:i/>
        </w:rPr>
        <w:t>C. difficile</w:t>
      </w:r>
      <w:r>
        <w:t xml:space="preserve"> produces toxins for two reasons: 1) limit competition for nutrients by destroying surrounding host-cells, and 2) sufficiently induce diarrhea to shed spores and propagate infection in new hosts.</w:t>
      </w:r>
    </w:p>
    <w:p w14:paraId="4B100374" w14:textId="75254301" w:rsidR="00135AEF" w:rsidRPr="00D02F50" w:rsidRDefault="00135AEF" w:rsidP="00135AEF">
      <w:pPr>
        <w:ind w:firstLine="720"/>
        <w:jc w:val="both"/>
      </w:pPr>
      <w:r w:rsidRPr="0042171D">
        <w:t>Both</w:t>
      </w:r>
      <w:r>
        <w:t xml:space="preserve"> toxin genes, </w:t>
      </w:r>
      <w:r>
        <w:rPr>
          <w:i/>
        </w:rPr>
        <w:t xml:space="preserve">tcdA </w:t>
      </w:r>
      <w:r>
        <w:t xml:space="preserve">and </w:t>
      </w:r>
      <w:r>
        <w:rPr>
          <w:i/>
        </w:rPr>
        <w:t xml:space="preserve">tcdB, </w:t>
      </w:r>
      <w:r>
        <w:t xml:space="preserve">are located within the PaLoc, which also contains </w:t>
      </w:r>
      <w:r>
        <w:rPr>
          <w:i/>
        </w:rPr>
        <w:t>tcdR</w:t>
      </w:r>
      <w:r>
        <w:t xml:space="preserve">, </w:t>
      </w:r>
      <w:r>
        <w:rPr>
          <w:i/>
        </w:rPr>
        <w:t>tcdE</w:t>
      </w:r>
      <w:r>
        <w:t xml:space="preserve">, and </w:t>
      </w:r>
      <w:r>
        <w:rPr>
          <w:i/>
        </w:rPr>
        <w:t>tcdC</w:t>
      </w:r>
      <w:r>
        <w:t>.</w:t>
      </w:r>
      <w:r>
        <w:fldChar w:fldCharType="begin"/>
      </w:r>
      <w:r>
        <w:instrText>ADDIN F1000_CSL_CITATION&lt;~#@#~&gt;[{"First":false,"Last":false,"PMID":"8973304","abstract":"We determined the nucleotide sequence 3.8 kb upstream and 5.2 kb downstream of the toxin genes A and B of Clostridium difficile. Nine ORFs were discovered. Based on PCR-directed approaches, two were attributed to the pathogenicity locus (PaLoc). The other seven were found in every C. difficile isolate obtained from the human gastrointestinal tract, respectless of their toxinogenicity. The ORFs cdu1 and cdu2/2' upstream of the PaLoc displayed similarity to repressors of Gram-positive bacteria (cdu1), and to an Na+/H+ antiporter described for Enterococcus hirae (cdu2/2'). Downstream of the locus a putative ABC transporter (cdd2-4) was identified. With a set of three paired primers used in polymerase chain reactions we succeeded in delineating the PaLoc. Sequencing of the appropriate stretch of DNA in C. difficile VPI10463 and four additional toxinogenic strains proved a high conservation of the borders of the PaLoc in all these strains. Our data define the locus as a distinct genetic element. Comparing the sequences of five toxinogenic and five non-toxinogenic strains the integration site of the PaLoc was defined. This showed that a stretch of 115 bp found in non-toxinogenic strains is replaced by the 19-kb locus in toxinogenic strains. Analysis of the boundary sequences showed that the locus is obviously not a mobile genetic element by itself. Instead we propose that it is the independent pathogenic part of a more extended genetic element associated with virulence. The 115 bp of non-toxinogenic strains replaced by the locus in toxinogenic strains carry the putative transcription terminator of the cdu1, a predicted repressor protein. A possible polar effect of the loss of this terminator on transcription of the TcdABCDE genes is discussed. Such an effect would explain the unidirectional insertion of the PaLoc at a single site of the C. difficile genome and might give a rationale for the development of the disease which is induced after antibiotical treatment.","author":[{"family":"Braun","given":"V"},{"family":"Hundsberger","given":"T"},{"family":"Leukel","given":"P"},{"family":"Sauerborn","given":"M"},{"family":"von Eichel-Streiber","given":"C"}],"authorYearDisplayFormat":false,"citation-label":"3092291","container-title":"Gene","container-title-short":"Gene","id":"3092291","invisible":false,"issue":"1-2","issued":{"date-parts":[["1996","11","28"]]},"journalAbbreviation":"Gene","page":"29-38","suppress-author":false,"title":"Definition of the single integration site of the pathogenicity locus in Clostridium difficile.","type":"article-journal","volume":"181"},{"DOI":"10.3109/1040841X.2011.556598","First":false,"Last":false,"PMID":"21609252","abstract":"Clostridium difficile is one of the most important causes of healthcare acquired diarrhea. The disease spectrum caused by C. difficile infection ranges from mild, self-limited, illness to a severe, life-threatening colitis. The incidence of C. difficile associated disease has risen dramatically over the last decade, leading to increased research interest aiming at the discovery of new virulence factors and the development of new treatment and prevention regimens. This review summarizes the pathogenesis and changing epidemiology of C. difficile associated disease, the clinical spectrum and laboratory methods to diagnose C. difficile infection, and current treatment strategies.","author":[{"family":"Kachrimanidou","given":"Melina"},{"family":"Malisiovas","given":"Nikolaos"}],"authorYearDisplayFormat":false,"citation-label":"2113159","container-title":"Critical reviews in microbiology","container-title-short":"Crit. Rev. Microbiol.","id":"2113159","invisible":false,"issue":"3","issued":{"date-parts":[["2011","8"]]},"journalAbbreviation":"Crit. Rev. Microbiol.","page":"178-187","suppress-author":false,"title":"Clostridium difficile infection: a comprehensive review.","type":"article-journal","volume":"37"}]</w:instrText>
      </w:r>
      <w:r>
        <w:fldChar w:fldCharType="separate"/>
      </w:r>
      <w:r w:rsidRPr="002B161E">
        <w:rPr>
          <w:noProof/>
          <w:vertAlign w:val="superscript"/>
        </w:rPr>
        <w:t>69,70</w:t>
      </w:r>
      <w:r>
        <w:fldChar w:fldCharType="end"/>
      </w:r>
      <w:r>
        <w:t xml:space="preserve"> </w:t>
      </w:r>
      <w:r>
        <w:rPr>
          <w:iCs/>
        </w:rPr>
        <w:t xml:space="preserve">As </w:t>
      </w:r>
      <w:r w:rsidR="00AB3480" w:rsidRPr="00AB3480">
        <w:rPr>
          <w:i/>
          <w:iCs/>
        </w:rPr>
        <w:t>C. difficile</w:t>
      </w:r>
      <w:r>
        <w:rPr>
          <w:i/>
          <w:iCs/>
        </w:rPr>
        <w:t xml:space="preserve"> </w:t>
      </w:r>
      <w:r>
        <w:rPr>
          <w:iCs/>
        </w:rPr>
        <w:t xml:space="preserve">germinates and approaches stationary growth, toxins </w:t>
      </w:r>
      <w:r>
        <w:t>TcdA and TcdB</w:t>
      </w:r>
      <w:r>
        <w:rPr>
          <w:iCs/>
        </w:rPr>
        <w:t xml:space="preserve"> are produced (</w:t>
      </w:r>
      <w:r>
        <w:rPr>
          <w:b/>
          <w:iCs/>
        </w:rPr>
        <w:t>Figure 1.3</w:t>
      </w:r>
      <w:r>
        <w:rPr>
          <w:iCs/>
        </w:rPr>
        <w:t xml:space="preserve">). TcdA (308kDa) and TcdB (270kDa) are large clostridial toxins that are responsible for producing the clinical phenotype of CDI. </w:t>
      </w:r>
      <w:r>
        <w:rPr>
          <w:i/>
        </w:rPr>
        <w:t xml:space="preserve">tcdR </w:t>
      </w:r>
      <w:r>
        <w:t xml:space="preserve">is an RNA sigma factor that promotes PaLoc expression, while </w:t>
      </w:r>
      <w:r>
        <w:rPr>
          <w:i/>
        </w:rPr>
        <w:t>tcdE</w:t>
      </w:r>
      <w:r>
        <w:t xml:space="preserve"> is a bacteriophage holin required for toxin secretion.</w:t>
      </w:r>
      <w:r>
        <w:fldChar w:fldCharType="begin"/>
      </w:r>
      <w:r>
        <w:instrText>ADDIN F1000_CSL_CITATION&lt;~#@#~&gt;[{"DOI":"10.1111/j.1365-2958.2006.05159.x","First":false,"Last":false,"PMID":"16677313","abstract":"The production of major extracellular toxins by pathogenic strains of Clostridium botulinum, Clostridium tetani and Clostridium difficile, and a bacteriocin by Clostridium perfringens is dependent on a related group of RNA polymerase sigma-factors. These sigma-factors (BotR, TetR, TcdR and UviA) were shown to be sufficiently similar that they could substitute for one another in in vitro DNA binding and run-off transcription experiments. In cells, however, the sigma-factors fell into two subclasses. BotR and TetR were able to direct transcription of their target genes in a fully reciprocal manner. Similarly, UviA and TcdR were fully interchangeable. Neither BotR nor TetR could substitute for UviA or TcdR, however, and neither UviA nor TcdR could direct transcription of the natural targets of BotR or TetR. The extent of functional interchangeability of the sigma-factors was attributed to the strong conservation of their subregion 4.2 sequences and the conserved -35 sequences of their target promoters, while restrictions on interchangeability were attributed to variations in their subregion 2.4 sequences and the target site -10 sequences. The four sigma-factors have been assigned to group 5 of the sigma(70) family and seem to have arisen from a common ancestral protein that may have co-evolved with the genes whose transcription they direct. A fifth Clostridiumsigma-factor, sigma(Y) of Clostridium acetobutylicum, resembles the TcdR family, but was not functionally interchangeable with members of this family.","author":[{"family":"Dupuy","given":"Bruno"},{"family":"Raffestin","given":"Stéphanie"},{"family":"Matamouros","given":"Susana"},{"family":"Mani","given":"Nagraj"},{"family":"Popoff","given":"Michel R"},{"family":"Sonenshein","given":"Abraham L"}],"authorYearDisplayFormat":false,"citation-label":"771670","container-title":"Molecular Microbiology","container-title-short":"Mol. Microbiol.","id":"771670","invisible":false,"issue":"4","issued":{"date-parts":[["2006","5"]]},"journalAbbreviation":"Mol. Microbiol.","page":"1044-1057","suppress-author":false,"title":"Regulation of toxin and bacteriocin gene expression in Clostridium by interchangeable RNA polymerase sigma factors.","type":"article-journal","volume":"60"},{"DOI":"10.1371/journal.ppat.1002727","First":false,"Last":false,"PMCID":"PMC3369941","PMID":"22685398","abstract":"The pathogenesis of Clostridium difficile, the major cause of antibiotic-associated diarrhea, is mainly associated with the production and activities of two major toxins. In many bacteria, toxins are released into the extracellular environment via the general secretion pathways. C. difficile toxins A and B have no export signature and their secretion is not explainable by cell lysis, suggesting that they might be secreted by an unusual mechanism. The TcdE protein encoded within the C. difficile pathogenicity locus (PaLoc) has predicted structural features similar to those of bacteriophage holin proteins. During many types of phage infection, host lysis is driven by an endolysin that crosses the cytoplasmic membrane through a pore formed by holin oligomerization. We demonstrated that TcdE has a holin-like activity by functionally complementing a λ phage deprived of its holin. Similar to λ holin, TcdE expressed in Escherichia coli and C. difficile formed oligomers in the cytoplamic membrane. A C. difficile tcdE mutant strain grew at the same rate as the wild-type strain, but accumulated a dramatically reduced amount of toxin proteins in the medium. However, the complemented tcdE mutant released the toxins efficiently. There was no difference in the abundance of tcdA and tcdB transcripts or of several cytoplasmic proteins in the mutant and the wild-type strains. In addition, TcdE did not overtly affect membrane integrity of C. difficile in the presence of TcdA/TcdB. Thus, TcdE acts as a holin-like protein to facilitate the release of C. difficile toxins to the extracellular environment, but, unlike the phage holins, does not cause the non-specific release of cytosolic contents. TcdE appears to be the first example of a bacterial protein that releases toxins into the environment by a phage-like system.","author":[{"family":"Govind","given":"Revathi"},{"family":"Dupuy","given":"Bruno"}],"authorYearDisplayFormat":false,"citation-label":"6678438","container-title":"PLoS Pathogens","container-title-short":"PLoS Pathog.","id":"6678438","invisible":false,"issue":"6","issued":{"date-parts":[["2012","6","7"]]},"journalAbbreviation":"PLoS Pathog.","page":"e1002727","suppress-author":false,"title":"Secretion of Clostridium difficile toxins A and B requires the holin-like protein TcdE.","type":"article-journal","volume":"8"}]</w:instrText>
      </w:r>
      <w:r>
        <w:fldChar w:fldCharType="separate"/>
      </w:r>
      <w:r w:rsidRPr="002B161E">
        <w:rPr>
          <w:noProof/>
          <w:vertAlign w:val="superscript"/>
        </w:rPr>
        <w:t>71,72</w:t>
      </w:r>
      <w:r>
        <w:fldChar w:fldCharType="end"/>
      </w:r>
      <w:r>
        <w:t xml:space="preserve"> </w:t>
      </w:r>
      <w:r>
        <w:rPr>
          <w:i/>
        </w:rPr>
        <w:t xml:space="preserve">tcdC </w:t>
      </w:r>
      <w:r>
        <w:t xml:space="preserve">is a PaLoc repressor that negatively influences PaLoc expression. </w:t>
      </w:r>
      <w:r>
        <w:rPr>
          <w:iCs/>
        </w:rPr>
        <w:t>Each toxin has four domains with specific functions, from the N-terminus to the C-terminus. The domains are: activity (A), cutting (C), delivery (D), and binding (B).</w:t>
      </w:r>
      <w:r>
        <w:rPr>
          <w:iCs/>
        </w:rPr>
        <w:fldChar w:fldCharType="begin"/>
      </w:r>
      <w:r>
        <w:rPr>
          <w:iCs/>
        </w:rPr>
        <w:instrText>ADDIN F1000_CSL_CITATION&lt;~#@#~&gt;[{"DOI":"10.1128/CMR.18.2.247-263.2005","First":false,"Last":false,"PMCID":"PMC1082799","PMID":"15831824","abstract":"As the leading cause of hospital-acquired diarrhea, Clostridium difficile colonizes the large bowel of patients undergoing antibiotic therapy and produces two toxins, which cause notable disease pathologies. These two toxins, TcdA and TcdB, are encoded on a pathogenicity locus along with negative and positive regulators of their expression. Following expression and release from the bacterium, TcdA and TcdB translocate to the cytosol of target cells and inactivate small GTP-binding proteins, which include Rho, Rac, and Cdc42. Inactivation of these substrates occurs through monoglucosylation of a single reactive threonine, which lies within the effector-binding loop and coordinates a divalent cation critical to binding GTP. By glucosylating small GTPases, TcdA and TcdB cause actin condensation and cell rounding, which is followed by death of the cell. TcdA elicits effects primarily within the intestinal epithelium, while TcdB has a broader cell tropism. Important advances in the study of these toxins have been made in the past 15 years, and these are detailed in this review. The domains, subdomains, and residues of these toxins important for receptor binding and enzymatic activity have been elegantly studied and are highlighted herein. Furthermore, there have been major advances in defining the role of these toxins in modulating the inflammatory events involving the disruption of cell junctions, neuronal activation, cytokine production, and infiltration by polymorphonuclear cells. Collectively, the present review provides a comprehensive update on TcdA and TcdB's mechanism of action as well as the role of these toxins in disease.","author":[{"family":"Voth","given":"Daniel E"},{"family":"Ballard","given":"Jimmy D"}],"authorYearDisplayFormat":false,"citation-label":"2124272","container-title":"Clinical Microbiology Reviews","container-title-short":"Clin. Microbiol. Rev.","id":"2124272","invisible":false,"issue":"2","issued":{"date-parts":[["2005","4"]]},"journalAbbreviation":"Clin. Microbiol. Rev.","page":"247-263","suppress-author":false,"title":"Clostridium difficile toxins: mechanism of action and role in disease.","type":"article-journal","volume":"18"}]</w:instrText>
      </w:r>
      <w:r>
        <w:rPr>
          <w:iCs/>
        </w:rPr>
        <w:fldChar w:fldCharType="separate"/>
      </w:r>
      <w:r w:rsidRPr="002B161E">
        <w:rPr>
          <w:iCs/>
          <w:noProof/>
          <w:vertAlign w:val="superscript"/>
        </w:rPr>
        <w:t>47</w:t>
      </w:r>
      <w:r>
        <w:rPr>
          <w:iCs/>
        </w:rPr>
        <w:fldChar w:fldCharType="end"/>
      </w:r>
      <w:r>
        <w:rPr>
          <w:iCs/>
        </w:rPr>
        <w:t xml:space="preserve"> Domain A on the N-terminus is the glucosyltransferase, the enzymatic portion of the toxin that glycosylates Rho proteins. The modification of Rho proteins causes the pathogenic effects of </w:t>
      </w:r>
      <w:r w:rsidR="00AB3480" w:rsidRPr="00AB3480">
        <w:rPr>
          <w:i/>
          <w:iCs/>
        </w:rPr>
        <w:t>C. difficile</w:t>
      </w:r>
      <w:r>
        <w:rPr>
          <w:iCs/>
        </w:rPr>
        <w:t>, and the severity of Rho glycosylation is directly proportional to the intensity of the disease state.</w:t>
      </w:r>
      <w:r>
        <w:rPr>
          <w:iCs/>
        </w:rPr>
        <w:fldChar w:fldCharType="begin"/>
      </w:r>
      <w:r>
        <w:rPr>
          <w:iCs/>
        </w:rPr>
        <w:instrText>ADDIN F1000_CSL_CITATION&lt;~#@#~&gt;[{"DOI":"10.3390/toxins7124874","First":false,"Last":false,"PMCID":"PMC4690124","PMID":"26633511","abstract":"Clostridium difficile (C. difficile) is the main cause of antibiotic-associated diarrhea prevailing in hospital settings. In the past decade, the morbidity and mortality of C. difficile infection (CDI) has increased significantly due to the emergence of hypervirulent strains. Toxin A (TcdA) and toxin B (TcdB), the two exotoxins of C. difficile, are the major virulence factors of CDI. The common mode of action of TcdA and TcdB is elicited by specific glucosylation of Rho-GTPase proteins in the host cytosol using UDP-glucose as a co-substrate, resulting in the inactivation of Rho proteins. Rho proteins are the key members in many biological processes and signaling pathways, inactivation of which leads to cytopathic and cytotoxic effects and immune responses of the host cells. It is supposed that Rho GTPases play an important role in the toxicity of C. difficile toxins. This review focuses on recent progresses in the understanding of functional consequences of Rho GTPases glucosylation induced by C. difficile toxins and the role of Rho GTPases in the toxicity of TcdA and TcdB. ","author":[{"family":"Chen","given":"Shuyi"},{"family":"Sun","given":"Chunli"},{"family":"Wang","given":"Haiying"},{"family":"Wang","given":"Jufang"}],"authorYearDisplayFormat":false,"citation-label":"5148283","container-title":"Toxins","container-title-short":"Toxins (Basel)","id":"5148283","invisible":false,"issue":"12","issued":{"date-parts":[["2015","12","2"]]},"journalAbbreviation":"Toxins (Basel)","page":"5254-5267","suppress-author":false,"title":"The Role of Rho GTPases in Toxicity of Clostridium difficile Toxins.","type":"article-journal","volume":"7"}]</w:instrText>
      </w:r>
      <w:r>
        <w:rPr>
          <w:iCs/>
        </w:rPr>
        <w:fldChar w:fldCharType="separate"/>
      </w:r>
      <w:r w:rsidRPr="002B161E">
        <w:rPr>
          <w:iCs/>
          <w:noProof/>
          <w:vertAlign w:val="superscript"/>
        </w:rPr>
        <w:t>73</w:t>
      </w:r>
      <w:r>
        <w:rPr>
          <w:iCs/>
        </w:rPr>
        <w:fldChar w:fldCharType="end"/>
      </w:r>
      <w:r>
        <w:rPr>
          <w:iCs/>
        </w:rPr>
        <w:t xml:space="preserve"> Domain B is comprised of a combined repetitive peptides (CROP) motif that is responsible for recognizing and binding cell-surface receptors.</w:t>
      </w:r>
      <w:r>
        <w:rPr>
          <w:iCs/>
        </w:rPr>
        <w:fldChar w:fldCharType="begin"/>
      </w:r>
      <w:r>
        <w:rPr>
          <w:iCs/>
        </w:rPr>
        <w:instrText>ADDIN F1000_CSL_CITATION&lt;~#@#~&gt;[{"DOI":"10.1128/CMR.18.2.247-263.2005","First":false,"Last":false,"PMCID":"PMC1082799","PMID":"15831824","abstract":"As the leading cause of hospital-acquired diarrhea, Clostridium difficile colonizes the large bowel of patients undergoing antibiotic therapy and produces two toxins, which cause notable disease pathologies. These two toxins, TcdA and TcdB, are encoded on a pathogenicity locus along with negative and positive regulators of their expression. Following expression and release from the bacterium, TcdA and TcdB translocate to the cytosol of target cells and inactivate small GTP-binding proteins, which include Rho, Rac, and Cdc42. Inactivation of these substrates occurs through monoglucosylation of a single reactive threonine, which lies within the effector-binding loop and coordinates a divalent cation critical to binding GTP. By glucosylating small GTPases, TcdA and TcdB cause actin condensation and cell rounding, which is followed by death of the cell. TcdA elicits effects primarily within the intestinal epithelium, while TcdB has a broader cell tropism. Important advances in the study of these toxins have been made in the past 15 years, and these are detailed in this review. The domains, subdomains, and residues of these toxins important for receptor binding and enzymatic activity have been elegantly studied and are highlighted herein. Furthermore, there have been major advances in defining the role of these toxins in modulating the inflammatory events involving the disruption of cell junctions, neuronal activation, cytokine production, and infiltration by polymorphonuclear cells. Collectively, the present review provides a comprehensive update on TcdA and TcdB's mechanism of action as well as the role of these toxins in disease.","author":[{"family":"Voth","given":"Daniel E"},{"family":"Ballard","given":"Jimmy D"}],"authorYearDisplayFormat":false,"citation-label":"2124272","container-title":"Clinical Microbiology Reviews","container-title-short":"Clin. Microbiol. Rev.","id":"2124272","invisible":false,"issue":"2","issued":{"date-parts":[["2005","4"]]},"journalAbbreviation":"Clin. Microbiol. Rev.","page":"247-263","suppress-author":false,"title":"Clostridium difficile toxins: mechanism of action and role in disease.","type":"article-journal","volume":"18"}]</w:instrText>
      </w:r>
      <w:r>
        <w:rPr>
          <w:iCs/>
        </w:rPr>
        <w:fldChar w:fldCharType="separate"/>
      </w:r>
      <w:r w:rsidRPr="002B161E">
        <w:rPr>
          <w:iCs/>
          <w:noProof/>
          <w:vertAlign w:val="superscript"/>
        </w:rPr>
        <w:t>47</w:t>
      </w:r>
      <w:r>
        <w:rPr>
          <w:iCs/>
        </w:rPr>
        <w:fldChar w:fldCharType="end"/>
      </w:r>
      <w:r>
        <w:rPr>
          <w:iCs/>
        </w:rPr>
        <w:t xml:space="preserve"> The cutting domain C</w:t>
      </w:r>
      <w:r w:rsidR="00D05A42">
        <w:rPr>
          <w:iCs/>
        </w:rPr>
        <w:t>,</w:t>
      </w:r>
      <w:r>
        <w:rPr>
          <w:iCs/>
        </w:rPr>
        <w:t xml:space="preserve"> is an autoproteolytic domain that is activated when exposed to the cytosol, to cleave the toxin and release the N-terminal glucosyltransferase domain A. The toxins share approximately 50% sequence identity, with significant differences in the binding domain. </w:t>
      </w:r>
    </w:p>
    <w:p w14:paraId="4061632A" w14:textId="77777777" w:rsidR="00135AEF" w:rsidRDefault="00135AEF" w:rsidP="00135AEF">
      <w:pPr>
        <w:ind w:firstLine="720"/>
        <w:jc w:val="both"/>
        <w:rPr>
          <w:iCs/>
        </w:rPr>
      </w:pPr>
      <w:r>
        <w:rPr>
          <w:iCs/>
        </w:rPr>
        <w:t xml:space="preserve">TcdA binds glycoprotein gp96 in HT29 cells </w:t>
      </w:r>
      <w:r>
        <w:rPr>
          <w:i/>
          <w:iCs/>
        </w:rPr>
        <w:t>in vitro</w:t>
      </w:r>
      <w:r>
        <w:rPr>
          <w:iCs/>
        </w:rPr>
        <w:t>, and several non-human glycan sequences.</w:t>
      </w:r>
      <w:r>
        <w:rPr>
          <w:iCs/>
        </w:rPr>
        <w:fldChar w:fldCharType="begin"/>
      </w:r>
      <w:r>
        <w:rPr>
          <w:iCs/>
        </w:rPr>
        <w:instrText>ADDIN F1000_CSL_CITATION&lt;~#@#~&gt;[{"DOI":"10.1007/82_2016_17","First":false,"Last":false,"PMID":"27380268","abstract":"Two characteristics of toxins A and B from C. difficile (TcdA, TcdB) are important for the understanding of the pathogenic effect of these homologous toxins. First, these toxins are huge single-chain but multidomain proteins that display their action intracellularly within the cytosol of host cells. And second, albeit various cell types highly differ in their sensitivity toward these toxins, no toxin-resistant cell type has been described yet. Investigation of receptor-mediated uptake of these toxins is very ambitious. It demands discrimination between cell surface binding, interaction with more than one functional receptor responsible for uptake as well as other functional receptors that recognize bacterial pathogens and are not necessarily related with endocytosis. The current understanding of a complex uptake process is that TcdB interacts with at least two facultative receptors that mediate entry into host cells by redundant endocytotic pathways. Although both homologous toxins do obviously not share the same receptors, this principle of redundant binding domains found for TcdB does also account for TcdA.","author":[{"family":"Gerhard","given":"Ralf"}],"authorYearDisplayFormat":false,"citation-label":"6678493","container-title":"Current Topics in Microbiology and Immunology","container-title-short":"Curr. Top. Microbiol. Immunol.","id":"6678493","invisible":false,"issued":{"date-parts":[["2017"]]},"journalAbbreviation":"Curr. Top. Microbiol. Immunol.","page":"79-96","suppress-author":false,"title":"Receptors and Binding Structures for Clostridium difficile Toxins A and B.","type":"article-journal","volume":"406"},{"DOI":"10.1146/annurev-micro-090816-093458","First":false,"Last":false,"PMID":"28657883","abstract":"Clostridium difficile is the cause of antibiotics-associated diarrhea and pseudomembranous colitis. The pathogen produces three protein toxins: C. difficile toxins A (TcdA) and B (TcdB), and C. difficile transferase toxin (CDT). The single-chain toxins TcdA and TcdB are the main virulence factors. They bind to cell membrane receptors and are internalized. The N-terminal glucosyltransferase and autoprotease domains of the toxins translocate from low-pH endosomes into the cytosol. After activation by inositol hexakisphosphate (InsP6), the autoprotease cleaves and releases the glucosyltransferase domain into the cytosol, where GTP-binding proteins of the Rho/Ras family are mono-O-glucosylated and, thereby, inactivated. Inactivation of Rho proteins disturbs the organization of the cytoskeleton and affects multiple Rho-dependent cellular processes, including loss of epithelial barrier functions, induction of apoptosis, and inflammation. CDT, the third C. difficile toxin, is a binary actin-ADP-ribosylating toxin that causes depolymerization of actin, thereby inducing formation of the microtubule-based protrusions. Recent progress in understanding of the toxins' actions include insights into the toxin structures, their interaction with host cells, and functional consequences of their actions.","author":[{"family":"Aktories","given":"Klaus"},{"family":"Schwan","given":"Carsten"},{"family":"Jank","given":"Thomas"}],"authorYearDisplayFormat":false,"citation-label":"6678355","container-title":"Annual Review of Microbiology","container-title-short":"Annu. Rev. Microbiol.","id":"6678355","invisible":false,"issued":{"date-parts":[["2017","9","8"]]},"journalAbbreviation":"Annu. Rev. Microbiol.","page":"281-307","suppress-author":false,"title":"Clostridium difficile Toxin Biology.","type":"article-journal","volume":"71"}]</w:instrText>
      </w:r>
      <w:r>
        <w:rPr>
          <w:iCs/>
        </w:rPr>
        <w:fldChar w:fldCharType="separate"/>
      </w:r>
      <w:r w:rsidRPr="002B161E">
        <w:rPr>
          <w:iCs/>
          <w:noProof/>
          <w:vertAlign w:val="superscript"/>
        </w:rPr>
        <w:t>74,75</w:t>
      </w:r>
      <w:r>
        <w:rPr>
          <w:iCs/>
        </w:rPr>
        <w:fldChar w:fldCharType="end"/>
      </w:r>
      <w:r>
        <w:rPr>
          <w:iCs/>
        </w:rPr>
        <w:t xml:space="preserve"> Evidence suggests gp96 is largely a cofactor that enhances binding, </w:t>
      </w:r>
      <w:r>
        <w:rPr>
          <w:iCs/>
        </w:rPr>
        <w:lastRenderedPageBreak/>
        <w:t>as gp96 expression is not required for TcdA internalization or virulence.</w:t>
      </w:r>
      <w:r>
        <w:rPr>
          <w:iCs/>
        </w:rPr>
        <w:fldChar w:fldCharType="begin"/>
      </w:r>
      <w:r>
        <w:rPr>
          <w:iCs/>
        </w:rPr>
        <w:instrText>ADDIN F1000_CSL_CITATION&lt;~#@#~&gt;[{"DOI":"10.1002/1873-3468.12487","First":false,"Last":false,"PMID":"27861794","abstract":"TcdA (308 kDa) and TcdB (270 kDa) disrupt the integrity of the intestinal epithelial barrier and provide an environment favorable for Clostridium difficile colonization. Recent evidence suggests that entry of TcdA into cells is mediated by at least two domains. Here, we report the characterization of a second receptor-binding domain (RBD2) for TcdA. While both the isolated combined repetitive oligopeptides (CROPs) and RBD2 fragments are rapidly internalized into cells under physiologic conditions, only the CROPs domain appreciably accumulates at the cell surface. Once internalized, CROPs and RBD2 are trafficked to late endosomal compartments. An internal deletion of RBD2 from TcdA holotoxin ablated toxicity in HT29 cells. These data are consistent with the recently proposed dual receptor model of cellular entry.&lt;br&gt;&lt;br&gt;© 2016 Federation of European Biochemical Societies.","author":[{"family":"Lambert","given":"Gregory S"},{"family":"Baldwin","given":"Michael R"}],"authorYearDisplayFormat":false,"citation-label":"6678502","container-title":"FEBS Letters","container-title-short":"FEBS Lett.","id":"6678502","invisible":false,"issue":"24","issued":{"date-parts":[["2016","12","1"]]},"journalAbbreviation":"FEBS Lett.","page":"4550-4563","suppress-author":false,"title":"Evidence for dual receptor-binding sites in Clostridium difficile toxin A.","type":"article-journal","volume":"590"}]</w:instrText>
      </w:r>
      <w:r>
        <w:rPr>
          <w:iCs/>
        </w:rPr>
        <w:fldChar w:fldCharType="separate"/>
      </w:r>
      <w:r w:rsidRPr="002B161E">
        <w:rPr>
          <w:iCs/>
          <w:noProof/>
          <w:vertAlign w:val="superscript"/>
        </w:rPr>
        <w:t>76</w:t>
      </w:r>
      <w:r>
        <w:rPr>
          <w:iCs/>
        </w:rPr>
        <w:fldChar w:fldCharType="end"/>
      </w:r>
      <w:r>
        <w:rPr>
          <w:iCs/>
        </w:rPr>
        <w:t xml:space="preserve"> The required extracellular receptor(s) that induce  TcdA internalization remain unknown. Upon receptor binding, internalization via endocytosis proceeds in a syndapin-II and dynamin mediated fashion.</w:t>
      </w:r>
      <w:r>
        <w:rPr>
          <w:iCs/>
        </w:rPr>
        <w:fldChar w:fldCharType="begin"/>
      </w:r>
      <w:r>
        <w:rPr>
          <w:iCs/>
        </w:rPr>
        <w:instrText>ADDIN F1000_CSL_CITATION&lt;~#@#~&gt;[{"DOI":"10.1371/journal.ppat.1006070","First":false,"Last":false,"PMCID":"PMC5152916","PMID":"27942025","abstract":"Clostridium difficile infection affects a significant number of hospitalized patients in the United States. Two homologous exotoxins, TcdA and TcdB, are the major virulence factors in C. difficile pathogenesis. The toxins are glucosyltransferases that inactivate Rho family-GTPases to disrupt host cellular function and cause fluid secretion, inflammation, and cell death. Toxicity depends on receptor binding and subsequent endocytosis. TcdB has been shown to enter cells by clathrin-dependent endocytosis, but the mechanism of TcdA uptake is still unclear. Here, we utilize a combination of RNAi-based knockdown, pharmacological inhibition, and cell imaging approaches to investigate the endocytic mechanism(s) that contribute to TcdA uptake and subsequent cytopathic and cytotoxic effects. We show that TcdA uptake and cellular intoxication is dynamin-dependent but does not involve clathrin- or caveolae-mediated endocytosis. Confocal microscopy using fluorescently labeled TcdA shows significant colocalization of the toxin with PACSIN2-positive structures in cells during entry. Disruption of PACSIN2 function by RNAi-based knockdown approaches inhibits TcdA uptake and toxin-induced downstream effects in cells indicating that TcdA entry is PACSIN2-dependent. We conclude that TcdA and TcdB utilize distinct endocytic mechanisms to intoxicate host cells.","author":[{"family":"Chandrasekaran","given":"Ramyavardhanee"},{"family":"Kenworthy","given":"Anne K"},{"family":"Lacy","given":"D Borden"}],"authorYearDisplayFormat":false,"citation-label":"6681245","container-title":"PLoS Pathogens","container-title-short":"PLoS Pathog.","id":"6681245","invisible":false,"issue":"12","issued":{"date-parts":[["2016","12","12"]]},"journalAbbreviation":"PLoS Pathog.","page":"e1006070","suppress-author":false,"title":"Clostridium difficile Toxin A Undergoes Clathrin-Independent, PACSIN2-Dependent Endocytosis.","type":"article-journal","volume":"12"}]</w:instrText>
      </w:r>
      <w:r>
        <w:rPr>
          <w:iCs/>
        </w:rPr>
        <w:fldChar w:fldCharType="separate"/>
      </w:r>
      <w:r w:rsidRPr="002B161E">
        <w:rPr>
          <w:iCs/>
          <w:noProof/>
          <w:vertAlign w:val="superscript"/>
        </w:rPr>
        <w:t>77</w:t>
      </w:r>
      <w:r>
        <w:rPr>
          <w:iCs/>
        </w:rPr>
        <w:fldChar w:fldCharType="end"/>
      </w:r>
      <w:r>
        <w:rPr>
          <w:iCs/>
        </w:rPr>
        <w:t xml:space="preserve"> TcdB has been shown to bind chondroitin sulfate proteoglycan 4 (CSPG4) and the Wnt receptor Frizzled (FZD), both present on the cell surface.</w:t>
      </w:r>
      <w:r>
        <w:rPr>
          <w:iCs/>
        </w:rPr>
        <w:fldChar w:fldCharType="begin"/>
      </w:r>
      <w:r>
        <w:rPr>
          <w:iCs/>
        </w:rPr>
        <w:instrText>ADDIN F1000_CSL_CITATION&lt;~#@#~&gt;[{"DOI":"10.1038/nature19799","First":false,"Last":false,"PMCID":"PMC5519134","PMID":"27680706","abstract":"Clostridium difficile toxin B (TcdB) is a critical virulence factor that causes diseases associated with C. difficile infection. Here we carried out CRISPR-Cas9-mediated genome-wide screens and identified the members of the Wnt receptor frizzled family (FZDs) as TcdB receptors. TcdB binds to the conserved Wnt-binding site known as the cysteine-rich domain (CRD), with the highest affinity towards FZD1, 2 and 7. TcdB competes with Wnt for binding to FZDs, and its binding blocks Wnt signalling. FZD1/2/7 triple-knockout cells are highly resistant to TcdB, and recombinant FZD2-CRD prevented TcdB binding to the colonic epithelium. Colonic organoids cultured from FZD7-knockout mice, combined with knockdown of FZD1 and 2, showed increased resistance to TcdB. The colonic epithelium in FZD7-knockout mice was less susceptible to TcdB-induced tissue damage in vivo. These findings establish FZDs as physiologically relevant receptors for TcdB in the colonic epithelium.","author":[{"family":"Tao","given":"Liang"},{"family":"Zhang","given":"Jie"},{"family":"Meraner","given":"Paul"},{"family":"Tovaglieri","given":"Alessio"},{"family":"Wu","given":"Xiaoqian"},{"family":"Gerhard","given":"Ralf"},{"family":"Zhang","given":"Xinjun"},{"family":"Stallcup","given":"William B"},{"family":"Miao","given":"Ji"},{"family":"He","given":"Xi"},{"family":"Hurdle","given":"Julian G"},{"family":"Breault","given":"David T"},{"family":"Brass","given":"Abraham L"},{"family":"Dong","given":"Min"}],"authorYearDisplayFormat":false,"citation-label":"2152579","container-title":"Nature","container-title-short":"Nature","id":"2152579","invisible":false,"issue":"7625","issued":{"date-parts":[["2016","10","20"]]},"journalAbbreviation":"Nature","page":"350-355","suppress-author":false,"title":"Frizzled proteins are colonic epithelial receptors for C. difficile toxin B.","type":"article-journal","volume":"538"},{"DOI":"10.1073/pnas.1500791112","First":false,"Last":false,"PMCID":"PMC4460460","PMID":"26038560","abstract":"Clostridium difficile is the leading cause of hospital-acquired diarrhea in the United States. The two main virulence factors of C. difficile are the large toxins, TcdA and TcdB, which enter colonic epithelial cells and cause fluid secretion, inflammation, and cell death. Using a gene-trap insertional mutagenesis screen, we identified poliovirus receptor-like 3 (PVRL3) as a cellular factor necessary for TcdB-mediated cytotoxicity. Disruption of PVRL3 expression by gene-trap mutagenesis, shRNA, or CRISPR/Cas9 mutagenesis resulted in resistance of cells to TcdB. Complementation of the gene-trap or CRISPR mutants with PVRL3 resulted in restoration of TcdB-mediated cell death. Purified PVRL3 ectodomain bound to TcdB by pull-down. Pretreatment of cells with a monoclonal antibody against PVRL3 or prebinding TcdB to PVRL3 ectodomain also inhibited cytotoxicity in cell culture. The receptor is highly expressed on the surface epithelium of the human colon and was observed to colocalize with TcdB in both an explant model and in tissue from a patient with pseudomembranous colitis. These data suggest PVRL3 is a physiologically relevant binding partner that can serve as a target for the prevention of TcdB-induced cytotoxicity in C. difficile infection. ","author":[{"family":"LaFrance","given":"Michelle E"},{"family":"Farrow","given":"Melissa A"},{"family":"Chandrasekaran","given":"Ramyavardhanee"},{"family":"Sheng","given":"Jinsong"},{"family":"Rubin","given":"Donald H"},{"family":"Lacy","given":"D Borden"}],"authorYearDisplayFormat":false,"citation-label":"4700385","container-title":"Proceedings of the National Academy of Sciences of the United States of America","container-title-short":"Proc Natl Acad Sci USA","id":"4700385","invisible":false,"issue":"22","issued":{"date-parts":[["2015","6","2"]]},"journalAbbreviation":"Proc Natl Acad Sci USA","page":"7073-7078","suppress-author":false,"title":"Identification of an epithelial cell receptor responsible for Clostridium difficile TcdB-induced cytotoxicity.","type":"article-journal","volume":"112"}]</w:instrText>
      </w:r>
      <w:r>
        <w:rPr>
          <w:iCs/>
        </w:rPr>
        <w:fldChar w:fldCharType="separate"/>
      </w:r>
      <w:r w:rsidRPr="002B161E">
        <w:rPr>
          <w:iCs/>
          <w:noProof/>
          <w:vertAlign w:val="superscript"/>
        </w:rPr>
        <w:t>78,79</w:t>
      </w:r>
      <w:r>
        <w:rPr>
          <w:iCs/>
        </w:rPr>
        <w:fldChar w:fldCharType="end"/>
      </w:r>
      <w:r>
        <w:rPr>
          <w:iCs/>
        </w:rPr>
        <w:t xml:space="preserve"> However, TcdB is internalized via clathrin mediated endocytosis, which differs from TcdA.</w:t>
      </w:r>
      <w:r>
        <w:rPr>
          <w:iCs/>
        </w:rPr>
        <w:fldChar w:fldCharType="begin"/>
      </w:r>
      <w:r>
        <w:rPr>
          <w:iCs/>
        </w:rPr>
        <w:instrText>ADDIN F1000_CSL_CITATION&lt;~#@#~&gt;[{"DOI":"10.1371/journal.pone.0010673","First":false,"Last":false,"PMCID":"PMC2871790","PMID":"20498856","abstract":"Clostridium difficile toxin A (TcdA) and toxin B (TcdB), C. sordellii lethal toxin (TcsL) and C. novyi alpha-toxin (TcnA) are important pathogenicity factors, which represent the family of the clostridial glucosylating toxins (CGTs). Toxin A and B are associated with antibiotic-associated diarrhea and pseudomembraneous colitis. Lethal toxin is involved in toxic shock syndrome after abortion and alpha-toxin in gas gangrene development. CGTs enter cells via receptor-mediated endocytosis and require an acidified endosome for translocation of the catalytic domain into the cytosol. Here we studied the endocytic processes that mediate cell internalization of the CGTs. Intoxication of cells was monitored by analyzing cell morphology, status of Rac glucosylation in cell lysates and transepithelial resistance of cell monolayers. We found that the intoxication of cultured cells by CGTs was strongly delayed when cells were preincubated with dynasore, a cell-permeable inhibitor of dynamin, or chlorpromazine, an inhibitor of the clathrin-dependent endocytic pathway. Additional evidence about the role of clathrin in the uptake of the prototypical CGT family member toxin B was achieved by expression of a dominant-negative inhibitor of the clathrin-mediated endocytosis (Eps15 DN) or by siRNA against the clathrin heavy chain. Accordingly, cells that expressed dominant-negative caveolin-1 were not protected from toxin B-induced cell rounding. In addition, lipid rafts impairment by exogenous depletion of sphingomyelin did not decelerate intoxication of HeLa cells by CGTs. Taken together, our data indicate that the endocytic uptake of the CGTs involves a dynamin-dependent process that is mainly governed by clathrin.","author":[{"family":"Papatheodorou","given":"Panagiotis"},{"family":"Zamboglou","given":"Constantinos"},{"family":"Genisyuerek","given":"Selda"},{"family":"Guttenberg","given":"Gregor"},{"family":"Aktories","given":"Klaus"}],"authorYearDisplayFormat":false,"citation-label":"6681359","container-title":"Plos One","container-title-short":"PLoS ONE","id":"6681359","invisible":false,"issue":"5","issued":{"date-parts":[["2010","5","17"]]},"journalAbbreviation":"PLoS ONE","page":"e10673","suppress-author":false,"title":"Clostridial glucosylating toxins enter cells via clathrin-mediated endocytosis.","type":"article-journal","volume":"5"}]</w:instrText>
      </w:r>
      <w:r>
        <w:rPr>
          <w:iCs/>
        </w:rPr>
        <w:fldChar w:fldCharType="separate"/>
      </w:r>
      <w:r w:rsidRPr="002B161E">
        <w:rPr>
          <w:iCs/>
          <w:noProof/>
          <w:vertAlign w:val="superscript"/>
        </w:rPr>
        <w:t>80</w:t>
      </w:r>
      <w:r>
        <w:rPr>
          <w:iCs/>
        </w:rPr>
        <w:fldChar w:fldCharType="end"/>
      </w:r>
    </w:p>
    <w:p w14:paraId="73261CEB" w14:textId="77777777" w:rsidR="00135AEF" w:rsidRDefault="00135AEF" w:rsidP="00135AEF">
      <w:pPr>
        <w:keepNext/>
        <w:jc w:val="center"/>
      </w:pPr>
      <w:r w:rsidRPr="00F9529F">
        <w:rPr>
          <w:noProof/>
        </w:rPr>
        <w:drawing>
          <wp:inline distT="0" distB="0" distL="0" distR="0" wp14:anchorId="57E4BB80" wp14:editId="0EB5CCB2">
            <wp:extent cx="5783040" cy="4343400"/>
            <wp:effectExtent l="0" t="0" r="0" b="0"/>
            <wp:docPr id="13" name="Picture 38"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10;&#10;Description automatically generated"/>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3111" cy="4350964"/>
                    </a:xfrm>
                    <a:prstGeom prst="rect">
                      <a:avLst/>
                    </a:prstGeom>
                    <a:noFill/>
                    <a:ln>
                      <a:noFill/>
                    </a:ln>
                  </pic:spPr>
                </pic:pic>
              </a:graphicData>
            </a:graphic>
          </wp:inline>
        </w:drawing>
      </w:r>
    </w:p>
    <w:p w14:paraId="18305B56" w14:textId="7B142215" w:rsidR="00135AEF" w:rsidRPr="00573D19" w:rsidRDefault="00135AEF" w:rsidP="00135AEF">
      <w:pPr>
        <w:pStyle w:val="Caption"/>
        <w:rPr>
          <w:iCs/>
        </w:rPr>
      </w:pPr>
      <w:bookmarkStart w:id="16" w:name="_Toc5807395"/>
      <w:r w:rsidRPr="00573D19">
        <w:t>Figure 1.</w:t>
      </w:r>
      <w:r>
        <w:rPr>
          <w:noProof/>
        </w:rPr>
        <w:fldChar w:fldCharType="begin"/>
      </w:r>
      <w:r>
        <w:rPr>
          <w:noProof/>
        </w:rPr>
        <w:instrText xml:space="preserve"> SEQ Figure \* ARABIC </w:instrText>
      </w:r>
      <w:r>
        <w:rPr>
          <w:noProof/>
        </w:rPr>
        <w:fldChar w:fldCharType="separate"/>
      </w:r>
      <w:r w:rsidR="0032380F">
        <w:rPr>
          <w:noProof/>
        </w:rPr>
        <w:t>3</w:t>
      </w:r>
      <w:r>
        <w:rPr>
          <w:noProof/>
        </w:rPr>
        <w:fldChar w:fldCharType="end"/>
      </w:r>
      <w:r>
        <w:rPr>
          <w:iCs/>
        </w:rPr>
        <w:t xml:space="preserve"> </w:t>
      </w:r>
      <w:r w:rsidRPr="00573D19">
        <w:rPr>
          <w:iCs/>
        </w:rPr>
        <w:t>Toxin mechanism of action against epithelial cells.</w:t>
      </w:r>
      <w:bookmarkEnd w:id="16"/>
      <w:r w:rsidRPr="00573D19">
        <w:rPr>
          <w:iCs/>
        </w:rPr>
        <w:t xml:space="preserve"> </w:t>
      </w:r>
    </w:p>
    <w:p w14:paraId="122C9E61" w14:textId="1868A054" w:rsidR="00135AEF" w:rsidRPr="001A7052" w:rsidRDefault="00135AEF" w:rsidP="00135AEF">
      <w:pPr>
        <w:spacing w:line="240" w:lineRule="auto"/>
        <w:jc w:val="both"/>
        <w:rPr>
          <w:b/>
          <w:iCs/>
        </w:rPr>
      </w:pPr>
      <w:r>
        <w:rPr>
          <w:iCs/>
        </w:rPr>
        <w:t>A) TcdA and TcdB: once internalized, each toxin undergoes the same uptake and release process after endosome engulfment. The toxin-receptor complex is enveloped and pinched off at the cell surface, forming the endosome. As the pH inside the endosome becomes acidified the toxin changes conformation and embeds into the endosomal wall using domain B. Once embedded, A and C domains are exposed to the cytosol and inositol hexakisphosphate (IP</w:t>
      </w:r>
      <w:r>
        <w:rPr>
          <w:iCs/>
          <w:vertAlign w:val="subscript"/>
        </w:rPr>
        <w:t>6</w:t>
      </w:r>
      <w:r>
        <w:rPr>
          <w:iCs/>
        </w:rPr>
        <w:t xml:space="preserve">) activates CPD (domain C) to autoproteolytically cleave, releasing GTD (domain A). The glucosyltransferase is then free to glycosylate Rho proteins. B) CdtA </w:t>
      </w:r>
      <w:r>
        <w:rPr>
          <w:iCs/>
        </w:rPr>
        <w:lastRenderedPageBreak/>
        <w:t xml:space="preserve">and CdtB: once expressed, forming a dimer which binds </w:t>
      </w:r>
      <w:r w:rsidR="001B0C84">
        <w:rPr>
          <w:iCs/>
        </w:rPr>
        <w:t>lipoprotein receptor (LSR)</w:t>
      </w:r>
      <w:r>
        <w:rPr>
          <w:iCs/>
        </w:rPr>
        <w:t xml:space="preserve">. CdtAB is then internalized, and as the endosome is acidified CdtB will and embed into the endosomal wall forming a pore that CdtA will diffuse through. CdtA, an ADP-ribosyl transferase, will then bind to uncapped actin to prevent polymerization and cause actin filaments to protrude outside the cellular surface. This image was modified and adapted from Pamer </w:t>
      </w:r>
      <w:r>
        <w:rPr>
          <w:i/>
          <w:iCs/>
        </w:rPr>
        <w:t>et al.</w:t>
      </w:r>
      <w:r>
        <w:rPr>
          <w:i/>
          <w:iCs/>
        </w:rPr>
        <w:fldChar w:fldCharType="begin"/>
      </w:r>
      <w:r>
        <w:rPr>
          <w:i/>
          <w:iCs/>
        </w:rPr>
        <w:instrText>ADDIN F1000_CSL_CITATION&lt;~#@#~&gt;[{"DOI":"10.1038/nrmicro.2016.108","First":false,"Last":false,"PMCID":"PMC5109054","PMID":"27573580","abstract":"Clostridium difficile is a major cause of intestinal infection and diarrhoea in individuals following antibiotic treatment. Recent studies have begun to elucidate the mechanisms that induce spore formation and germination and have determined the roles of C. difficile toxins in disease pathogenesis. Exciting progress has also been made in defining the role of the microbiome, specific commensal bacterial species and host immunity in defence against infection with C. difficile. This Review will summarize the recent discoveries and developments in our understanding of C. difficile infection and pathogenesis.","author":[{"family":"Abt","given":"Michael C"},{"family":"McKenney","given":"Peter T"},{"family":"Pamer","given":"Eric G"}],"authorYearDisplayFormat":false,"citation-label":"2062428","container-title":"Nature Reviews. Microbiology","container-title-short":"Nat. Rev. Microbiol.","id":"2062428","invisible":false,"issue":"10","issued":{"date-parts":[["2016","8","30"]]},"journalAbbreviation":"Nat. Rev. Microbiol.","page":"609-620","suppress-author":false,"title":"Clostridium difficile colitis: pathogenesis and host defence.","type":"article-journal","volume":"14"}]</w:instrText>
      </w:r>
      <w:r>
        <w:rPr>
          <w:i/>
          <w:iCs/>
        </w:rPr>
        <w:fldChar w:fldCharType="separate"/>
      </w:r>
      <w:r w:rsidRPr="002B161E">
        <w:rPr>
          <w:iCs/>
          <w:noProof/>
          <w:vertAlign w:val="superscript"/>
        </w:rPr>
        <w:t>64</w:t>
      </w:r>
      <w:r>
        <w:rPr>
          <w:i/>
          <w:iCs/>
        </w:rPr>
        <w:fldChar w:fldCharType="end"/>
      </w:r>
    </w:p>
    <w:p w14:paraId="54C4A230" w14:textId="77777777" w:rsidR="00135AEF" w:rsidRDefault="00135AEF" w:rsidP="00135AEF">
      <w:pPr>
        <w:jc w:val="both"/>
      </w:pPr>
    </w:p>
    <w:p w14:paraId="05F58454" w14:textId="58A633F2" w:rsidR="00135AEF" w:rsidRPr="008D1AE6" w:rsidRDefault="00135AEF" w:rsidP="008D1AE6">
      <w:pPr>
        <w:ind w:firstLine="720"/>
        <w:jc w:val="both"/>
        <w:rPr>
          <w:iCs/>
        </w:rPr>
      </w:pPr>
      <w:r>
        <w:rPr>
          <w:iCs/>
        </w:rPr>
        <w:t xml:space="preserve">Approximately 5-30% of hypervirulent </w:t>
      </w:r>
      <w:r w:rsidR="00AB3480" w:rsidRPr="00AB3480">
        <w:rPr>
          <w:i/>
          <w:iCs/>
        </w:rPr>
        <w:t>C. difficile</w:t>
      </w:r>
      <w:r>
        <w:rPr>
          <w:iCs/>
        </w:rPr>
        <w:t xml:space="preserve"> strains produce a third toxin known as “CDT” or “binary toxin”.</w:t>
      </w:r>
      <w:r>
        <w:rPr>
          <w:iCs/>
        </w:rPr>
        <w:fldChar w:fldCharType="begin"/>
      </w:r>
      <w:r>
        <w:rPr>
          <w:iCs/>
        </w:rPr>
        <w:instrText>ADDIN F1000_CSL_CITATION&lt;~#@#~&gt;[{"DOI":"10.1146/annurev-micro-090816-093458","First":false,"Last":false,"PMID":"28657883","abstract":"Clostridium difficile is the cause of antibiotics-associated diarrhea and pseudomembranous colitis. The pathogen produces three protein toxins: C. difficile toxins A (TcdA) and B (TcdB), and C. difficile transferase toxin (CDT). The single-chain toxins TcdA and TcdB are the main virulence factors. They bind to cell membrane receptors and are internalized. The N-terminal glucosyltransferase and autoprotease domains of the toxins translocate from low-pH endosomes into the cytosol. After activation by inositol hexakisphosphate (InsP6), the autoprotease cleaves and releases the glucosyltransferase domain into the cytosol, where GTP-binding proteins of the Rho/Ras family are mono-O-glucosylated and, thereby, inactivated. Inactivation of Rho proteins disturbs the organization of the cytoskeleton and affects multiple Rho-dependent cellular processes, including loss of epithelial barrier functions, induction of apoptosis, and inflammation. CDT, the third C. difficile toxin, is a binary actin-ADP-ribosylating toxin that causes depolymerization of actin, thereby inducing formation of the microtubule-based protrusions. Recent progress in understanding of the toxins' actions include insights into the toxin structures, their interaction with host cells, and functional consequences of their actions.","author":[{"family":"Aktories","given":"Klaus"},{"family":"Schwan","given":"Carsten"},{"family":"Jank","given":"Thomas"}],"authorYearDisplayFormat":false,"citation-label":"6678355","container-title":"Annual Review of Microbiology","container-title-short":"Annu. Rev. Microbiol.","id":"6678355","invisible":false,"issued":{"date-parts":[["2017","9","8"]]},"journalAbbreviation":"Annu. Rev. Microbiol.","page":"281-307","suppress-author":false,"title":"Clostridium difficile Toxin Biology.","type":"article-journal","volume":"71"}]</w:instrText>
      </w:r>
      <w:r>
        <w:rPr>
          <w:iCs/>
        </w:rPr>
        <w:fldChar w:fldCharType="separate"/>
      </w:r>
      <w:r w:rsidRPr="002B161E">
        <w:rPr>
          <w:iCs/>
          <w:noProof/>
          <w:vertAlign w:val="superscript"/>
        </w:rPr>
        <w:t>75</w:t>
      </w:r>
      <w:r>
        <w:rPr>
          <w:iCs/>
        </w:rPr>
        <w:fldChar w:fldCharType="end"/>
      </w:r>
      <w:r>
        <w:rPr>
          <w:iCs/>
        </w:rPr>
        <w:t xml:space="preserve"> CDT is a ADP-ribosyl transferase toxin that primarily affects actin in eukaryotic cells, but the specific function and role of CDT in pathogenesis is poorly understood. The CDT locus (CDTloc) is chromosomally distant from the PaLoc, encoding </w:t>
      </w:r>
      <w:r>
        <w:rPr>
          <w:i/>
          <w:iCs/>
        </w:rPr>
        <w:t>cdtA</w:t>
      </w:r>
      <w:r>
        <w:rPr>
          <w:iCs/>
        </w:rPr>
        <w:t>,</w:t>
      </w:r>
      <w:r>
        <w:rPr>
          <w:i/>
          <w:iCs/>
        </w:rPr>
        <w:t xml:space="preserve"> cdtB</w:t>
      </w:r>
      <w:r>
        <w:rPr>
          <w:iCs/>
        </w:rPr>
        <w:t>,</w:t>
      </w:r>
      <w:r>
        <w:rPr>
          <w:i/>
          <w:iCs/>
        </w:rPr>
        <w:t xml:space="preserve"> </w:t>
      </w:r>
      <w:r>
        <w:rPr>
          <w:iCs/>
        </w:rPr>
        <w:t xml:space="preserve">and </w:t>
      </w:r>
      <w:r>
        <w:rPr>
          <w:i/>
          <w:iCs/>
        </w:rPr>
        <w:t>cdtR</w:t>
      </w:r>
      <w:r>
        <w:rPr>
          <w:iCs/>
        </w:rPr>
        <w:t>.</w:t>
      </w:r>
      <w:r>
        <w:rPr>
          <w:iCs/>
        </w:rPr>
        <w:fldChar w:fldCharType="begin"/>
      </w:r>
      <w:r>
        <w:rPr>
          <w:iCs/>
        </w:rPr>
        <w:instrText>ADDIN F1000_CSL_CITATION&lt;~#@#~&gt;[{"DOI":"10.1128/JB.00731-07","First":false,"Last":false,"PMCID":"PMC2168464","PMID":"17693517","abstract":"Clostridium difficile binary toxin (CDT) is an actin-specific ADP-ribosyltransferase that is produced by various C. difficile isolates, including the \"hypervirulent\" NAP1/027 epidemic strains. In contrast to the two major toxins from C. difficile, toxin A and toxin B, little is known about the role of CDT in virulence or how C. difficile regulates its production. In this study we have shown that in addition to the cdtA and cdtB toxin structural genes, a functional cdt locus contains a third gene, here designated cdtR, which is predicted to encode a response regulator. By introducing functional binary toxin genes into cdtR(+) and cdtR-negative strains of C. difficile, it was established that the CdtR protein was required for optimal expression of binary toxin. Significantly increased expression of functional binary toxin was observed in the presence of a functional cdtR gene; an internal deletion within cdtR resulted in a reduction in binary toxin production to basal levels. Strains that did not carry intact cdtAB genes or cdtAB pseudogenes also did not have cdtR, with the entire cdt locus, or CdtLoc, being replaced by a conserved 68-bp sequence. These studies have shown for the first time that binary toxin production is subject to strict regulatory control by the response regulator CdtR, which is a member of the LytTR family of response regulators and is related to the AgrA protein from Staphylococcus aureus.","author":[{"family":"Carter","given":"Glen P"},{"family":"Lyras","given":"Dena"},{"family":"Allen","given":"David L"},{"family":"Mackin","given":"Kate E"},{"family":"Howarth","given":"Pauline M"},{"family":"O'Connor","given":"Jennifer R"},{"family":"Rood","given":"Julian I"}],"authorYearDisplayFormat":false,"citation-label":"6690101","container-title":"Journal of Bacteriology","container-title-short":"J. Bacteriol.","id":"6690101","invisible":false,"issue":"20","issued":{"date-parts":[["2007","10"]]},"journalAbbreviation":"J. Bacteriol.","page":"7290-7301","suppress-author":false,"title":"Binary toxin production in Clostridium difficile is regulated by CdtR, a LytTR family response regulator.","type":"article-journal","volume":"189"},{"First":false,"Last":false,"PMCID":"PMC175146","PMID":"9119480","abstract":"A Clostridium difficile isolate was found to produce an actin-specific ADP-ribosyltransferase (CDT) homologous to the enzymatic components of Clostridium perfringens iota toxin and Clostridium spiroforme toxin (M. R. Popoff, E. J. Rubin, D. M. Gill, and P. Boquet, Infect. Immun. 56:2299-2306, 1988). The CDT locus from C. difficile CD196 was cloned and sequenced. It contained two genes (cdtA and cdtB) which display organizations and sequences similar to those of the iota toxin gene. The deduced enzymatic (CDTa) and binding (CDTb) components have 81 and 84% identity, respectively, with the corresponding components of iota toxin. CDTa and CDTb induced actin cytoskeleton alterations similar to those caused by other clostridial binary toxins. The lower level of production of binary toxin by CD196 than of iota toxin by C. perfringens was related to a lower transcript level, possibly due to a promoter region different from that of iota toxin genes. The cdtA and cdtB genes have been detected in 3 of 24 clinical isolates examined, and cdtB alone was found in 2 additional strains. One strain (in addition to CD196) was shown by Western blotting to produce CDTa and CDTb. These results indicate that some C. difficile strains synthesize a binary toxin that could be an additional virulence factor.","author":[{"family":"Perelle","given":"S"},{"family":"Gibert","given":"M"},{"family":"Bourlioux","given":"P"},{"family":"Corthier","given":"G"},{"family":"Popoff","given":"M R"}],"authorYearDisplayFormat":false,"citation-label":"5999016","container-title":"Infection and Immunity","container-title-short":"Infect. Immun.","id":"5999016","invisible":false,"issue":"4","issued":{"date-parts":[["1997","4"]]},"journalAbbreviation":"Infect. Immun.","page":"1402-1407","suppress-author":false,"title":"Production of a complete binary toxin (actin-specific ADP-ribosyltransferase) by Clostridium difficile CD196.","type":"article-journal","volume":"65"}]</w:instrText>
      </w:r>
      <w:r>
        <w:rPr>
          <w:iCs/>
        </w:rPr>
        <w:fldChar w:fldCharType="separate"/>
      </w:r>
      <w:r w:rsidRPr="002B161E">
        <w:rPr>
          <w:iCs/>
          <w:noProof/>
          <w:vertAlign w:val="superscript"/>
        </w:rPr>
        <w:t>81,82</w:t>
      </w:r>
      <w:r>
        <w:rPr>
          <w:iCs/>
        </w:rPr>
        <w:fldChar w:fldCharType="end"/>
      </w:r>
      <w:r>
        <w:rPr>
          <w:iCs/>
        </w:rPr>
        <w:t xml:space="preserve"> </w:t>
      </w:r>
      <w:r>
        <w:rPr>
          <w:i/>
          <w:iCs/>
        </w:rPr>
        <w:t>cdtA</w:t>
      </w:r>
      <w:r>
        <w:rPr>
          <w:iCs/>
        </w:rPr>
        <w:t xml:space="preserve"> and </w:t>
      </w:r>
      <w:r>
        <w:rPr>
          <w:i/>
          <w:iCs/>
        </w:rPr>
        <w:t xml:space="preserve">cdtB </w:t>
      </w:r>
      <w:r>
        <w:rPr>
          <w:iCs/>
        </w:rPr>
        <w:t>are arranged in an operon (</w:t>
      </w:r>
      <w:r>
        <w:rPr>
          <w:i/>
          <w:iCs/>
        </w:rPr>
        <w:t>cdtAB</w:t>
      </w:r>
      <w:r>
        <w:rPr>
          <w:iCs/>
        </w:rPr>
        <w:t>) that is constitutively expressed, and combine to form the heterodimeric toxin CDT (</w:t>
      </w:r>
      <w:r>
        <w:rPr>
          <w:b/>
          <w:iCs/>
        </w:rPr>
        <w:t>Figure 1.3</w:t>
      </w:r>
      <w:r>
        <w:rPr>
          <w:iCs/>
        </w:rPr>
        <w:t>).</w:t>
      </w:r>
      <w:r>
        <w:rPr>
          <w:iCs/>
        </w:rPr>
        <w:fldChar w:fldCharType="begin"/>
      </w:r>
      <w:r>
        <w:rPr>
          <w:iCs/>
        </w:rPr>
        <w:instrText>ADDIN F1000_CSL_CITATION&lt;~#@#~&gt;[{"First":false,"Last":false,"PMCID":"PMC175146","PMID":"9119480","abstract":"A Clostridium difficile isolate was found to produce an actin-specific ADP-ribosyltransferase (CDT) homologous to the enzymatic components of Clostridium perfringens iota toxin and Clostridium spiroforme toxin (M. R. Popoff, E. J. Rubin, D. M. Gill, and P. Boquet, Infect. Immun. 56:2299-2306, 1988). The CDT locus from C. difficile CD196 was cloned and sequenced. It contained two genes (cdtA and cdtB) which display organizations and sequences similar to those of the iota toxin gene. The deduced enzymatic (CDTa) and binding (CDTb) components have 81 and 84% identity, respectively, with the corresponding components of iota toxin. CDTa and CDTb induced actin cytoskeleton alterations similar to those caused by other clostridial binary toxins. The lower level of production of binary toxin by CD196 than of iota toxin by C. perfringens was related to a lower transcript level, possibly due to a promoter region different from that of iota toxin genes. The cdtA and cdtB genes have been detected in 3 of 24 clinical isolates examined, and cdtB alone was found in 2 additional strains. One strain (in addition to CD196) was shown by Western blotting to produce CDTa and CDTb. These results indicate that some C. difficile strains synthesize a binary toxin that could be an additional virulence factor.","author":[{"family":"Perelle","given":"S"},{"family":"Gibert","given":"M"},{"family":"Bourlioux","given":"P"},{"family":"Corthier","given":"G"},{"family":"Popoff","given":"M R"}],"authorYearDisplayFormat":false,"citation-label":"5999016","container-title":"Infection and Immunity","container-title-short":"Infect. Immun.","id":"5999016","invisible":false,"issue":"4","issued":{"date-parts":[["1997","4"]]},"journalAbbreviation":"Infect. Immun.","page":"1402-1407","suppress-author":false,"title":"Production of a complete binary toxin (actin-specific ADP-ribosyltransferase) by Clostridium difficile CD196.","type":"article-journal","volume":"65"},{"DOI":"10.4161/gmic.26854","First":false,"Last":false,"PMCID":"PMC4049931","PMID":"24253566","abstract":"Binary toxin (CDT) is frequently observed in Clostridium difficile strains associated with increased severity of C. difficile infection (CDI). CDT belongs to the family of binary ADP-ribosylating toxins consisting of two separate toxin components: CDTa, the enzymatic ADP-ribosyltransferase which modifies actin, and CDTb which binds to host cells and translocates CDTa into the cytosol. CDTb is activated by serine proteases and binds to lipolysis stimulated lipoprotein receptor. ADP-ribosylation induces depolymerization of the actin cytoskeleton. Toxin-induced actin depolymerization also produces microtubule-based membrane protrusions which form a network on epithelial cells and increase bacterial adherence. Multiple clinical studies indicate an association between binary toxin genes in C. difficile and increased 30-d CDI mortality independent of PCR ribotype. Further studies including measures of binary toxin in stool, analyses of CDI mortality caused by CDT-producing strains, and examination of the relationship of CDT expression to TcdA and TcdB toxin variants and PCR ribotypes are needed. ","author":[{"family":"Gerding","given":"Dale N"},{"family":"Johnson","given":"Stuart"},{"family":"Rupnik","given":"Maja"},{"family":"Aktories","given":"Klaus"}],"authorYearDisplayFormat":false,"citation-label":"6518848","container-title":"Gut microbes","container-title-short":"Gut Microbes","id":"6518848","invisible":false,"issue":"1","issued":{"date-parts":[["2014","2"]]},"journalAbbreviation":"Gut Microbes","page":"15-27","suppress-author":false,"title":"Clostridium difficile binary toxin CDT: mechanism, epidemiology, and potential clinical importance.","type":"article-journal","volume":"5"}]</w:instrText>
      </w:r>
      <w:r>
        <w:rPr>
          <w:iCs/>
        </w:rPr>
        <w:fldChar w:fldCharType="separate"/>
      </w:r>
      <w:r w:rsidRPr="002B161E">
        <w:rPr>
          <w:iCs/>
          <w:noProof/>
          <w:vertAlign w:val="superscript"/>
        </w:rPr>
        <w:t>82,83</w:t>
      </w:r>
      <w:r>
        <w:rPr>
          <w:iCs/>
        </w:rPr>
        <w:fldChar w:fldCharType="end"/>
      </w:r>
      <w:r>
        <w:rPr>
          <w:iCs/>
        </w:rPr>
        <w:t xml:space="preserve"> Expression is positively regulated by CdtR, which has also been shown to upregulate PaLoc expression.</w:t>
      </w:r>
      <w:r>
        <w:rPr>
          <w:iCs/>
        </w:rPr>
        <w:fldChar w:fldCharType="begin"/>
      </w:r>
      <w:r>
        <w:rPr>
          <w:iCs/>
        </w:rPr>
        <w:instrText>ADDIN F1000_CSL_CITATION&lt;~#@#~&gt;[{"DOI":"10.1371/journal.ppat.1005758","First":false,"Last":false,"PMCID":"PMC4944984","PMID":"27414650","abstract":"Clostridium difficile is a global health burden and the leading cause of antibiotic-associated diarrhoea worldwide, causing severe gastrointestinal disease and death. Three well characterised toxins are encoded by this bacterium in two genetic loci, specifically, TcdB (toxin B) and TcdA (toxin A) in the Pathogenicity Locus (PaLoc) and binary toxin (CDT) in the genomically distinct CDT locus (CdtLoc). Toxin production is controlled by regulators specific to each locus. The orphan response regulator, CdtR, encoded within the CdtLoc, up-regulates CDT production. Until now there has been no suggestion that CdtR influences TcdA and TcdB production since it is not carried by all PaLoc-containing strains and CdtLoc is not linked genetically to PaLoc. Here we show that, in addition to CDT, CdtR regulates TcdA and TcdB production but that this effect is strain dependent. Of clinical relevance, CdtR increased the production of TcdA, TcdB and CDT in two epidemic ribotype 027 human strains, modulating their virulence in a mouse infection model. Strains traditionally from animal lineages, notably ribotype 078 strains, are increasingly being isolated from humans and their genetic and phenotypic analysis is critical for future studies on this important pathogen. Here we show that CdtR-mediated toxin regulation did not occur in other strain backgrounds, including a ribotype 078 animal strain. The finding that toxin gene regulation is strain dependent highlights the regulatory diversity between C. difficile isolates and the importance of studying virulence regulation in diverse lineages and clinically relevant strains. Our work provides the first evidence that TcdA, TcdB and CDT production is linked by a common regulatory mechanism and that CdtR may act as a global regulator of virulence in epidemic 027 strains.","author":[{"family":"Lyon","given":"Shelley A"},{"family":"Hutton","given":"Melanie L"},{"family":"Rood","given":"Julian I"},{"family":"Cheung","given":"Jackie K"},{"family":"Lyras","given":"Dena"}],"authorYearDisplayFormat":false,"citation-label":"6681440","container-title":"PLoS Pathogens","container-title-short":"PLoS Pathog.","id":"6681440","invisible":false,"issue":"7","issued":{"date-parts":[["2016","7","14"]]},"journalAbbreviation":"PLoS Pathog.","page":"e1005758","suppress-author":false,"title":"CdtR Regulates TcdA and TcdB Production in Clostridium difficile.","type":"article-journal","volume":"12"}]</w:instrText>
      </w:r>
      <w:r>
        <w:rPr>
          <w:iCs/>
        </w:rPr>
        <w:fldChar w:fldCharType="separate"/>
      </w:r>
      <w:r w:rsidRPr="002B161E">
        <w:rPr>
          <w:iCs/>
          <w:noProof/>
          <w:vertAlign w:val="superscript"/>
        </w:rPr>
        <w:t>56</w:t>
      </w:r>
      <w:r>
        <w:rPr>
          <w:iCs/>
        </w:rPr>
        <w:fldChar w:fldCharType="end"/>
      </w:r>
      <w:r>
        <w:rPr>
          <w:iCs/>
        </w:rPr>
        <w:t xml:space="preserve"> CdtA</w:t>
      </w:r>
      <w:r>
        <w:rPr>
          <w:iCs/>
        </w:rPr>
        <w:softHyphen/>
        <w:t xml:space="preserve"> is an ADP-ribosyltransferase that ribosylates uncapped actin filaments in eukaryotic cells, while CdtB contains the binding domain and aids CdtA entry.</w:t>
      </w:r>
      <w:r>
        <w:rPr>
          <w:iCs/>
        </w:rPr>
        <w:fldChar w:fldCharType="begin"/>
      </w:r>
      <w:r>
        <w:rPr>
          <w:iCs/>
        </w:rPr>
        <w:instrText>ADDIN F1000_CSL_CITATION&lt;~#@#~&gt;[{"DOI":"10.4161/gmic.26854","First":false,"Last":false,"PMCID":"PMC4049931","PMID":"24253566","abstract":"Binary toxin (CDT) is frequently observed in Clostridium difficile strains associated with increased severity of C. difficile infection (CDI). CDT belongs to the family of binary ADP-ribosylating toxins consisting of two separate toxin components: CDTa, the enzymatic ADP-ribosyltransferase which modifies actin, and CDTb which binds to host cells and translocates CDTa into the cytosol. CDTb is activated by serine proteases and binds to lipolysis stimulated lipoprotein receptor. ADP-ribosylation induces depolymerization of the actin cytoskeleton. Toxin-induced actin depolymerization also produces microtubule-based membrane protrusions which form a network on epithelial cells and increase bacterial adherence. Multiple clinical studies indicate an association between binary toxin genes in C. difficile and increased 30-d CDI mortality independent of PCR ribotype. Further studies including measures of binary toxin in stool, analyses of CDI mortality caused by CDT-producing strains, and examination of the relationship of CDT expression to TcdA and TcdB toxin variants and PCR ribotypes are needed. ","author":[{"family":"Gerding","given":"Dale N"},{"family":"Johnson","given":"Stuart"},{"family":"Rupnik","given":"Maja"},{"family":"Aktories","given":"Klaus"}],"authorYearDisplayFormat":false,"citation-label":"6518848","container-title":"Gut microbes","container-title-short":"Gut Microbes","id":"6518848","invisible":false,"issue":"1","issued":{"date-parts":[["2014","2"]]},"journalAbbreviation":"Gut Microbes","page":"15-27","suppress-author":false,"title":"Clostridium difficile binary toxin CDT: mechanism, epidemiology, and potential clinical importance.","type":"article-journal","volume":"5"},{"DOI":"10.1128/IAI.69.10.6004-6011.2001","First":false,"Last":false,"PMCID":"PMC98728","PMID":"11553537","abstract":"Certain strains of Clostridium difficile produce the ADP-ribosyltransferase CDT, which is a binary actin ADP-ribosylating toxin. The toxin consists of the binding component CDTb, which mediates receptor binding and cellular uptake, and the enzyme component CDTa. Here we studied the enzyme component (CDTa) of the toxin using the binding component of Clostridium perfringens iota toxin (Ib), which is interchangeable with CDTb as a transport component. Ib was used because CDTb was not expressed as a recombinant protein in Escherichia coli. Similar to iota toxin, CDTa ADP-ribosylates nonmuscle and skeletal muscle actin. The N-terminal part of CDTa (CDTa1-240) competes with full-length CDTa for binding to the iota toxin binding component. The C-terminal part (CDTa244-263) harbors the enzyme activity but was much less active than the full-length CDTa. Changes of Glu428 and Glu430 to glutamine, Ser388 to alanine, and Arg345 to lysine blocked ADP-ribosyltransferase activity. Comparison of CDTa with C. perfringens iota toxin and Clostridium botulinum C2 toxin revealed full enzyme activity of the fragment Ia208-413 but loss of activity of several N-terminally deleted C2I proteins including C2I103-431, C2I190-431, and C2I30-431. The data indicate that CDTa belongs to the iota toxin subfamily of binary actin ADP-ribosylating toxins with respect to interaction with the binding component and substrate specificity. It shares typical conserved amino acid residues with iota toxin and C2 toxin that are suggested to be involved in NAD-binding and/or catalytic activity. The enzyme components of CDT, iota toxin, and C2 toxin differ with respect to the minimal structural requirement for full enzyme activity.","author":[{"family":"Gülke","given":"I"},{"family":"Pfeifer","given":"G"},{"family":"Liese","given":"J"},{"family":"Fritz","given":"M"},{"family":"Hofmann","given":"F"},{"family":"Aktories","given":"K"},{"family":"Barth","given":"H"}],"authorYearDisplayFormat":false,"citation-label":"6678343","container-title":"Infection and Immunity","container-title-short":"Infect. Immun.","id":"6678343","invisible":false,"issue":"10","issued":{"date-parts":[["2001","10"]]},"journalAbbreviation":"Infect. Immun.","page":"6004-6011","suppress-author":false,"title":"Characterization of the enzymatic component of the ADP-ribosyltransferase toxin CDTa from Clostridium difficile.","type":"article-journal","volume":"69"},{"DOI":"10.1371/journal.ppat.1000626","First":false,"Last":false,"PMCID":"PMC2757728","PMID":"19834554","abstract":"Clostridium difficile causes antibiotic-associated diarrhea and pseudomembranous colitis by production of the Rho GTPase-glucosylating toxins A and B. Recently emerging hypervirulent Clostridium difficile strains additionally produce the binary ADP-ribosyltransferase toxin CDT (Clostridium difficile transferase), which ADP-ribosylates actin and inhibits actin polymerization. Thus far, the role of CDT as a virulence factor is not understood. Here we report by using time-lapse- and immunofluorescence microscopy that CDT and other binary actin-ADP-ribosylating toxins, including Clostridium botulinum C2 toxin and Clostridium perfringens iota toxin, induce redistribution of microtubules and formation of long (up to &gt;150 microm) microtubule-based protrusions at the surface of intestinal epithelial cells. The toxins increase the length of decoration of microtubule plus-ends by EB1/3, CLIP-170 and CLIP-115 proteins and cause redistribution of the capture proteins CLASP2 and ACF7 from microtubules at the cell cortex into the cell interior. The CDT-induced microtubule protrusions form a dense meshwork at the cell surface, which wrap and embed bacterial cells, thereby largely increasing the adherence of Clostridia. The study describes a novel type of microtubule structure caused by less efficient microtubule capture and offers a new perspective for the pathogenetic role of CDT and other binary actin-ADP-ribosylating toxins in host-pathogen interactions.","author":[{"family":"Schwan","given":"Carsten"},{"family":"Stecher","given":"Bärbel"},{"family":"Tzivelekidis","given":"Tina"},{"family":"van Ham","given":"Marco"},{"family":"Rohde","given":"Manfred"},{"family":"Hardt","given":"Wolf-Dietrich"},{"family":"Wehland","given":"Jürgen"},{"family":"Aktories","given":"Klaus"}],"authorYearDisplayFormat":false,"citation-label":"6658829","container-title":"PLoS Pathogens","container-title-short":"PLoS Pathog.","id":"6658829","invisible":false,"issue":"10","issued":{"date-parts":[["2009","10","16"]]},"journalAbbreviation":"PLoS Pathog.","page":"e1000626","suppress-author":false,"title":"Clostridium difficile toxin CDT induces formation of microtubule-based protrusions and increases adherence of bacteria.","type":"article-journal","volume":"5"}]</w:instrText>
      </w:r>
      <w:r>
        <w:rPr>
          <w:iCs/>
        </w:rPr>
        <w:fldChar w:fldCharType="separate"/>
      </w:r>
      <w:r w:rsidRPr="002B161E">
        <w:rPr>
          <w:iCs/>
          <w:noProof/>
          <w:vertAlign w:val="superscript"/>
        </w:rPr>
        <w:t>83–85</w:t>
      </w:r>
      <w:r>
        <w:rPr>
          <w:iCs/>
        </w:rPr>
        <w:fldChar w:fldCharType="end"/>
      </w:r>
      <w:r>
        <w:rPr>
          <w:iCs/>
        </w:rPr>
        <w:t xml:space="preserve"> The cell surface receptor for CDT is lipolysis-stimulated lipoprotein receptor (LSR), that is primarily involved with low-density lipoprotein clearance/apolipoprotein remodeling.</w:t>
      </w:r>
      <w:r>
        <w:rPr>
          <w:iCs/>
        </w:rPr>
        <w:fldChar w:fldCharType="begin"/>
      </w:r>
      <w:r>
        <w:rPr>
          <w:iCs/>
        </w:rPr>
        <w:instrText>ADDIN F1000_CSL_CITATION&lt;~#@#~&gt;[{"DOI":"10.1073/pnas.1109772108","First":false,"Last":false,"PMCID":"PMC3182710","PMID":"21930894","abstract":"Clostridium difficile infection (CDI) causes antibiotic-associated diarrhea and pseudomembranous colitis. Hypervirulent strains of the pathogen, which are responsible for increased morbidity and mortality of CDI, produce the binary actin-ADP ribosylating toxin Clostridium difficile transferase (CDT) in addition to the Rho-glucosylating toxins A and B. CDT depolymerizes the actin cytoskeleton, increases adherence and colonization of Clostridia by induction of microtubule-based cell protrusions and, eventually, causes death of target cells. Using a haploid genetic screen, we identified the lipolysis-stimulated lipoprotein receptor as the membrane receptor for CDT uptake by target cells. Moreover, we show that Clostridium perfringens iota toxin, which is a related binary actin-ADP ribosylating toxin, enters target cells via the lipolysis-stimulated lipoprotein receptor. Identification of the toxin receptors is essential for understanding of the toxin uptake and provides a most valuable basis for antitoxin strategies.","author":[{"family":"Papatheodorou","given":"Panagiotis"},{"family":"Carette","given":"Jan E"},{"family":"Bell","given":"George W"},{"family":"Schwan","given":"Carsten"},{"family":"Guttenberg","given":"Gregor"},{"family":"Brummelkamp","given":"Thijn R"},{"family":"Aktories","given":"Klaus"}],"authorYearDisplayFormat":false,"citation-label":"6658832","container-title":"Proceedings of the National Academy of Sciences of the United States of America","container-title-short":"Proc Natl Acad Sci USA","id":"6658832","invisible":false,"issue":"39","issued":{"date-parts":[["2011","9","27"]]},"journalAbbreviation":"Proc Natl Acad Sci USA","page":"16422-16427","suppress-author":false,"title":"Lipolysis-stimulated lipoprotein receptor (LSR) is the host receptor for the binary toxin Clostridium difficile transferase (CDT).","type":"article-journal","volume":"108"},{"DOI":"10.1074/jbc.M115.650523","First":false,"Last":false,"PMCID":"PMC4447975","PMID":"25882847","abstract":"CDT (Clostridium difficile transferase) is a binary, actin ADP-ribosylating toxin frequently associated with hypervirulent strains of the human enteric pathogen C. difficile, the most serious cause of antibiotic-associated diarrhea and pseudomembranous colitis. CDT leads to the collapse of the actin cytoskeleton and, eventually, to cell death. Low doses of CDT result in the formation of microtubule-based protrusions on the cell surface that increase the adherence and colonization of C. difficile. The lipolysis-stimulated lipoprotein receptor (LSR) is the host cell receptor for CDT, and our aim was to gain a deeper insight into the interplay between both proteins. We show that CDT interacts with the extracellular, Ig-like domain of LSR with an affinity in the nanomolar range. We identified LSR splice variants in the colon carcinoma cell line HCT116 and disrupted the LSR gene in these cells by applying the CRISPR-Cas9 technology. LSR truncations ectopically expressed in LSR knock-out cells indicated that intracellular parts of LSR are not essential for plasma membrane targeting of the receptor and cellular uptake of CDT. By generating a series of N- and C-terminal truncations of the binding component of CDT (CDTb), we found that amino acids 757-866 of CDTb are sufficient for binding to LSR. With a transposon-based, random mutagenesis approach, we identified potential LSR-interacting epitopes in CDTb. This study increases our understanding about the interaction between CDT and its receptor LSR, which is key to the development of anti-toxin strategies for preventing cell entry of the toxin. &lt;br&gt;&lt;br&gt;© 2015 by The American Society for Biochemistry and Molecular Biology, Inc.","author":[{"family":"Hemmasi","given":"Sarah"},{"family":"Czulkies","given":"Bernd A"},{"family":"Schorch","given":"Björn"},{"family":"Veit","given":"Antonia"},{"family":"Aktories","given":"Klaus"},{"family":"Papatheodorou","given":"Panagiotis"}],"authorYearDisplayFormat":false,"citation-label":"6678351","container-title":"The Journal of Biological Chemistry","container-title-short":"J. Biol. Chem.","id":"6678351","invisible":false,"issue":"22","issued":{"date-parts":[["2015","5","29"]]},"journalAbbreviation":"J. Biol. Chem.","page":"14031-14044","suppress-author":false,"title":"Interaction of the Clostridium difficile Binary Toxin CDT and Its Host Cell Receptor, Lipolysis-stimulated Lipoprotein Receptor (LSR).","type":"article-journal","volume":"290"},{"First":false,"Last":false,"PMID":"9395464","abstract":"ApoC-III overexpression in mice results in severe hypertriglyceridemia due primarily to a delay in the clearance of triglyceride-rich lipoproteins. We have, in primary cultures of rat hepatocytes, characterized a lipolysis-stimulated receptor (LSR). The apparent number of LSR that are available on rat liver plasma membranes is negatively correlated with plasma triglyceride concentrations measured in the fed state. We therefore proposed that the primary physiological role of the LSR is to contribute to the cellular uptake of triglyceride-rich lipoproteins. We have now tested the effect of apoC-III on the binding of triglyceride-rich lipoproteins to LSR. Supplementation of 125I-very low density lipoprotein (VLDL) with apoC-III inhibited the LSR-mediated binding, internalization, and degradation of 125I-VLDL in primary cultures of rat hepatocytes. Studies using isolated rat liver plasma membranes showed that enrichment of human VLDL and chylomicrons with synthetic or purified human apoC-III decreased their binding to the LSR by about 40%. Supplementation of triglyceride-rich lipoproteins under the same conditions with human apoC-II had no such inhibitory effect, despite the fact that this apoprotein bound as efficiently as apoC-III to these particles. Preincubation of LDL with apoC-III did not modify its binding to LSR. Partitioning studies using 125I-apoC-III showed that this lack of effect was due to apoC-III's inability to efficiently associate with LDL. Purified human apoC-III1 was as efficient as the synthetic nonsialylated form of apoC-III in inhibiting binding of VLDL to LSR. However, despite a 2-fold greater binding of apoC-III2 to VLDL, this isoform was a less efficient inhibitor of the binding of VLDL to LSR than apoC-III1 or nonsialylated apoC-III. Desialylation of apoC-III2 by treatment with neuraminidase increased the inhibition of VLDL binding to LSR to a level similar to that observed with apoC-III1 and nonsialylated apoC-III. We propose that apoC-III regulates in part the rate of removal of triglyceride-rich particles by inhibiting their binding to the LSR, and that the level of inhibition is determined by the degree of apoC-III sialylation.","author":[{"family":"Mann","given":"C J"},{"family":"Troussard","given":"A A"},{"family":"Yen","given":"F T"},{"family":"Hannouche","given":"N"},{"family":"Najib","given":"J"},{"family":"Fruchart","given":"J C"},{"family":"Lotteau","given":"V"},{"family":"André","given":"P"},{"family":"Bihain","given":"B E"}],"authorYearDisplayFormat":false,"citation-label":"6678352","container-title":"The Journal of Biological Chemistry","container-title-short":"J. Biol. Chem.","id":"6678352","invisible":false,"issue":"50","issued":{"date-parts":[["1997","12","12"]]},"journalAbbreviation":"J. Biol. Chem.","page":"31348-31354","suppress-author":false,"title":"Inhibitory effects of specific apolipoprotein C-III isoforms on the binding of triglyceride-rich lipoproteins to the lipolysis-stimulated receptor.","type":"article-journal","volume":"272"}]</w:instrText>
      </w:r>
      <w:r>
        <w:rPr>
          <w:iCs/>
        </w:rPr>
        <w:fldChar w:fldCharType="separate"/>
      </w:r>
      <w:r w:rsidRPr="002B161E">
        <w:rPr>
          <w:iCs/>
          <w:noProof/>
          <w:vertAlign w:val="superscript"/>
        </w:rPr>
        <w:t>86–88</w:t>
      </w:r>
      <w:r>
        <w:rPr>
          <w:iCs/>
        </w:rPr>
        <w:fldChar w:fldCharType="end"/>
      </w:r>
      <w:r>
        <w:rPr>
          <w:iCs/>
        </w:rPr>
        <w:t xml:space="preserve"> LSR also functions to maintain cellular junctions that contribute to cytoskeletal fidelity.</w:t>
      </w:r>
      <w:r>
        <w:rPr>
          <w:iCs/>
        </w:rPr>
        <w:fldChar w:fldCharType="begin"/>
      </w:r>
      <w:r>
        <w:rPr>
          <w:iCs/>
        </w:rPr>
        <w:instrText>ADDIN F1000_CSL_CITATION&lt;~#@#~&gt;[{"DOI":"10.1242/jcs.072058","First":false,"Last":false,"PMID":"21245199","abstract":"Epithelial cell contacts consist of not only bicellular contacts but also tricellular contacts, where the corners of three cells meet. At tricellular contacts, tight junctions (TJs) generate specialized structures termed tricellular TJs (tTJs) to seal the intercellular space. Tricellulin is the only known molecular component of tTJs and is involved in the formation of tTJs, as well as in the normal epithelial barrier function. However, the detailed molecular mechanism of how tTJs are formed and maintained remains elusive. Using a localization-based expression cloning method, we identified a novel tTJ-associated protein known as lipolysis-stimulated lipoprotein receptor (LSR). Upon LSR knockdown in epithelial cells, tTJ formation was affected and the epithelial barrier function was diminished. Tricellulin accumulation at the tricellular contacts was also diminished in these cells. By contrast, LSR still accumulated at the tricellular contacts upon tricellulin knockdown. Analyses of deletion mutants revealed that the cytoplasmic domain of LSR was responsible for the recruitment of tricellulin. On the basis of these observations, we propose that LSR defines tricellular contacts in epithelial cellular sheets by acting as a landmark to recruit tricellulin for tTJ formation.","author":[{"family":"Masuda","given":"Sayuri"},{"family":"Oda","given":"Yukako"},{"family":"Sasaki","given":"Hiroyuki"},{"family":"Ikenouchi","given":"Junichi"},{"family":"Higashi","given":"Tomohito"},{"family":"Akashi","given":"Masaya"},{"family":"Nishi","given":"Eiichiro"},{"family":"Furuse","given":"Mikio"}],"authorYearDisplayFormat":false,"citation-label":"6678354","container-title":"Journal of Cell Science","container-title-short":"J. Cell Sci.","id":"6678354","invisible":false,"issue":"Pt 4","issued":{"date-parts":[["2011","2","15"]]},"journalAbbreviation":"J. Cell Sci.","page":"548-555","suppress-author":false,"title":"LSR defines cell corners for tricellular tight junction formation in epithelial cells.","type":"article-journal","volume":"124"},{"DOI":"10.1146/annurev-micro-090816-093458","First":false,"Last":false,"PMID":"28657883","abstract":"Clostridium difficile is the cause of antibiotics-associated diarrhea and pseudomembranous colitis. The pathogen produces three protein toxins: C. difficile toxins A (TcdA) and B (TcdB), and C. difficile transferase toxin (CDT). The single-chain toxins TcdA and TcdB are the main virulence factors. They bind to cell membrane receptors and are internalized. The N-terminal glucosyltransferase and autoprotease domains of the toxins translocate from low-pH endosomes into the cytosol. After activation by inositol hexakisphosphate (InsP6), the autoprotease cleaves and releases the glucosyltransferase domain into the cytosol, where GTP-binding proteins of the Rho/Ras family are mono-O-glucosylated and, thereby, inactivated. Inactivation of Rho proteins disturbs the organization of the cytoskeleton and affects multiple Rho-dependent cellular processes, including loss of epithelial barrier functions, induction of apoptosis, and inflammation. CDT, the third C. difficile toxin, is a binary actin-ADP-ribosylating toxin that causes depolymerization of actin, thereby inducing formation of the microtubule-based protrusions. Recent progress in understanding of the toxins' actions include insights into the toxin structures, their interaction with host cells, and functional consequences of their actions.","author":[{"family":"Aktories","given":"Klaus"},{"family":"Schwan","given":"Carsten"},{"family":"Jank","given":"Thomas"}],"authorYearDisplayFormat":false,"citation-label":"6678355","container-title":"Annual Review of Microbiology","container-title-short":"Annu. Rev. Microbiol.","id":"6678355","invisible":false,"issued":{"date-parts":[["2017","9","8"]]},"journalAbbreviation":"Annu. Rev. Microbiol.","page":"281-307","suppress-author":false,"title":"Clostridium difficile Toxin Biology.","type":"article-journal","volume":"71"}]</w:instrText>
      </w:r>
      <w:r>
        <w:rPr>
          <w:iCs/>
        </w:rPr>
        <w:fldChar w:fldCharType="separate"/>
      </w:r>
      <w:r w:rsidRPr="002B161E">
        <w:rPr>
          <w:iCs/>
          <w:noProof/>
          <w:vertAlign w:val="superscript"/>
        </w:rPr>
        <w:t>75,89</w:t>
      </w:r>
      <w:r>
        <w:rPr>
          <w:iCs/>
        </w:rPr>
        <w:fldChar w:fldCharType="end"/>
      </w:r>
      <w:r>
        <w:rPr>
          <w:iCs/>
        </w:rPr>
        <w:t xml:space="preserve"> CDT binds LSR and accumulates at the cell surface on lipid rafts, and is internalized. On the interior of the acidified endosome, CdtB forms a tetradecameric barrel that inserts into the vesicle wall forming a pore.</w:t>
      </w:r>
      <w:r>
        <w:rPr>
          <w:iCs/>
        </w:rPr>
        <w:fldChar w:fldCharType="begin"/>
      </w:r>
      <w:r>
        <w:rPr>
          <w:iCs/>
        </w:rPr>
        <w:instrText>ADDIN F1000_CSL_CITATION&lt;~#@#~&gt;[{"DOI":"10.1074/jbc.M115.650523","First":false,"Last":false,"PMCID":"PMC4447975","PMID":"25882847","abstract":"CDT (Clostridium difficile transferase) is a binary, actin ADP-ribosylating toxin frequently associated with hypervirulent strains of the human enteric pathogen C. difficile, the most serious cause of antibiotic-associated diarrhea and pseudomembranous colitis. CDT leads to the collapse of the actin cytoskeleton and, eventually, to cell death. Low doses of CDT result in the formation of microtubule-based protrusions on the cell surface that increase the adherence and colonization of C. difficile. The lipolysis-stimulated lipoprotein receptor (LSR) is the host cell receptor for CDT, and our aim was to gain a deeper insight into the interplay between both proteins. We show that CDT interacts with the extracellular, Ig-like domain of LSR with an affinity in the nanomolar range. We identified LSR splice variants in the colon carcinoma cell line HCT116 and disrupted the LSR gene in these cells by applying the CRISPR-Cas9 technology. LSR truncations ectopically expressed in LSR knock-out cells indicated that intracellular parts of LSR are not essential for plasma membrane targeting of the receptor and cellular uptake of CDT. By generating a series of N- and C-terminal truncations of the binding component of CDT (CDTb), we found that amino acids 757-866 of CDTb are sufficient for binding to LSR. With a transposon-based, random mutagenesis approach, we identified potential LSR-interacting epitopes in CDTb. This study increases our understanding about the interaction between CDT and its receptor LSR, which is key to the development of anti-toxin strategies for preventing cell entry of the toxin. &lt;br&gt;&lt;br&gt;© 2015 by The American Society for Biochemistry and Molecular Biology, Inc.","author":[{"family":"Hemmasi","given":"Sarah"},{"family":"Czulkies","given":"Bernd A"},{"family":"Schorch","given":"Björn"},{"family":"Veit","given":"Antonia"},{"family":"Aktories","given":"Klaus"},{"family":"Papatheodorou","given":"Panagiotis"}],"authorYearDisplayFormat":false,"citation-label":"6678351","container-title":"The Journal of Biological Chemistry","container-title-short":"J. Biol. Chem.","id":"6678351","invisible":false,"issue":"22","issued":{"date-parts":[["2015","5","29"]]},"journalAbbreviation":"J. Biol. Chem.","page":"14031-14044","suppress-author":false,"title":"Interaction of the Clostridium difficile Binary Toxin CDT and Its Host Cell Receptor, Lipolysis-stimulated Lipoprotein Receptor (LSR).","type":"article-journal","volume":"290"},{"DOI":"10.1128/mBio.00244-13","First":false,"Last":false,"PMCID":"PMC3648903","PMID":"23631918","abstract":"&lt;strong&gt;UNLABELLED:&lt;/strong&gt; Clostridium difficile is the leading cause of antibiotics-associated diarrhea and pseudomembranous colitis. Hypervirulent C. difficile strains produce the binary actin-ADP-ribosylating toxin CDT (C. difficile transferase), in addition to the Rho-glucosylating toxins A and B. We recently identified the lipolysis-stimulated lipoprotein receptor (LSR) as the host receptor that mediates uptake of CDT into target cells. Here we investigated in H1-HeLa cells, which ectopically express LSR, the influence of CDT on the plasma membrane distribution of the receptor. We found by fluorescence microscopy that the binding component of CDT (CDTb) induces clustering of LSR into subcompartments of the plasma membrane. Detergent extraction of cells treated with CDTb, followed by sucrose gradient fractionation, uncovered accumulation of LSR in detergent-resistant membranes (DRMs) that contained typical marker proteins of lipid rafts. Membrane cholesterol depletion with methyl-β-cyclodextrin inhibited the association of LSR with DRMs upon addition of CDTb. The receptor-binding domain of CDTb also triggered LSR clustering into DRMs. CDTb-triggered clustering of LSR into DRMs could be confirmed in Caco-2 cells. Our data suggest that CDT forces its receptor to cluster into lipid rafts and that oligomerization of the B component might enhance but is not essential for this process.&lt;br&gt;&lt;br&gt;&lt;strong&gt;IMPORTANCE:&lt;/strong&gt; C. difficile binary toxin CDT is a member of the iota-like, actin ADP-ribosylating toxin family. The mechanism that mediates endocytic uptake of these toxins still remains elusive. Previous studies highlighted the importance of lipid rafts for oligomerization of the binding component of these toxins and for cell entry. Recently, the host cell receptor for this toxin family, namely, the lipolysis-stimulated lipoprotein receptor (LSR), has been identified. Our study now demonstrates that the binding component of CDT (CDTb) induces clustering of LSR into lipid rafts. Importantly, LSR clustering is efficiently induced also by the receptor-binding domain of CDTb, suggesting that oligomerization of the B component of CDT is not the main trigger of this process. The current work extends our knowledge on the cooperative play between iota-like toxins and their receptor.","author":[{"family":"Papatheodorou","given":"Panagiotis"},{"family":"Hornuss","given":"Daniel"},{"family":"Nölke","given":"Thilo"},{"family":"Hemmasi","given":"Sarah"},{"family":"Castonguay","given":"Jan"},{"family":"Picchianti","given":"Monica"},{"family":"Aktories","given":"Klaus"}],"authorYearDisplayFormat":false,"citation-label":"6678403","container-title":"mBio","container-title-short":"MBio","id":"6678403","invisible":false,"issue":"3","issued":{"date-parts":[["2013","4","30"]]},"journalAbbreviation":"MBio","page":"e00244-13","suppress-author":false,"title":"Clostridium difficile binary toxin CDT induces clustering of the lipolysis-stimulated lipoprotein receptor into lipid rafts.","type":"article-journal","volume":"4"}]</w:instrText>
      </w:r>
      <w:r>
        <w:rPr>
          <w:iCs/>
        </w:rPr>
        <w:fldChar w:fldCharType="separate"/>
      </w:r>
      <w:r w:rsidRPr="002B161E">
        <w:rPr>
          <w:iCs/>
          <w:noProof/>
          <w:vertAlign w:val="superscript"/>
        </w:rPr>
        <w:t>87,90</w:t>
      </w:r>
      <w:r>
        <w:rPr>
          <w:iCs/>
        </w:rPr>
        <w:fldChar w:fldCharType="end"/>
      </w:r>
      <w:r>
        <w:rPr>
          <w:iCs/>
        </w:rPr>
        <w:t xml:space="preserve"> CDT then translocates to the cytosol where cochaperones aid refolding, allowing CdtA to ADP-ribosylate immature actin.</w:t>
      </w:r>
      <w:r>
        <w:rPr>
          <w:iCs/>
        </w:rPr>
        <w:fldChar w:fldCharType="begin"/>
      </w:r>
      <w:r>
        <w:rPr>
          <w:iCs/>
        </w:rPr>
        <w:instrText>ADDIN F1000_CSL_CITATION&lt;~#@#~&gt;[{"DOI":"10.1074/jbc.M115.650523","First":false,"Last":false,"PMCID":"PMC4447975","PMID":"25882847","abstract":"CDT (Clostridium difficile transferase) is a binary, actin ADP-ribosylating toxin frequently associated with hypervirulent strains of the human enteric pathogen C. difficile, the most serious cause of antibiotic-associated diarrhea and pseudomembranous colitis. CDT leads to the collapse of the actin cytoskeleton and, eventually, to cell death. Low doses of CDT result in the formation of microtubule-based protrusions on the cell surface that increase the adherence and colonization of C. difficile. The lipolysis-stimulated lipoprotein receptor (LSR) is the host cell receptor for CDT, and our aim was to gain a deeper insight into the interplay between both proteins. We show that CDT interacts with the extracellular, Ig-like domain of LSR with an affinity in the nanomolar range. We identified LSR splice variants in the colon carcinoma cell line HCT116 and disrupted the LSR gene in these cells by applying the CRISPR-Cas9 technology. LSR truncations ectopically expressed in LSR knock-out cells indicated that intracellular parts of LSR are not essential for plasma membrane targeting of the receptor and cellular uptake of CDT. By generating a series of N- and C-terminal truncations of the binding component of CDT (CDTb), we found that amino acids 757-866 of CDTb are sufficient for binding to LSR. With a transposon-based, random mutagenesis approach, we identified potential LSR-interacting epitopes in CDTb. This study increases our understanding about the interaction between CDT and its receptor LSR, which is key to the development of anti-toxin strategies for preventing cell entry of the toxin. &lt;br&gt;&lt;br&gt;© 2015 by The American Society for Biochemistry and Molecular Biology, Inc.","author":[{"family":"Hemmasi","given":"Sarah"},{"family":"Czulkies","given":"Bernd A"},{"family":"Schorch","given":"Björn"},{"family":"Veit","given":"Antonia"},{"family":"Aktories","given":"Klaus"},{"family":"Papatheodorou","given":"Panagiotis"}],"authorYearDisplayFormat":false,"citation-label":"6678351","container-title":"The Journal of Biological Chemistry","container-title-short":"J. Biol. Chem.","id":"6678351","invisible":false,"issue":"22","issued":{"date-parts":[["2015","5","29"]]},"journalAbbreviation":"J. Biol. Chem.","page":"14031-14044","suppress-author":false,"title":"Interaction of the Clostridium difficile Binary Toxin CDT and Its Host Cell Receptor, Lipolysis-stimulated Lipoprotein Receptor (LSR).","type":"article-journal","volume":"290"},{"First":false,"Last":false,"PMID":"2540035","abstract":"The effect of nonmuscle actin ADP-ribosylated by botulinum C2 toxin on the polymerization of nonmuscle actin was investigated in order to clarify whether nonmuscle actin is converted into a capping protein by ADP-ribosylation. ADP-ribosylated actin was found to decrease the rate of polymerization of actin filaments which are free at both ends. ADP-ribosylated actin turned out to have no effect on the rate or extent of polymerization at the pointed ends of actin filaments the barbed ends of which were capped by gelsolin. The monomer concentration reached at the final stage of polymerization was similar to the critical concentration of the pointed ends of actin filaments. The results suggest that nonmuscle actin ADP-ribosylated by botulinum C2 toxin acts as a capping protein which binds to the barbed ends to inhibit polymerization.","author":[{"family":"Weigt","given":"C"},{"family":"Just","given":"I"},{"family":"Wegner","given":"A"},{"family":"Aktories","given":"K"}],"authorYearDisplayFormat":false,"citation-label":"6678362","container-title":"FEBS Letters","container-title-short":"FEBS Lett.","id":"6678362","invisible":false,"issue":"1-2","issued":{"date-parts":[["1989","3","27"]]},"journalAbbreviation":"FEBS Lett.","page":"181-184","suppress-author":false,"title":"Nonmuscle actin ADP-ribosylated by botulinum C2 toxin caps actin filaments.","type":"article-journal","volume":"246"},{"DOI":"10.1016/j.jmb.2014.07.013","First":false,"Last":false,"PMID":"25058685","abstract":"Clostridium botulinum C2 toxin, Clostridium perfringens iota toxin and Clostridium difficile CDT belong to the family of binary actin ADP-ribosylating toxins and are composed of a binding/translocation component and a separate enzyme component. The enzyme components ADP-ribosylate G-actin in the cytosol of target cells resulting in depolymerization of F-actin, cell rounding and cell death. The binding/translocation components bind to their cell receptors and form complexes with the respective enzyme components. After receptor-mediated endocytosis, the binding/translocation components form pores in membranes of acidified endosomes and the enzyme components translocate through these pores into the cytosol. This step is facilitated by the host cell chaperone heat shock protein 90 and peptidyl-prolyl cis/trans isomerases including cyclophilin A. Here, we demonstrate that a large isoform of cyclophilin A, the multi-domain enzyme cyclophilin 40 (Cyp40), binds to the enzyme components C2I, Ia and CDTa in vitro. Isothermal titration calorimetry revealed a direct binding to C2I with a calculated affinity of 101 nM and to Ia with an affinity of 1.01 μM. Closer investigation for the prototypic C2I revealed that binding to Cyp40 did not depend on its ADP-ribosyltransferase activity but was stronger for unfolded C2I. The interaction of C2I with Cyp40 was also demonstrated in lysates from C2-treated cells by pull-down. Treatment of cells with a non-immunosuppressive cyclosporine A derivative, which still binds to and inhibits the peptidyl-prolyl cis/trans isomerase activity of cyclophilins, protected cells from intoxication with C2, iota and CDT toxins, offering an attractive approach for development of novel therapeutic strategies against binary actin ADP-ribosylating toxins.&lt;br&gt;&lt;br&gt;Copyright © 2014 Elsevier Ltd. All rights reserved.","author":[{"family":"Ernst","given":"Katharina"},{"family":"Langer","given":"Simon"},{"family":"Kaiser","given":"Eva"},{"family":"Osseforth","given":"Christian"},{"family":"Michaelis","given":"Jens"},{"family":"Popoff","given":"Michel R"},{"family":"Schwan","given":"Carsten"},{"family":"Aktories","given":"Klaus"},{"family":"Kahlert","given":"Viktoria"},{"family":"Malesevic","given":"Miroslav"},{"family":"Schiene-Fischer","given":"Cordelia"},{"family":"Barth","given":"Holger"}],"authorYearDisplayFormat":false,"citation-label":"6678415","container-title":"Journal of Molecular Biology","container-title-short":"J. Mol. Biol.","id":"6678415","invisible":false,"issue":"6 Pt A","issued":{"date-parts":[["2015","3","27"]]},"journalAbbreviation":"J. Mol. Biol.","page":"1224-1238","suppress-author":false,"title":"Cyclophilin-facilitated membrane translocation as pharmacological target to prevent intoxication of mammalian cells by binary clostridial actin ADP-ribosylated toxins.","type":"article-journal","volume":"427"}]</w:instrText>
      </w:r>
      <w:r>
        <w:rPr>
          <w:iCs/>
        </w:rPr>
        <w:fldChar w:fldCharType="separate"/>
      </w:r>
      <w:r w:rsidRPr="002B161E">
        <w:rPr>
          <w:iCs/>
          <w:noProof/>
          <w:vertAlign w:val="superscript"/>
        </w:rPr>
        <w:t>87,91,92</w:t>
      </w:r>
      <w:r>
        <w:rPr>
          <w:iCs/>
        </w:rPr>
        <w:fldChar w:fldCharType="end"/>
      </w:r>
      <w:r>
        <w:rPr>
          <w:iCs/>
        </w:rPr>
        <w:t xml:space="preserve"> The ribosylated actin is unable to polymerize and forms bundles that protrude from the cell surface.</w:t>
      </w:r>
      <w:r>
        <w:rPr>
          <w:iCs/>
        </w:rPr>
        <w:fldChar w:fldCharType="begin"/>
      </w:r>
      <w:r>
        <w:rPr>
          <w:iCs/>
        </w:rPr>
        <w:instrText>ADDIN F1000_CSL_CITATION&lt;~#@#~&gt;[{"DOI":"10.1126/science.1184557","First":false,"Last":false,"PMID":"20185726","abstract":"The bacterium Photorhabdus luminescens is mutualistically associated with entomopathogenetic nematodes. These nematodes invade insect larvae and release the bacteria from their intestine, which kills the insects through the action of toxin complexes. We elucidated the mode of action of two of these insecticidal toxins from P. luminescens. We identified the biologically active components TccC3 and TccC5 as adenosine diphosphate (ADP)-ribosyltransferases, which modify unusual amino acids. TccC3 ADP-ribosylated threonine-148 of actin, resulting in actin polymerization. TccC5 ADP-ribosylated Rho guanosine triphosphatase proteins at glutamine-61 and glutamine-63, inducing their activation. The concerted action of both toxins inhibited phagocytosis of target insect cells and induced extensive intracellular polymerization and clustering of actin. Several human pathogenic bacteria produce related toxins.","author":[{"family":"Lang","given":"Alexander E"},{"family":"Schmidt","given":"Gudula"},{"family":"Schlosser","given":"Andreas"},{"family":"Hey","given":"Timothy D"},{"family":"Larrinua","given":"Ignacio M"},{"family":"Sheets","given":"Joel J"},{"family":"Mannherz","given":"Hans G"},{"family":"Aktories","given":"Klaus"}],"authorYearDisplayFormat":false,"citation-label":"67765","container-title":"Science","container-title-short":"Science","id":"67765","invisible":false,"issue":"5969","issued":{"date-parts":[["2010","2","26"]]},"journalAbbreviation":"Science","page":"1139-1142","suppress-author":false,"title":"Photorhabdus luminescens toxins ADP-ribosylate actin and RhoA to force actin clustering.","type":"article-journal","volume":"327"},{"DOI":"10.1371/journal.ppat.1000626","First":false,"Last":false,"PMCID":"PMC2757728","PMID":"19834554","abstract":"Clostridium difficile causes antibiotic-associated diarrhea and pseudomembranous colitis by production of the Rho GTPase-glucosylating toxins A and B. Recently emerging hypervirulent Clostridium difficile strains additionally produce the binary ADP-ribosyltransferase toxin CDT (Clostridium difficile transferase), which ADP-ribosylates actin and inhibits actin polymerization. Thus far, the role of CDT as a virulence factor is not understood. Here we report by using time-lapse- and immunofluorescence microscopy that CDT and other binary actin-ADP-ribosylating toxins, including Clostridium botulinum C2 toxin and Clostridium perfringens iota toxin, induce redistribution of microtubules and formation of long (up to &gt;150 microm) microtubule-based protrusions at the surface of intestinal epithelial cells. The toxins increase the length of decoration of microtubule plus-ends by EB1/3, CLIP-170 and CLIP-115 proteins and cause redistribution of the capture proteins CLASP2 and ACF7 from microtubules at the cell cortex into the cell interior. The CDT-induced microtubule protrusions form a dense meshwork at the cell surface, which wrap and embed bacterial cells, thereby largely increasing the adherence of Clostridia. The study describes a novel type of microtubule structure caused by less efficient microtubule capture and offers a new perspective for the pathogenetic role of CDT and other binary actin-ADP-ribosylating toxins in host-pathogen interactions.","author":[{"family":"Schwan","given":"Carsten"},{"family":"Stecher","given":"Bärbel"},{"family":"Tzivelekidis","given":"Tina"},{"family":"van Ham","given":"Marco"},{"family":"Rohde","given":"Manfred"},{"family":"Hardt","given":"Wolf-Dietrich"},{"family":"Wehland","given":"Jürgen"},{"family":"Aktories","given":"Klaus"}],"authorYearDisplayFormat":false,"citation-label":"6658829","container-title":"PLoS Pathogens","container-title-short":"PLoS Pathog.","id":"6658829","invisible":false,"issue":"10","issued":{"date-parts":[["2009","10","16"]]},"journalAbbreviation":"PLoS Pathog.","page":"e1000626","suppress-author":false,"title":"Clostridium difficile toxin CDT induces formation of microtubule-based protrusions and increases adherence of bacteria.","type":"article-journal","volume":"5"}]</w:instrText>
      </w:r>
      <w:r>
        <w:rPr>
          <w:iCs/>
        </w:rPr>
        <w:fldChar w:fldCharType="separate"/>
      </w:r>
      <w:r w:rsidRPr="002B161E">
        <w:rPr>
          <w:iCs/>
          <w:noProof/>
          <w:vertAlign w:val="superscript"/>
        </w:rPr>
        <w:t>85,93</w:t>
      </w:r>
      <w:r>
        <w:rPr>
          <w:iCs/>
        </w:rPr>
        <w:fldChar w:fldCharType="end"/>
      </w:r>
      <w:r>
        <w:rPr>
          <w:iCs/>
        </w:rPr>
        <w:t xml:space="preserve"> A recent study suggests that protruding actin filaments from the host cells aid </w:t>
      </w:r>
      <w:r w:rsidR="00AB3480" w:rsidRPr="00AB3480">
        <w:rPr>
          <w:i/>
          <w:iCs/>
        </w:rPr>
        <w:t>C. difficile</w:t>
      </w:r>
      <w:r>
        <w:rPr>
          <w:i/>
          <w:iCs/>
        </w:rPr>
        <w:t xml:space="preserve"> </w:t>
      </w:r>
      <w:r>
        <w:rPr>
          <w:iCs/>
        </w:rPr>
        <w:t>adherence during infection, offering a potential role for CDT in pathogenesis.</w:t>
      </w:r>
      <w:r>
        <w:rPr>
          <w:iCs/>
        </w:rPr>
        <w:fldChar w:fldCharType="begin"/>
      </w:r>
      <w:r>
        <w:rPr>
          <w:iCs/>
        </w:rPr>
        <w:instrText>ADDIN F1000_CSL_CITATION&lt;~#@#~&gt;[{"DOI":"10.1016/j.anaerobe.2018.03.001","First":false,"Last":false,"PMID":"29524654","abstract":"Clostridium difficile infection causes antibiotics-associated diarrhea and pseudomembranous colitis. Major virulence factors of C. difficile are the Rho-glucosylating toxins TcdA and TcdB. In addition, many, so-called hypervirulent C. difficile strains produce the binary actin-ADP-ribosylating toxin CDT. CDT causes depolymerization of F-actin and rearrangement of the actin cytoskeleton. Thereby, many cellular functions, which depend on actin, are altered. CDT disturbs the dynamic balance between actin and microtubules in target cells. The toxin increases microtubule polymerization and induces the formation of microtubule-based protrusions at the plasma membrane of target cells. Moreover, CDT causes a redistribution of vesicles from the basolateral side to the apical side, where extracellular matrix proteins are released. These processes may increase the adherence of clostridia to target cells. Here, we review the effects of the action of CDT on the actin cytoskeleton and on the microtubule system.&lt;br&gt;&lt;br&gt;Copyright © 2018 Elsevier Ltd. All rights reserved.","author":[{"family":"Aktories","given":"Klaus"},{"family":"Papatheodorou","given":"Panagiotis"},{"family":"Schwan","given":"Carsten"}],"authorYearDisplayFormat":false,"citation-label":"6678386","container-title":"Anaerobe","container-title-short":"Anaerobe","id":"6678386","invisible":false,"issued":{"date-parts":[["2018","10"]]},"journalAbbreviation":"Anaerobe","page":"21-29","suppress-author":false,"title":"Binary Clostridium difficile toxin (CDT) - A virulence factor disturbing the cytoskeleton.","type":"article-journal","volume":"53"}]</w:instrText>
      </w:r>
      <w:r>
        <w:rPr>
          <w:iCs/>
        </w:rPr>
        <w:fldChar w:fldCharType="separate"/>
      </w:r>
      <w:r w:rsidRPr="002B161E">
        <w:rPr>
          <w:iCs/>
          <w:noProof/>
          <w:vertAlign w:val="superscript"/>
        </w:rPr>
        <w:t>94</w:t>
      </w:r>
      <w:r>
        <w:rPr>
          <w:iCs/>
        </w:rPr>
        <w:fldChar w:fldCharType="end"/>
      </w:r>
      <w:r>
        <w:rPr>
          <w:iCs/>
        </w:rPr>
        <w:t xml:space="preserve"> CDI caused by a hypervirulent strain that express </w:t>
      </w:r>
      <w:r>
        <w:rPr>
          <w:iCs/>
        </w:rPr>
        <w:lastRenderedPageBreak/>
        <w:t>CDT is more likely to have a fatal outcome, further emphasizing the role of CDT in CDI severity and infectivity.</w:t>
      </w:r>
      <w:r>
        <w:rPr>
          <w:iCs/>
        </w:rPr>
        <w:fldChar w:fldCharType="begin"/>
      </w:r>
      <w:r>
        <w:rPr>
          <w:iCs/>
        </w:rPr>
        <w:instrText>ADDIN F1000_CSL_CITATION&lt;~#@#~&gt;[{"DOI":"10.4161/gmic.26854","First":false,"Last":false,"PMCID":"PMC4049931","PMID":"24253566","abstract":"Binary toxin (CDT) is frequently observed in Clostridium difficile strains associated with increased severity of C. difficile infection (CDI). CDT belongs to the family of binary ADP-ribosylating toxins consisting of two separate toxin components: CDTa, the enzymatic ADP-ribosyltransferase which modifies actin, and CDTb which binds to host cells and translocates CDTa into the cytosol. CDTb is activated by serine proteases and binds to lipolysis stimulated lipoprotein receptor. ADP-ribosylation induces depolymerization of the actin cytoskeleton. Toxin-induced actin depolymerization also produces microtubule-based membrane protrusions which form a network on epithelial cells and increase bacterial adherence. Multiple clinical studies indicate an association between binary toxin genes in C. difficile and increased 30-d CDI mortality independent of PCR ribotype. Further studies including measures of binary toxin in stool, analyses of CDI mortality caused by CDT-producing strains, and examination of the relationship of CDT expression to TcdA and TcdB toxin variants and PCR ribotypes are needed. ","author":[{"family":"Gerding","given":"Dale N"},{"family":"Johnson","given":"Stuart"},{"family":"Rupnik","given":"Maja"},{"family":"Aktories","given":"Klaus"}],"authorYearDisplayFormat":false,"citation-label":"6518848","container-title":"Gut microbes","container-title-short":"Gut Microbes","id":"6518848","invisible":false,"issue":"1","issued":{"date-parts":[["2014","2"]]},"journalAbbreviation":"Gut Microbes","page":"15-27","suppress-author":false,"title":"Clostridium difficile binary toxin CDT: mechanism, epidemiology, and potential clinical importance.","type":"article-journal","volume":"5"}]</w:instrText>
      </w:r>
      <w:r>
        <w:rPr>
          <w:iCs/>
        </w:rPr>
        <w:fldChar w:fldCharType="separate"/>
      </w:r>
      <w:r w:rsidRPr="002B161E">
        <w:rPr>
          <w:iCs/>
          <w:noProof/>
          <w:vertAlign w:val="superscript"/>
        </w:rPr>
        <w:t>83</w:t>
      </w:r>
      <w:r>
        <w:rPr>
          <w:iCs/>
        </w:rPr>
        <w:fldChar w:fldCharType="end"/>
      </w:r>
      <w:r>
        <w:rPr>
          <w:iCs/>
        </w:rPr>
        <w:t xml:space="preserve"> </w:t>
      </w:r>
    </w:p>
    <w:p w14:paraId="36E22FC2" w14:textId="5E7EA7F6" w:rsidR="00135AEF" w:rsidRPr="005C768B" w:rsidRDefault="00AE6C6D" w:rsidP="004E7821">
      <w:pPr>
        <w:pStyle w:val="Heading2"/>
      </w:pPr>
      <w:bookmarkStart w:id="17" w:name="_Toc8392728"/>
      <w:r>
        <w:t xml:space="preserve">1.2 </w:t>
      </w:r>
      <w:r w:rsidR="00135AEF">
        <w:t>Clinical Management of CDI, and Treatments on the Horizon</w:t>
      </w:r>
      <w:bookmarkEnd w:id="17"/>
    </w:p>
    <w:p w14:paraId="1E4EE385" w14:textId="167D6D9F" w:rsidR="00135AEF" w:rsidRDefault="00135AEF" w:rsidP="00135AEF">
      <w:pPr>
        <w:ind w:firstLine="720"/>
        <w:jc w:val="both"/>
      </w:pPr>
      <w:r>
        <w:t xml:space="preserve">The clinical management of CDI is complex. Poor antibiotic stewardship is largely responsible for creating multiple-antibiotic resistant </w:t>
      </w:r>
      <w:r w:rsidR="00AB3480" w:rsidRPr="00AB3480">
        <w:rPr>
          <w:i/>
          <w:iCs/>
        </w:rPr>
        <w:t>C. difficile</w:t>
      </w:r>
      <w:r>
        <w:t xml:space="preserve"> strains and the inability to effectively treat this pathogen.</w:t>
      </w:r>
      <w:r>
        <w:fldChar w:fldCharType="begin"/>
      </w:r>
      <w:r>
        <w:instrText>ADDIN F1000_CSL_CITATION&lt;~#@#~&gt;[{"DOI":"10.1016/j.cub.2013.11.057","First":false,"Last":false,"PMID":"24501765","author":[{"family":"Gross","given":"Michael"}],"authorYearDisplayFormat":false,"citation-label":"3542510","container-title":"Current Biology","container-title-short":"Curr. Biol.","id":"3542510","invisible":false,"issue":"24","issued":{"date-parts":[["2013","12","16"]]},"journalAbbreviation":"Curr. Biol.","page":"R1063-5","suppress-author":false,"title":"Antibiotics in crisis.","type":"article-journal","volume":"23"}]</w:instrText>
      </w:r>
      <w:r>
        <w:fldChar w:fldCharType="separate"/>
      </w:r>
      <w:r w:rsidRPr="002B161E">
        <w:rPr>
          <w:noProof/>
          <w:vertAlign w:val="superscript"/>
        </w:rPr>
        <w:t>95</w:t>
      </w:r>
      <w:r>
        <w:fldChar w:fldCharType="end"/>
      </w:r>
      <w:r>
        <w:t xml:space="preserve"> Historically, CDI has been relegated to nosocomial settings and primarily occurs in elderly populations, and those with reduced immune capacity.</w:t>
      </w:r>
      <w:r>
        <w:fldChar w:fldCharType="begin"/>
      </w:r>
      <w:r>
        <w:instrText>ADDIN F1000_CSL_CITATION&lt;~#@#~&gt;[{"DOI":"10.1016/j.cger.2013.10.008","First":false,"Last":false,"PMID":"24267604","abstract":"Clostridium difficile-associated illness is an increasingly prevalent and morbid condition. The elderly population is at a disproportionate risk of developing symptomatic disease and associated complications, including progression to severe or fulminant disease, and development of recurrent infections. This article analyzes the factors that influence C difficile disease propensity and severity, with particular attention directed toward features relevant to the rapidly aging population.&lt;br&gt;&lt;br&gt;Copyright © 2014 Elsevier Inc. All rights reserved.","author":[{"family":"Keller","given":"Jonathan M"},{"family":"Surawicz","given":"Christina M"}],"authorYearDisplayFormat":false,"citation-label":"4672765","container-title":"Clinics in geriatric medicine","container-title-short":"Clin. Geriatr. Med.","id":"4672765","invisible":false,"issue":"1","issued":{"date-parts":[["2014","2"]]},"journalAbbreviation":"Clin. Geriatr. Med.","page":"79-93","suppress-author":false,"title":"Clostridium difficile infection in the elderly.","type":"article-journal","volume":"30"}]</w:instrText>
      </w:r>
      <w:r>
        <w:fldChar w:fldCharType="separate"/>
      </w:r>
      <w:r w:rsidRPr="002B161E">
        <w:rPr>
          <w:noProof/>
          <w:vertAlign w:val="superscript"/>
        </w:rPr>
        <w:t>96</w:t>
      </w:r>
      <w:r>
        <w:fldChar w:fldCharType="end"/>
      </w:r>
      <w:r>
        <w:t xml:space="preserve"> Over time, CDI has increased in younger populations, and has infiltrated communal settings.</w:t>
      </w:r>
      <w:r>
        <w:fldChar w:fldCharType="begin"/>
      </w:r>
      <w:r>
        <w:instrText>ADDIN F1000_CSL_CITATION&lt;~#@#~&gt;[{"DOI":"10.1016/j.ajic.2015.09.004","First":false,"Last":false,"PMID":"26601705","abstract":"&lt;strong&gt;BACKGROUND:&lt;/strong&gt; We investigated an increase in Clostridium difficile infection (CDI) among pediatric oncology patients.&lt;br&gt;&lt;br&gt;&lt;strong&gt;METHODS:&lt;/strong&gt; CDI cases were defined as first C difficile positive stool tests between December 1, 2010, and September 6, 2012, in pediatric oncology patients receiving inpatient or outpatient care at a single hospital. A case-control study was performed to identify CDI risk factors, infection prevention and antimicrobial prescribing practices were assessed, and environmental sampling was conducted. Available isolates were strain-typed by pulsed-field gel electrophoresis.&lt;br&gt;&lt;br&gt;&lt;strong&gt;RESULTS:&lt;/strong&gt; An increase in hospital-onset CDI cases was observed from June-August 2012. Independent risk factors for CDI included hospitalization in the bone marrow transplant ward and exposure to computerized tomography scanning or cefepime in the prior 12 weeks. Cefepime use increased beginning in late 2011, reflecting a practice change for patients with neutropenic fever. There were 13 distinct strain types among 22 available isolates. Hospital-onset CDI rates decreased to near-baseline levels with enhanced infection prevention measures, including environmental cleaning and prolonged contact isolation.&lt;br&gt;&lt;br&gt;&lt;strong&gt;CONCLUSION:&lt;/strong&gt; C difficile strain diversity associated with a cluster of CDI among pediatric oncology patients suggests a need for greater understanding of modes and sources of transmission and strategies to reduce patient susceptibility to CDI. Further research is needed on the risk of CDI with cefepime and its use as primary empirical treatment for neutropenic fever.&lt;br&gt;&lt;br&gt;Published by Elsevier Inc.","author":[{"family":"Dantes","given":"Raymund"},{"family":"Epson","given":"Erin E"},{"family":"Dominguez","given":"Samuel R"},{"family":"Dolan","given":"Susan"},{"family":"Wang","given":"Frank"},{"family":"Hurst","given":"Amanda"},{"family":"Parker","given":"Sarah K"},{"family":"Johnston","given":"Helen"},{"family":"West","given":"Kelly"},{"family":"Anderson","given":"Lydia"},{"family":"Rasheed","given":"James K"},{"family":"Moulton-Meissner","given":"Heather"},{"family":"Noble-Wang","given":"Judith"},{"family":"Limbago","given":"Brandi"},{"family":"Dowell","given":"Elaine"},{"family":"Hilden","given":"Joanne M"},{"family":"Guh","given":"Alice"},{"family":"Pollack","given":"Lori A"},{"family":"Gould","given":"Carolyn V"}],"authorYearDisplayFormat":false,"citation-label":"5839549","container-title":"American Journal of Infection Control","container-title-short":"Am. J. Infect. Control","id":"5839549","invisible":false,"issue":"2","issued":{"date-parts":[["2016","2"]]},"journalAbbreviation":"Am. J. Infect. Control","page":"138-145","suppress-author":false,"title":"Investigation of a cluster of Clostridium difficile infections in a pediatric oncology setting.","type":"article-journal","volume":"44"},{"DOI":"10.1016/j.ajic.2015.07.029","First":false,"Last":false,"PMID":"26362699","abstract":"Health care-associated transmission of Clostridium difficile has been well documented in long-term acute care facilities. This article reports on 2 interventions aimed at reducing the transmission risk: multidisciplinary care teams and no-touch pulsed-xenon disinfection. C difficile transmission rates were tracked over a 39-month period while these 2 interventions were implemented. After a baseline period of 1 year, multidisciplinary teams were implemented for an additional 1-year period with a focus on reducing C difficile infection. During this time, transmission rates dropped 17% (P = .91). In the following 15-month period, the multidisciplinary teams continued, and pulsed-xenon disinfection was added as an adjunct to manual cleaning of patient rooms and common areas. During this time, transmission rates dropped 57% (P = .02). These results indicate that the combined use of multidisciplinary teams and pulsed-xenon disinfection can have a significant impact on C difficile transmission rates in long-term care facilities.&lt;br&gt;&lt;br&gt;Copyright © 2015 Association for Professionals in Infection Control and Epidemiology, Inc. Published by Elsevier Inc. All rights reserved.","author":[{"family":"Miller","given":"Renee"},{"family":"Simmons","given":"Sarah"},{"family":"Dale","given":"Charles"},{"family":"Stachowiak","given":"Julie"},{"family":"Stibich","given":"Mark"}],"authorYearDisplayFormat":false,"citation-label":"832034","container-title":"American Journal of Infection Control","container-title-short":"Am. J. Infect. Control","id":"832034","invisible":false,"issue":"12","issued":{"date-parts":[["2015","12","1"]]},"journalAbbreviation":"Am. J. Infect. Control","page":"1350-1353","suppress-author":false,"title":"Utilization and impact of a pulsed-xenon ultraviolet room disinfection system and multidisciplinary care team on Clostridium difficile in a long-term acute care facility.","type":"article-journal","volume":"43"},{"DOI":"10.2147/CLEP.S106495","First":false,"Last":false,"PMCID":"PMC4934455","PMID":"27418856","abstract":"&lt;strong&gt;OBJECTIVE:&lt;/strong&gt; Human norovirus (HuNoV) and Clostridium difficile are common causes of infectious gastroenteritis in adults in the US. However, limited information is available regarding HuNoV and C. difficile coinfections. Our study was designed to evaluate the prevalence of HuNoV and C. difficile coinfections among adult patients in a hospital setting and disease symptomatology.&lt;br&gt;&lt;br&gt;&lt;strong&gt;STUDY DESIGN AND SETTING:&lt;/strong&gt; For a cross-sectional analysis, 384 fecal samples were tested for the presence of C. difficile toxins from patients (n=290), whom the provider suspected of C. difficile infections. Subsequent testing was then performed for HuNoV genogroups I and II. Multinomial logistic regression was performed to determine symptoms more frequently associated with coinfections.&lt;br&gt;&lt;br&gt;&lt;strong&gt;RESULTS:&lt;/strong&gt; The final cohort consisted of the following outcome groups: C. difficile (n=196), C. difficile + HuNoV coinfection (n=40), HuNoV only (n=12), and neither (n=136). Coinfected patients were more likely to develop nausea, gas, and abdominal pain and were more likely to seek treatment in the winter season compared with individuals not infected or infected with either pathogen alone.&lt;br&gt;&lt;br&gt;&lt;strong&gt;CONCLUSION:&lt;/strong&gt; Our study revealed that patients with coinfection are more likely to experience certain gastrointestinal symptoms, in particular abdominal pain, suggesting an increased severity of disease symptomatology in coinfected patients.","author":[{"family":"Stokely","given":"Janelle N"},{"family":"Niendorf","given":"Sandra"},{"family":"Taube","given":"Stefan"},{"family":"Hoehne","given":"Marina"},{"family":"Young","given":"Vincent B"},{"family":"Rogers","given":"Mary Am"},{"family":"Wobus","given":"Christiane E"}],"authorYearDisplayFormat":false,"citation-label":"6518850","container-title":"Clinical epidemiology","container-title-short":"Clin. Epidemiol.","id":"6518850","invisible":false,"issued":{"date-parts":[["2016","6","28"]]},"journalAbbreviation":"Clin. Epidemiol.","page":"253-260","suppress-author":false,"title":"Prevalence of human norovirus and Clostridium difficile coinfections in adult hospitalized patients.","type":"article-journal","volume":"8"}]</w:instrText>
      </w:r>
      <w:r>
        <w:fldChar w:fldCharType="separate"/>
      </w:r>
      <w:r w:rsidRPr="002B161E">
        <w:rPr>
          <w:noProof/>
          <w:vertAlign w:val="superscript"/>
        </w:rPr>
        <w:t>97–99</w:t>
      </w:r>
      <w:r>
        <w:fldChar w:fldCharType="end"/>
      </w:r>
      <w:r>
        <w:t xml:space="preserve"> To complicate the situation even further, the lack of consensus for a specific treatment protocol has diversified antibiotic resistance in </w:t>
      </w:r>
      <w:r w:rsidR="00AB3480" w:rsidRPr="00AB3480">
        <w:rPr>
          <w:i/>
        </w:rPr>
        <w:t>C. difficile</w:t>
      </w:r>
      <w:r>
        <w:rPr>
          <w:i/>
        </w:rPr>
        <w:t xml:space="preserve"> </w:t>
      </w:r>
      <w:r>
        <w:t>strains.</w:t>
      </w:r>
      <w:r>
        <w:fldChar w:fldCharType="begin"/>
      </w:r>
      <w:r>
        <w:instrText>ADDIN F1000_CSL_CITATION&lt;~#@#~&gt;[{"DOI":"10.1016/j.medmal.2018.08.001","First":false,"Last":false,"PMID":"30266433","abstract":"&lt;strong&gt;OBJECTIVE:&lt;/strong&gt; Age&gt;65 years is associated with the recurrence and poor prognosis of Clostridium difficile infection (CDI). Data on elderly patients (≥75 years) is scarce, and little is known about compliance with European guidelines in terms of specific treatment. We aimed to analyze the treatment and prognosis of CDI in two groups of patients aged&lt; and≥75 years.&lt;br&gt;&lt;br&gt;&lt;strong&gt;PATIENTS AND METHODS:&lt;/strong&gt; We performed a prospective survey from May 2014 to April 2015 in a university hospital including all patients presenting with microbiologically confirmed CDI. Sociodemographic and clinical data, treatment of CDI, recurrences (&lt; 8 weeks after CDI treatment completion), new episodes, and mortality were recorded. Follow-up was performed until February 2016.&lt;br&gt;&lt;br&gt;&lt;strong&gt;RESULTS:&lt;/strong&gt; Overall, 101 patients were included; 45 were aged≥75 years (44.6%). More than two-thirds of CDIs (71/101) were severe. Seven per cent of patients presenting with severe CDI and 10% of patients at increased risk of recurrence received the adequate treatment as per European guidelines. Mean follow-up was 15±4 months (range: 10-22). Among patients aged≥75 years, we observed the same number of recurrences and new episodes of CDI during the follow-up. The 3-month case fatality was significantly higher in the elderly group (P&lt; 0.001). The one-year survival rate was 73.2% in younger patients and 45.7% in elderly patients (P=0.0004).&lt;br&gt;&lt;br&gt;&lt;strong&gt;CONCLUSION:&lt;/strong&gt; This study confirms the poor prognosis of CDI in elderly patients and highlights the lack of compliance with treatment guidelines.&lt;br&gt;&lt;br&gt;Copyright © 2018 Elsevier Masson SAS. All rights reserved.","author":[{"family":"Lauda-Maillen","given":"M"},{"family":"Liuu","given":"E"},{"family":"Catroux","given":"M"},{"family":"Caupenne","given":"A"},{"family":"Priner","given":"M"},{"family":"Cazenave-Roblot","given":"F"},{"family":"Burucoa","given":"C"},{"family":"Ingrand","given":"P"},{"family":"Paccalin","given":"M"}],"authorYearDisplayFormat":false,"citation-label":"5963068","container-title":"Medecine et Maladies Infectieuses","container-title-short":"Med. Mal. Infect.","id":"5963068","invisible":false,"issued":{"date-parts":[["2018","9","25"]]},"journalAbbreviation":"Med. Mal. Infect.","suppress-author":false,"title":"Treatment compliance with European guidelines and prognosis of Clostridium difficile infection according to age.","type":"article-journal"},{"DOI":"10.1038/ajg.2014.133","First":false,"Last":false,"PMCID":"PMC5537742","PMID":"24890442","author":[{"family":"Kelly","given":"Colleen R"},{"family":"Ihunnah","given":"Chioma"},{"family":"Fischer","given":"Monika"},{"family":"Khoruts","given":"Alexander"},{"family":"Surawicz","given":"Christina"},{"family":"Afzali","given":"Anita"},{"family":"Aroniadis","given":"Olga"},{"family":"Barto","given":"Amy"},{"family":"Borody","given":"Thomas"},{"family":"Giovanelli","given":"Andrea"},{"family":"Gordon","given":"Shelley"},{"family":"Gluck","given":"Michael"},{"family":"Hohmann","given":"Elizabeth L"},{"family":"Kao","given":"Dina"},{"family":"Kao","given":"John Y"},{"family":"McQuillen","given":"Daniel P"},{"family":"Mellow","given":"Mark"},{"family":"Rank","given":"Kevin M"},{"family":"Rao","given":"Krishna"},{"family":"Ray","given":"Arnab"},{"family":"Schwartz","given":"Margot A"},{"family":"Singh","given":"Namita"},{"family":"Stollman","given":"Neil"},{"family":"Suskind","given":"David L"},{"family":"Vindigni","given":"Stephen M"},{"family":"Youngster","given":"Ilan"},{"family":"Brandt","given":"Lawrence"}],"authorYearDisplayFormat":false,"citation-label":"1395671","container-title":"The American Journal of Gastroenterology","container-title-short":"Am. J. Gastroenterol.","id":"1395671","invisible":false,"issue":"7","issued":{"date-parts":[["2014","7"]]},"journalAbbreviation":"Am. J. Gastroenterol.","page":"1065-1071","suppress-author":false,"title":"Fecal microbiota transplant for treatment of Clostridium difficile infection in immunocompromised patients.","type":"article-journal","volume":"109"},{"DOI":"10.1086/651706","First":false,"Last":false,"PMID":"20307191","abstract":"Since publication of the Society for Healthcare Epidemiology of America position paper on Clostridium difficile infection in 1995, significant changes have occurred in the epidemiology and treatment of this infection. C. difficile remains the most important cause of healthcare-associated diarrhea and is increasingly important as a community pathogen. A more virulent strain of C. difficile has been identified and has been responsible for more-severe cases of disease worldwide. Data reporting the decreased effectiveness of metronidazole in the treatment of severe disease have been published. Despite the increasing quantity of data available, areas of controversy still exist. This guideline updates recommendations regarding epidemiology, diagnosis, treatment, and infection control and environmental management.","author":[{"family":"Cohen","given":"S H"},{"family":"Gerding","given":"D N"},{"family":"Johnson","given":"S"},{"family":"Kelly","given":"C P"},{"family":"Loo","given":"V G"},{"family":"McDonald","given":"L C"},{"family":"Pepin","given":"J"},{"family":"Wilcox","given":"M H"},{"family":"Society for Healthcare Epidemiology of America"},{"family":"Infectious Diseases Society of America"}],"authorYearDisplayFormat":false,"citation-label":"675023","container-title":"Infection Control and Hospital Epidemiology","container-title-short":"Infect. Control Hosp. Epidemiol.","id":"675023","invisible":false,"issue":"5","issued":{"date-parts":[["2010","5"]]},"journalAbbreviation":"Infect. Control Hosp. Epidemiol.","page":"431-455","suppress-author":false,"title":"Clinical practice guidelines for Clostridium difficile infection in adults: 2010 update by the society for healthcare epidemiology of America (SHEA) and the infectious diseases society of America (IDSA).","type":"article-journal","volume":"31"}]</w:instrText>
      </w:r>
      <w:r>
        <w:fldChar w:fldCharType="separate"/>
      </w:r>
      <w:r w:rsidRPr="002B161E">
        <w:rPr>
          <w:noProof/>
          <w:vertAlign w:val="superscript"/>
        </w:rPr>
        <w:t>100–102</w:t>
      </w:r>
      <w:r>
        <w:fldChar w:fldCharType="end"/>
      </w:r>
      <w:r>
        <w:t xml:space="preserve"> Generally, treatment proceeds over intervals of singular or combinatorial doses of vancomycin, fidaxomycin, and metronidazole, until diagnostic testing no longer detects TcdA/TcdB.</w:t>
      </w:r>
      <w:r>
        <w:fldChar w:fldCharType="begin"/>
      </w:r>
      <w:r>
        <w:instrText>ADDIN F1000_CSL_CITATION&lt;~#@#~&gt;[{"DOI":"10.5009/gnl18071","First":false,"Last":false,"PMCID":"PMC6346998","PMID":"30400734","abstract":"The most common cause of antibiotic-associated diarrhea is Clostridium difficile infection (CDI). Recurrent C. difficile infection (rCDI) often occurs after successful treatment of CDI. Due to the increased incidence and the difficulty in treating rCDI, it is becoming an important clinical issue. Identifying risk factors is helpful for early detection, treatment, and prevention of rCDI. Advanced age, use of antibiotics, gastric acid suppression, and infection with a hypervirulent strain are currently regarded as the major risk factors for rCDI. Several treatment modalities, including vancomycin, fidaxomicin, and fecal microbiota transplant (FMT), are suggested for rCDI treatment. However, there is currently no definitive treatment method with sufficient evidence for rCDI. Recent studies have focused on FMT and have shown positive results for rCDI. Prevention of rCDI by measures such as hand washing and isolation of patients is very important. However, these preventive measures are often overlooked in clinical practice. Here, we review the risk factors, treatment, and prevention of rCDI.","author":[{"family":"Song","given":"Jung Hoon"},{"family":"Kim","given":"You Sun"}],"authorYearDisplayFormat":false,"citation-label":"5991623","container-title":"Gut and Liver","container-title-short":"Gut Liver","id":"5991623","invisible":false,"issued":{"date-parts":[["2018","10","30"]]},"journalAbbreviation":"Gut Liver","suppress-author":false,"title":"Recurrent Clostridium difficile Infection: Risk Factors, Treatment, and Prevention.","type":"article-journal"}]</w:instrText>
      </w:r>
      <w:r>
        <w:fldChar w:fldCharType="separate"/>
      </w:r>
      <w:r w:rsidRPr="002B161E">
        <w:rPr>
          <w:noProof/>
          <w:vertAlign w:val="superscript"/>
        </w:rPr>
        <w:t>103</w:t>
      </w:r>
      <w:r>
        <w:fldChar w:fldCharType="end"/>
      </w:r>
      <w:r>
        <w:t xml:space="preserve"> Vancomycin and metronidazole share failure rates ranging from 14-27%, while fidaxomicin fails during 12% of treatments.</w:t>
      </w:r>
      <w:r>
        <w:fldChar w:fldCharType="begin"/>
      </w:r>
      <w:r>
        <w:instrText>ADDIN F1000_CSL_CITATION&lt;~#@#~&gt;[{"DOI":"10.1021/jm5016846","First":false,"Last":false,"PMCID":"PMC4500462","PMID":"25760275","abstract":"In the past decade Clostridium difficile has become a bacterial pathogen of global significance. Epidemic strains have spread throughout hospitals, while community acquired infections and other sources ensure a constant inoculation of spores into hospitals. In response to the increasing medical burden, a new C. difficile antibiotic, fidaxomicin, was approved in 2011 for the treatment of C. difficile-associated diarrhea. Rudimentary fecal transplants are also being trialed as effective treatments. Despite these advances, therapies that are more effective against C. difficile spores and less damaging to the resident gastrointestinal microbiome and that reduce recurrent disease are still desperately needed. However, bringing a new treatment for C. difficile infection to market involves particular challenges. This review covers the current drug discovery pipeline, including both small molecule and biologic therapies, and highlights the challenges associated with in vitro and in vivo models of C. difficile infection for drug screening and lead optimization. ","author":[{"family":"Jarrad","given":"Angie M"},{"family":"Karoli","given":"Tomislav"},{"family":"Blaskovich","given":"Mark A T"},{"family":"Lyras","given":"Dena"},{"family":"Cooper","given":"Matthew A"}],"authorYearDisplayFormat":false,"citation-label":"2864008","container-title":"Journal of Medicinal Chemistry","container-title-short":"J. Med. Chem.","id":"2864008","invisible":false,"issue":"13","issued":{"date-parts":[["2015","7","9"]]},"journalAbbreviation":"J. Med. Chem.","page":"5164-5185","suppress-author":false,"title":"Clostridium difficile drug pipeline: challenges in discovery and development of new agents.","type":"article-journal","volume":"58"}]</w:instrText>
      </w:r>
      <w:r>
        <w:fldChar w:fldCharType="separate"/>
      </w:r>
      <w:r w:rsidRPr="002B161E">
        <w:rPr>
          <w:noProof/>
          <w:vertAlign w:val="superscript"/>
        </w:rPr>
        <w:t>104</w:t>
      </w:r>
      <w:r>
        <w:fldChar w:fldCharType="end"/>
      </w:r>
      <w:r>
        <w:t xml:space="preserve"> On average, 22.6% and 11.7% of patients will relapse when treated with vancomycin and metronidazole, respectively. In comparison, patients treated with Fidaxomicin exhibit less than a 50% likelihood to relapse.</w:t>
      </w:r>
      <w:r>
        <w:fldChar w:fldCharType="begin"/>
      </w:r>
      <w:r>
        <w:instrText>ADDIN F1000_CSL_CITATION&lt;~#@#~&gt;[{"DOI":"10.1021/jm5016846","First":false,"Last":false,"PMCID":"PMC4500462","PMID":"25760275","abstract":"In the past decade Clostridium difficile has become a bacterial pathogen of global significance. Epidemic strains have spread throughout hospitals, while community acquired infections and other sources ensure a constant inoculation of spores into hospitals. In response to the increasing medical burden, a new C. difficile antibiotic, fidaxomicin, was approved in 2011 for the treatment of C. difficile-associated diarrhea. Rudimentary fecal transplants are also being trialed as effective treatments. Despite these advances, therapies that are more effective against C. difficile spores and less damaging to the resident gastrointestinal microbiome and that reduce recurrent disease are still desperately needed. However, bringing a new treatment for C. difficile infection to market involves particular challenges. This review covers the current drug discovery pipeline, including both small molecule and biologic therapies, and highlights the challenges associated with in vitro and in vivo models of C. difficile infection for drug screening and lead optimization. ","author":[{"family":"Jarrad","given":"Angie M"},{"family":"Karoli","given":"Tomislav"},{"family":"Blaskovich","given":"Mark A T"},{"family":"Lyras","given":"Dena"},{"family":"Cooper","given":"Matthew A"}],"authorYearDisplayFormat":false,"citation-label":"2864008","container-title":"Journal of Medicinal Chemistry","container-title-short":"J. Med. Chem.","id":"2864008","invisible":false,"issue":"13","issued":{"date-parts":[["2015","7","9"]]},"journalAbbreviation":"J. Med. Chem.","page":"5164-5185","suppress-author":false,"title":"Clostridium difficile drug pipeline: challenges in discovery and development of new agents.","type":"article-journal","volume":"58"}]</w:instrText>
      </w:r>
      <w:r>
        <w:fldChar w:fldCharType="separate"/>
      </w:r>
      <w:r w:rsidRPr="002B161E">
        <w:rPr>
          <w:noProof/>
          <w:vertAlign w:val="superscript"/>
        </w:rPr>
        <w:t>104</w:t>
      </w:r>
      <w:r>
        <w:fldChar w:fldCharType="end"/>
      </w:r>
      <w:r>
        <w:t xml:space="preserve"> Fecal microbiota transplant (FMT) has showed promising results with a failure rate of approximately 8%, but routine clinical application remains to be established.</w:t>
      </w:r>
      <w:r>
        <w:fldChar w:fldCharType="begin"/>
      </w:r>
      <w:r>
        <w:instrText>ADDIN F1000_CSL_CITATION&lt;~#@#~&gt;[{"DOI":"10.1146/annurev-med-111717-122956","First":false,"Last":false,"PMID":"30403550","abstract":"Fecal microbiota transplantation (FMT) is a well-established treatment for recurrent Clostridioides difficile infection. FMT has become a more readily available and useful new treatment option as a result of stool banks. The current state of knowledge indicates that dysbiosis of the gut microbiota is implicated in several disorders in addition to C. difficile. Randomized controlled studies have shown FMT to be somewhat effective in treating ulcerative colitis, irritable bowel syndrome, and hepatic encephalopathy. In addition, FMT has been beneficial in treating several other conditions, such as the eradication of multidrug-resistant organisms and graft-versus-host disease. We expect that FMT will soon be implemented as a treatment strategy for several new indications, although further studies are needed. Expected final online publication date for the Annual Review of Medicine Volume 70 is January 27, 2019. Please see http://www.annualreviews.org/page/journal/pubdates for revised estimates.","author":[{"family":"Ooijevaar","given":"R E"},{"family":"Terveer","given":"E M"},{"family":"Verspaget","given":"H W"},{"family":"Kuijper","given":"E J"},{"family":"Keller","given":"J J"}],"authorYearDisplayFormat":false,"citation-label":"5999539","container-title":"Annual Review of Medicine","container-title-short":"Annu. Rev. Med.","id":"5999539","invisible":false,"issue":"1","issued":{"date-parts":[["2018","11","7"]]},"journalAbbreviation":"Annu. Rev. Med.","suppress-author":false,"title":"Clinical application and potential of fecal microbiota transplantation.","type":"article-journal","volume":"70"}]</w:instrText>
      </w:r>
      <w:r>
        <w:fldChar w:fldCharType="separate"/>
      </w:r>
      <w:r w:rsidRPr="002B161E">
        <w:rPr>
          <w:noProof/>
          <w:vertAlign w:val="superscript"/>
        </w:rPr>
        <w:t>105</w:t>
      </w:r>
      <w:r>
        <w:fldChar w:fldCharType="end"/>
      </w:r>
      <w:r>
        <w:t xml:space="preserve"> </w:t>
      </w:r>
    </w:p>
    <w:p w14:paraId="537B2814" w14:textId="7A7ABD42" w:rsidR="00135AEF" w:rsidRDefault="00135AEF" w:rsidP="00135AEF">
      <w:pPr>
        <w:ind w:firstLine="720"/>
        <w:jc w:val="both"/>
      </w:pPr>
      <w:r>
        <w:t xml:space="preserve">Elegant genomic studies have elucidated specific bacterial taxa that are underrepresented in CDI patients, providing further evidence that microflora dysbiosis enhances susceptibility to </w:t>
      </w:r>
      <w:r w:rsidR="00AB3480" w:rsidRPr="00AB3480">
        <w:rPr>
          <w:i/>
        </w:rPr>
        <w:t>C. difficile</w:t>
      </w:r>
      <w:r>
        <w:t>.</w:t>
      </w:r>
      <w:r>
        <w:fldChar w:fldCharType="begin"/>
      </w:r>
      <w:r>
        <w:instrText>ADDIN F1000_CSL_CITATION&lt;~#@#~&gt;[{"DOI":"10.1038/srep25945","First":false,"Last":false,"PMCID":"PMC4863157","PMID":"27166072","abstract":"The gut microbiota composition of elderly hospitalized patients with Clostridium difficile infection (CDI) exposed to previous antibiotic treatment is still poorly investigated. The aim of this study was to compare the microbiota composition by means of 16S rRNA microbial profiling among three groups of hospitalized elderly patients (age ≥ 65) under standard diet including 25 CDI-positive (CDI group), 29 CDI-negative exposed to antibiotic treatment (AB+ group) and 30 CDI-negative subjects not on antibiotic treatment (AB- group). The functional properties of the gut microbiomes of CDI-positive vs CDI-negative subjects were also assessed by shotgun metagenomics. A significantly lower microbial diversity was detected in CDI samples, whose microbiomes clustered separately from CDI-negative specimens. CDI was associated with a significant under-representation of gut commensals with putative protective functionalities, including Bacteroides, Alistipes, Lachnospira and Barnesiella, and over-representation of opportunistic pathogens. These findings were confirmed by functional shotgun metagenomics analyses, including an in-depth profiling of the Peptostreptococcaceae family. In CDI-negative patients, antibiotic treatment was associated with significant depletion of few commensals like Alistipes, but not with a reduction in species richness. A better understanding of the correlations between CDI and the microbiota in high-risk elderly subjects may contribute to identify therapeutic targets for CDI.","author":[{"family":"Milani","given":"Christian"},{"family":"Ticinesi","given":"Andrea"},{"family":"Gerritsen","given":"Jacoline"},{"family":"Nouvenne","given":"Antonio"},{"family":"Lugli","given":"Gabriele Andrea"},{"family":"Mancabelli","given":"Leonardo"},{"family":"Turroni","given":"Francesca"},{"family":"Duranti","given":"Sabrina"},{"family":"Mangifesta","given":"Marta"},{"family":"Viappiani","given":"Alice"},{"family":"Ferrario","given":"Chiara"},{"family":"Maggio","given":"Marcello"},{"family":"Lauretani","given":"Fulvio"},{"family":"De Vos","given":"Willem"},{"family":"van Sinderen","given":"Douwe"},{"family":"Meschi","given":"Tiziana"},{"family":"Ventura","given":"Marco"}],"authorYearDisplayFormat":false,"citation-label":"2445668","container-title":"Scientific reports","container-title-short":"Sci. Rep.","id":"2445668","invisible":false,"issued":{"date-parts":[["2016","5","11"]]},"journalAbbreviation":"Sci. Rep.","page":"25945","suppress-author":false,"title":"Gut microbiota composition and Clostridium difficile infection in hospitalized elderly individuals: a metagenomic study.","type":"article-journal","volume":"6"}]</w:instrText>
      </w:r>
      <w:r>
        <w:fldChar w:fldCharType="separate"/>
      </w:r>
      <w:r w:rsidRPr="002B161E">
        <w:rPr>
          <w:noProof/>
          <w:vertAlign w:val="superscript"/>
        </w:rPr>
        <w:t>106</w:t>
      </w:r>
      <w:r>
        <w:fldChar w:fldCharType="end"/>
      </w:r>
      <w:r>
        <w:t xml:space="preserve"> Correcting an imbalanced microflora may impart protective effects. </w:t>
      </w:r>
      <w:r w:rsidR="00336D54">
        <w:t>FMT</w:t>
      </w:r>
      <w:r>
        <w:t xml:space="preserve"> has gained attention in recent years as a method capable of artificially repopulating gut microflora of an infected patient with that from a healthy fecal donor. This replacement</w:t>
      </w:r>
      <w:r w:rsidRPr="009343F7">
        <w:t xml:space="preserve"> </w:t>
      </w:r>
      <w:r>
        <w:t xml:space="preserve">restores the balance amongst gut microbiota following antibiotic </w:t>
      </w:r>
      <w:r>
        <w:lastRenderedPageBreak/>
        <w:t>therapy.</w:t>
      </w:r>
      <w:r>
        <w:fldChar w:fldCharType="begin"/>
      </w:r>
      <w:r>
        <w:instrText>ADDIN F1000_CSL_CITATION&lt;~#@#~&gt;[{"DOI":"10.1016/j.cgh.2011.08.014","First":false,"Last":false,"PMCID":"PMC3223289","PMID":"21871249","abstract":"Clostridium difficile infection is increasing in incidence, severity, and mortality. Treatment options are limited and appear to be losing efficacy. Recurrent disease is especially challenging; extended treatment with oral vancomycin is becoming increasingly common but is expensive. Fecal microbiota transplantation is safe, inexpensive, and effective; according to case and small series reports, about 90% of patients are cured. We discuss the rationale, methods, and use of fecal microbiota transplantation.&lt;br&gt;&lt;br&gt;Copyright © 2011 AGA Institute. Published by Elsevier Inc. All rights reserved.","author":[{"family":"Bakken","given":"Johan S"},{"family":"Borody","given":"Thomas"},{"family":"Brandt","given":"Lawrence J"},{"family":"Brill","given":"Joel V"},{"family":"Demarco","given":"Daniel C"},{"family":"Franzos","given":"Marc Alaric"},{"family":"Kelly","given":"Colleen"},{"family":"Khoruts","given":"Alexander"},{"family":"Louie","given":"Thomas"},{"family":"Martinelli","given":"Lawrence P"},{"family":"Moore","given":"Thomas A"},{"family":"Russell","given":"George"},{"family":"Surawicz","given":"Christina"},{"family":"Fecal Microbiota Transplantation Workgroup"}],"authorYearDisplayFormat":false,"citation-label":"1127518","container-title":"Clinical Gastroenterology and Hepatology","container-title-short":"Clin. Gastroenterol. Hepatol.","id":"1127518","invisible":false,"issue":"12","issued":{"date-parts":[["2011","12"]]},"journalAbbreviation":"Clin. Gastroenterol. Hepatol.","page":"1044-1049","suppress-author":false,"title":"Treating Clostridium difficile infection with fecal microbiota transplantation.","type":"article-journal","volume":"9"},{"DOI":"10.1038/nrgastro.2011.244","First":false,"Last":false,"PMID":"22183182","abstract":"Fecal microbiota transplantation (FMT) has been utilized sporadically for over 50 years. In the past few years, Clostridium difficile infection (CDI) epidemics in the USA and Europe have resulted in the increased use of FMT, given its high efficacy in eradicating CDI and associated symptoms. As more patients request treatment and more clinics incorporate FMT into their treatment repertoire, reports of applications outside of CDI are emerging, paving the way for the use of FMT in several idiopathic conditions. Interest in this therapy has largely been driven by new research into the gut microbiota, which is now beginning to be appreciated as a microbial human organ with important roles in immunity and energy metabolism. This new paradigm raises the possibility that many diseases result, at least partially, from microbiota-related dysfunction. This understanding invites the investigation of FMT for several disorders, including IBD, IBS, the metabolic syndrome, neurodevelopmental disorders, autoimmune diseases and allergic diseases, among others. The field of microbiota-related disorders is currently in its infancy; it certainly is an exciting time in the burgeoning science of FMT and we expect to see new and previously unexpected applications in the near future. Well-designed and well-executed randomized trials are now needed to further define these microbiota-related conditions.","author":[{"family":"Borody","given":"Thomas J"},{"family":"Khoruts","given":"Alexander"}],"authorYearDisplayFormat":false,"citation-label":"708958","container-title":"Nature Reviews. Gastroenterology &amp; Hepatology","container-title-short":"Nat. Rev. Gastroenterol. Hepatol.","id":"708958","invisible":false,"issue":"2","issued":{"date-parts":[["2011","12","20"]]},"journalAbbreviation":"Nat. Rev. Gastroenterol. Hepatol.","page":"88-96","suppress-author":false,"title":"Fecal microbiota transplantation and emerging applications.","type":"article-journal","volume":"9"}]</w:instrText>
      </w:r>
      <w:r>
        <w:fldChar w:fldCharType="separate"/>
      </w:r>
      <w:r w:rsidRPr="002B161E">
        <w:rPr>
          <w:noProof/>
          <w:vertAlign w:val="superscript"/>
        </w:rPr>
        <w:t>107,108</w:t>
      </w:r>
      <w:r>
        <w:fldChar w:fldCharType="end"/>
      </w:r>
      <w:r>
        <w:t xml:space="preserve"> FMT demonstrates promising initial results in both treating CDI, and reducing patient relapse, boasting a success rate of over 90% in clinical trials.</w:t>
      </w:r>
      <w:r>
        <w:fldChar w:fldCharType="begin"/>
      </w:r>
      <w:r>
        <w:instrText>ADDIN F1000_CSL_CITATION&lt;~#@#~&gt;[{"First":false,"Last":false,"PMCID":"PMC6194865","PMID":"30221898","abstract":"&lt;strong&gt;OBJECTIVE:&lt;/strong&gt; Fecal microbiota transplantation (FMT) is a highly effective therapy for recurrent Clostridium difficile infection (R-CDI). Despite its excellent efficacy, it is still not a routine procedure in most European centers. FMT has not been widely used in Spain to date. We describe our experience with FMT, including a novel approach based on oral fecal capsules.&lt;br&gt;&lt;br&gt;&lt;strong&gt;METHODS:&lt;/strong&gt; We analyzed a prospectively recorded case series of patients with R-CDI treated with FMT at a single center (June 2014-July 2017). Primary outcome was defined as resolution of CDI without recurrence in a two-month period. FMT was administered via colonoscopy, nasojejunal tube, or oral capsules. All stool donors were rigorously screened.&lt;br&gt;&lt;br&gt;&lt;strong&gt;RESULTS:&lt;/strong&gt; FMT was performed in 13 patients with R-CDI. Median age was 75.0 years and 76.9% were females. Six FMT were performed via nasojejunal tube, 5 via oral capsules, and 2 by colonoscopy. There were no procedure-related adverse events, except for bacteremia in one patient. During follow-up, R- CDI was observed in one patient at one month after FMT. The primary resolution rate was 83.3% and the overall resolution rate was 91.7%. FMT by capsules achieved a 100% resolution rate, colonoscopy 100%, and nasojejunal tube 80.0%.&lt;br&gt;&lt;br&gt;&lt;strong&gt;CONCLUSIONS:&lt;/strong&gt; In our cohort, FMT proved to be safe and effective, even in high risk patients. Oral administration in capsules also proved to be safe, well-tolerated, and highly effective for R-CDI. In our experience, the FMT capsule formulation seems feasible in the routine of a hospital. This administration method will allow FMT to be more widely used.&lt;br&gt;&lt;br&gt;©The Author 2018. Published by Sociedad Española de Quimioterapia. This article is distributed under the terms of the Creative Commons Attribution-NonCommercial 4.0 International (CC BY-NC 4.0)(https://creativecommons.org/licenses/by-nc/4.0/).","author":[{"family":"Reigadas","given":"E"},{"family":"Olmedo","given":"M"},{"family":"Valerio","given":"M"},{"family":"Vázquez-Cuesta","given":"S"},{"family":"Alcalá","given":"L"},{"family":"Marín","given":"M"},{"family":"Muñoz","given":"P"},{"family":"Bouza","given":"E"}],"authorYearDisplayFormat":false,"citation-label":"6060864","container-title":"Revista Espanola de Quimioterapia","container-title-short":"Rev. Esp. Quimioter.","id":"6060864","invisible":false,"issue":"5","issued":{"date-parts":[["2018","10"]]},"journalAbbreviation":"Rev. Esp. Quimioter.","page":"411-418","suppress-author":false,"title":"Fecal microbiota transplantation for recurrent Clostridium difficile infection: Experience, protocol, and results.","type":"article-journal","volume":"31"}]</w:instrText>
      </w:r>
      <w:r>
        <w:fldChar w:fldCharType="separate"/>
      </w:r>
      <w:r w:rsidRPr="002B161E">
        <w:rPr>
          <w:noProof/>
          <w:vertAlign w:val="superscript"/>
        </w:rPr>
        <w:t>109</w:t>
      </w:r>
      <w:r>
        <w:fldChar w:fldCharType="end"/>
      </w:r>
      <w:r>
        <w:t xml:space="preserve"> Similarly, diets incorporating prebiotic and probiotic supplements have increased in popularity, as connections between our health and specific commensal taxa are discovered.</w:t>
      </w:r>
    </w:p>
    <w:p w14:paraId="36BD5B09" w14:textId="5747D42B" w:rsidR="00135AEF" w:rsidRPr="00D02F50" w:rsidRDefault="00135AEF" w:rsidP="00135AEF">
      <w:pPr>
        <w:ind w:firstLine="720"/>
        <w:jc w:val="both"/>
      </w:pPr>
      <w:r>
        <w:t xml:space="preserve">As a spore-former, </w:t>
      </w:r>
      <w:r w:rsidR="00AB3480" w:rsidRPr="00AB3480">
        <w:rPr>
          <w:i/>
        </w:rPr>
        <w:t>C. difficile</w:t>
      </w:r>
      <w:r>
        <w:t xml:space="preserve"> possesses intrinsic resistance to antibiotics that target an active metabolic pathway. Spores allow </w:t>
      </w:r>
      <w:r w:rsidR="00AB3480" w:rsidRPr="00AB3480">
        <w:rPr>
          <w:i/>
        </w:rPr>
        <w:t>C. difficile</w:t>
      </w:r>
      <w:r>
        <w:rPr>
          <w:i/>
        </w:rPr>
        <w:t xml:space="preserve"> </w:t>
      </w:r>
      <w:r>
        <w:t xml:space="preserve">to be transmitted and tolerate oxygenic environments, therefore sporulation is a key step in the infection cycle. Disabling or minimizing sporulation would dramatically reduce the rate of transmission by terminating the infection cycle. So far, no </w:t>
      </w:r>
      <w:r w:rsidR="00431DD1">
        <w:t xml:space="preserve">drugs have been approved by the U.S. Food and Drug Administration (FDA) that </w:t>
      </w:r>
      <w:r>
        <w:t xml:space="preserve">target </w:t>
      </w:r>
      <w:r w:rsidR="00AB3480" w:rsidRPr="00AB3480">
        <w:rPr>
          <w:i/>
        </w:rPr>
        <w:t>C. difficile</w:t>
      </w:r>
      <w:r>
        <w:rPr>
          <w:i/>
        </w:rPr>
        <w:t xml:space="preserve"> </w:t>
      </w:r>
      <w:r>
        <w:t>sporulation.</w:t>
      </w:r>
      <w:r>
        <w:fldChar w:fldCharType="begin"/>
      </w:r>
      <w:r>
        <w:instrText>ADDIN F1000_CSL_CITATION&lt;~#@#~&gt;[{"DOI":"10.1128/JB.00218-18","First":false,"Last":false,"PMCID":"PMC6060349","PMID":"29760211","abstract":"Germination of Clostridium difficile spores is a crucial early requirement for colonization of the gastrointestinal tract. Likewise, C. difficile cannot cause disease pathologies unless its spores germinate into metabolically active, toxin-producing cells. Recent advances in our understanding of C. difficile spore germination mechanisms indicate that this process is both complex and unique. This review defines unique aspects of the germination pathways of C. difficile and compares them to those of two other well-studied organisms, Bacillus anthracis and Clostridium perfringensC. difficile germination is unique, as C. difficile does not contain any orthologs of the traditional GerA-type germinant receptor complexes and is the only known sporeformer to require bile salts in order to germinate. While recent advances describing C. difficile germination mechanisms have been made on several fronts, major gaps in our understanding of C. difficile germination signaling remain. This review provides an updated, in-depth summary of advances in understanding of C. difficile germination and potential avenues for the development of therapeutics, and discusses the major discrepancies between current models of germination and areas of ongoing investigation.&lt;br&gt;&lt;br&gt;Copyright © 2018 American Society for Microbiology.","author":[{"family":"Kochan","given":"Travis J"},{"family":"Foley","given":"Matthew H"},{"family":"Shoshiev","given":"Michelle S"},{"family":"Somers","given":"Madeline J"},{"family":"Carlson","given":"Paul E"},{"family":"Hanna","given":"Philip C"}],"authorYearDisplayFormat":false,"citation-label":"6018963","container-title":"Journal of Bacteriology","container-title-short":"J. Bacteriol.","id":"6018963","invisible":false,"issue":"16","issued":{"date-parts":[["2018","8","15"]]},"journalAbbreviation":"J. Bacteriol.","suppress-author":false,"title":"Updates to Clostridium difficile Spore Germination.","type":"article-journal","volume":"200"},{"DOI":"10.3389/fmed.2018.00096","First":false,"Last":false,"PMCID":"PMC5911476","PMID":"29713630","abstract":"The current picture of Clostridium difficile infection (CDI) is alarming with a mortality rate ranging between 3% and 15% and a CDI recurrence rate ranging from 12% to 40%. Despite the great efforts made over the past 10 years to face the CDI burden, there are still gray areas in our knowledge on CDI management. The traditional anti-CDI antimicrobials are not always adequate in addressing the current needs in CDI management. The aim of our review is to give an update on novel antimicrobials for the treatment of CDI, considering the currently available evidences on their efficacy, safety, molecular mechanism of action, and their probability to be successfully introduced into the clinical practice in the near future. We identified, through a PubMed search, 16 novel antimicrobial molecules under study for CDI treatment: cadazolid, surotomycin, ridinilazole, LFF571, ramoplanin, CRS3123, fusidic acid, nitazoxanide, rifampin, rifaximin, tigecycline, auranofin, NVB302, thuricin CD, lacticin 3147, and acyldepsipeptide antimicrobials. In comparison with the traditional anti-CDI antimicrobial treatment, some of the novel antimicrobials reviewed in this study offer several advantages, i.e., the favorable pharmacokinetic and pharmacodynamic profile, the narrow-spectrum activity against CD that implicates a low impact on the gut microbiota composition, the inhibitory activity on CD sporulation and toxins production. Among these novel antimicrobials, the most active compounds in reducing spore production are cadazolid, ridinilazole, CRS3123, ramoplanin and, potentially, the acyldepsipeptide antimicrobials. These antimicrobials may potentially reduce CD environment spread and persistence, thus reducing CDI healthcare-associated acquisition. However, some of them, i.e., surotomycin, fusidic acid, etc., will not be available due to lack of superiority versus standard of treatment. The most CD narrow-spectrum novel antimicrobials that allow to preserve microbiota integrity are cadazolid, ridinilazole, auranofin, and thuricin CD. In conclusion, the novel antimicrobial molecules under development for CDI have promising key features and advancements in comparison to the traditional anti-CDI antimicrobials. In the near future, some of these new molecules might be effective alternatives to fight CDI.","author":[{"family":"Petrosillo","given":"Nicola"},{"family":"Granata","given":"Guido"},{"family":"Cataldo","given":"Maria Adriana"}],"authorYearDisplayFormat":false,"citation-label":"5178115","container-title":"Frontiers in medicine","container-title-short":"Front Med (Lausanne)","id":"5178115","invisible":false,"issued":{"date-parts":[["2018","4","16"]]},"journalAbbreviation":"Front Med (Lausanne)","page":"96","suppress-author":false,"title":"Novel Antimicrobials for the Treatment of Clostridium difficile Infection.","type":"article-journal","volume":"5"}]</w:instrText>
      </w:r>
      <w:r>
        <w:fldChar w:fldCharType="separate"/>
      </w:r>
      <w:r w:rsidRPr="002B161E">
        <w:rPr>
          <w:noProof/>
          <w:vertAlign w:val="superscript"/>
        </w:rPr>
        <w:t>110,111</w:t>
      </w:r>
      <w:r>
        <w:fldChar w:fldCharType="end"/>
      </w:r>
      <w:r>
        <w:t xml:space="preserve"> </w:t>
      </w:r>
    </w:p>
    <w:p w14:paraId="195A44F5" w14:textId="7AEAD31D" w:rsidR="00135AEF" w:rsidRDefault="00135AEF" w:rsidP="00135AEF">
      <w:pPr>
        <w:ind w:firstLine="720"/>
        <w:jc w:val="both"/>
      </w:pPr>
      <w:r>
        <w:t xml:space="preserve">Metronidazole, vancomycin, and fidaxomicin are the most commonly used antibiotics to treat CDI </w:t>
      </w:r>
      <w:r>
        <w:rPr>
          <w:iCs/>
        </w:rPr>
        <w:t>(</w:t>
      </w:r>
      <w:r>
        <w:rPr>
          <w:b/>
          <w:iCs/>
        </w:rPr>
        <w:t>Figure 1.5</w:t>
      </w:r>
      <w:r>
        <w:rPr>
          <w:iCs/>
        </w:rPr>
        <w:t>)</w:t>
      </w:r>
      <w:r>
        <w:t>.</w:t>
      </w:r>
      <w:r>
        <w:fldChar w:fldCharType="begin"/>
      </w:r>
      <w:r>
        <w:instrText>ADDIN F1000_CSL_CITATION&lt;~#@#~&gt;[{"DOI":"10.1038/ajg.2013.4","First":false,"Last":false,"PMID":"23439232","abstract":"Clostridium difficile infection (CDI) is a leading cause of hospital-associated gastrointestinal illness and places a high burden on our health-care system. Patients with CDI typically have extended lengths-of-stay in hospitals, and CDI is a frequent cause of large hospital outbreaks of disease. This guideline provides recommendations for the diagnosis and management of patients with CDI as well as for the prevention and control of outbreaks while supplementing previously published guidelines. New molecular diagnostic stool tests will likely replace current enzyme immunoassay tests. We suggest treatment of patients be stratified depending on whether they have mild-to-moderate, severe, or complicated disease. Therapy with metronidazole remains the choice for mild-to-moderate disease but may not be adequate for patients with severe or complicated disease. We propose a classification of disease severity to guide therapy that is useful for clinicians. We review current treatment options for patients with recurrent CDI and recommendations for the control and prevention of outbreaks of CDI.","author":[{"family":"Surawicz","given":"Christina M"},{"family":"Brandt","given":"Lawrence J"},{"family":"Binion","given":"David G"},{"family":"Ananthakrishnan","given":"Ashwin N"},{"family":"Curry","given":"Scott R"},{"family":"Gilligan","given":"Peter H"},{"family":"McFarland","given":"Lynne V"},{"family":"Mellow","given":"Mark"},{"family":"Zuckerbraun","given":"Brian S"}],"authorYearDisplayFormat":false,"citation-label":"642061","container-title":"The American Journal of Gastroenterology","container-title-short":"Am. J. Gastroenterol.","id":"642061","invisible":false,"issue":"4","issued":{"date-parts":[["2013","4"]]},"journalAbbreviation":"Am. J. Gastroenterol.","page":"478-98; quiz 499","suppress-author":false,"title":"Guidelines for diagnosis, treatment, and prevention of Clostridium difficile infections.","type":"article-journal","volume":"108"},{"DOI":"10.1086/651706","First":false,"Last":false,"PMID":"20307191","abstract":"Since publication of the Society for Healthcare Epidemiology of America position paper on Clostridium difficile infection in 1995, significant changes have occurred in the epidemiology and treatment of this infection. C. difficile remains the most important cause of healthcare-associated diarrhea and is increasingly important as a community pathogen. A more virulent strain of C. difficile has been identified and has been responsible for more-severe cases of disease worldwide. Data reporting the decreased effectiveness of metronidazole in the treatment of severe disease have been published. Despite the increasing quantity of data available, areas of controversy still exist. This guideline updates recommendations regarding epidemiology, diagnosis, treatment, and infection control and environmental management.","author":[{"family":"Cohen","given":"S H"},{"family":"Gerding","given":"D N"},{"family":"Johnson","given":"S"},{"family":"Kelly","given":"C P"},{"family":"Loo","given":"V G"},{"family":"McDonald","given":"L C"},{"family":"Pepin","given":"J"},{"family":"Wilcox","given":"M H"},{"family":"Society for Healthcare Epidemiology of America"},{"family":"Infectious Diseases Society of America"}],"authorYearDisplayFormat":false,"citation-label":"675023","container-title":"Infection Control and Hospital Epidemiology","container-title-short":"Infect. Control Hosp. Epidemiol.","id":"675023","invisible":false,"issue":"5","issued":{"date-parts":[["2010","5"]]},"journalAbbreviation":"Infect. Control Hosp. Epidemiol.","page":"431-455","suppress-author":false,"title":"Clinical practice guidelines for Clostridium difficile infection in adults: 2010 update by the society for healthcare epidemiology of America (SHEA) and the infectious diseases society of America (IDSA).","type":"article-journal","volume":"31"}]</w:instrText>
      </w:r>
      <w:r>
        <w:fldChar w:fldCharType="separate"/>
      </w:r>
      <w:r w:rsidRPr="002B161E">
        <w:rPr>
          <w:noProof/>
          <w:vertAlign w:val="superscript"/>
        </w:rPr>
        <w:t>102,112</w:t>
      </w:r>
      <w:r>
        <w:fldChar w:fldCharType="end"/>
      </w:r>
      <w:r>
        <w:t xml:space="preserve"> Metronidazole is the preferred first-line drug against perceived CDI when a diagnoses has yet to be confirmed</w:t>
      </w:r>
      <w:r>
        <w:fldChar w:fldCharType="begin"/>
      </w:r>
      <w:r>
        <w:instrText>ADDIN F1000_CSL_CITATION&lt;~#@#~&gt;[{"DOI":"10.1086/647939","First":false,"Last":false,"PMID":"20067388","abstract":"Metronidazole has been used for the treatment of infections for &gt;45 years and is still successfully used for the treatment of trichomoniasis, amoebiasis, and giardiasis. Anaerobic bacterial infections caused by Bacteroides species, fusobacteria, and clostridia respond favorably to metronidazole therapy. Good clinical results in the treatment of vaginosis due to Gardnerella vaginalis have also been reported. Rates of resistance to metronidazole are still generally low; however, several studies have reported decreased susceptibility among Bacteroides species, as well as different mechanisms of resistance. Metronidazole-resistant Helicobacter pylori strains have been described, but combination therapy (eg, metronidazole, amoxicillin, or clarithromycin plus omeprazole) is still recommended for eradication of this pathogen in patients with gastroduodenal ulcers. Metronidazole is considered to be a cost-effective drug because of its low cost, good activity against pathogenic anaerobic bacteria, favorable pharmacokinetic and pharmacodynamic properties, and minor adverse effects. Metronidazole is still the criterion standard for therapy of anaerobic infections, as was described by Tally and colleagues 35 years ago.","author":[{"family":"Löfmark","given":"Sonja"},{"family":"Edlund","given":"Charlotta"},{"family":"Nord","given":"Carl Erik"}],"authorYearDisplayFormat":false,"citation-label":"6257432","container-title":"Clinical Infectious Diseases","container-title-short":"Clin. Infect. Dis.","id":"6257432","invisible":false,"issued":{"date-parts":[["2010","1","1"]]},"journalAbbreviation":"Clin. Infect. Dis.","page":"S16-23","suppress-author":false,"title":"Metronidazole is still the drug of choice for treatment of anaerobic infections.","type":"article-journal","volume":"50 Suppl 1"}]</w:instrText>
      </w:r>
      <w:r>
        <w:fldChar w:fldCharType="separate"/>
      </w:r>
      <w:r w:rsidRPr="002B161E">
        <w:rPr>
          <w:noProof/>
          <w:vertAlign w:val="superscript"/>
        </w:rPr>
        <w:t>113</w:t>
      </w:r>
      <w:r>
        <w:fldChar w:fldCharType="end"/>
      </w:r>
      <w:r>
        <w:t xml:space="preserve"> Metronidazole is a small molecule pro-drug that passively diffuses through the cell wall of </w:t>
      </w:r>
      <w:r w:rsidR="00AB3480" w:rsidRPr="00AB3480">
        <w:rPr>
          <w:i/>
          <w:iCs/>
        </w:rPr>
        <w:t>C. difficile</w:t>
      </w:r>
      <w:r>
        <w:t>, and into the cytoplasm.</w:t>
      </w:r>
      <w:r>
        <w:fldChar w:fldCharType="begin"/>
      </w:r>
      <w:r>
        <w:instrText>ADDIN F1000_CSL_CITATION&lt;~#@#~&gt;[{"DOI":"10.1016/S0140-6736(83)91036-X","First":false,"Last":false,"PMID":"6138597","abstract":"101 patients with Clostridium-difficile-associated diarrhoea or colitis were prospectively randomised to 10-day oral courses of metronidazole, 250 mg four times a day, or vancomycin, 500 mg four times a day. 7 did not complete the protocol and were dropped from analysis. Pseudomembranous colitis (PMC) was diagnosed after endoscopy in 33 patients. Of the remaining patients without PMC, 38 had both C difficile culture and cytotoxin and 23 had only culture evidence of C difficile. 52 evaluable patients received vancomycin and 42 received metronidazole. There were two treatment failures with metronidazole and none with vancomycin (p = 0.20); and two relapses with metronidazole versus six with vancomycin (p = 0.17). Treatment in 1 patient in each group was discontinued because of drug intolerance. Response and relapse rates of the 33 patients with PMC were no different from those of the remaining patients. Pharmacy cost for the dosage used was $387.48 to $520.00 for vancomycin and $11.84 for metronidazole. Metronidazole and vancomycin have equivalent efficacy and relapse rates and are tolerated to a similar extent by patients with C-difficile-related diarrhoea and colitis, but metronidazole is considerably more economical.","author":[{"family":"Teasley","given":"D G"},{"family":"Gerding","given":"D N"},{"family":"Olson","given":"M M"},{"family":"Peterson","given":"L R"},{"family":"Gebhard","given":"R L"},{"family":"Schwartz","given":"M J"},{"family":"Lee","given":"J T"}],"authorYearDisplayFormat":false,"citation-label":"1864418","container-title":"The Lancet","container-title-short":"Lancet","id":"1864418","invisible":false,"issue":"8358","issued":{"date-parts":[["1983","11","5"]]},"journalAbbreviation":"Lancet","page":"1043-1046","suppress-author":false,"title":"Prospective randomised trial of metronidazole versus vancomycin for Clostridium-difficile-associated diarrhoea and colitis.","type":"article-journal","volume":"2"},{"DOI":"10.1136/gut.27.10.1169","First":false,"Last":false,"author":[{"family":"Bolton","given":"R P"},{"family":"Culshaw","given":"M A"}],"authorYearDisplayFormat":false,"citation-label":"6715106","container-title":"Gut","container-title-short":"Gut","id":"6715106","invisible":false,"issue":"10","issued":{"date-parts":[["1986","10","1"]]},"journalAbbreviation":"Gut","page":"1169-1172","suppress-author":false,"title":"Faecal metronidazole concentrations during oral and intravenous therapy for antibiotic associated colitis due to Clostridium difficile.","type":"article-journal","volume":"27"}]</w:instrText>
      </w:r>
      <w:r>
        <w:fldChar w:fldCharType="separate"/>
      </w:r>
      <w:r w:rsidRPr="002B161E">
        <w:rPr>
          <w:noProof/>
          <w:vertAlign w:val="superscript"/>
        </w:rPr>
        <w:t>114,115</w:t>
      </w:r>
      <w:r>
        <w:fldChar w:fldCharType="end"/>
      </w:r>
      <w:r>
        <w:t xml:space="preserve"> Ferredoxin reduces metronidazole to yield the active form, which creates a nitroso-free-radical that reacts with DNA.</w:t>
      </w:r>
      <w:r>
        <w:fldChar w:fldCharType="begin"/>
      </w:r>
      <w:r>
        <w:instrText>ADDIN F1000_CSL_CITATION&lt;~#@#~&gt;[{"DOI":"10.1021/jm5016846","First":false,"Last":false,"PMCID":"PMC4500462","PMID":"25760275","abstract":"In the past decade Clostridium difficile has become a bacterial pathogen of global significance. Epidemic strains have spread throughout hospitals, while community acquired infections and other sources ensure a constant inoculation of spores into hospitals. In response to the increasing medical burden, a new C. difficile antibiotic, fidaxomicin, was approved in 2011 for the treatment of C. difficile-associated diarrhea. Rudimentary fecal transplants are also being trialed as effective treatments. Despite these advances, therapies that are more effective against C. difficile spores and less damaging to the resident gastrointestinal microbiome and that reduce recurrent disease are still desperately needed. However, bringing a new treatment for C. difficile infection to market involves particular challenges. This review covers the current drug discovery pipeline, including both small molecule and biologic therapies, and highlights the challenges associated with in vitro and in vivo models of C. difficile infection for drug screening and lead optimization. ","author":[{"family":"Jarrad","given":"Angie M"},{"family":"Karoli","given":"Tomislav"},{"family":"Blaskovich","given":"Mark A T"},{"family":"Lyras","given":"Dena"},{"family":"Cooper","given":"Matthew A"}],"authorYearDisplayFormat":false,"citation-label":"2864008","container-title":"Journal of Medicinal Chemistry","container-title-short":"J. Med. Chem.","id":"2864008","invisible":false,"issue":"13","issued":{"date-parts":[["2015","7","9"]]},"journalAbbreviation":"J. Med. Chem.","page":"5164-5185","suppress-author":false,"title":"Clostridium difficile drug pipeline: challenges in discovery and development of new agents.","type":"article-journal","volume":"58"}]</w:instrText>
      </w:r>
      <w:r>
        <w:fldChar w:fldCharType="separate"/>
      </w:r>
      <w:r w:rsidRPr="002B161E">
        <w:rPr>
          <w:noProof/>
          <w:vertAlign w:val="superscript"/>
        </w:rPr>
        <w:t>104</w:t>
      </w:r>
      <w:r>
        <w:fldChar w:fldCharType="end"/>
      </w:r>
      <w:r>
        <w:t xml:space="preserve"> This damages DNA and overwhelms </w:t>
      </w:r>
      <w:r w:rsidR="00AB3480" w:rsidRPr="00AB3480">
        <w:rPr>
          <w:i/>
          <w:iCs/>
        </w:rPr>
        <w:t>C. difficile</w:t>
      </w:r>
      <w:r>
        <w:rPr>
          <w:iCs/>
        </w:rPr>
        <w:t>,</w:t>
      </w:r>
      <w:r>
        <w:t xml:space="preserve"> inducing a DNA damage stress response, which stalls genomic replication and ultimately leads to cell death.</w:t>
      </w:r>
      <w:r>
        <w:fldChar w:fldCharType="begin"/>
      </w:r>
      <w:r>
        <w:instrText>ADDIN F1000_CSL_CITATION&lt;~#@#~&gt;[{"First":false,"Last":false,"abstract":"A new transition metal complex of the 5-nitroimidazole, metronidazole (1-beta-hydroxyethyl-2-methyl-5-nitroimidazole), has been prepared and its potential use as a hypoxic cell cytotoxic agent examined. The preparation of the complex [(eta6-C6H6) RuCl2 …","author":[{"family":"Dale","given":"L D"},{"family":"Tocher","given":"J H"},{"family":"Dyson","given":"T M"},{"family":"Edwards","given":"D I"}],"authorYearDisplayFormat":false,"citation-label":"6715109","container-title":"Anti","container-title-short":"Anti","id":"6715109","invisible":false,"issued":{"date-parts":[[]]},"journalAbbreviation":"Anti","suppress-author":false,"title":"Studies on DNA damage and induction of SOS repair by novel multifunctional bioreducible compounds. II. A metronidazole adduct of a ruthenium-arene compound.","type":"article-journal"},{"First":false,"Last":false,"abstract":"… 1. DNA damage level in lymphocytes from individuals treated with metronidazole … However, the inverse correlation between DNA damage and plasmatic levels of MTZ found in the present … In fact, this metabolite is more mutagenic and DNA damaging than MTZ itself [12], [13], [19 …","author":[{"family":"Menéndez","given":"D"},{"family":"Rojas","given":"E"},{"family":"Herrera","given":"L A"},{"family":"López","given":"M C"}],"authorYearDisplayFormat":false,"citation-label":"6715111","container-title":"Mutation Research …","container-title-short":"Mutation Research …","id":"6715111","invisible":false,"issued":{"date-parts":[["2001"]]},"journalAbbreviation":"Mutation Research …","suppress-author":false,"title":"DNA breakage due to metronidazole treatment","type":"article-journal"}]</w:instrText>
      </w:r>
      <w:r>
        <w:fldChar w:fldCharType="separate"/>
      </w:r>
      <w:r w:rsidRPr="002B161E">
        <w:rPr>
          <w:noProof/>
          <w:vertAlign w:val="superscript"/>
        </w:rPr>
        <w:t>116,117</w:t>
      </w:r>
      <w:r>
        <w:fldChar w:fldCharType="end"/>
      </w:r>
      <w:r>
        <w:t xml:space="preserve"> Resistance to metronidazole has steadily increased in the last 5-10 years, but this drug is still used commonly, as it is selective towards Gram-positive anaerobes.</w:t>
      </w:r>
      <w:r>
        <w:fldChar w:fldCharType="begin"/>
      </w:r>
      <w:r>
        <w:instrText>ADDIN F1000_CSL_CITATION&lt;~#@#~&gt;[{"DOI":"10.1128/AAC.02350-14","First":false,"Last":false,"PMCID":"PMC4135993","PMID":"24913157","abstract":"Stable resistance to metronidazole in a nontoxigenic Clostridium difficile strain was investigated at both the genomic and proteomic levels. Alterations in the metabolic pathway involving the pyruvate-ferredoxin oxidoreductase were found, suggesting that reduction of metronidazole, required for its activity, may be less efficient in this strain. Proteomic studies also showed a cellular response to oxidative stress.&lt;br&gt;&lt;br&gt;Copyright © 2014, American Society for Microbiology. All Rights Reserved.","author":[{"family":"Moura","given":"Ines"},{"family":"Monot","given":"Marc"},{"family":"Tani","given":"Chiara"},{"family":"Spigaglia","given":"Patrizia"},{"family":"Barbanti","given":"Fabrizio"},{"family":"Norais","given":"Nathalie"},{"family":"Dupuy","given":"Bruno"},{"family":"Bouza","given":"Emilio"},{"family":"Mastrantonio","given":"Paola"}],"authorYearDisplayFormat":false,"citation-label":"6061066","container-title":"Antimicrobial Agents and Chemotherapy","container-title-short":"Antimicrob. Agents Chemother.","id":"6061066","invisible":false,"issue":"8","issued":{"date-parts":[["2014","8"]]},"journalAbbreviation":"Antimicrob. Agents Chemother.","page":"4957-4960","suppress-author":false,"title":"Multidisciplinary analysis of a nontoxigenic Clostridium difficile strain with stable resistance to metronidazole.","type":"article-journal","volume":"58"}]</w:instrText>
      </w:r>
      <w:r>
        <w:fldChar w:fldCharType="separate"/>
      </w:r>
      <w:r w:rsidRPr="002B161E">
        <w:rPr>
          <w:noProof/>
          <w:vertAlign w:val="superscript"/>
        </w:rPr>
        <w:t>118</w:t>
      </w:r>
      <w:r>
        <w:fldChar w:fldCharType="end"/>
      </w:r>
      <w:r>
        <w:t xml:space="preserve"> A recent meta-analysis suggests that metronidazole is no longer useful in treating CDI for any case, and fidaxomicin should replace it as a first-line treatment.</w:t>
      </w:r>
      <w:r>
        <w:fldChar w:fldCharType="begin"/>
      </w:r>
      <w:r>
        <w:instrText>ADDIN F1000_CSL_CITATION&lt;~#@#~&gt;[{"DOI":"10.7759/cureus.2778","First":false,"Last":false,"PMCID":"PMC6089486","PMID":"30112254","author":[{"family":"Al Momani","given":"Laith A"},{"family":"Abughanimeh","given":"Omar"},{"family":"Boonpheng","given":"Boonphiphop"},{"family":"Gabriel","given":"Joseph Gabriel"},{"family":"Young","given":"Mark"}],"authorYearDisplayFormat":false,"citation-label":"6715055","container-title":"Cureus","container-title-short":"Cureus","id":"6715055","invisible":false,"issue":"6","issued":{"date-parts":[["2018","6","11"]]},"journalAbbreviation":"Cureus","page":"e2778","suppress-author":false,"title":"Fidaxomicin vs Vancomycin for the Treatment of a First Episode of Clostridium Difficile Infection: A Meta-analysis and Systematic Review.","type":"article-journal","volume":"10"}]</w:instrText>
      </w:r>
      <w:r>
        <w:fldChar w:fldCharType="separate"/>
      </w:r>
      <w:r w:rsidRPr="002B161E">
        <w:rPr>
          <w:noProof/>
          <w:vertAlign w:val="superscript"/>
        </w:rPr>
        <w:t>119</w:t>
      </w:r>
      <w:r>
        <w:fldChar w:fldCharType="end"/>
      </w:r>
      <w:r>
        <w:t xml:space="preserve"> Though this suggestion is merely an opinion, it suggests that a classically employed drug to treat CDI may soon be out of practice.  </w:t>
      </w:r>
    </w:p>
    <w:p w14:paraId="371438EE" w14:textId="4FC6D1C1" w:rsidR="00135AEF" w:rsidRDefault="00135AEF" w:rsidP="00135AEF">
      <w:pPr>
        <w:ind w:firstLine="720"/>
        <w:jc w:val="both"/>
      </w:pPr>
      <w:r>
        <w:lastRenderedPageBreak/>
        <w:t xml:space="preserve">Vancomycin is a broad-spectrum hydrophobic macrocyclic peptide that inhibits cell wall synthesis in Gram-positive bacteria </w:t>
      </w:r>
      <w:r>
        <w:rPr>
          <w:iCs/>
        </w:rPr>
        <w:t>(</w:t>
      </w:r>
      <w:r>
        <w:rPr>
          <w:b/>
          <w:iCs/>
        </w:rPr>
        <w:t>Figure 1.5</w:t>
      </w:r>
      <w:r>
        <w:rPr>
          <w:iCs/>
        </w:rPr>
        <w:t>)</w:t>
      </w:r>
      <w:r>
        <w:t>.</w:t>
      </w:r>
      <w:r>
        <w:fldChar w:fldCharType="begin"/>
      </w:r>
      <w:r>
        <w:instrText>ADDIN F1000_CSL_CITATION&lt;~#@#~&gt;[{"DOI":"10.1007/BF01967563","First":false,"Last":false,"author":[{"family":"Reynolds","given":"P E"}],"authorYearDisplayFormat":false,"citation-label":"6019059","container-title":"European Journal of Clinical Microbiology &amp; Infectious Diseases","container-title-short":"Eur. J. Clin. Microbiol. Infect. Dis.","id":"6019059","invisible":false,"issue":"11","issued":{"date-parts":[["1989","11"]]},"journalAbbreviation":"Eur. J. Clin. Microbiol. Infect. Dis.","page":"943-950","suppress-author":false,"title":"Structure, biochemistry and mechanism of action of glycopeptide antibiotics","type":"article-journal","volume":"8"}]</w:instrText>
      </w:r>
      <w:r>
        <w:fldChar w:fldCharType="separate"/>
      </w:r>
      <w:r w:rsidRPr="002B161E">
        <w:rPr>
          <w:noProof/>
          <w:vertAlign w:val="superscript"/>
        </w:rPr>
        <w:t>120</w:t>
      </w:r>
      <w:r>
        <w:fldChar w:fldCharType="end"/>
      </w:r>
      <w:r>
        <w:t xml:space="preserve"> Specifically, vancomycin binds a precursor component of the cell wall, the dipeptide D-Ala-D-Ala, preventing peptidoglycan cross-linkage.</w:t>
      </w:r>
      <w:r>
        <w:fldChar w:fldCharType="begin"/>
      </w:r>
      <w:r>
        <w:instrText>ADDIN F1000_CSL_CITATION&lt;~#@#~&gt;[{"First":false,"Last":false,"abstract":"Bacteria resist hypotonic shockand cell lysis through the biosynthesis of peptidoglycan-containing cell walls. This rigid polymer consists of a repeating disaccharide unit of N-acetylglucosamine-(dl-4)-N-acetylmuramic acid to which a pentapeptide is linked through …","author":[{"family":"Wright","given":"G D"},{"family":"Walsh","given":"C T"}],"authorYearDisplayFormat":false,"citation-label":"6715478","container-title":"Accounts of chemical research","container-title-short":"Accounts of chemical research","id":"6715478","invisible":false,"issued":{"date-parts":[["1992"]]},"journalAbbreviation":"Accounts of chemical research","suppress-author":false,"title":"D-Alanyl-D-alanine ligases and the molecular mechanism of vancomycin resistance","type":"article-journal"}]</w:instrText>
      </w:r>
      <w:r>
        <w:fldChar w:fldCharType="separate"/>
      </w:r>
      <w:r w:rsidRPr="002B161E">
        <w:rPr>
          <w:noProof/>
          <w:vertAlign w:val="superscript"/>
        </w:rPr>
        <w:t>121</w:t>
      </w:r>
      <w:r>
        <w:fldChar w:fldCharType="end"/>
      </w:r>
      <w:r>
        <w:t xml:space="preserve"> This perforates the cell wall, releasing intracellular contents into the extracellular space, causing cell death.</w:t>
      </w:r>
      <w:r w:rsidRPr="00415194">
        <w:rPr>
          <w:i/>
          <w:iCs/>
        </w:rPr>
        <w:t xml:space="preserve"> </w:t>
      </w:r>
      <w:r w:rsidR="00AB3480" w:rsidRPr="00AB3480">
        <w:rPr>
          <w:i/>
          <w:iCs/>
        </w:rPr>
        <w:t>C. difficile</w:t>
      </w:r>
      <w:r>
        <w:t xml:space="preserve"> is highly susceptible to vancomycin (MIC = 1-2 µg/mL) with only a few resistant mutants known to exist.</w:t>
      </w:r>
      <w:r>
        <w:fldChar w:fldCharType="begin"/>
      </w:r>
      <w:r>
        <w:instrText>ADDIN F1000_CSL_CITATION&lt;~#@#~&gt;[{"DOI":"10.1021/jm5016846","First":false,"Last":false,"PMCID":"PMC4500462","PMID":"25760275","abstract":"In the past decade Clostridium difficile has become a bacterial pathogen of global significance. Epidemic strains have spread throughout hospitals, while community acquired infections and other sources ensure a constant inoculation of spores into hospitals. In response to the increasing medical burden, a new C. difficile antibiotic, fidaxomicin, was approved in 2011 for the treatment of C. difficile-associated diarrhea. Rudimentary fecal transplants are also being trialed as effective treatments. Despite these advances, therapies that are more effective against C. difficile spores and less damaging to the resident gastrointestinal microbiome and that reduce recurrent disease are still desperately needed. However, bringing a new treatment for C. difficile infection to market involves particular challenges. This review covers the current drug discovery pipeline, including both small molecule and biologic therapies, and highlights the challenges associated with in vitro and in vivo models of C. difficile infection for drug screening and lead optimization. ","author":[{"family":"Jarrad","given":"Angie M"},{"family":"Karoli","given":"Tomislav"},{"family":"Blaskovich","given":"Mark A T"},{"family":"Lyras","given":"Dena"},{"family":"Cooper","given":"Matthew A"}],"authorYearDisplayFormat":false,"citation-label":"2864008","container-title":"Journal of Medicinal Chemistry","container-title-short":"J. Med. Chem.","id":"2864008","invisible":false,"issue":"13","issued":{"date-parts":[["2015","7","9"]]},"journalAbbreviation":"J. Med. Chem.","page":"5164-5185","suppress-author":false,"title":"Clostridium difficile drug pipeline: challenges in discovery and development of new agents.","type":"article-journal","volume":"58"},{"DOI":"10.1093/jac/dkt302","First":false,"Last":false,"PMID":"23887866","abstract":"&lt;strong&gt;OBJECTIVES:&lt;/strong&gt; Current treatments for Clostridium difficile infection include vancomycin, metronidazole and fidaxomicin. LFF571 is an experimental agent undergoing evaluation in humans for the treatment of moderate C. difficile infection. Reduced susceptibility of C. difficile to fidaxomicin or LFF571 in vitro can be mediated by single point mutations in genes encoding the targets, whereas the mechanism(s) mediating reduced susceptibility to vancomycin in vitro remains elusive. To further characterize mechanisms reducing susceptibility of C. difficile to vancomycin, fidaxomicin or LFF571 in vitro, selections via serial passage at low cell density were performed, followed by whole-genome sequencing.&lt;br&gt;&lt;br&gt;&lt;strong&gt;METHODS:&lt;/strong&gt; C. difficile strain ATCC 43255 and three clinical isolates were subjected to 10 passages on medium containing a range of concentrations of fidaxomicin, LFF571 or vancomycin. Genomic DNA from isolates with reduced susceptibility was sequenced using Illumina Whole Genome Sequencing.&lt;br&gt;&lt;br&gt;&lt;strong&gt;RESULTS:&lt;/strong&gt; Clones exhibiting decreased susceptibility to fidaxomicin harboured mutations in rpoB and CD22120 (marR homologue). Clones exhibiting decreased susceptibility to vancomycin harboured mutations in rpoC and also in CD2725, CD3659 and sdaB, which encode a putative N-acetylglucosamine transferase, exonuclease and l-serine deaminase, respectively. All mutations resulted in non-synonymous substitutions. No clones with reduced susceptibility to LFF571 were selected in this study.&lt;br&gt;&lt;br&gt;&lt;strong&gt;CONCLUSIONS:&lt;/strong&gt; Reduced susceptibility to fidaxomicin and vancomycin was associated with mutations mediating target modifications (RNA polymerase and cell wall, respectively), as well as with mutations that may contribute to reduced susceptibility via other mechanisms. The MIC of LFF571 was unaffected for those mutants with reduced susceptibility to fidaxomicin or vancomycin.","author":[{"family":"Leeds","given":"Jennifer A"},{"family":"Sachdeva","given":"Meena"},{"family":"Mullin","given":"Steve"},{"family":"Barnes","given":"S Whitney"},{"family":"Ruzin","given":"Alexey"}],"authorYearDisplayFormat":false,"citation-label":"6060911","container-title":"The Journal of Antimicrobial Chemotherapy","container-title-short":"J. Antimicrob. Chemother.","id":"6060911","invisible":false,"issue":"1","issued":{"date-parts":[["2014","1"]]},"journalAbbreviation":"J. Antimicrob. Chemother.","page":"41-44","suppress-author":false,"title":"In vitro selection, via serial passage, of Clostridium difficile mutants with reduced susceptibility to fidaxomicin or vancomycin.","type":"article-journal","volume":"69"}]</w:instrText>
      </w:r>
      <w:r>
        <w:fldChar w:fldCharType="separate"/>
      </w:r>
      <w:r w:rsidRPr="002B161E">
        <w:rPr>
          <w:noProof/>
          <w:vertAlign w:val="superscript"/>
        </w:rPr>
        <w:t>104,122</w:t>
      </w:r>
      <w:r>
        <w:fldChar w:fldCharType="end"/>
      </w:r>
      <w:r>
        <w:t xml:space="preserve"> Vancomycin resistant phenotypes that are observed, typically modify the terminal dipeptide residues that vancomycin binds which blocks the mechanism of action.</w:t>
      </w:r>
      <w:r>
        <w:rPr>
          <w:vertAlign w:val="superscript"/>
        </w:rPr>
        <w:t>121</w:t>
      </w:r>
      <w:r>
        <w:t xml:space="preserve"> Vancomycin reduces sporulation more than metronidazole and maintains a long-term asymptomatic response.</w:t>
      </w:r>
      <w:r>
        <w:fldChar w:fldCharType="begin"/>
      </w:r>
      <w:r>
        <w:instrText>ADDIN F1000_CSL_CITATION&lt;~#@#~&gt;[{"DOI":"10.7759/cureus.2778","First":false,"Last":false,"PMCID":"PMC6089486","PMID":"30112254","author":[{"family":"Al Momani","given":"Laith A"},{"family":"Abughanimeh","given":"Omar"},{"family":"Boonpheng","given":"Boonphiphop"},{"family":"Gabriel","given":"Joseph Gabriel"},{"family":"Young","given":"Mark"}],"authorYearDisplayFormat":false,"citation-label":"6715055","container-title":"Cureus","container-title-short":"Cureus","id":"6715055","invisible":false,"issue":"6","issued":{"date-parts":[["2018","6","11"]]},"journalAbbreviation":"Cureus","page":"e2778","suppress-author":false,"title":"Fidaxomicin vs Vancomycin for the Treatment of a First Episode of Clostridium Difficile Infection: A Meta-analysis and Systematic Review.","type":"article-journal","volume":"10"}]</w:instrText>
      </w:r>
      <w:r>
        <w:fldChar w:fldCharType="separate"/>
      </w:r>
      <w:r w:rsidRPr="002B161E">
        <w:rPr>
          <w:noProof/>
          <w:vertAlign w:val="superscript"/>
        </w:rPr>
        <w:t>119</w:t>
      </w:r>
      <w:r>
        <w:fldChar w:fldCharType="end"/>
      </w:r>
    </w:p>
    <w:p w14:paraId="1DD8D8B5" w14:textId="77777777" w:rsidR="00135AEF" w:rsidRDefault="00135AEF" w:rsidP="00135AEF">
      <w:pPr>
        <w:keepNext/>
        <w:jc w:val="both"/>
      </w:pPr>
      <w:r w:rsidRPr="00F9529F">
        <w:rPr>
          <w:noProof/>
        </w:rPr>
        <w:lastRenderedPageBreak/>
        <w:drawing>
          <wp:inline distT="0" distB="0" distL="0" distR="0" wp14:anchorId="1DD767AA" wp14:editId="4E6A0D9B">
            <wp:extent cx="8055822" cy="4515168"/>
            <wp:effectExtent l="5080" t="0" r="1270" b="1270"/>
            <wp:docPr id="83"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8061232" cy="4518200"/>
                    </a:xfrm>
                    <a:prstGeom prst="rect">
                      <a:avLst/>
                    </a:prstGeom>
                    <a:noFill/>
                    <a:ln>
                      <a:noFill/>
                    </a:ln>
                  </pic:spPr>
                </pic:pic>
              </a:graphicData>
            </a:graphic>
          </wp:inline>
        </w:drawing>
      </w:r>
    </w:p>
    <w:p w14:paraId="22FE4DDB" w14:textId="1C842015" w:rsidR="00135AEF" w:rsidRPr="00573D19" w:rsidRDefault="00135AEF" w:rsidP="00135AEF">
      <w:pPr>
        <w:pStyle w:val="Caption"/>
        <w:jc w:val="both"/>
      </w:pPr>
      <w:bookmarkStart w:id="18" w:name="_Toc5807397"/>
      <w:r w:rsidRPr="00573D19">
        <w:lastRenderedPageBreak/>
        <w:t>Figure 1.</w:t>
      </w:r>
      <w:r>
        <w:rPr>
          <w:noProof/>
        </w:rPr>
        <w:fldChar w:fldCharType="begin"/>
      </w:r>
      <w:r>
        <w:rPr>
          <w:noProof/>
        </w:rPr>
        <w:instrText xml:space="preserve"> SEQ Figure \* ARABIC </w:instrText>
      </w:r>
      <w:r>
        <w:rPr>
          <w:noProof/>
        </w:rPr>
        <w:fldChar w:fldCharType="separate"/>
      </w:r>
      <w:r w:rsidR="0032380F">
        <w:rPr>
          <w:noProof/>
        </w:rPr>
        <w:t>4</w:t>
      </w:r>
      <w:r>
        <w:rPr>
          <w:noProof/>
        </w:rPr>
        <w:fldChar w:fldCharType="end"/>
      </w:r>
      <w:r w:rsidRPr="00573D19">
        <w:t xml:space="preserve"> – A list of common antibiotics prescribed to treat CDI.</w:t>
      </w:r>
      <w:bookmarkEnd w:id="18"/>
      <w:r w:rsidRPr="00573D19">
        <w:t xml:space="preserve"> </w:t>
      </w:r>
    </w:p>
    <w:p w14:paraId="10FD8395" w14:textId="77777777" w:rsidR="00135AEF" w:rsidRDefault="00135AEF" w:rsidP="00135AEF">
      <w:pPr>
        <w:spacing w:line="240" w:lineRule="auto"/>
        <w:jc w:val="both"/>
      </w:pPr>
      <w:r>
        <w:t>A) Vancomycin is a cell permeabilizer of Gram-positive bacteria, which kills bacteria by inhibiting cell wall synthesis, causing pores to form across the cell surface. B) Fidaxomicin is a narrow-spectrum antibiotic that kills Gram-positive anaerobic bacteria by inhibiting RNAP, which stalls transcription at the promoter region of a gene being expressed. C) Metronidazole has broad-spectrum activity across Gram-positive bacteria, which works by damaging chromosomal DNA to overwhelm the bacteria and halt replication.</w:t>
      </w:r>
    </w:p>
    <w:p w14:paraId="68ADA75E" w14:textId="77777777" w:rsidR="00135AEF" w:rsidRPr="00B4464A" w:rsidRDefault="00135AEF" w:rsidP="00135AEF">
      <w:pPr>
        <w:spacing w:line="240" w:lineRule="auto"/>
        <w:jc w:val="both"/>
      </w:pPr>
    </w:p>
    <w:p w14:paraId="68FAC2D9" w14:textId="491671D5" w:rsidR="00135AEF" w:rsidRPr="00811EC4" w:rsidRDefault="00135AEF" w:rsidP="00135AEF">
      <w:pPr>
        <w:ind w:firstLine="720"/>
        <w:jc w:val="both"/>
      </w:pPr>
      <w:r>
        <w:t xml:space="preserve">Fidaxomicin is a macrolide antibacterial that exhibits narrow-spectrum selectivity against </w:t>
      </w:r>
      <w:r w:rsidR="00AB3480" w:rsidRPr="00AB3480">
        <w:rPr>
          <w:i/>
          <w:iCs/>
        </w:rPr>
        <w:t>C. difficile</w:t>
      </w:r>
      <w:r>
        <w:t xml:space="preserve"> and thus exhibits minimal threat to commensal flora </w:t>
      </w:r>
      <w:r>
        <w:rPr>
          <w:iCs/>
        </w:rPr>
        <w:t>(</w:t>
      </w:r>
      <w:r>
        <w:rPr>
          <w:b/>
          <w:iCs/>
        </w:rPr>
        <w:t>Figure 1.4</w:t>
      </w:r>
      <w:r>
        <w:rPr>
          <w:iCs/>
        </w:rPr>
        <w:t>)</w:t>
      </w:r>
      <w:r>
        <w:t>.</w:t>
      </w:r>
      <w:r>
        <w:fldChar w:fldCharType="begin"/>
      </w:r>
      <w:r>
        <w:instrText>ADDIN F1000_CSL_CITATION&lt;~#@#~&gt;[{"DOI":"10.1056/NEJMoa0910812","First":false,"Last":false,"PMID":"21288078","abstract":"&lt;strong&gt;BACKGROUND:&lt;/strong&gt; Clostridium difficile infection is a serious diarrheal illness associated with substantial morbidity and mortality. Patients generally have a response to oral vancomycin or metronidazole; however, the rate of recurrence is high. This phase 3 clinical trial compared the efficacy and safety of fidaxomicin with those of vancomycin in treating C. difficile infection.&lt;br&gt;&lt;br&gt;&lt;strong&gt;METHODS:&lt;/strong&gt; Adults with acute symptoms of C. difficile infection and a positive result on a stool toxin test were eligible for study entry. We randomly assigned patients to receive fidaxomicin (200 mg twice daily) or vancomycin (125 mg four times daily) orally for 10 days. The primary end point was clinical cure (resolution of symptoms and no need for further therapy for C. difficile infection as of the second day after the end of the course of therapy). The secondary end points were recurrence of C. difficile infection (diarrhea and a positive result on a stool toxin test within 4 weeks after treatment) and global cure (i.e., cure with no recurrence).&lt;br&gt;&lt;br&gt;&lt;strong&gt;RESULTS:&lt;/strong&gt; A total of 629 patients were enrolled, of whom 548 (87.1%) could be evaluated for the per-protocol analysis. The rates of clinical cure with fidaxomicin were noninferior to those with vancomycin in both the modified intention-to-treat analysis (88.2% with fidaxomicin and 85.8% with vancomycin) and the per-protocol analysis (92.1% and 89.8%, respectively). Significantly fewer patients in the fidaxomicin group than in the vancomycin group had a recurrence of the infection, in both the modified intention-to-treat analysis (15.4% vs. 25.3%, P=0.005) and the per-protocol analysis (13.3% vs. 24.0%, P=0.004). The lower rate of recurrence was seen in patients with non–North American Pulsed Field type 1 strains. The adverse-event profile was similar for the two therapies.&lt;br&gt;&lt;br&gt;&lt;strong&gt;CONCLUSIONS:&lt;/strong&gt; The rates of clinical cure after treatment with fidaxomicin were noninferior to those after treatment with vancomycin. Fidaxomicin was associated with a significantly lower rate of recurrence of C. difficile infection associated with non–North American Pulsed Field type 1 strains. (Funded by Optimer Pharmaceuticals; ClinicalTrials.gov number, NCT00314951.)","author":[{"family":"Louie","given":"Thomas J"},{"family":"Miller","given":"Mark A"},{"family":"Mullane","given":"Kathleen M"},{"family":"Weiss","given":"Karl"},{"family":"Lentnek","given":"Arnold"},{"family":"Golan","given":"Yoav"},{"family":"Gorbach","given":"Sherwood"},{"family":"Sears","given":"Pamela"},{"family":"Shue","given":"Youe-Kong"},{"family":"OPT-80-003 Clinical Study Group"}],"authorYearDisplayFormat":false,"citation-label":"1092335","container-title":"The New England Journal of Medicine","container-title-short":"N. Engl. J. Med.","id":"1092335","invisible":false,"issue":"5","issued":{"date-parts":[["2011","2","3"]]},"journalAbbreviation":"N. Engl. J. Med.","page":"422-431","suppress-author":false,"title":"Fidaxomicin versus vancomycin for Clostridium difficile infection.","type":"article-journal","volume":"364"},{"DOI":"10.1016/S1473-3099(11)70374-7","First":false,"Last":false,"PMID":"22321770","abstract":"&lt;strong&gt;BACKGROUND:&lt;/strong&gt; Infection with Clostridium difficile is the primary infective cause of antibiotic-associated diarrhoea. We aimed to compare efficacy and safety of fidaxomicin and vancomycin to treat patients with C difficile infection in Europe, Canada, and the USA.&lt;br&gt;&lt;br&gt;&lt;strong&gt;METHODS:&lt;/strong&gt; In this multicentre, double-blind, randomised, non-inferiority trial, we enrolled patients from 45 sites in Europe and 41 sites in the USA and Canada between April 19, 2007, and Dec 11, 2009. Eligible patients were aged 16 years or older with acute, toxin-positive C difficile infection. Patients were randomly allocated (1:1) to receive oral fidaxomicin (200 mg every 12 h) or oral vancomycin (125 mg every 6 h) for 10 days. The primary endpoint was clinical cure, defined as resolution of diarrhoea and no further need for treatment. An interactive voice-response system and computer-generated randomisation schedule gave a randomisation number and medication kit number for each patient. Participants and investigators were masked to treatment allocation. Non-inferiority was prespecified with a margin of 10%. Modified intention-to-treat and per-protocol populations were analysed. This study is registered with ClinicalTrials.gov, number NCT00468728.&lt;br&gt;&lt;br&gt;&lt;strong&gt;FINDINGS:&lt;/strong&gt; Of 535 patients enrolled, 270 were assigned fidaxomicin and 265 vancomycin. After 26 patients were excluded, 509 were included in the modified intention-to-treat (mITT) population. 198 (91·7%) of 216 patients in the per-protocol population given fidaxomicin achieved clinical cure, compared with 213 (90·6%) of 235 given vancomycin, meeting the criterion for non-inferiority (one-sided 97·5% CI -4·3%). Non-inferiority was also shown for clinical cure in the mITT population, with 221 (87·7%) of 252 patients given fidaxomicin and 223 (86·8%) of 257 given vancomycin cured (one-sided 97·5% CI -4·9%). In most subgroup analyses of the primary endpoint in the mITT population, outcomes in the two treatment groups did not differ significantly; although patients receiving concomitant antibiotics for other infections had a higher cure rate with fidaxomicin (46 [90·2%] of 51) than with vancomycin (33 [73·3%] of 45; p=0·031). Occurrence of treatment-emergent adverse events did not differ between groups. 20 (7·6%) of 264 patients given at least one dose of fidaxomicin and 17 (6·5%) of 260 given vancomycin died.&lt;br&gt;&lt;br&gt;&lt;strong&gt;INTERPRETATION:&lt;/strong&gt; Fidaxomicin could be an alternative treatment for infection with C difficile, with similar efficacy and safety to vancomycin.&lt;br&gt;&lt;br&gt;&lt;strong&gt;FUNDING:&lt;/strong&gt; Optimer Pharmaceuticals.&lt;br&gt;&lt;br&gt;Copyright © 2012 Elsevier Ltd. All rights reserved.","author":[{"family":"Cornely","given":"Oliver A"},{"family":"Crook","given":"Derrick W"},{"family":"Esposito","given":"Roberto"},{"family":"Poirier","given":"André"},{"family":"Somero","given":"Michael S"},{"family":"Weiss","given":"Karl"},{"family":"Sears","given":"Pamela"},{"family":"Gorbach","given":"Sherwood"},{"family":"OPT-80-004 Clinical Study Group"}],"authorYearDisplayFormat":false,"citation-label":"3168641","container-title":"The Lancet Infectious Diseases","container-title-short":"Lancet Infect. Dis.","id":"3168641","invisible":false,"issue":"4","issued":{"date-parts":[["2012","4"]]},"journalAbbreviation":"Lancet Infect. Dis.","page":"281-289","suppress-author":false,"title":"Fidaxomicin versus vancomycin for infection with Clostridium difficile in Europe, Canada, and the USA: a double-blind, non-inferiority, randomised controlled trial.","type":"article-journal","volume":"12"},{"DOI":"10.1093/cid/cis338","First":false,"Last":false,"PMCID":"PMC3388020","PMID":"22752862","abstract":"The microflora-sparing properties of fidaxomicin were examined during the conduct of a randomized clinical trial comparing vancomycin 125 mg 4 times per day versus fidaxomicin 200 mg twice per day for 10 days as treatment of Clostridium difficile infection (CDI). Fecal samples were obtained from 89 patients (45 received fidaxomicin, and 44 received vancomycin) at study entry and on days 4, 10, 14, 21, 28, and 38 for quantitative cultures for C. difficile and cytotoxin B fecal filtrate concentrations. Additionally, samples from 10 patients, each receiving vancomycin or fidaxomicin, and 10 samples from healthy controls were analyzed by quantitative real-time polymerase chain reaction with multiple group-specific primers to evaluate the impact of antibiotic treatment on the microbiome. Compared with controls, patients with CDI at study entry had counts of major microbiome components that were 2-3-log(10) colony-forming units (CFU)/g lower. In patients with CDI, fidaxomicin allowed the major components to persist, whereas vancomycin was associated with a further 2-4-log(10) CFU reduction of Bacteroides/Prevotella group organisms, which persisted to day 28 of the study, and shorter term and temporary suppression of both Clostridium coccoides and Clostridium leptum group organisms. In the posttreatment period, C. difficile counts similarly persisted in both study populations, but reappearance of toxin in fecal filtrates was observed in 28% of vancomycin-treated patient samples (29 of 94), compared with 14% of fidaxomicin-treated patient samples (13 of 91; P = .03). Similarly, 23% of vancomycin-treated patients (10 of 44) and 11% of fidaxomicin-treated patients (5 of 44) had recurrence of CDI. Whereas vancomycin and fidaxomicin are equally effective in resolving CDI symptoms, preservation of the microflora by fidaxomicin is associated with a lower likelihood of CDI recurrence.","author":[{"family":"Louie","given":"Thomas J"},{"family":"Cannon","given":"Kris"},{"family":"Byrne","given":"Brendan"},{"family":"Emery","given":"Judy"},{"family":"Ward","given":"Linda"},{"family":"Eyben","given":"Melissa"},{"family":"Krulicki","given":"Walter"}],"authorYearDisplayFormat":false,"citation-label":"3168667","container-title":"Clinical Infectious Diseases","container-title-short":"Clin. Infect. Dis.","id":"3168667","invisible":false,"issued":{"date-parts":[["2012","8"]]},"journalAbbreviation":"Clin. Infect. Dis.","page":"S132-42","suppress-author":false,"title":"Fidaxomicin preserves the intestinal microbiome during and after treatment of Clostridium difficile infection (CDI) and reduces both toxin reexpression and recurrence of CDI.","type":"article-journal","volume":"55 Suppl 2"},{"First":false,"Last":false,"abstract":"… America, a total of 629 subjects with CDI were randomly allocated to either oral fidaxomicin or vancomycin … In the analyses of both the 'modified intent-to-treat' group (individuals with C. difficile toxin … if deemed a failure or at least 8 days of therapy if deemed a cure), the fidaxomicin …","author":[{"family":"Miller","given":"M"}],"authorYearDisplayFormat":false,"citation-label":"6714972","container-title":"Expert opinion on pharmacotherapy","container-title-short":"Expert opinion on pharmacotherapy","id":"6714972","invisible":false,"issued":{"date-parts":[["2010"]]},"journalAbbreviation":"Expert opinion on pharmacotherapy","suppress-author":false,"title":"Fidaxomicin (OPT-80) for the treatment of Clostridium difficile infection","type":"article-journal"},{"DOI":"10.1093/cid/cir830","First":false,"Last":false,"PMID":"22156854","abstract":"Fidaxomicin, a nonabsorbed macrocyclic compound, is the first antimicrobial agent approved by the FDA for the treatment of Clostridium difficile infection (CDI) in adults over the last 25 years. It is bactericidal, and its mechanism of action relates to inhibition of a RNA polymerase at a site distinct from where rifamycins interact. Fidaxomicin, 200 milligrams by mouth twice daily, is not inferior to vancomycin, 125 milligrams by mouth 4 times daily, for treatment of CDI as determined by clinical response after 10 days of treatment and is superior to vancomycin for sustained response without recurrence 25 days after treatment completion. These results are a significant advance in the treatment of CDI and herald the development of narrow-spectrum anti-C. difficile agents that relatively spare the indigenous fecal microbiota. Continued vigilance for the development of resistance and unanticipated side affects will be important as the drug is introduced into clinical practice.","author":[{"family":"Venugopal","given":"Anilrudh A"},{"family":"Johnson","given":"Stuart"}],"authorYearDisplayFormat":false,"citation-label":"5844293","container-title":"Clinical Infectious Diseases","container-title-short":"Clin. Infect. Dis.","id":"5844293","invisible":false,"issue":"4","issued":{"date-parts":[["2012","2","15"]]},"journalAbbreviation":"Clin. Infect. Dis.","page":"568-574","suppress-author":false,"title":"Fidaxomicin: a novel macrocyclic antibiotic approved for treatment of Clostridium difficile infection.","type":"article-journal","volume":"54"}]</w:instrText>
      </w:r>
      <w:r>
        <w:fldChar w:fldCharType="separate"/>
      </w:r>
      <w:r w:rsidRPr="002B161E">
        <w:rPr>
          <w:noProof/>
          <w:vertAlign w:val="superscript"/>
        </w:rPr>
        <w:t>123–127</w:t>
      </w:r>
      <w:r>
        <w:fldChar w:fldCharType="end"/>
      </w:r>
      <w:r>
        <w:t xml:space="preserve"> Furthermore, fidaxomicin’s unique mechanism of action has prolonged its clinical use, as only one resistant mutant has been reported.</w:t>
      </w:r>
      <w:r>
        <w:fldChar w:fldCharType="begin"/>
      </w:r>
      <w:r>
        <w:instrText>ADDIN F1000_CSL_CITATION&lt;~#@#~&gt;[{"DOI":"10.1093/jac/dkt302","First":false,"Last":false,"PMID":"23887866","abstract":"&lt;strong&gt;OBJECTIVES:&lt;/strong&gt; Current treatments for Clostridium difficile infection include vancomycin, metronidazole and fidaxomicin. LFF571 is an experimental agent undergoing evaluation in humans for the treatment of moderate C. difficile infection. Reduced susceptibility of C. difficile to fidaxomicin or LFF571 in vitro can be mediated by single point mutations in genes encoding the targets, whereas the mechanism(s) mediating reduced susceptibility to vancomycin in vitro remains elusive. To further characterize mechanisms reducing susceptibility of C. difficile to vancomycin, fidaxomicin or LFF571 in vitro, selections via serial passage at low cell density were performed, followed by whole-genome sequencing.&lt;br&gt;&lt;br&gt;&lt;strong&gt;METHODS:&lt;/strong&gt; C. difficile strain ATCC 43255 and three clinical isolates were subjected to 10 passages on medium containing a range of concentrations of fidaxomicin, LFF571 or vancomycin. Genomic DNA from isolates with reduced susceptibility was sequenced using Illumina Whole Genome Sequencing.&lt;br&gt;&lt;br&gt;&lt;strong&gt;RESULTS:&lt;/strong&gt; Clones exhibiting decreased susceptibility to fidaxomicin harboured mutations in rpoB and CD22120 (marR homologue). Clones exhibiting decreased susceptibility to vancomycin harboured mutations in rpoC and also in CD2725, CD3659 and sdaB, which encode a putative N-acetylglucosamine transferase, exonuclease and l-serine deaminase, respectively. All mutations resulted in non-synonymous substitutions. No clones with reduced susceptibility to LFF571 were selected in this study.&lt;br&gt;&lt;br&gt;&lt;strong&gt;CONCLUSIONS:&lt;/strong&gt; Reduced susceptibility to fidaxomicin and vancomycin was associated with mutations mediating target modifications (RNA polymerase and cell wall, respectively), as well as with mutations that may contribute to reduced susceptibility via other mechanisms. The MIC of LFF571 was unaffected for those mutants with reduced susceptibility to fidaxomicin or vancomycin.","author":[{"family":"Leeds","given":"Jennifer A"},{"family":"Sachdeva","given":"Meena"},{"family":"Mullin","given":"Steve"},{"family":"Barnes","given":"S Whitney"},{"family":"Ruzin","given":"Alexey"}],"authorYearDisplayFormat":false,"citation-label":"6060911","container-title":"The Journal of Antimicrobial Chemotherapy","container-title-short":"J. Antimicrob. Chemother.","id":"6060911","invisible":false,"issue":"1","issued":{"date-parts":[["2014","1"]]},"journalAbbreviation":"J. Antimicrob. Chemother.","page":"41-44","suppress-author":false,"title":"In vitro selection, via serial passage, of Clostridium difficile mutants with reduced susceptibility to fidaxomicin or vancomycin.","type":"article-journal","volume":"69"}]</w:instrText>
      </w:r>
      <w:r>
        <w:fldChar w:fldCharType="separate"/>
      </w:r>
      <w:r w:rsidRPr="002B161E">
        <w:rPr>
          <w:noProof/>
          <w:vertAlign w:val="superscript"/>
        </w:rPr>
        <w:t>122</w:t>
      </w:r>
      <w:r>
        <w:fldChar w:fldCharType="end"/>
      </w:r>
      <w:r>
        <w:t xml:space="preserve"> Fidaxomicin kills </w:t>
      </w:r>
      <w:r w:rsidR="00AB3480" w:rsidRPr="00AB3480">
        <w:rPr>
          <w:i/>
        </w:rPr>
        <w:t>C. difficile</w:t>
      </w:r>
      <w:r>
        <w:t xml:space="preserve"> by inhibiting RNA polymerase (RNAP) during transcription initiation, locking the RNAP holocomplex to the DNA prior to strand separation.</w:t>
      </w:r>
      <w:r>
        <w:fldChar w:fldCharType="begin"/>
      </w:r>
      <w:r>
        <w:instrText>ADDIN F1000_CSL_CITATION&lt;~#@#~&gt;[{"DOI":"10.1093/cid/cis358","First":false,"Last":false,"PMCID":"PMC3388026","PMID":"22752861","abstract":"Fidaxomicin was recently approved for the treatment of Clostridium difficile infection. It inhibits transcription by bacterial RNA polymerase. Because transcription is a multistep process, experiments were conducted in which fidaxomicin was added at different stages of transcriptional initiation to identify the blocked step. DNA footprinting experiments were also conducted to further elucidate the stage inhibited. Fidaxomicin blocks initiation only if added before the formation of the \"open promoter complex,\" in which the template DNA strands have separated but RNA synthesis has not yet begun. Binding of fidaxomicin precludes the initial separation of DNA strands that is prerequisite to RNA synthesis. These studies show that it has a mechanism distinct from that of elongation inhibitors, such as streptolydigin, and from the transcription initiation inhibitors myxopyronin and the rifamycins.","author":[{"family":"Artsimovitch","given":"Irina"},{"family":"Seddon","given":"Jaime"},{"family":"Sears","given":"Pamela"}],"authorYearDisplayFormat":false,"citation-label":"6714592","container-title":"Clinical Infectious Diseases","container-title-short":"Clin. Infect. Dis.","id":"6714592","invisible":false,"issued":{"date-parts":[["2012","8","1"]]},"journalAbbreviation":"Clin. Infect. Dis.","page":"S127-31","suppress-author":false,"title":"Fidaxomicin is an inhibitor of the initiation of bacterial RNA synthesis.","type":"article-journal","volume":"55 Suppl 2"}]</w:instrText>
      </w:r>
      <w:r>
        <w:fldChar w:fldCharType="separate"/>
      </w:r>
      <w:r w:rsidRPr="002B161E">
        <w:rPr>
          <w:noProof/>
          <w:vertAlign w:val="superscript"/>
        </w:rPr>
        <w:t>128</w:t>
      </w:r>
      <w:r>
        <w:fldChar w:fldCharType="end"/>
      </w:r>
      <w:r>
        <w:t xml:space="preserve"> This sequesters the transcription complex to the promoter region of the gene, blocking future expression and prohibiting RNAP from expressing other genes. The cost-effectiveness of fidaxomicin is significantly higher than vancomycin or metronidazole.</w:t>
      </w:r>
      <w:r>
        <w:fldChar w:fldCharType="begin"/>
      </w:r>
      <w:r>
        <w:instrText>ADDIN F1000_CSL_CITATION&lt;~#@#~&gt;[{"DOI":"10.7759/cureus.2778","First":false,"Last":false,"PMCID":"PMC6089486","PMID":"30112254","author":[{"family":"Al Momani","given":"Laith A"},{"family":"Abughanimeh","given":"Omar"},{"family":"Boonpheng","given":"Boonphiphop"},{"family":"Gabriel","given":"Joseph Gabriel"},{"family":"Young","given":"Mark"}],"authorYearDisplayFormat":false,"citation-label":"6715055","container-title":"Cureus","container-title-short":"Cureus","id":"6715055","invisible":false,"issue":"6","issued":{"date-parts":[["2018","6","11"]]},"journalAbbreviation":"Cureus","page":"e2778","suppress-author":false,"title":"Fidaxomicin vs Vancomycin for the Treatment of a First Episode of Clostridium Difficile Infection: A Meta-analysis and Systematic Review.","type":"article-journal","volume":"10"}]</w:instrText>
      </w:r>
      <w:r>
        <w:fldChar w:fldCharType="separate"/>
      </w:r>
      <w:r w:rsidRPr="002B161E">
        <w:rPr>
          <w:noProof/>
          <w:vertAlign w:val="superscript"/>
        </w:rPr>
        <w:t>119</w:t>
      </w:r>
      <w:r>
        <w:fldChar w:fldCharType="end"/>
      </w:r>
      <w:r>
        <w:t xml:space="preserve"> The primary drawback of treating CDI with fidaxomicin is that almost a third of patients (29%) exhibit no long-term curative effect. This means that a third of patients will have a significantly higher risk of recurrent CDI, experience an extended disease state, and provide the necessary vehicle for the disease to continue to propogate.</w:t>
      </w:r>
      <w:r>
        <w:fldChar w:fldCharType="begin"/>
      </w:r>
      <w:r>
        <w:instrText>ADDIN F1000_CSL_CITATION&lt;~#@#~&gt;[{"DOI":"10.1016/S1473-3099(11)70374-7","First":false,"Last":false,"PMID":"22321770","abstract":"&lt;strong&gt;BACKGROUND:&lt;/strong&gt; Infection with Clostridium difficile is the primary infective cause of antibiotic-associated diarrhoea. We aimed to compare efficacy and safety of fidaxomicin and vancomycin to treat patients with C difficile infection in Europe, Canada, and the USA.&lt;br&gt;&lt;br&gt;&lt;strong&gt;METHODS:&lt;/strong&gt; In this multicentre, double-blind, randomised, non-inferiority trial, we enrolled patients from 45 sites in Europe and 41 sites in the USA and Canada between April 19, 2007, and Dec 11, 2009. Eligible patients were aged 16 years or older with acute, toxin-positive C difficile infection. Patients were randomly allocated (1:1) to receive oral fidaxomicin (200 mg every 12 h) or oral vancomycin (125 mg every 6 h) for 10 days. The primary endpoint was clinical cure, defined as resolution of diarrhoea and no further need for treatment. An interactive voice-response system and computer-generated randomisation schedule gave a randomisation number and medication kit number for each patient. Participants and investigators were masked to treatment allocation. Non-inferiority was prespecified with a margin of 10%. Modified intention-to-treat and per-protocol populations were analysed. This study is registered with ClinicalTrials.gov, number NCT00468728.&lt;br&gt;&lt;br&gt;&lt;strong&gt;FINDINGS:&lt;/strong&gt; Of 535 patients enrolled, 270 were assigned fidaxomicin and 265 vancomycin. After 26 patients were excluded, 509 were included in the modified intention-to-treat (mITT) population. 198 (91·7%) of 216 patients in the per-protocol population given fidaxomicin achieved clinical cure, compared with 213 (90·6%) of 235 given vancomycin, meeting the criterion for non-inferiority (one-sided 97·5% CI -4·3%). Non-inferiority was also shown for clinical cure in the mITT population, with 221 (87·7%) of 252 patients given fidaxomicin and 223 (86·8%) of 257 given vancomycin cured (one-sided 97·5% CI -4·9%). In most subgroup analyses of the primary endpoint in the mITT population, outcomes in the two treatment groups did not differ significantly; although patients receiving concomitant antibiotics for other infections had a higher cure rate with fidaxomicin (46 [90·2%] of 51) than with vancomycin (33 [73·3%] of 45; p=0·031). Occurrence of treatment-emergent adverse events did not differ between groups. 20 (7·6%) of 264 patients given at least one dose of fidaxomicin and 17 (6·5%) of 260 given vancomycin died.&lt;br&gt;&lt;br&gt;&lt;strong&gt;INTERPRETATION:&lt;/strong&gt; Fidaxomicin could be an alternative treatment for infection with C difficile, with similar efficacy and safety to vancomycin.&lt;br&gt;&lt;br&gt;&lt;strong&gt;FUNDING:&lt;/strong&gt; Optimer Pharmaceuticals.&lt;br&gt;&lt;br&gt;Copyright © 2012 Elsevier Ltd. All rights reserved.","author":[{"family":"Cornely","given":"Oliver A"},{"family":"Crook","given":"Derrick W"},{"family":"Esposito","given":"Roberto"},{"family":"Poirier","given":"André"},{"family":"Somero","given":"Michael S"},{"family":"Weiss","given":"Karl"},{"family":"Sears","given":"Pamela"},{"family":"Gorbach","given":"Sherwood"},{"family":"OPT-80-004 Clinical Study Group"}],"authorYearDisplayFormat":false,"citation-label":"3168641","container-title":"The Lancet Infectious Diseases","container-title-short":"Lancet Infect. Dis.","id":"3168641","invisible":false,"issue":"4","issued":{"date-parts":[["2012","4"]]},"journalAbbreviation":"Lancet Infect. Dis.","page":"281-289","suppress-author":false,"title":"Fidaxomicin versus vancomycin for infection with Clostridium difficile in Europe, Canada, and the USA: a double-blind, non-inferiority, randomised controlled trial.","type":"article-journal","volume":"12"}]</w:instrText>
      </w:r>
      <w:r>
        <w:fldChar w:fldCharType="separate"/>
      </w:r>
      <w:r w:rsidRPr="002B161E">
        <w:rPr>
          <w:noProof/>
          <w:vertAlign w:val="superscript"/>
        </w:rPr>
        <w:t>124</w:t>
      </w:r>
      <w:r>
        <w:fldChar w:fldCharType="end"/>
      </w:r>
    </w:p>
    <w:p w14:paraId="7711E8C7" w14:textId="61271116" w:rsidR="00135AEF" w:rsidRPr="0010158F" w:rsidRDefault="00135AEF" w:rsidP="00135AEF">
      <w:pPr>
        <w:ind w:firstLine="720"/>
        <w:jc w:val="both"/>
      </w:pPr>
      <w:r>
        <w:t>Alternative therapies that employ non-small molecule-based strategies are under development or have entered clinical trials and represent a significant departure from the status quo. For example, monoclonal-antibodies that guide the host-immune response to clear CDI has demonstrated proof-of-concept.</w:t>
      </w:r>
      <w:r>
        <w:fldChar w:fldCharType="begin"/>
      </w:r>
      <w:r>
        <w:instrText>ADDIN F1000_CSL_CITATION&lt;~#@#~&gt;[{"DOI":"10.1016/j.anaerobe.2018.01.003","First":false,"Last":false,"PMID":"29309845","abstract":"Clostridium difficile is an anaerobic, Gram-positive, spore-forming bacillus that causes disease ranging from self-limiting diarrhoea to severe pseudomembranous colitis. C. difficile infection (CDI) commonly affects hospitalised patients and is increasingly identified in patients in the community with no hospital contact. For the last 15 years the incidence of CDI worldwide has been rising, especially in the northern hemisphere. The yearly average number of hospitalizations as a result of this disease is estimated to be over a quarter of a million per year in the United States alone. The main risk factor for CDI is exposure to antimicrobials that affect the gut microflora and, paradoxically, the most common treatments for CDI are the antimicrobials, metronidazole and vancomycin. However, the increasing frequency of highly virulent C. difficile strains, antimicrobial treatment failures, hospital outbreaks, patients with severe complications and cases with multiple recurrences have driven the search for new therapies. Several novel or popular complementary and alternative therapies are self-prescribed for treatment of other diarrheal diseases, and these may also be appropriate for treating CDI. In general, complementary and alternative medicine (CAM) is mainly used by patients when conventional therapeutic agents show limited success against C. difficile and other antimicrobial-resistant bacteria. Among these alternative approaches, a number of treatments, such as herbal remedies, are embraced less by pharmaceutical and medical professions. This review summarises current knowledge of non-conventional antimicrobial and alternative therapies for treatment of CDI. As the demand for non-conventional antimicrobial therapies increases, further studies are required in the field of CAM, especially natural products, for the treatment of CDI.&lt;br&gt;&lt;br&gt;Copyright © 2018 Elsevier Ltd. All rights reserved.","author":[{"family":"Roshan","given":"Niloufar"},{"family":"Hammer","given":"Katherine A"},{"family":"Riley","given":"Thomas V"}],"authorYearDisplayFormat":false,"citation-label":"6717289","container-title":"Anaerobe","container-title-short":"Anaerobe","id":"6717289","invisible":false,"issued":{"date-parts":[["2018","2"]]},"journalAbbreviation":"Anaerobe","page":"103-111","suppress-author":false,"title":"Non-conventional antimicrobial and alternative therapies for the treatment of Clostridium difficile infection.","type":"article-journal","volume":"49"}]</w:instrText>
      </w:r>
      <w:r>
        <w:fldChar w:fldCharType="separate"/>
      </w:r>
      <w:r w:rsidRPr="002B161E">
        <w:rPr>
          <w:noProof/>
          <w:vertAlign w:val="superscript"/>
        </w:rPr>
        <w:t>129</w:t>
      </w:r>
      <w:r>
        <w:fldChar w:fldCharType="end"/>
      </w:r>
      <w:r>
        <w:t xml:space="preserve"> Vaccination with inactivated toxin to elicit a protective immune response and abrogate virulence by inhibiting toxin activity has also been demonstrated </w:t>
      </w:r>
      <w:r>
        <w:rPr>
          <w:i/>
        </w:rPr>
        <w:t>in vitro</w:t>
      </w:r>
      <w:r>
        <w:t>.</w:t>
      </w:r>
      <w:r>
        <w:fldChar w:fldCharType="begin"/>
      </w:r>
      <w:r>
        <w:instrText>ADDIN F1000_CSL_CITATION&lt;~#@#~&gt;[{"DOI":"10.3389/fimmu.2018.02440","First":false,"Last":false,"PMCID":"PMC6204379","PMID":"30405630","abstract":"Clostridium difficile infection (CDI) is the leading cause of world-wide nosocomial acquired diarrhea in adults. Active vaccination is generally accepted as a logical and cost-effective approach to prevent CDI. In this paper, we have generated two novel chimeric proteins; one designated Tcd169, comprised of the glucosyltransferase domain (GT), the cysteine proteinase domain (CPD), and receptor binding domain (RBD) of TcdB, and the RBD of TcdA; the other designated Tcd169FI, which contains Salmonella typhimurium flagellin (sFliC) and Tcd169. Both proteins were expressed in and purified from Bacillus megaterium. Point mutations were made in the GT (W102A, D288N) and CPD (C698) of TcdB to ensure that Tcd169 and Tcd169FI were atoxic. Immunization with Tcd169 or Tcd169Fl induced protective immunity against TcdA/TcdB challenge through intraperitoneal injection, also provided mice full protection against infection with a hyper-virulent C. difficile strain (BI/NAP1/027). In addition, inclusion of sFlic in the fusion protein (Tcd169Fl) enhanced its protective immunity against toxin challenge, reduced C. difficile numbers in feces from Tcd169Fl-immunized mice infected C. difficile. Our data show that Tcd169 and Tcd169FI fusion proteins may represent alternative vaccine candidates against CDI.","author":[{"family":"Wang","given":"Shaohui"},{"family":"Wang","given":"Yuanguo"},{"family":"Cai","given":"Ying"},{"family":"Kelly","given":"Ciaran P"},{"family":"Sun","given":"Xingmin"}],"authorYearDisplayFormat":false,"citation-label":"6060941","container-title":"Frontiers in immunology","container-title-short":"Front. Immunol.","id":"6060941","invisible":false,"issued":{"date-parts":[["2018","10","22"]]},"journalAbbreviation":"Front. Immunol.","page":"2440","suppress-author":false,"title":"Novel Chimeric Protein Vaccines Against Clostridium difficile Infection.","type":"article-journal","volume":"9"},{"First":false,"Last":false,"abstract":"Clostridium difficile is a pathogen with increasing severity for which host antibody responses provide protection from disease. DNA vaccination has several advantages compared to traditional vaccine methods, however no study has examined this platform against C. difficile …","author":[{"family":"Gardiner","given":"D F"},{"family":"Rosenberg","given":"T"},{"family":"Zaharatos","given":"J"},{"family":"Franco","given":"D"}],"authorYearDisplayFormat":false,"citation-label":"6717279","container-title":"Vaccine","container-title-short":"Vaccine","id":"6717279","invisible":false,"issued":{"date-parts":[["2009"]]},"journalAbbreviation":"Vaccine","suppress-author":false,"title":"A DNA vaccine targeting the receptor-binding domain of Clostridium difficile toxin A","type":"article-journal"},{"DOI":"10.1053/j.gastro.2004.11.004","First":false,"Last":false,"PMID":"15765411","abstract":"&lt;strong&gt;BACKGROUND &amp; AIMS:&lt;/strong&gt; Recurrent C difficile -associated diarrhea (CDAD) is associated with a lack of protective immunity to C difficile toxins. A parenteral C difficile vaccine containing toxoid A and toxoid B was reported previously to be safe and immunogenic in healthy volunteers. Our aim was to examine whether the vaccine is also well tolerated and immunogenic in patients with recurrent CDAD.&lt;br&gt;&lt;br&gt;&lt;strong&gt;METHODS:&lt;/strong&gt; Subjects received 4, 50-microg intramuscular inoculations of the C difficile vaccine over an 8-week period. Serum antitoxin antibodies were measured by ELISA, and toxin neutralizing activity was evaluated using the tissue culture cytotoxin assay.&lt;br&gt;&lt;br&gt;&lt;strong&gt;RESULTS:&lt;/strong&gt; Three patients with multiple episodes of recurrent CDAD were vaccinated. Two of the 3 showed an increase in serum IgG antitoxin A antibodies (3-fold and 4-fold increases, respectively) and in serum IgG antitoxin B antibodies (52-fold and 20-fold, respectively). Both also developed cytotoxin neutralizing activity against toxin A and toxin B. Prior to vaccination, the subjects had required nearly continuous treatment with oral vancomycin for 7, 9, and 22 months, respectively, to treat recurrent episodes of CDAD. After vaccination, all 3 subjects discontinued treatment with oral vancomycin without any further recurrence.&lt;br&gt;&lt;br&gt;&lt;strong&gt;CONCLUSIONS:&lt;/strong&gt; A C difficile toxoid vaccine induced immune responses to toxins A and B in patients with CDAD and was associated with resolution of recurrent diarrhea. The results of this study support the feasibility of active vaccination against C difficile and its toxins in high-risk individuals but must be validated in larger, randomized, controlled trials.","author":[{"family":"Sougioultzis","given":"Stavros"},{"family":"Kyne","given":"Lorraine"},{"family":"Drudy","given":"Denise"},{"family":"Keates","given":"Sarah"},{"family":"Maroo","given":"Seema"},{"family":"Pothoulakis","given":"Charalabos"},{"family":"Giannasca","given":"Paul J"},{"family":"Lee","given":"Cynthia K"},{"family":"Warny","given":"Michel"},{"family":"Monath","given":"Thomas P"},{"family":"Kelly","given":"Ciarán P"}],"authorYearDisplayFormat":false,"citation-label":"2863995","container-title":"Gastroenterology","container-title-short":"Gastroenterology","id":"2863995","invisible":false,"issue":"3","issued":{"date-parts":[["2005","3"]]},"journalAbbreviation":"Gastroenterology","page":"764-770","suppress-author":false,"title":"Clostridium difficile toxoid vaccine in recurrent C. difficile-associated diarrhea.","type":"article-journal","volume":"128"},{"First":false,"Last":false,"abstract":"… Results suggest the candidate C. difficile vaccine is well tolerated and immunogenic in young adults (18–55 … Injection site reactions are typical of alum-adjuvanted vaccines … In both healthy adults and the elderly, vaccination resulted in an increase in antibody geometric mean …","author":[{"family":"Foglia","given":"G"},{"family":"Shah","given":"S"},{"family":"Luxemburger","given":"C"},{"family":"Pietrobon","given":"P J F"}],"authorYearDisplayFormat":false,"citation-label":"6717283","container-title":"Vaccine","container-title-short":"Vaccine","id":"6717283","invisible":false,"issued":{"date-parts":[["2012"]]},"journalAbbreviation":"Vaccine","suppress-author":false,"title":"Clostridium difficile: development of a novel candidate vaccine","type":"article-journal"}]</w:instrText>
      </w:r>
      <w:r>
        <w:fldChar w:fldCharType="separate"/>
      </w:r>
      <w:r w:rsidRPr="002B161E">
        <w:rPr>
          <w:noProof/>
          <w:vertAlign w:val="superscript"/>
        </w:rPr>
        <w:t>130–133</w:t>
      </w:r>
      <w:r>
        <w:fldChar w:fldCharType="end"/>
      </w:r>
      <w:r>
        <w:t xml:space="preserve"> Phage therapy is  being revisited as a potential alternative treatment, despite numerous clinical hurdles.</w:t>
      </w:r>
      <w:r>
        <w:fldChar w:fldCharType="begin"/>
      </w:r>
      <w:r>
        <w:instrText>ADDIN F1000_CSL_CITATION&lt;~#@#~&gt;[{"DOI":"10.1016/j.anaerobe.2013.05.001","First":false,"Last":false,"PMID":"23685029","abstract":"Clostridium difficile is a leading cause of hospital-acquired diarrhoea and represents a major challenge for healthcare providers. Due to the decreasing efficacy and associated problems of antibiotic therapy there is a need for synergistic and alternative treatments. In this study we investigated the use of a specific bacteriophage, ΦCD27, in a human colon model of C. difficile infection. Our findings demonstrate a significant reduction in the burden of C. difficile cells and toxin production with phage treatment relative to an untreated control, with no detrimental effect on commensal bacterial populations. The results demonstrate the potential of phage therapy, and highlight the limitations of using phages that have lysogenic capacity.\n&lt;br /&gt;\n&lt;br /&gt;Copyright © 2013 Elsevier Ltd. All rights reserved.","author":[{"family":"Meader","given":"Emma"},{"family":"Mayer","given":"Melinda J"},{"family":"Steverding","given":"Dietmar"},{"family":"Carding","given":"Simon R"},{"family":"Narbad","given":"Arjan"}],"authorYearDisplayFormat":false,"citation-label":"6717290","container-title":"Anaerobe","container-title-short":"Anaerobe","id":"6717290","invisible":false,"issued":{"date-parts":[["2013","8","1"]]},"journalAbbreviation":"Anaerobe","page":"25-30","suppress-author":false,"title":"Evaluation of bacteriophage therapy to control Clostridium difficile and toxin production in an in vitro human colon model system.","type":"article-journal","volume":"22"}]</w:instrText>
      </w:r>
      <w:r>
        <w:fldChar w:fldCharType="separate"/>
      </w:r>
      <w:r w:rsidRPr="002B161E">
        <w:rPr>
          <w:noProof/>
          <w:vertAlign w:val="superscript"/>
        </w:rPr>
        <w:t>134</w:t>
      </w:r>
      <w:r>
        <w:fldChar w:fldCharType="end"/>
      </w:r>
      <w:r>
        <w:t xml:space="preserve"> Most alternative therapies </w:t>
      </w:r>
      <w:r>
        <w:lastRenderedPageBreak/>
        <w:t xml:space="preserve">attempt to mitigate virulence rather than destroy </w:t>
      </w:r>
      <w:r w:rsidR="00AB3480" w:rsidRPr="00AB3480">
        <w:rPr>
          <w:i/>
          <w:iCs/>
        </w:rPr>
        <w:t>C. difficile</w:t>
      </w:r>
      <w:r>
        <w:rPr>
          <w:iCs/>
        </w:rPr>
        <w:t>, and shape an immune response. This removes the primary drawback of using antibacterials that contribute to gut dysbiosis and CDI recurrence.</w:t>
      </w:r>
      <w:r>
        <w:t xml:space="preserve"> Though exciting, alternative therapies face an uphill battle, as the new approaches will be expected to not only exhibit efficacy but also be void of problems facing established drugs currently utilized in the clinic.</w:t>
      </w:r>
    </w:p>
    <w:p w14:paraId="051C145B" w14:textId="77777777" w:rsidR="00135AEF" w:rsidRDefault="00135AEF" w:rsidP="00135AEF">
      <w:pPr>
        <w:ind w:firstLine="720"/>
        <w:jc w:val="both"/>
      </w:pPr>
      <w:r>
        <w:t>The development of therapeutics to combat CDI represents an urgent and important endeavor. With no clear “magic bullet” in-hand, the search for novel targets and compounds that act upon these targets will only become more urgent in an increasingly dire situation.</w:t>
      </w:r>
    </w:p>
    <w:p w14:paraId="2145967E" w14:textId="77777777" w:rsidR="00135AEF" w:rsidRPr="00471BB7" w:rsidRDefault="00135AEF" w:rsidP="00135AEF">
      <w:pPr>
        <w:jc w:val="both"/>
      </w:pPr>
    </w:p>
    <w:p w14:paraId="05AB126E" w14:textId="479AF1BE" w:rsidR="00135AEF" w:rsidRDefault="00AE6C6D" w:rsidP="004E7821">
      <w:pPr>
        <w:pStyle w:val="Heading2"/>
      </w:pPr>
      <w:bookmarkStart w:id="19" w:name="_Toc8392729"/>
      <w:r>
        <w:t xml:space="preserve">1.3 </w:t>
      </w:r>
      <w:r w:rsidR="00135AEF">
        <w:t>A Case for Targeting Caseinolytic Protease P</w:t>
      </w:r>
      <w:bookmarkEnd w:id="19"/>
    </w:p>
    <w:p w14:paraId="0EEEB159" w14:textId="767393CD" w:rsidR="00135AEF" w:rsidRDefault="00135AEF" w:rsidP="00135AEF">
      <w:pPr>
        <w:pStyle w:val="ListParagraph"/>
        <w:ind w:left="0" w:firstLine="720"/>
        <w:jc w:val="both"/>
      </w:pPr>
      <w:r>
        <w:t>Caseinolytic protease P (ClpP) is a barrel-shaped tetradecameric complex composed of two stacked heptameric rings which form a hollow barrel-shaped cylinder.</w:t>
      </w:r>
      <w:r>
        <w:fldChar w:fldCharType="begin"/>
      </w:r>
      <w:r>
        <w:instrText>ADDIN F1000_CSL_CITATION&lt;~#@#~&gt;[{"DOI":"10.1021/bi00034a025","First":false,"Last":false,"PMID":"7662672","abstract":"The Escherichia coli ATP-dependent caseinolytic protease (Clp) is composed of two distinct subunits; protease, ClpP, and ATPase, ClpA. Active ClpP has been overexpressed to approximately 50% of soluble protein in E. coli, and purified to homogeneity. Direct mass determination of individual particles using scanning transmission electron microscopy (STEM) yields a mean native molecular mass of 305 +/- 9 kDa for the ClpP oligomer, suggesting that it has a tetradecameric structure. Small-angle X-ray scattering (SAXS) curves were determined for ClpP in solution at concentrations of 1-10 mg/mL. A combination of STEM and SAXS data was used to derive a model for ClpP, comprising a cylindrical oligomer about 100 A in diameter and about 75 A in height with an axial pore about 32-36 A in diameter. The volume of the pore is estimated to be approximately 70,000 A3, similar in size to those found in chaperone proteins, and is large enough to accommodate unfolded polypeptide chains, although most globular folded proteins would be excluded.","author":[{"family":"Flanagan","given":"J M"},{"family":"Wall","given":"J S"},{"family":"Capel","given":"M S"},{"family":"Schneider","given":"D K"},{"family":"Shanklin","given":"J"}],"authorYearDisplayFormat":false,"citation-label":"5898169","container-title":"Biochemistry","container-title-short":"Biochemistry","id":"5898169","invisible":false,"issue":"34","issued":{"date-parts":[["1995","8","29"]]},"journalAbbreviation":"Biochemistry","page":"10910-10917","suppress-author":false,"title":"Scanning transmission electron microscopy and small-angle scattering provide evidence that native Escherichia coli ClpP is a tetradecamer with an axial pore.","type":"article-journal","volume":"34"}]</w:instrText>
      </w:r>
      <w:r>
        <w:fldChar w:fldCharType="separate"/>
      </w:r>
      <w:r w:rsidRPr="002B161E">
        <w:rPr>
          <w:noProof/>
          <w:vertAlign w:val="superscript"/>
        </w:rPr>
        <w:t>135</w:t>
      </w:r>
      <w:r>
        <w:fldChar w:fldCharType="end"/>
      </w:r>
      <w:r>
        <w:t xml:space="preserve"> The core is lined with fourteen Serine-Histidine-Aspartic acid catalytic triads, shielded by N-terminal loops that cover the axial pore (</w:t>
      </w:r>
      <w:r>
        <w:rPr>
          <w:b/>
        </w:rPr>
        <w:t>Figure 1.</w:t>
      </w:r>
      <w:r w:rsidR="00B70AB5">
        <w:rPr>
          <w:b/>
        </w:rPr>
        <w:t>5</w:t>
      </w:r>
      <w:r>
        <w:rPr>
          <w:b/>
        </w:rPr>
        <w:t>A</w:t>
      </w:r>
      <w:r>
        <w:t>).</w:t>
      </w:r>
      <w:r>
        <w:fldChar w:fldCharType="begin"/>
      </w:r>
      <w:r>
        <w:instrText>ADDIN F1000_CSL_CITATION&lt;~#@#~&gt;[{"DOI":"10.1021/bi973093e","First":false,"Last":false,"PMID":"9601038","abstract":"The ClpAP protease from Escherichia coli consists of the ATP-binding regulatory component, ClpA (subunit Mr 84 165), and the proteolytic component, ClpP (subunit Mr 21 563). Our hydrodynamic studies demonstrate that the predominant forms of these proteins in solution correspond to those observed by electron microscopy. ClpP and proClpP(SA), which in electron micrographs appear to have subunits arranged in rings of seven subunits, were found by ultracentrifugation to have s20,w values of 12.2 and 13.2 S and molecular weights of 300 000 and 324 000 +/- 3000, respectively, indicating that the native form of each consists of two such rings. The two intact rings of ClpP were separated in the presence of &gt;/= 0.1 M sulfate at low temperatures, suggesting that ring-ring contacts are polar in nature and more easily disrupted than subunit contacts within individual rings. Sedimentation equilibrium analysis indicated that ClpA purified without nucleotide exists as an equilibrium mixture of monomers and dimers with Ka = (1.0 +/- 0.2) x 10(5) M-1 and that, upon addition of MgATP or adenosine 5'-O-(3-thiotriphosphate), ClpA subunits associated to a form with Mr 505 000 +/- 5000, consistent with the hexameric structure seen by electron microscopy. Sedimentation velocity and gel-filtration analysis showed that the nucleotide-promoted hexamer of ClpA (s20,w = 17.2 S) binds tightly to ClpP producing species with s20,w values of 21 and 27 S (f/f0 = 1.5 and 1.8, respectively), consistent with electron micrographs of ClpAP that show a single tetradecamer of ClpP associated with either one or two ClpA hexamers [Kessel et al. (1995) J. Mol. Biol. 250, 587-594]. Under assay conditions in the presence of ATP and Mg2+, the apparent dissociation constant of hexameric ClpA and tetradecameric ClpP was approximately 4 +/- 2 nM. By the method of continuous variation, the optimal ratio of ClpA to ClpP in the active complex was 2:1. The specific activities of limiting ClpA and ClpP determined in the presence of an excess of the other component indicated that the second molecule of ClpA provides very little additional activation of ClpP.","author":[{"family":"Maurizi","given":"M R"},{"family":"Singh","given":"S K"},{"family":"Thompson","given":"M W"},{"family":"Kessel","given":"M"},{"family":"Ginsburg","given":"A"}],"authorYearDisplayFormat":false,"citation-label":"6681148","container-title":"Biochemistry","container-title-short":"Biochemistry","id":"6681148","invisible":false,"issue":"21","issued":{"date-parts":[["1998","5","26"]]},"journalAbbreviation":"Biochemistry","page":"7778-7786","suppress-author":false,"title":"Molecular properties of ClpAP protease of Escherichia coli: ATP-dependent association of ClpA and clpP.","type":"article-journal","volume":"37"}]</w:instrText>
      </w:r>
      <w:r>
        <w:fldChar w:fldCharType="separate"/>
      </w:r>
      <w:r w:rsidRPr="002B161E">
        <w:rPr>
          <w:noProof/>
          <w:vertAlign w:val="superscript"/>
        </w:rPr>
        <w:t>136</w:t>
      </w:r>
      <w:r>
        <w:fldChar w:fldCharType="end"/>
      </w:r>
      <w:r>
        <w:t xml:space="preserve"> Under normal physiologic conditions, ClpP activity is coupled to AAA+ cochaperones (e.g., ClpX and ClpA) that selectively bind degron-tagged proteins for degradation.</w:t>
      </w:r>
      <w:r>
        <w:fldChar w:fldCharType="begin"/>
      </w:r>
      <w:r>
        <w:instrText>ADDIN F1000_CSL_CITATION&lt;~#@#~&gt;[{"DOI":"10.1021/bi973093e","First":false,"Last":false,"PMID":"9601038","abstract":"The ClpAP protease from Escherichia coli consists of the ATP-binding regulatory component, ClpA (subunit Mr 84 165), and the proteolytic component, ClpP (subunit Mr 21 563). Our hydrodynamic studies demonstrate that the predominant forms of these proteins in solution correspond to those observed by electron microscopy. ClpP and proClpP(SA), which in electron micrographs appear to have subunits arranged in rings of seven subunits, were found by ultracentrifugation to have s20,w values of 12.2 and 13.2 S and molecular weights of 300 000 and 324 000 +/- 3000, respectively, indicating that the native form of each consists of two such rings. The two intact rings of ClpP were separated in the presence of &gt;/= 0.1 M sulfate at low temperatures, suggesting that ring-ring contacts are polar in nature and more easily disrupted than subunit contacts within individual rings. Sedimentation equilibrium analysis indicated that ClpA purified without nucleotide exists as an equilibrium mixture of monomers and dimers with Ka = (1.0 +/- 0.2) x 10(5) M-1 and that, upon addition of MgATP or adenosine 5'-O-(3-thiotriphosphate), ClpA subunits associated to a form with Mr 505 000 +/- 5000, consistent with the hexameric structure seen by electron microscopy. Sedimentation velocity and gel-filtration analysis showed that the nucleotide-promoted hexamer of ClpA (s20,w = 17.2 S) binds tightly to ClpP producing species with s20,w values of 21 and 27 S (f/f0 = 1.5 and 1.8, respectively), consistent with electron micrographs of ClpAP that show a single tetradecamer of ClpP associated with either one or two ClpA hexamers [Kessel et al. (1995) J. Mol. Biol. 250, 587-594]. Under assay conditions in the presence of ATP and Mg2+, the apparent dissociation constant of hexameric ClpA and tetradecameric ClpP was approximately 4 +/- 2 nM. By the method of continuous variation, the optimal ratio of ClpA to ClpP in the active complex was 2:1. The specific activities of limiting ClpA and ClpP determined in the presence of an excess of the other component indicated that the second molecule of ClpA provides very little additional activation of ClpP.","author":[{"family":"Maurizi","given":"M R"},{"family":"Singh","given":"S K"},{"family":"Thompson","given":"M W"},{"family":"Kessel","given":"M"},{"family":"Ginsburg","given":"A"}],"authorYearDisplayFormat":false,"citation-label":"6681148","container-title":"Biochemistry","container-title-short":"Biochemistry","id":"6681148","invisible":false,"issue":"21","issued":{"date-parts":[["1998","5","26"]]},"journalAbbreviation":"Biochemistry","page":"7778-7786","suppress-author":false,"title":"Molecular properties of ClpAP protease of Escherichia coli: ATP-dependent association of ClpA and clpP.","type":"article-journal","volume":"37"},{"First":false,"Last":false,"PMID":"8226770","abstract":"The ATP-dependent Clp protease of Escherichia coli consists of two subunits, the ClpP subunit, which has the proteolytic active site, and ClpA, which possesses ATPase activity and activates the proteolytic activity of ClpP in vitro. Recently, Zylicz and co-workers (Wojtkowiak, D., Georgopoulos, C., and Zylicz, M. (1993) J. Biol. Chem. 268, 22609-22617) identified another E. coli protein that activated ATP-dependent degradation of lambda O protein in the presence of ClpP. The amino-terminal sequence of this protein corresponds to the translated amino-terminal sequence of a gene that we have named clpX. clpX encodes a protein with M(r) 46,300, similar to that observed for the protein purified by Wojtkowiak et al. clpX is an operon with clpP; both genes are cotranscribed in a single heat-inducible 2200-base mRNA, with clpP the promoter proximal gene. The sequence of ClpX includes a single consensus ATP-binding site motif and has limited homology to regions of ClpA and other members of the ClpA/B/C family. A third group of proteins, ClpY, closely related to ClpX, has been identified by sequence homology. Mutations in either clpX or clpP abolish degradation of the highly unstable lambda O protein in vivo. clpX mutants are not defective in degradation of previously identified ClpA/ClpP substrates such as a ClpA-beta-galactosidase fusion protein. It appears that selectivity of degradation by ClpP in vivo is determined by interaction of ClpP with different regulatory ATPase subunits.","author":[{"family":"Gottesman","given":"S"},{"family":"Clark","given":"W P"},{"family":"de Crecy-Lagard","given":"V"},{"family":"Maurizi","given":"M R"}],"authorYearDisplayFormat":false,"citation-label":"6681152","container-title":"The Journal of Biological Chemistry","container-title-short":"J. Biol. Chem.","id":"6681152","invisible":false,"issue":"30","issued":{"date-parts":[["1993","10","25"]]},"journalAbbreviation":"J. Biol. Chem.","page":"22618-22626","suppress-author":false,"title":"ClpX, an alternative subunit for the ATP-dependent Clp protease of Escherichia coli. Sequence and in vivo activities.","type":"article-journal","volume":"268"},{"First":false,"Last":false,"PMCID":"PMC316764","PMID":"9573050","abstract":"Interruption of translation in Escherichia coli can lead to the addition of an 11-residue carboxy-terminal peptide tail to the nascent chain. This modification is mediated by SsrA RNA (also called 10Sa RNA and tmRNA) and marks the tagged polypeptide for proteolysis. Degradation in vivo of lambda repressor amino-terminal domain variants bearing this carboxy-terminal SsrA peptide tag is shown here to depend on the cytoplasmic proteases ClpXP and ClpAP. Degradation in vitro of SsrA-tagged substrates was reproduced with purified components and required a substrate with a wild-type SsrA tail, the presence of both ClpP and either ClpA or ClpX, and ATP. Clp-dependent proteolysis accounts for most degradation of SsrA-tagged amino-domain substrates at 32 degrees C, but additional proteases contribute to the degradation of some of these SsrA-tagged substrates at 39 degrees C. The existence of multiple cytoplasmic proteases that function in SsrA quality-control surveillance suggests that the SsrA tag is designed to serve as a relatively promiscuous signal for proteolysis. Having diverse degradation systems able to recognize this tag may increase degradation capacity, permit degradation of a wide variety of different tagged proteins, or allow SsrA-tagged proteins to be degraded under different growth conditions.","author":[{"family":"Gottesman","given":"S"},{"family":"Roche","given":"E"},{"family":"Zhou","given":"Y"},{"family":"Sauer","given":"R T"}],"authorYearDisplayFormat":false,"citation-label":"1532997","container-title":"Genes &amp; Development","container-title-short":"Genes Dev.","id":"1532997","invisible":false,"issue":"9","issued":{"date-parts":[["1998","5","1"]]},"journalAbbreviation":"Genes Dev.","page":"1338-1347","suppress-author":false,"title":"The ClpXP and ClpAP proteases degrade proteins with carboxy-terminal peptide tails added by the SsrA-tagging system.","type":"article-journal","volume":"12"}]</w:instrText>
      </w:r>
      <w:r>
        <w:fldChar w:fldCharType="separate"/>
      </w:r>
      <w:r w:rsidRPr="002B161E">
        <w:rPr>
          <w:noProof/>
          <w:vertAlign w:val="superscript"/>
        </w:rPr>
        <w:t>136–138</w:t>
      </w:r>
      <w:r>
        <w:fldChar w:fldCharType="end"/>
      </w:r>
      <w:r>
        <w:t xml:space="preserve"> Degrons are phosphorylated arginine residues or ssrA-tags attached to proteins that act as a degradation signal that cochaperones recognize as a substrate.</w:t>
      </w:r>
      <w:r>
        <w:fldChar w:fldCharType="begin"/>
      </w:r>
      <w:r>
        <w:instrText>ADDIN F1000_CSL_CITATION&lt;~#@#~&gt;[{"First":false,"Last":false,"PMCID":"PMC316764","PMID":"9573050","abstract":"Interruption of translation in Escherichia coli can lead to the addition of an 11-residue carboxy-terminal peptide tail to the nascent chain. This modification is mediated by SsrA RNA (also called 10Sa RNA and tmRNA) and marks the tagged polypeptide for proteolysis. Degradation in vivo of lambda repressor amino-terminal domain variants bearing this carboxy-terminal SsrA peptide tag is shown here to depend on the cytoplasmic proteases ClpXP and ClpAP. Degradation in vitro of SsrA-tagged substrates was reproduced with purified components and required a substrate with a wild-type SsrA tail, the presence of both ClpP and either ClpA or ClpX, and ATP. Clp-dependent proteolysis accounts for most degradation of SsrA-tagged amino-domain substrates at 32 degrees C, but additional proteases contribute to the degradation of some of these SsrA-tagged substrates at 39 degrees C. The existence of multiple cytoplasmic proteases that function in SsrA quality-control surveillance suggests that the SsrA tag is designed to serve as a relatively promiscuous signal for proteolysis. Having diverse degradation systems able to recognize this tag may increase degradation capacity, permit degradation of a wide variety of different tagged proteins, or allow SsrA-tagged proteins to be degraded under different growth conditions.","author":[{"family":"Gottesman","given":"S"},{"family":"Roche","given":"E"},{"family":"Zhou","given":"Y"},{"family":"Sauer","given":"R T"}],"authorYearDisplayFormat":false,"citation-label":"1532997","container-title":"Genes &amp; Development","container-title-short":"Genes Dev.","id":"1532997","invisible":false,"issue":"9","issued":{"date-parts":[["1998","5","1"]]},"journalAbbreviation":"Genes Dev.","page":"1338-1347","suppress-author":false,"title":"The ClpXP and ClpAP proteases degrade proteins with carboxy-terminal peptide tails added by the SsrA-tagging system.","type":"article-journal","volume":"12"},{"DOI":"10.1038/nature20122","First":false,"Last":false,"PMID":"27749819","abstract":"Protein turnover is a tightly controlled process that is crucial for the removal of aberrant polypeptides and for cellular signalling. Whereas ubiquitin marks eukaryotic proteins for proteasomal degradation, a general tagging system for the equivalent bacterial Clp proteases is not known. Here we describe the targeting mechanism of the ClpC-ClpP proteolytic complex from Bacillus subtilis. Quantitative affinity proteomics using a ClpP-trapping mutant show that proteins phosphorylated on arginine residues are selectively targeted to ClpC-ClpP. In vitro reconstitution experiments demonstrate that arginine phosphorylation by the McsB kinase is required and sufficient for the degradation of substrate proteins. The docking site for phosphoarginine is located in the amino-terminal domain of the ClpC ATPase, as resolved at high resolution in a co-crystal structure. Together, our data demonstrate that phosphoarginine functions as a bona fide degradation tag for the ClpC-ClpP protease. This system, which is widely distributed across Gram-positive bacteria, is functionally analogous to the eukaryotic ubiquitin-proteasome system.","author":[{"family":"Trentini","given":"Débora Broch"},{"family":"Suskiewicz","given":"Marcin Józef"},{"family":"Heuck","given":"Alexander"},{"family":"Kurzbauer","given":"Robert"},{"family":"Deszcz","given":"Luiza"},{"family":"Mechtler","given":"Karl"},{"family":"Clausen","given":"Tim"}],"authorYearDisplayFormat":false,"citation-label":"2473587","container-title":"Nature","container-title-short":"Nature","id":"2473587","invisible":false,"issue":"7627","issued":{"date-parts":[["2016","11","3"]]},"journalAbbreviation":"Nature","page":"48-53","suppress-author":false,"title":"Arginine phosphorylation marks proteins for degradation by a Clp protease.","type":"article-journal","volume":"539"}]</w:instrText>
      </w:r>
      <w:r>
        <w:fldChar w:fldCharType="separate"/>
      </w:r>
      <w:r w:rsidRPr="002B161E">
        <w:rPr>
          <w:noProof/>
          <w:vertAlign w:val="superscript"/>
        </w:rPr>
        <w:t>138,139</w:t>
      </w:r>
      <w:r>
        <w:fldChar w:fldCharType="end"/>
      </w:r>
      <w:r>
        <w:t xml:space="preserve"> After substrate binding, cochaperones bind to ClpP via IGL/F loop motifs that extend from the C-terminal end of each monomer.</w:t>
      </w:r>
      <w:r>
        <w:fldChar w:fldCharType="begin"/>
      </w:r>
      <w:r>
        <w:instrText>ADDIN F1000_CSL_CITATION&lt;~#@#~&gt;[{"DOI":"10.1038/84967","First":false,"Last":false,"PMID":"11224567","abstract":"The Clp/Hsp100 ATPases are hexameric protein machines that catalyze the unfolding, disassembly and disaggregation of specific protein substrates in bacteria, plants and animals. Many family members also interact with peptidases to form ATP-dependent proteases. In Escherichia coli, for instance, the ClpXP protease is assembled from the ClpX ATPase and the ClpP peptidase. Here, we have used multiple sequence alignments to identify a tripeptide 'IGF' in E. coli ClpX that is essential for ClpP recognition. Mutations in this IGF sequence, which appears to be part of a surface loop, disrupt ClpXP complex formation and prevent protease function but have no effect on other ClpX activities. Homologous tripeptides are found only in a subset of Clp/Hsp100 ATPases and are a good predictor of family members that have a ClpP partner. Mapping of the IGF loop onto a homolog of known structure suggests a model for ClpX-ClpP docking.","author":[{"family":"Kim","given":"Y I"},{"family":"Levchenko","given":"I"},{"family":"Fraczkowska","given":"K"},{"family":"Woodruff","given":"R V"},{"family":"Sauer","given":"R T"},{"family":"Baker","given":"T A"}],"authorYearDisplayFormat":false,"citation-label":"5898199","container-title":"Nature Structural Biology","container-title-short":"Nat. Struct. Biol.","id":"5898199","invisible":false,"issue":"3","issued":{"date-parts":[["2001","3"]]},"journalAbbreviation":"Nat. Struct. Biol.","page":"230-233","suppress-author":false,"title":"Molecular determinants of complex formation between Clp/Hsp100 ATPases and the ClpP peptidase.","type":"article-journal","volume":"8"},{"DOI":"10.1016/j.jsb.2012.05.003","First":false,"Last":false,"PMID":"22595189","abstract":"Proteolysis is an important process for many aspects of bacterial physiology. Clp proteases carry out a large proportion of protein degradation in bacteria. These enzymes assemble in complexes that combine the protease ClpP and the unfoldase, ClpA or ClpX. ClpP oligomerizes as two stacked heptameric rings enclosing a central chamber containing the proteolytic sites. ClpX and ClpA assemble into hexameric rings that bind both axial surfaces of the ClpP tetradecamer forming a barrel-like complex. ClpP requires association with ClpA or ClpX to unfold and thread protein substrates through the axial pore into the inner chamber where degradation occurs. A gating mechanism regulated by the ATPase exists at the entry of the ClpP axial pore and involves the N-terminal regions of the ClpP protomers. These gating motifs are located at the axial regions of the tetradecamer but in most crystal structures they are not visible. We also lack structural information about the ClpAP or ClpXP complexes. Therefore, the structural details of how the axial gate in ClpP is regulated by the ATPases are unknown. Here, we review our current understanding of the conformational changes that ClpA or ClpX induce in ClpP to open the axial gate and increase substrate accessibility into the degradation chamber. Most of this knowledge comes from the recent crystal structures of ClpP in complex with acyldepsipeptides (ADEP) antibiotics. These small molecules are providing new insights into the gating mechanism of this protease because they imitate the interaction of ClpA/ClpX with ClpP and activate its protease activity.&lt;br&gt;&lt;br&gt;Copyright © 2012 Elsevier Inc. All rights reserved.","author":[{"family":"Alexopoulos","given":"John A"},{"family":"Guarné","given":"Alba"},{"family":"Ortega","given":"Joaquin"}],"authorYearDisplayFormat":false,"citation-label":"5898245","container-title":"Journal of Structural Biology","container-title-short":"J. Struct. Biol.","id":"5898245","invisible":false,"issue":"2","issued":{"date-parts":[["2012","8"]]},"journalAbbreviation":"J. Struct. Biol.","page":"202-210","suppress-author":false,"title":"ClpP: a structurally dynamic protease regulated by AAA+ proteins.","type":"article-journal","volume":"179"}]</w:instrText>
      </w:r>
      <w:r>
        <w:fldChar w:fldCharType="separate"/>
      </w:r>
      <w:r w:rsidRPr="002B161E">
        <w:rPr>
          <w:noProof/>
          <w:vertAlign w:val="superscript"/>
        </w:rPr>
        <w:t>140,141</w:t>
      </w:r>
      <w:r>
        <w:fldChar w:fldCharType="end"/>
      </w:r>
      <w:r>
        <w:t xml:space="preserve"> These interact with N-terminal clefts located between monomers.</w:t>
      </w:r>
      <w:r>
        <w:fldChar w:fldCharType="begin"/>
      </w:r>
      <w:r>
        <w:instrText>ADDIN F1000_CSL_CITATION&lt;~#@#~&gt;[{"DOI":"10.1038/nsmb752","First":false,"Last":false,"PMID":"15064753","abstract":"In the ClpXP compartmental protease, ring hexamers of the AAA(+) ClpX ATPase bind, denature and then translocate protein substrates into the degradation chamber of the double-ring ClpP(14) peptidase. A key question is the extent to which functional communication between ClpX and ClpP occurs and is regulated during substrate processing. Here, we show that ClpX-ClpP affinity varies with the protein-processing task of ClpX and with the catalytic engagement of the active sites of ClpP. Functional communication between symmetry-mismatched ClpXP rings depends on the ATPase activity of ClpX and seems to be transmitted through structural changes in its IGF loops, which contact ClpP. A conserved arginine in the sensor II helix of ClpX links the nucleotide state of ClpX to the binding of ClpP and protein substrates. A simple model explains the observed relationships between ATP binding, ATP hydrolysis and functional interactions between ClpX, protein substrates and ClpP.","author":[{"family":"Joshi","given":"Shilpa A"},{"family":"Hersch","given":"Greg L"},{"family":"Baker","given":"Tania A"},{"family":"Sauer","given":"Robert T"}],"authorYearDisplayFormat":false,"citation-label":"3662742","container-title":"Nature Structural &amp; Molecular Biology","container-title-short":"Nat. Struct. Mol. Biol.","id":"3662742","invisible":false,"issue":"5","issued":{"date-parts":[["2004","5"]]},"journalAbbreviation":"Nat. Struct. Mol. Biol.","page":"404-411","suppress-author":false,"title":"Communication between ClpX and ClpP during substrate processing and degradation.","type":"article-journal","volume":"11"}]</w:instrText>
      </w:r>
      <w:r>
        <w:fldChar w:fldCharType="separate"/>
      </w:r>
      <w:r w:rsidRPr="002B161E">
        <w:rPr>
          <w:noProof/>
          <w:vertAlign w:val="superscript"/>
        </w:rPr>
        <w:t>142</w:t>
      </w:r>
      <w:r>
        <w:fldChar w:fldCharType="end"/>
      </w:r>
      <w:r>
        <w:t xml:space="preserve"> The protein is translocated in an ATP-dependent process into the proteolytic core of ClpP to be degraded </w:t>
      </w:r>
      <w:r>
        <w:rPr>
          <w:iCs/>
        </w:rPr>
        <w:t>(</w:t>
      </w:r>
      <w:r>
        <w:rPr>
          <w:b/>
          <w:iCs/>
        </w:rPr>
        <w:t>Figure 1.</w:t>
      </w:r>
      <w:r w:rsidR="00B70AB5">
        <w:rPr>
          <w:b/>
          <w:iCs/>
        </w:rPr>
        <w:t>5</w:t>
      </w:r>
      <w:r>
        <w:rPr>
          <w:b/>
          <w:iCs/>
        </w:rPr>
        <w:t>B</w:t>
      </w:r>
      <w:r>
        <w:rPr>
          <w:iCs/>
        </w:rPr>
        <w:t>)</w:t>
      </w:r>
      <w:r>
        <w:t xml:space="preserve">. The ClpP protomer can be divided into three domains: 1) N-terminal head, 2) C-terminal end, and 3) handle region </w:t>
      </w:r>
      <w:r w:rsidRPr="00B1729E">
        <w:t>(</w:t>
      </w:r>
      <w:r>
        <w:rPr>
          <w:b/>
        </w:rPr>
        <w:t>Figure 1.</w:t>
      </w:r>
      <w:r w:rsidR="00B70AB5">
        <w:rPr>
          <w:b/>
        </w:rPr>
        <w:t>5</w:t>
      </w:r>
      <w:r>
        <w:rPr>
          <w:b/>
        </w:rPr>
        <w:t>A</w:t>
      </w:r>
      <w:r w:rsidRPr="00B1729E">
        <w:t>)</w:t>
      </w:r>
      <w:r>
        <w:t>.</w:t>
      </w:r>
      <w:r>
        <w:fldChar w:fldCharType="begin"/>
      </w:r>
      <w:r>
        <w:instrText>ADDIN F1000_CSL_CITATION&lt;~#@#~&gt;[{"DOI":"10.1016/j.febslet.2007.04.076","First":false,"Last":false,"PMID":"17499722","abstract":"Processes maintaining protein homeostasis in the cell are governed by the activities of molecular chaperones that mainly assist in the folding of polypeptide chains and by a large class of proteases that regulate protein levels through degradation. ClpP proteases define a distinctive family of cylindrical, energy-dependent serine proteases that are highly conserved throughout bacteria and eukaryota. They typically interact with ATP-dependent AAA+ chaperones that bind and unfold target substrates and then translocate them into ClpP for degradation. Structural and functional studies have provided a detailed view of the mechanism of function of this class of proteases.","author":[{"family":"Yu","given":"Angela Yeou Hsiung"},{"family":"Houry","given":"Walid A"}],"authorYearDisplayFormat":false,"citation-label":"1613890","container-title":"FEBS Letters","container-title-short":"FEBS Lett.","id":"1613890","invisible":false,"issue":"19","issued":{"date-parts":[["2007","7","31"]]},"journalAbbreviation":"FEBS Lett.","page":"3749-3757","suppress-author":false,"title":"ClpP: a distinctive family of cylindrical energy-dependent serine proteases.","type":"article-journal","volume":"581"}]</w:instrText>
      </w:r>
      <w:r>
        <w:fldChar w:fldCharType="separate"/>
      </w:r>
      <w:r w:rsidRPr="002B161E">
        <w:rPr>
          <w:noProof/>
          <w:vertAlign w:val="superscript"/>
        </w:rPr>
        <w:t>143</w:t>
      </w:r>
      <w:r>
        <w:fldChar w:fldCharType="end"/>
      </w:r>
      <w:r>
        <w:t xml:space="preserve"> ClpP adapts two conformations: </w:t>
      </w:r>
      <w:r>
        <w:lastRenderedPageBreak/>
        <w:t>1) the “extended” active form, which interacts with cochaperones and is capable of degrading small polypeptides 5-7aa in length, and 2) an autoproteolytically inactive compressed form.</w:t>
      </w:r>
      <w:r>
        <w:fldChar w:fldCharType="begin"/>
      </w:r>
      <w:r>
        <w:instrText>ADDIN F1000_CSL_CITATION&lt;~#@#~&gt;[{"DOI":"10.1007/s10059-011-0197-1","First":false,"Last":false,"PMCID":"PMC3887684","PMID":"22080375","abstract":"ClpP is a cylindrical protease that is tightly regulated by Clp-ATPases. The activation mechanism of ClpP using acyldepsipeptide antibiotics as mimics of natural activators showed enlargement of the axial entrance pore for easier processing of incoming substrates. However, the elimination of degradation products from inside the ClpP chamber remains unclear since there is no exit pore for releasing these products in all determined ClpP structures. Here we report a new crystal structure of ClpP from Bacillus subtilis, which shows a significantly compressed shape along the axial direction. A portion of the handle regions comprising the heptameric ring-ring contacts shows structural transition from an ordered to a disordered state, which triggers the large conformational change from an extended to an overall compressed structure. Along with this structural change, 14 side pores are generated for product release and the catalytic triad adopts an inactive orientation. We have also determined B. subtilis ClpP inhibited by diisopropylfluoro-phosphate and analyzed the active site in detail. Structural information pertaining to several different conformational steps such as those related to extended, ADEP-activated, DFP-inhibited and compressed forms of ClpP from B. subtilis is available. Structural comparisons suggest that functionally important regions in the ClpP-family such as N-terminal segments for the axial pore, catalytic triads, and handle domains for the product releasing pore exhibit intrinsically dynamic and unique structural features. This study provides valuable insights for understanding the enigmatic cylindrical degradation machinery of ClpP as well as other related proteases such as HslV and the 20S proteasome.","author":[{"family":"Lee","given":"Byung-Gil"},{"family":"Kim","given":"Min Kyung"},{"family":"Song","given":"Hyun Kyu"}],"authorYearDisplayFormat":false,"citation-label":"6005329","container-title":"Molecules and Cells","container-title-short":"Mol. Cells","id":"6005329","invisible":false,"issue":"6","issued":{"date-parts":[["2011","12"]]},"journalAbbreviation":"Mol. Cells","page":"589-595","suppress-author":false,"title":"Structural insights into the conformational diversity of ClpP from Bacillus subtilis.","type":"article-journal","volume":"32"},{"DOI":"10.1016/j.chembiol.2010.07.008","First":false,"Last":false,"PMCID":"PMC2955292","PMID":"20851345","abstract":"In ClpXP and ClpAP complexes, ClpA and ClpX use the energy of ATP hydrolysis to unfold proteins and translocate them into the self-compartmentalized ClpP protease. ClpP requires the ATPases to degrade folded or unfolded substrates, but binding of acyldepsipeptide antibiotics (ADEPs) to ClpP bypasses this requirement with unfolded proteins. We present the crystal structure of Escherichia coli ClpP bound to ADEP1 and report the structural changes underlying ClpP activation. ADEP1 binds in the hydrophobic groove that serves as the primary docking site for ClpP ATPases. Binding of ADEP1 locks the N-terminal loops of ClpP in a β-hairpin conformation, generating a stable pore through which extended polypeptides can be threaded. This structure serves as a model for ClpP in the holoenzyme ClpAP and ClpXP complexes and provides critical information to further develop this class of antibiotics.&lt;br&gt;&lt;br&gt;Copyright © 2010 Elsevier Ltd. All rights reserved.","author":[{"family":"Li","given":"Dominic Him Shun"},{"family":"Chung","given":"Yu Seon"},{"family":"Gloyd","given":"Melanie"},{"family":"Joseph","given":"Ebenezer"},{"family":"Ghirlando","given":"Rodolfo"},{"family":"Wright","given":"Gerard D"},{"family":"Cheng","given":"Yi-Qiang"},{"family":"Maurizi","given":"Michael R"},{"family":"Guarné","given":"Alba"},{"family":"Ortega","given":"Joaquin"}],"authorYearDisplayFormat":false,"citation-label":"5898323","container-title":"Chemistry &amp; Biology","container-title-short":"Chem. Biol.","id":"5898323","invisible":false,"issue":"9","issued":{"date-parts":[["2010","9","24"]]},"journalAbbreviation":"Chem. Biol.","page":"959-969","suppress-author":false,"title":"Acyldepsipeptide antibiotics induce the formation of a structured axial channel in ClpP: A model for the ClpX/ClpA-bound state of ClpP.","type":"article-journal","volume":"17"}]</w:instrText>
      </w:r>
      <w:r>
        <w:fldChar w:fldCharType="separate"/>
      </w:r>
      <w:r w:rsidRPr="002B161E">
        <w:rPr>
          <w:noProof/>
          <w:vertAlign w:val="superscript"/>
        </w:rPr>
        <w:t>144,145</w:t>
      </w:r>
      <w:r>
        <w:fldChar w:fldCharType="end"/>
      </w:r>
      <w:r>
        <w:t xml:space="preserve"> </w:t>
      </w:r>
    </w:p>
    <w:p w14:paraId="76165D53" w14:textId="77777777" w:rsidR="00135AEF" w:rsidRDefault="00135AEF" w:rsidP="00135AEF">
      <w:pPr>
        <w:keepNext/>
        <w:jc w:val="center"/>
      </w:pPr>
      <w:r w:rsidRPr="00F9529F">
        <w:rPr>
          <w:noProof/>
        </w:rPr>
        <w:drawing>
          <wp:inline distT="0" distB="0" distL="0" distR="0" wp14:anchorId="75B24F14" wp14:editId="5490B876">
            <wp:extent cx="5325110" cy="3947795"/>
            <wp:effectExtent l="0" t="0" r="0" b="0"/>
            <wp:docPr id="84"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26" cstate="print">
                      <a:extLst>
                        <a:ext uri="{28A0092B-C50C-407E-A947-70E740481C1C}">
                          <a14:useLocalDpi xmlns:a14="http://schemas.microsoft.com/office/drawing/2010/main" val="0"/>
                        </a:ext>
                      </a:extLst>
                    </a:blip>
                    <a:srcRect l="12270" r="4849"/>
                    <a:stretch>
                      <a:fillRect/>
                    </a:stretch>
                  </pic:blipFill>
                  <pic:spPr bwMode="auto">
                    <a:xfrm>
                      <a:off x="0" y="0"/>
                      <a:ext cx="5325110" cy="3947795"/>
                    </a:xfrm>
                    <a:prstGeom prst="rect">
                      <a:avLst/>
                    </a:prstGeom>
                    <a:noFill/>
                    <a:ln>
                      <a:noFill/>
                    </a:ln>
                  </pic:spPr>
                </pic:pic>
              </a:graphicData>
            </a:graphic>
          </wp:inline>
        </w:drawing>
      </w:r>
    </w:p>
    <w:p w14:paraId="5307299E" w14:textId="65329CCC" w:rsidR="00135AEF" w:rsidRPr="00573D19" w:rsidRDefault="00135AEF" w:rsidP="00135AEF">
      <w:pPr>
        <w:pStyle w:val="Caption"/>
      </w:pPr>
      <w:bookmarkStart w:id="20" w:name="_Toc5807398"/>
      <w:r>
        <w:t>Figure 1.</w:t>
      </w:r>
      <w:r w:rsidR="00B70AB5">
        <w:rPr>
          <w:noProof/>
        </w:rPr>
        <w:t>5</w:t>
      </w:r>
      <w:r>
        <w:t xml:space="preserve"> – Structural overview of ClpP and cochaperone mediated proteolysis</w:t>
      </w:r>
      <w:r>
        <w:rPr>
          <w:b w:val="0"/>
          <w:bCs w:val="0"/>
        </w:rPr>
        <w:t>.</w:t>
      </w:r>
      <w:bookmarkEnd w:id="20"/>
      <w:r>
        <w:rPr>
          <w:b w:val="0"/>
          <w:bCs w:val="0"/>
        </w:rPr>
        <w:t xml:space="preserve"> </w:t>
      </w:r>
    </w:p>
    <w:p w14:paraId="54D484F6" w14:textId="182F9DB6" w:rsidR="00135AEF" w:rsidRPr="005A6AD7" w:rsidRDefault="00135AEF" w:rsidP="005B655A">
      <w:pPr>
        <w:pStyle w:val="Caption"/>
        <w:contextualSpacing/>
        <w:jc w:val="both"/>
        <w:rPr>
          <w:b w:val="0"/>
          <w:bCs w:val="0"/>
        </w:rPr>
      </w:pPr>
      <w:r>
        <w:rPr>
          <w:b w:val="0"/>
          <w:bCs w:val="0"/>
        </w:rPr>
        <w:t xml:space="preserve">A) The extended form of ClpP1 from </w:t>
      </w:r>
      <w:r w:rsidR="00AB3480" w:rsidRPr="00AB3480">
        <w:rPr>
          <w:b w:val="0"/>
          <w:bCs w:val="0"/>
          <w:i/>
        </w:rPr>
        <w:t>C. difficile</w:t>
      </w:r>
      <w:r>
        <w:rPr>
          <w:b w:val="0"/>
          <w:bCs w:val="0"/>
        </w:rPr>
        <w:t xml:space="preserve"> (PDB: 6MX2) is shown at the top, with the protomer to the left and the tetradecameric assembly pictured right (side-view = middle, top down view = far right). B) ClpP cochaperones, or unfoldases, recognize the degron (yellow) and bind with or without the assistance of an adaptor protein. This promotes oligomerization of the unfoldase with ClpP via IGL/F motifs located around the axial pore, where each monomer makes contact with another. ATP is then consumed to unfold and translocate the substrate into the proteolytic chamber of ClpP, where the protein will be degraded. Figure 1.</w:t>
      </w:r>
      <w:r w:rsidR="0088573D">
        <w:rPr>
          <w:b w:val="0"/>
          <w:bCs w:val="0"/>
        </w:rPr>
        <w:t>5</w:t>
      </w:r>
      <w:r w:rsidR="005B655A">
        <w:rPr>
          <w:b w:val="0"/>
          <w:bCs w:val="0"/>
        </w:rPr>
        <w:t>B</w:t>
      </w:r>
      <w:r>
        <w:rPr>
          <w:b w:val="0"/>
          <w:bCs w:val="0"/>
        </w:rPr>
        <w:t xml:space="preserve"> is reprinted (adapted) with permission from Houry et al.</w:t>
      </w:r>
      <w:r>
        <w:rPr>
          <w:b w:val="0"/>
          <w:bCs w:val="0"/>
        </w:rPr>
        <w:fldChar w:fldCharType="begin"/>
      </w:r>
      <w:r>
        <w:rPr>
          <w:b w:val="0"/>
          <w:bCs w:val="0"/>
        </w:rPr>
        <w:instrText>ADDIN F1000_CSL_CITATION&lt;~#@#~&gt;[{"DOI":"10.1021/acschembio.8b00124","First":false,"Last":false,"PMID":"29775273","abstract":"In prokaryotic cells and eukaryotic organelles, the ClpP protease plays an important role in proteostasis. The disruption of the ClpP function has been shown to influence the infectivity and virulence of a number of bacterial pathogens. More recently, ClpP has been found to be involved in various forms of carcinomas and in Perrault syndrome, which is an inherited condition characterized by hearing loss in males and females and by ovarian abnormalities in females. Hence, targeting ClpP is a potentially viable, attractive option for the treatment of different ailments. Herein, the biochemical and cellular activities of ClpP are discussed along with the mechanisms by which ClpP affects bacterial pathogenesis and various human diseases. In addition, a comprehensive overview is given of the new classes of compounds in development that target ClpP. Many of these compounds are currently primarily aimed at treating bacterial infections. Some of these compounds inhibit ClpP activity, while others activate the protease and lead to its dysregulation. The ClpP activators are remarkable examples of small molecules that inhibit protein-protein interactions but also result in a gain of function.","author":[{"family":"Bhandari","given":"Vaibhav"},{"family":"Wong","given":"Keith S"},{"family":"Zhou","given":"Jin Lin"},{"family":"Mabanglo","given":"Mark F"},{"family":"Batey","given":"Robert A"},{"family":"Houry","given":"Walid A"}],"authorYearDisplayFormat":false,"citation-label":"5898152","container-title":"ACS Chemical Biology","container-title-short":"ACS Chem. Biol.","id":"5898152","invisible":false,"issue":"6","issued":{"date-parts":[["2018","6","15"]]},"journalAbbreviation":"ACS Chem. Biol.","page":"1413-1425","suppress-author":false,"title":"The role of clpp protease in bacterial pathogenesis and human diseases.","type":"article-journal","volume":"13"}]</w:instrText>
      </w:r>
      <w:r>
        <w:rPr>
          <w:b w:val="0"/>
          <w:bCs w:val="0"/>
        </w:rPr>
        <w:fldChar w:fldCharType="separate"/>
      </w:r>
      <w:r w:rsidRPr="002B161E">
        <w:rPr>
          <w:b w:val="0"/>
          <w:bCs w:val="0"/>
          <w:noProof/>
          <w:vertAlign w:val="superscript"/>
        </w:rPr>
        <w:t>146</w:t>
      </w:r>
      <w:r>
        <w:rPr>
          <w:b w:val="0"/>
          <w:bCs w:val="0"/>
        </w:rPr>
        <w:fldChar w:fldCharType="end"/>
      </w:r>
      <w:r>
        <w:rPr>
          <w:b w:val="0"/>
          <w:bCs w:val="0"/>
        </w:rPr>
        <w:t xml:space="preserve"> Copyright 2019 American Chemical Society.</w:t>
      </w:r>
    </w:p>
    <w:p w14:paraId="77FDC727" w14:textId="77777777" w:rsidR="00135AEF" w:rsidRDefault="00135AEF" w:rsidP="005B655A">
      <w:pPr>
        <w:spacing w:line="240" w:lineRule="auto"/>
        <w:contextualSpacing/>
        <w:jc w:val="both"/>
      </w:pPr>
    </w:p>
    <w:p w14:paraId="5DCE11B0" w14:textId="77777777" w:rsidR="00135AEF" w:rsidRDefault="00135AEF" w:rsidP="005B655A">
      <w:pPr>
        <w:ind w:firstLine="720"/>
        <w:contextualSpacing/>
        <w:jc w:val="both"/>
      </w:pPr>
      <w:r w:rsidRPr="002355D0">
        <w:t>As a key regulator of virulence and drug resistance in infectious bacteria, caseinolytic protease P (ClpP) has emerged a</w:t>
      </w:r>
      <w:r>
        <w:t>s a new target for antibacterial</w:t>
      </w:r>
      <w:r w:rsidRPr="002355D0">
        <w:t xml:space="preserve"> development.</w:t>
      </w:r>
      <w:r>
        <w:fldChar w:fldCharType="begin"/>
      </w:r>
      <w:r>
        <w:instrText>ADDIN F1000_CSL_CITATION&lt;~#@#~&gt;[{"DOI":"10.1021/acschembio.8b00124","First":false,"Last":false,"PMID":"29775273","abstract":"In prokaryotic cells and eukaryotic organelles, the ClpP protease plays an important role in proteostasis. The disruption of the ClpP function has been shown to influence the infectivity and virulence of a number of bacterial pathogens. More recently, ClpP has been found to be involved in various forms of carcinomas and in Perrault syndrome, which is an inherited condition characterized by hearing loss in males and females and by ovarian abnormalities in females. Hence, targeting ClpP is a potentially viable, attractive option for the treatment of different ailments. Herein, the biochemical and cellular activities of ClpP are discussed along with the mechanisms by which ClpP affects bacterial pathogenesis and various human diseases. In addition, a comprehensive overview is given of the new classes of compounds in development that target ClpP. Many of these compounds are currently primarily aimed at treating bacterial infections. Some of these compounds inhibit ClpP activity, while others activate the protease and lead to its dysregulation. The ClpP activators are remarkable examples of small molecules that inhibit protein-protein interactions but also result in a gain of function.","author":[{"family":"Bhandari","given":"Vaibhav"},{"family":"Wong","given":"Keith S"},{"family":"Zhou","given":"Jin Lin"},{"family":"Mabanglo","given":"Mark F"},{"family":"Batey","given":"Robert A"},{"family":"Houry","given":"Walid A"}],"authorYearDisplayFormat":false,"citation-label":"5898152","container-title":"ACS Chemical Biology","container-title-short":"ACS Chem. Biol.","id":"5898152","invisible":false,"issue":"6","issued":{"date-parts":[["2018","6","15"]]},"journalAbbreviation":"ACS Chem. Biol.","page":"1413-1425","suppress-author":false,"title":"The role of clpp protease in bacterial pathogenesis and human diseases.","type":"article-journal","volume":"13"}]</w:instrText>
      </w:r>
      <w:r>
        <w:fldChar w:fldCharType="separate"/>
      </w:r>
      <w:r w:rsidRPr="002B161E">
        <w:rPr>
          <w:noProof/>
          <w:vertAlign w:val="superscript"/>
        </w:rPr>
        <w:t>146</w:t>
      </w:r>
      <w:r>
        <w:fldChar w:fldCharType="end"/>
      </w:r>
      <w:r w:rsidRPr="002355D0">
        <w:t xml:space="preserve"> </w:t>
      </w:r>
      <w:r>
        <w:t>A</w:t>
      </w:r>
      <w:r w:rsidRPr="00CE3CAE">
        <w:t>berrant ClpP</w:t>
      </w:r>
      <w:r>
        <w:t xml:space="preserve"> activity (inhibition or activation)</w:t>
      </w:r>
      <w:r w:rsidRPr="00CE3CAE">
        <w:t xml:space="preserve"> induced by small </w:t>
      </w:r>
      <w:r w:rsidRPr="00CE3CAE">
        <w:lastRenderedPageBreak/>
        <w:t xml:space="preserve">molecules </w:t>
      </w:r>
      <w:r>
        <w:t>is detrimental to microbial fitness, reduces virulent phenotypes, and disrupts biofilm formation.</w:t>
      </w:r>
      <w:r>
        <w:fldChar w:fldCharType="begin"/>
      </w:r>
      <w:r>
        <w:instrText>ADDIN F1000_CSL_CITATION&lt;~#@#~&gt;[{"DOI":"10.1038/nm1306","First":false,"Last":false,"PMID":"16200071","abstract":"Here we show that a new class of antibiotics-acyldepsipeptides-has antibacterial activity against Gram-positive bacteria in vitro and in several rodent models of bacterial infection. The acyldepsipeptides are active against isolates that are resistant to antibiotics in clinical application, implying a new target, which we identify as ClpP, the core unit of a major bacterial protease complex. ClpP is usually tightly regulated and strictly requires a member of the family of Clp-ATPases and often further accessory proteins for proteolytic activation. Binding of acyldepsipeptides to ClpP eliminates these safeguards. The acyldepsipeptide-activated ClpP core is capable of proteolytic degradation in the absence of the regulatory Clp-ATPases. Such uncontrolled proteolysis leads to inhibition of bacterial cell division and eventually cell death.","author":[{"family":"Brötz-Oesterhelt","given":"Heike"},{"family":"Beyer","given":"Dieter"},{"family":"Kroll","given":"Hein-Peter"},{"family":"Endermann","given":"Rainer"},{"family":"Ladel","given":"Christoph"},{"family":"Schroeder","given":"Werner"},{"family":"Hinzen","given":"Berthold"},{"family":"Raddatz","given":"Siegfried"},{"family":"Paulsen","given":"Holger"},{"family":"Henninger","given":"Kerstin"},{"family":"Bandow","given":"Julia E"},{"family":"Sahl","given":"Hans-Georg"},{"family":"Labischinski","given":"Harald"}],"authorYearDisplayFormat":false,"citation-label":"6680911","container-title":"Nature Medicine","container-title-short":"Nat. Med.","id":"6680911","invisible":false,"issue":"10","issued":{"date-parts":[["2005","10","2"]]},"journalAbbreviation":"Nat. Med.","page":"1082-1087","suppress-author":false,"title":"Dysregulation of bacterial proteolytic machinery by a new class of antibiotics.","type":"article-journal","volume":"11"},{"DOI":"10.1038/nature12790","First":false,"Last":false,"PMCID":"PMC4031760","PMID":"24226776","abstract":"Chronic infections are difficult to treat with antibiotics but are caused primarily by drug-sensitive pathogens. Dormant persister cells that are tolerant to killing by antibiotics are responsible for this apparent paradox. Persisters are phenotypic variants of normal cells and pathways leading to dormancy are redundant, making it challenging to develop anti-persister compounds. Biofilms shield persisters from the immune system, suggesting that an antibiotic for treating a chronic infection should be able to eradicate the infection on its own. We reasoned that a compound capable of corrupting a target in dormant cells will kill persisters. The acyldepsipeptide antibiotic (ADEP4) has been shown to activate the ClpP protease, resulting in death of growing cells. Here we show that ADEP4-activated ClpP becomes a fairly nonspecific protease and kills persisters by degrading over 400 proteins, forcing cells to self-digest. Null mutants of clpP arise with high probability, but combining ADEP4 with rifampicin produced complete eradication of Staphylococcus aureus biofilms in vitro and in a mouse model of a chronic infection. Our findings indicate a general principle for killing dormant cells-activation and corruption of a target, rather than conventional inhibition. Eradication of a biofilm in an animal model by activating a protease suggests a realistic path towards developing therapies to treat chronic infections. ","author":[{"family":"Conlon","given":"B P"},{"family":"Nakayasu","given":"E S"},{"family":"Fleck","given":"L E"},{"family":"LaFleur","given":"M D"},{"family":"Isabella","given":"V M"},{"family":"Coleman","given":"K"},{"family":"Leonard","given":"S N"},{"family":"Smith","given":"R D"},{"family":"Adkins","given":"J N"},{"family":"Lewis","given":"K"}],"authorYearDisplayFormat":false,"citation-label":"69437","container-title":"Nature","container-title-short":"Nature","id":"69437","invisible":false,"issue":"7476","issued":{"date-parts":[["2013","11","21"]]},"journalAbbreviation":"Nature","page":"365-370","suppress-author":false,"title":"Activated ClpP kills persisters and eradicates a chronic biofilm infection.","type":"article-journal","volume":"503"},{"DOI":"10.1002/anie.201204690","First":false,"Last":false,"PMID":"23361916","author":[{"family":"Gersch","given":"Malte"},{"family":"Gut","given":"Felix"},{"family":"Korotkov","given":"Vadim S"},{"family":"Lehmann","given":"Johannes"},{"family":"Böttcher","given":"Thomas"},{"family":"Rusch","given":"Marion"},{"family":"Hedberg","given":"Christian"},{"family":"Waldmann","given":"Herbert"},{"family":"Klebe","given":"Gerhard"},{"family":"Sieber","given":"Stephan A"}],"authorYearDisplayFormat":false,"citation-label":"5898252","container-title":"Angewandte Chemie","container-title-short":"Angew Chem Int Ed Engl","id":"5898252","invisible":false,"issue":"10","issued":{"date-parts":[["2013","3","4"]]},"journalAbbreviation":"Angew Chem Int Ed Engl","page":"3009-3014","suppress-author":false,"title":"The mechanism of caseinolytic protease (ClpP) inhibition.","type":"article-journal","volume":"52"}]</w:instrText>
      </w:r>
      <w:r>
        <w:fldChar w:fldCharType="separate"/>
      </w:r>
      <w:r w:rsidRPr="002B161E">
        <w:rPr>
          <w:noProof/>
          <w:vertAlign w:val="superscript"/>
        </w:rPr>
        <w:t>147–149</w:t>
      </w:r>
      <w:r>
        <w:fldChar w:fldCharType="end"/>
      </w:r>
      <w:r>
        <w:t xml:space="preserve"> </w:t>
      </w:r>
      <w:r w:rsidRPr="00407D26">
        <w:t>Specifically, activation of</w:t>
      </w:r>
      <w:r w:rsidRPr="00407D26">
        <w:rPr>
          <w:b/>
        </w:rPr>
        <w:t xml:space="preserve"> </w:t>
      </w:r>
      <w:r w:rsidRPr="00407D26">
        <w:t>ClpP has been validated and proven safe</w:t>
      </w:r>
      <w:r>
        <w:t xml:space="preserve"> </w:t>
      </w:r>
      <w:r>
        <w:rPr>
          <w:i/>
        </w:rPr>
        <w:t>in vivo</w:t>
      </w:r>
      <w:r w:rsidRPr="00407D26">
        <w:t xml:space="preserve"> as an antibacterial strategy against systemic lethal infections of </w:t>
      </w:r>
      <w:r w:rsidRPr="00407D26">
        <w:rPr>
          <w:i/>
        </w:rPr>
        <w:t xml:space="preserve">Enterococcus faecium, E. faecalis </w:t>
      </w:r>
      <w:r w:rsidRPr="00407D26">
        <w:t xml:space="preserve">(vancomycin-sensitive and -resistant), </w:t>
      </w:r>
      <w:r w:rsidRPr="00407D26">
        <w:rPr>
          <w:i/>
        </w:rPr>
        <w:t xml:space="preserve">Staphylococcus aureus </w:t>
      </w:r>
      <w:r w:rsidRPr="00407D26">
        <w:t xml:space="preserve">(methicillin-resistant and -sensitive), and </w:t>
      </w:r>
      <w:r w:rsidRPr="00407D26">
        <w:rPr>
          <w:i/>
        </w:rPr>
        <w:t>Streptococcus pneumonia</w:t>
      </w:r>
      <w:r w:rsidRPr="00407D26">
        <w:t>. In each case, activation of ClpP with a small molecule acyldepsipeptide (ADEP) outperforms clinically utilized antibiotics, including linezolid and ampicillin.</w:t>
      </w:r>
    </w:p>
    <w:p w14:paraId="458963C8" w14:textId="77777777" w:rsidR="00135AEF" w:rsidRDefault="00135AEF" w:rsidP="00135AEF">
      <w:pPr>
        <w:ind w:firstLine="720"/>
        <w:jc w:val="both"/>
      </w:pPr>
      <w:r w:rsidRPr="002355D0">
        <w:t>There are several advantages to targeting ClpP: 1) Both inhibition and activation are possible, with each tactic affecting different aspects of bacterial pathogenicity.</w:t>
      </w:r>
      <w:r>
        <w:fldChar w:fldCharType="begin"/>
      </w:r>
      <w:r>
        <w:instrText>ADDIN F1000_CSL_CITATION&lt;~#@#~&gt;[{"DOI":"10.1038/nm1306","First":false,"Last":false,"PMID":"16200071","abstract":"Here we show that a new class of antibiotics-acyldepsipeptides-has antibacterial activity against Gram-positive bacteria in vitro and in several rodent models of bacterial infection. The acyldepsipeptides are active against isolates that are resistant to antibiotics in clinical application, implying a new target, which we identify as ClpP, the core unit of a major bacterial protease complex. ClpP is usually tightly regulated and strictly requires a member of the family of Clp-ATPases and often further accessory proteins for proteolytic activation. Binding of acyldepsipeptides to ClpP eliminates these safeguards. The acyldepsipeptide-activated ClpP core is capable of proteolytic degradation in the absence of the regulatory Clp-ATPases. Such uncontrolled proteolysis leads to inhibition of bacterial cell division and eventually cell death.","author":[{"family":"Brötz-Oesterhelt","given":"Heike"},{"family":"Beyer","given":"Dieter"},{"family":"Kroll","given":"Hein-Peter"},{"family":"Endermann","given":"Rainer"},{"family":"Ladel","given":"Christoph"},{"family":"Schroeder","given":"Werner"},{"family":"Hinzen","given":"Berthold"},{"family":"Raddatz","given":"Siegfried"},{"family":"Paulsen","given":"Holger"},{"family":"Henninger","given":"Kerstin"},{"family":"Bandow","given":"Julia E"},{"family":"Sahl","given":"Hans-Georg"},{"family":"Labischinski","given":"Harald"}],"authorYearDisplayFormat":false,"citation-label":"123822","container-title":"Nature Medicine","container-title-short":"Nat. Med.","id":"123822","invisible":false,"issue":"10","issued":{"date-parts":[["2005","10","2"]]},"journalAbbreviation":"Nat. Med.","page":"1082-1087","suppress-author":false,"title":"Dysregulation of bacterial proteolytic machinery by a new class of antibiotics.","type":"article-journal","volume":"11"},{"DOI":"10.1002/anie.201204690","First":false,"Last":false,"PMID":"23361916","author":[{"family":"Gersch","given":"Malte"},{"family":"Gut","given":"Felix"},{"family":"Korotkov","given":"Vadim S"},{"family":"Lehmann","given":"Johannes"},{"family":"Böttcher","given":"Thomas"},{"family":"Rusch","given":"Marion"},{"family":"Hedberg","given":"Christian"},{"family":"Waldmann","given":"Herbert"},{"family":"Klebe","given":"Gerhard"},{"family":"Sieber","given":"Stephan A"}],"authorYearDisplayFormat":false,"citation-label":"5898252","container-title":"Angewandte Chemie","container-title-short":"Angew Chem Int Ed Engl","id":"5898252","invisible":false,"issue":"10","issued":{"date-parts":[["2013","3","4"]]},"journalAbbreviation":"Angew Chem Int Ed Engl","page":"3009-3014","suppress-author":false,"title":"The mechanism of caseinolytic protease (ClpP) inhibition.","type":"article-journal","volume":"52"}]</w:instrText>
      </w:r>
      <w:r>
        <w:fldChar w:fldCharType="separate"/>
      </w:r>
      <w:r w:rsidRPr="002B161E">
        <w:rPr>
          <w:noProof/>
          <w:vertAlign w:val="superscript"/>
        </w:rPr>
        <w:t>149,150</w:t>
      </w:r>
      <w:r>
        <w:fldChar w:fldCharType="end"/>
      </w:r>
      <w:r w:rsidRPr="002355D0">
        <w:t xml:space="preserve"> This provides an opportunity to determine the therapeutic potential of two orthogonal strategies on a single target, a rare phenomenon in antibacterial drug discovery. 2) Due to the diverse regulatory roles of ClpP (e.g., growth, motility, virulence, stress response, sporulation) disruption of its natural act</w:t>
      </w:r>
      <w:r>
        <w:t>ivity</w:t>
      </w:r>
      <w:r w:rsidRPr="002355D0">
        <w:t xml:space="preserve"> would ha</w:t>
      </w:r>
      <w:r>
        <w:t>ve pleotropic effects that may</w:t>
      </w:r>
      <w:r w:rsidRPr="002355D0">
        <w:t xml:space="preserve"> not be </w:t>
      </w:r>
      <w:r>
        <w:t xml:space="preserve">easily </w:t>
      </w:r>
      <w:r w:rsidRPr="002355D0">
        <w:t>resolved by compensatory mutations.</w:t>
      </w:r>
      <w:r>
        <w:fldChar w:fldCharType="begin"/>
      </w:r>
      <w:r>
        <w:instrText>ADDIN F1000_CSL_CITATION&lt;~#@#~&gt;[{"DOI":"10.1021/acschembio.8b00124","First":false,"Last":false,"PMID":"29775273","abstract":"In prokaryotic cells and eukaryotic organelles, the ClpP protease plays an important role in proteostasis. The disruption of the ClpP function has been shown to influence the infectivity and virulence of a number of bacterial pathogens. More recently, ClpP has been found to be involved in various forms of carcinomas and in Perrault syndrome, which is an inherited condition characterized by hearing loss in males and females and by ovarian abnormalities in females. Hence, targeting ClpP is a potentially viable, attractive option for the treatment of different ailments. Herein, the biochemical and cellular activities of ClpP are discussed along with the mechanisms by which ClpP affects bacterial pathogenesis and various human diseases. In addition, a comprehensive overview is given of the new classes of compounds in development that target ClpP. Many of these compounds are currently primarily aimed at treating bacterial infections. Some of these compounds inhibit ClpP activity, while others activate the protease and lead to its dysregulation. The ClpP activators are remarkable examples of small molecules that inhibit protein-protein interactions but also result in a gain of function.","author":[{"family":"Bhandari","given":"Vaibhav"},{"family":"Wong","given":"Keith S"},{"family":"Zhou","given":"Jin Lin"},{"family":"Mabanglo","given":"Mark F"},{"family":"Batey","given":"Robert A"},{"family":"Houry","given":"Walid A"}],"authorYearDisplayFormat":false,"citation-label":"5898152","container-title":"ACS Chemical Biology","container-title-short":"ACS Chem. Biol.","id":"5898152","invisible":false,"issue":"6","issued":{"date-parts":[["2018","6","15"]]},"journalAbbreviation":"ACS Chem. Biol.","page":"1413-1425","suppress-author":false,"title":"The role of clpp protease in bacterial pathogenesis and human diseases.","type":"article-journal","volume":"13"}]</w:instrText>
      </w:r>
      <w:r>
        <w:fldChar w:fldCharType="separate"/>
      </w:r>
      <w:r w:rsidRPr="002B161E">
        <w:rPr>
          <w:noProof/>
          <w:vertAlign w:val="superscript"/>
        </w:rPr>
        <w:t>146</w:t>
      </w:r>
      <w:r>
        <w:fldChar w:fldCharType="end"/>
      </w:r>
      <w:r w:rsidRPr="002355D0">
        <w:t xml:space="preserve"> 3) ClpP activation itself demonstrates efficacy against both actively growing and dormant persister cells,</w:t>
      </w:r>
      <w:r>
        <w:fldChar w:fldCharType="begin"/>
      </w:r>
      <w:r>
        <w:instrText>ADDIN F1000_CSL_CITATION&lt;~#@#~&gt;[{"DOI":"10.1038/nature12790","First":false,"Last":false,"PMCID":"PMC4031760","PMID":"24226776","abstract":"Chronic infections are difficult to treat with antibiotics but are caused primarily by drug-sensitive pathogens. Dormant persister cells that are tolerant to killing by antibiotics are responsible for this apparent paradox. Persisters are phenotypic variants of normal cells and pathways leading to dormancy are redundant, making it challenging to develop anti-persister compounds. Biofilms shield persisters from the immune system, suggesting that an antibiotic for treating a chronic infection should be able to eradicate the infection on its own. We reasoned that a compound capable of corrupting a target in dormant cells will kill persisters. The acyldepsipeptide antibiotic (ADEP4) has been shown to activate the ClpP protease, resulting in death of growing cells. Here we show that ADEP4-activated ClpP becomes a fairly nonspecific protease and kills persisters by degrading over 400 proteins, forcing cells to self-digest. Null mutants of clpP arise with high probability, but combining ADEP4 with rifampicin produced complete eradication of Staphylococcus aureus biofilms in vitro and in a mouse model of a chronic infection. Our findings indicate a general principle for killing dormant cells-activation and corruption of a target, rather than conventional inhibition. Eradication of a biofilm in an animal model by activating a protease suggests a realistic path towards developing therapies to treat chronic infections. ","author":[{"family":"Conlon","given":"B P"},{"family":"Nakayasu","given":"E S"},{"family":"Fleck","given":"L E"},{"family":"LaFleur","given":"M D"},{"family":"Isabella","given":"V M"},{"family":"Coleman","given":"K"},{"family":"Leonard","given":"S N"},{"family":"Smith","given":"R D"},{"family":"Adkins","given":"J N"},{"family":"Lewis","given":"K"}],"authorYearDisplayFormat":false,"citation-label":"69437","container-title":"Nature","container-title-short":"Nature","id":"69437","invisible":false,"issue":"7476","issued":{"date-parts":[["2013","11","21"]]},"journalAbbreviation":"Nature","page":"365-370","suppress-author":false,"title":"Activated ClpP kills persisters and eradicates a chronic biofilm infection.","type":"article-journal","volume":"503"}]</w:instrText>
      </w:r>
      <w:r>
        <w:fldChar w:fldCharType="separate"/>
      </w:r>
      <w:r w:rsidRPr="002B161E">
        <w:rPr>
          <w:noProof/>
          <w:vertAlign w:val="superscript"/>
        </w:rPr>
        <w:t>148</w:t>
      </w:r>
      <w:r>
        <w:fldChar w:fldCharType="end"/>
      </w:r>
      <w:r>
        <w:t xml:space="preserve"> a necessity for improved antibacterial</w:t>
      </w:r>
      <w:r w:rsidRPr="002355D0">
        <w:t xml:space="preserve"> treatments. 4) In organisms investigated thus far, ClpP is essential for pathogenicity, but not survival (with the exception of </w:t>
      </w:r>
      <w:r w:rsidRPr="002355D0">
        <w:rPr>
          <w:i/>
        </w:rPr>
        <w:t>Mycobacterium tuberculosis</w:t>
      </w:r>
      <w:r w:rsidRPr="002355D0">
        <w:t>).</w:t>
      </w:r>
      <w:r>
        <w:fldChar w:fldCharType="begin"/>
      </w:r>
      <w:r>
        <w:instrText>ADDIN F1000_CSL_CITATION&lt;~#@#~&gt;[{"DOI":"10.1021/acschembio.8b00124","First":false,"Last":false,"PMID":"29775273","abstract":"In prokaryotic cells and eukaryotic organelles, the ClpP protease plays an important role in proteostasis. The disruption of the ClpP function has been shown to influence the infectivity and virulence of a number of bacterial pathogens. More recently, ClpP has been found to be involved in various forms of carcinomas and in Perrault syndrome, which is an inherited condition characterized by hearing loss in males and females and by ovarian abnormalities in females. Hence, targeting ClpP is a potentially viable, attractive option for the treatment of different ailments. Herein, the biochemical and cellular activities of ClpP are discussed along with the mechanisms by which ClpP affects bacterial pathogenesis and various human diseases. In addition, a comprehensive overview is given of the new classes of compounds in development that target ClpP. Many of these compounds are currently primarily aimed at treating bacterial infections. Some of these compounds inhibit ClpP activity, while others activate the protease and lead to its dysregulation. The ClpP activators are remarkable examples of small molecules that inhibit protein-protein interactions but also result in a gain of function.","author":[{"family":"Bhandari","given":"Vaibhav"},{"family":"Wong","given":"Keith S"},{"family":"Zhou","given":"Jin Lin"},{"family":"Mabanglo","given":"Mark F"},{"family":"Batey","given":"Robert A"},{"family":"Houry","given":"Walid A"}],"authorYearDisplayFormat":false,"citation-label":"5898152","container-title":"ACS Chemical Biology","container-title-short":"ACS Chem. Biol.","id":"5898152","invisible":false,"issue":"6","issued":{"date-parts":[["2018","6","15"]]},"journalAbbreviation":"ACS Chem. Biol.","page":"1413-1425","suppress-author":false,"title":"The role of clpp protease in bacterial pathogenesis and human diseases.","type":"article-journal","volume":"13"}]</w:instrText>
      </w:r>
      <w:r>
        <w:fldChar w:fldCharType="separate"/>
      </w:r>
      <w:r w:rsidRPr="002B161E">
        <w:rPr>
          <w:noProof/>
          <w:vertAlign w:val="superscript"/>
        </w:rPr>
        <w:t>146</w:t>
      </w:r>
      <w:r>
        <w:fldChar w:fldCharType="end"/>
      </w:r>
      <w:r w:rsidRPr="002355D0">
        <w:t xml:space="preserve"> Therefore, inhibiting ClpP may provide a means to negatively affect t</w:t>
      </w:r>
      <w:r>
        <w:t>he virulence of pathogens, but preserve</w:t>
      </w:r>
      <w:r w:rsidRPr="002355D0">
        <w:t xml:space="preserve"> the viability of beneficial microbes. 5) Targeting non-essential virulence regulators like ClpP is likely to impair the organism’s infectivity without imparting typical selective pressures that drive resistance. </w:t>
      </w:r>
    </w:p>
    <w:p w14:paraId="13B765CF" w14:textId="7092D39A" w:rsidR="002C3C08" w:rsidRDefault="00135AEF" w:rsidP="002B52FE">
      <w:pPr>
        <w:ind w:firstLine="720"/>
        <w:jc w:val="both"/>
      </w:pPr>
      <w:r>
        <w:t xml:space="preserve">Despite the advancements in ClpP research, major questions regarding the clinical potential of targeting this protease persist. </w:t>
      </w:r>
      <w:r w:rsidRPr="00CE3CAE">
        <w:t xml:space="preserve">Although the general involvement of ClpP in bacterial virulence is well-established, the distinct attributes regulated by ClpP </w:t>
      </w:r>
      <w:r>
        <w:t xml:space="preserve">are </w:t>
      </w:r>
      <w:r>
        <w:lastRenderedPageBreak/>
        <w:t>organism dependent. Additionally, while resistance to ADEPs has been generated in laboratory settings (</w:t>
      </w:r>
      <w:r>
        <w:rPr>
          <w:i/>
        </w:rPr>
        <w:t>Escherichia coli</w:t>
      </w:r>
      <w:r>
        <w:t xml:space="preserve">, </w:t>
      </w:r>
      <w:r>
        <w:rPr>
          <w:i/>
        </w:rPr>
        <w:t>Bacillus subtilis</w:t>
      </w:r>
      <w:r>
        <w:t xml:space="preserve">, </w:t>
      </w:r>
      <w:r>
        <w:rPr>
          <w:i/>
        </w:rPr>
        <w:t>E. faecalis</w:t>
      </w:r>
      <w:r>
        <w:t xml:space="preserve">, </w:t>
      </w:r>
      <w:r>
        <w:rPr>
          <w:i/>
        </w:rPr>
        <w:t>S. pneumoniae</w:t>
      </w:r>
      <w:r>
        <w:t xml:space="preserve">, </w:t>
      </w:r>
      <w:r>
        <w:rPr>
          <w:i/>
        </w:rPr>
        <w:t>S. aureus</w:t>
      </w:r>
      <w:r>
        <w:t xml:space="preserve">), all studies have been conducted on single </w:t>
      </w:r>
      <w:r>
        <w:rPr>
          <w:i/>
        </w:rPr>
        <w:t>clpP</w:t>
      </w:r>
      <w:r>
        <w:t xml:space="preserve"> containing organisms. </w:t>
      </w:r>
      <w:r w:rsidRPr="00A46532">
        <w:t xml:space="preserve">While ClpPs from single isoform expressing bacteria have been studied in detail, the function and regulation of systems with more than one </w:t>
      </w:r>
      <w:r w:rsidRPr="00A46532">
        <w:rPr>
          <w:i/>
        </w:rPr>
        <w:t>clpP</w:t>
      </w:r>
      <w:r w:rsidRPr="00A46532">
        <w:t xml:space="preserve"> gene are still poorly understood.</w:t>
      </w:r>
      <w:r>
        <w:t xml:space="preserve"> Interrogating the behavior of ClpP systems in multi-isoform containing</w:t>
      </w:r>
      <w:r>
        <w:rPr>
          <w:i/>
        </w:rPr>
        <w:t xml:space="preserve"> </w:t>
      </w:r>
      <w:r>
        <w:t>organisms is expected to reveal additional insight into mechanisms of resistance development that should be considered, both during the validation of a target and in its clinical exploitation. In these</w:t>
      </w:r>
      <w:r w:rsidRPr="006D255B">
        <w:t xml:space="preserve"> context</w:t>
      </w:r>
      <w:r>
        <w:t>s</w:t>
      </w:r>
      <w:r w:rsidRPr="006D255B">
        <w:t xml:space="preserve">, we </w:t>
      </w:r>
      <w:r>
        <w:t>are interested in</w:t>
      </w:r>
      <w:r w:rsidRPr="006D255B">
        <w:t xml:space="preserve"> </w:t>
      </w:r>
      <w:r>
        <w:t>elucidating</w:t>
      </w:r>
      <w:r w:rsidRPr="006D255B">
        <w:t xml:space="preserve"> the </w:t>
      </w:r>
      <w:r>
        <w:t xml:space="preserve">behavior, </w:t>
      </w:r>
      <w:r w:rsidRPr="006D255B">
        <w:t>biological relevance</w:t>
      </w:r>
      <w:r>
        <w:t>,</w:t>
      </w:r>
      <w:r w:rsidRPr="006D255B">
        <w:t xml:space="preserve"> and therapeutic potential of the ClpP system in </w:t>
      </w:r>
      <w:r w:rsidR="00AB3480" w:rsidRPr="00AB3480">
        <w:rPr>
          <w:i/>
        </w:rPr>
        <w:t>C. difficile</w:t>
      </w:r>
      <w:r w:rsidRPr="006D255B">
        <w:t>.</w:t>
      </w:r>
    </w:p>
    <w:p w14:paraId="178D27FA" w14:textId="77777777" w:rsidR="004066D2" w:rsidRDefault="004066D2" w:rsidP="002B52FE">
      <w:pPr>
        <w:jc w:val="both"/>
      </w:pPr>
    </w:p>
    <w:p w14:paraId="5BC80313" w14:textId="77777777" w:rsidR="00637D1E" w:rsidRDefault="007822B2" w:rsidP="004E7821">
      <w:pPr>
        <w:pStyle w:val="Heading2"/>
      </w:pPr>
      <w:bookmarkStart w:id="21" w:name="_Toc8392730"/>
      <w:r>
        <w:t>1.</w:t>
      </w:r>
      <w:r w:rsidR="002B52FE">
        <w:t>4</w:t>
      </w:r>
      <w:r>
        <w:t xml:space="preserve"> References</w:t>
      </w:r>
      <w:bookmarkEnd w:id="21"/>
      <w:r w:rsidR="00637D1E">
        <w:rPr>
          <w:rFonts w:asciiTheme="minorHAnsi" w:hAnsiTheme="minorHAnsi"/>
        </w:rPr>
        <w:fldChar w:fldCharType="begin"/>
      </w:r>
      <w:r w:rsidR="00637D1E">
        <w:instrText>ADDIN F1000_CSL_BIBLIOGRAPHY</w:instrText>
      </w:r>
      <w:r w:rsidR="00637D1E">
        <w:rPr>
          <w:rFonts w:asciiTheme="minorHAnsi" w:hAnsiTheme="minorHAnsi"/>
        </w:rPr>
        <w:fldChar w:fldCharType="separate"/>
      </w:r>
    </w:p>
    <w:p w14:paraId="232ACC24" w14:textId="3A515B00" w:rsidR="00637D1E" w:rsidRDefault="00637D1E" w:rsidP="003F1CCD">
      <w:pPr>
        <w:widowControl w:val="0"/>
        <w:autoSpaceDE w:val="0"/>
        <w:autoSpaceDN w:val="0"/>
        <w:adjustRightInd w:val="0"/>
        <w:ind w:left="560" w:hanging="560"/>
        <w:jc w:val="both"/>
        <w:rPr>
          <w:noProof/>
        </w:rPr>
      </w:pPr>
      <w:r>
        <w:rPr>
          <w:noProof/>
        </w:rPr>
        <w:t>1.</w:t>
      </w:r>
      <w:r>
        <w:rPr>
          <w:noProof/>
        </w:rPr>
        <w:tab/>
        <w:t xml:space="preserve">Leffler, D. A. &amp; Lamont, J. T. </w:t>
      </w:r>
      <w:r w:rsidR="00AB3480" w:rsidRPr="00AB3480">
        <w:rPr>
          <w:i/>
          <w:noProof/>
        </w:rPr>
        <w:t>Clostridium difficile</w:t>
      </w:r>
      <w:r>
        <w:rPr>
          <w:noProof/>
        </w:rPr>
        <w:t xml:space="preserve"> infection. </w:t>
      </w:r>
      <w:r>
        <w:rPr>
          <w:i/>
          <w:iCs/>
          <w:noProof/>
        </w:rPr>
        <w:t>N. Engl. J. Med.</w:t>
      </w:r>
      <w:r>
        <w:rPr>
          <w:noProof/>
        </w:rPr>
        <w:t xml:space="preserve"> </w:t>
      </w:r>
      <w:r>
        <w:rPr>
          <w:b/>
          <w:bCs/>
          <w:noProof/>
        </w:rPr>
        <w:t>372,</w:t>
      </w:r>
      <w:r>
        <w:rPr>
          <w:noProof/>
        </w:rPr>
        <w:t xml:space="preserve"> 1539–1548 (2015).</w:t>
      </w:r>
    </w:p>
    <w:p w14:paraId="3BE64B8F" w14:textId="13C76CAE" w:rsidR="00637D1E" w:rsidRDefault="00637D1E" w:rsidP="003F1CCD">
      <w:pPr>
        <w:widowControl w:val="0"/>
        <w:autoSpaceDE w:val="0"/>
        <w:autoSpaceDN w:val="0"/>
        <w:adjustRightInd w:val="0"/>
        <w:ind w:left="560" w:hanging="560"/>
        <w:jc w:val="both"/>
        <w:rPr>
          <w:noProof/>
        </w:rPr>
      </w:pPr>
      <w:r>
        <w:rPr>
          <w:noProof/>
        </w:rPr>
        <w:t>2.</w:t>
      </w:r>
      <w:r>
        <w:rPr>
          <w:noProof/>
        </w:rPr>
        <w:tab/>
        <w:t xml:space="preserve">Kelly, C. P. &amp; LaMont, J. T. </w:t>
      </w:r>
      <w:r w:rsidR="00AB3480" w:rsidRPr="00AB3480">
        <w:rPr>
          <w:i/>
          <w:noProof/>
        </w:rPr>
        <w:t>Clostridium difficile</w:t>
      </w:r>
      <w:r>
        <w:rPr>
          <w:noProof/>
        </w:rPr>
        <w:t xml:space="preserve"> — More Difficult Than Ever. </w:t>
      </w:r>
      <w:r>
        <w:rPr>
          <w:i/>
          <w:iCs/>
          <w:noProof/>
        </w:rPr>
        <w:t>N. Engl. J. Med.</w:t>
      </w:r>
      <w:r>
        <w:rPr>
          <w:noProof/>
        </w:rPr>
        <w:t xml:space="preserve"> (2008).</w:t>
      </w:r>
    </w:p>
    <w:p w14:paraId="0CED758F" w14:textId="11D995A1" w:rsidR="00637D1E" w:rsidRDefault="00637D1E" w:rsidP="003F1CCD">
      <w:pPr>
        <w:widowControl w:val="0"/>
        <w:autoSpaceDE w:val="0"/>
        <w:autoSpaceDN w:val="0"/>
        <w:adjustRightInd w:val="0"/>
        <w:ind w:left="560" w:hanging="560"/>
        <w:jc w:val="both"/>
        <w:rPr>
          <w:noProof/>
        </w:rPr>
      </w:pPr>
      <w:r>
        <w:rPr>
          <w:noProof/>
        </w:rPr>
        <w:t>3.</w:t>
      </w:r>
      <w:r>
        <w:rPr>
          <w:noProof/>
        </w:rPr>
        <w:tab/>
        <w:t xml:space="preserve">Lessa, F. C. </w:t>
      </w:r>
      <w:r>
        <w:rPr>
          <w:i/>
          <w:iCs/>
          <w:noProof/>
        </w:rPr>
        <w:t>et al.</w:t>
      </w:r>
      <w:r>
        <w:rPr>
          <w:noProof/>
        </w:rPr>
        <w:t xml:space="preserve"> Burden of </w:t>
      </w:r>
      <w:r w:rsidR="00AB3480" w:rsidRPr="00AB3480">
        <w:rPr>
          <w:i/>
          <w:noProof/>
        </w:rPr>
        <w:t>Clostridium difficile</w:t>
      </w:r>
      <w:r>
        <w:rPr>
          <w:noProof/>
        </w:rPr>
        <w:t xml:space="preserve"> infection in the United States. </w:t>
      </w:r>
      <w:r>
        <w:rPr>
          <w:i/>
          <w:iCs/>
          <w:noProof/>
        </w:rPr>
        <w:t>N. Engl. J. Med.</w:t>
      </w:r>
      <w:r>
        <w:rPr>
          <w:noProof/>
        </w:rPr>
        <w:t xml:space="preserve"> </w:t>
      </w:r>
      <w:r>
        <w:rPr>
          <w:b/>
          <w:bCs/>
          <w:noProof/>
        </w:rPr>
        <w:t>372,</w:t>
      </w:r>
      <w:r>
        <w:rPr>
          <w:noProof/>
        </w:rPr>
        <w:t xml:space="preserve"> 825–834 (2015).</w:t>
      </w:r>
    </w:p>
    <w:p w14:paraId="0CC3A2CE" w14:textId="3F290B82" w:rsidR="00637D1E" w:rsidRDefault="00637D1E" w:rsidP="003F1CCD">
      <w:pPr>
        <w:widowControl w:val="0"/>
        <w:autoSpaceDE w:val="0"/>
        <w:autoSpaceDN w:val="0"/>
        <w:adjustRightInd w:val="0"/>
        <w:ind w:left="560" w:hanging="560"/>
        <w:jc w:val="both"/>
        <w:rPr>
          <w:noProof/>
        </w:rPr>
      </w:pPr>
      <w:r>
        <w:rPr>
          <w:noProof/>
        </w:rPr>
        <w:t>4.</w:t>
      </w:r>
      <w:r>
        <w:rPr>
          <w:noProof/>
        </w:rPr>
        <w:tab/>
        <w:t xml:space="preserve">McDonald, L. C. </w:t>
      </w:r>
      <w:r w:rsidR="00AB3480" w:rsidRPr="00AB3480">
        <w:rPr>
          <w:i/>
          <w:noProof/>
        </w:rPr>
        <w:t>Clostridium difficile</w:t>
      </w:r>
      <w:r>
        <w:rPr>
          <w:noProof/>
        </w:rPr>
        <w:t xml:space="preserve">: Responding to a New Threat From an Old Enemy. </w:t>
      </w:r>
      <w:r>
        <w:rPr>
          <w:i/>
          <w:iCs/>
          <w:noProof/>
        </w:rPr>
        <w:t>Infect. Control Hosp. Epidemiol.</w:t>
      </w:r>
      <w:r>
        <w:rPr>
          <w:noProof/>
        </w:rPr>
        <w:t xml:space="preserve"> </w:t>
      </w:r>
      <w:r>
        <w:rPr>
          <w:b/>
          <w:bCs/>
          <w:noProof/>
        </w:rPr>
        <w:t>26,</w:t>
      </w:r>
      <w:r>
        <w:rPr>
          <w:noProof/>
        </w:rPr>
        <w:t xml:space="preserve"> 672–675 (2005).</w:t>
      </w:r>
    </w:p>
    <w:p w14:paraId="4849609F" w14:textId="5BED2009" w:rsidR="00637D1E" w:rsidRDefault="00637D1E" w:rsidP="003F1CCD">
      <w:pPr>
        <w:widowControl w:val="0"/>
        <w:autoSpaceDE w:val="0"/>
        <w:autoSpaceDN w:val="0"/>
        <w:adjustRightInd w:val="0"/>
        <w:ind w:left="560" w:hanging="560"/>
        <w:jc w:val="both"/>
        <w:rPr>
          <w:noProof/>
        </w:rPr>
      </w:pPr>
      <w:r>
        <w:rPr>
          <w:noProof/>
        </w:rPr>
        <w:t>5.</w:t>
      </w:r>
      <w:r>
        <w:rPr>
          <w:noProof/>
        </w:rPr>
        <w:tab/>
        <w:t xml:space="preserve">Kelly, C. P., Pothoulakis, C. &amp; LaMont, J. T. </w:t>
      </w:r>
      <w:r w:rsidR="00AB3480" w:rsidRPr="00AB3480">
        <w:rPr>
          <w:i/>
          <w:noProof/>
        </w:rPr>
        <w:t>Clostridium difficile</w:t>
      </w:r>
      <w:r>
        <w:rPr>
          <w:noProof/>
        </w:rPr>
        <w:t xml:space="preserve"> colitis. </w:t>
      </w:r>
      <w:r>
        <w:rPr>
          <w:i/>
          <w:iCs/>
          <w:noProof/>
        </w:rPr>
        <w:t>N. Engl. J. Med.</w:t>
      </w:r>
      <w:r>
        <w:rPr>
          <w:noProof/>
        </w:rPr>
        <w:t xml:space="preserve"> </w:t>
      </w:r>
      <w:r>
        <w:rPr>
          <w:b/>
          <w:bCs/>
          <w:noProof/>
        </w:rPr>
        <w:t>330,</w:t>
      </w:r>
      <w:r>
        <w:rPr>
          <w:noProof/>
        </w:rPr>
        <w:t xml:space="preserve"> 257–262 (1994).</w:t>
      </w:r>
    </w:p>
    <w:p w14:paraId="420C9EE9" w14:textId="2B628AC6" w:rsidR="00637D1E" w:rsidRDefault="00637D1E" w:rsidP="003F1CCD">
      <w:pPr>
        <w:widowControl w:val="0"/>
        <w:autoSpaceDE w:val="0"/>
        <w:autoSpaceDN w:val="0"/>
        <w:adjustRightInd w:val="0"/>
        <w:ind w:left="560" w:hanging="560"/>
        <w:jc w:val="both"/>
        <w:rPr>
          <w:noProof/>
        </w:rPr>
      </w:pPr>
      <w:r>
        <w:rPr>
          <w:noProof/>
        </w:rPr>
        <w:t>6.</w:t>
      </w:r>
      <w:r>
        <w:rPr>
          <w:noProof/>
        </w:rPr>
        <w:tab/>
        <w:t xml:space="preserve">Talpaert, M. J., Gopal Rao, G., Cooper, B. S. &amp; Wade, P. Impact of guidelines and enhanced antibiotic stewardship on reducing broad-spectrum antibiotic usage and its </w:t>
      </w:r>
      <w:r>
        <w:rPr>
          <w:noProof/>
        </w:rPr>
        <w:lastRenderedPageBreak/>
        <w:t xml:space="preserve">effect on incidence of </w:t>
      </w:r>
      <w:r w:rsidR="00AB3480" w:rsidRPr="00AB3480">
        <w:rPr>
          <w:i/>
          <w:noProof/>
        </w:rPr>
        <w:t>Clostridium difficile</w:t>
      </w:r>
      <w:r>
        <w:rPr>
          <w:noProof/>
        </w:rPr>
        <w:t xml:space="preserve"> infection. </w:t>
      </w:r>
      <w:r>
        <w:rPr>
          <w:i/>
          <w:iCs/>
          <w:noProof/>
        </w:rPr>
        <w:t>J. Antimicrob. Chemother.</w:t>
      </w:r>
      <w:r>
        <w:rPr>
          <w:noProof/>
        </w:rPr>
        <w:t xml:space="preserve"> </w:t>
      </w:r>
      <w:r>
        <w:rPr>
          <w:b/>
          <w:bCs/>
          <w:noProof/>
        </w:rPr>
        <w:t>66,</w:t>
      </w:r>
      <w:r>
        <w:rPr>
          <w:noProof/>
        </w:rPr>
        <w:t xml:space="preserve"> 2168–2174 (2011).</w:t>
      </w:r>
    </w:p>
    <w:p w14:paraId="793920BD" w14:textId="77777777" w:rsidR="00637D1E" w:rsidRDefault="00637D1E" w:rsidP="003F1CCD">
      <w:pPr>
        <w:widowControl w:val="0"/>
        <w:autoSpaceDE w:val="0"/>
        <w:autoSpaceDN w:val="0"/>
        <w:adjustRightInd w:val="0"/>
        <w:ind w:left="560" w:hanging="560"/>
        <w:jc w:val="both"/>
        <w:rPr>
          <w:noProof/>
        </w:rPr>
      </w:pPr>
      <w:r>
        <w:rPr>
          <w:noProof/>
        </w:rPr>
        <w:t>7.</w:t>
      </w:r>
      <w:r>
        <w:rPr>
          <w:noProof/>
        </w:rPr>
        <w:tab/>
        <w:t xml:space="preserve">Bartlett, J. G. Antibiotic-associated diarrhea. </w:t>
      </w:r>
      <w:r>
        <w:rPr>
          <w:i/>
          <w:iCs/>
          <w:noProof/>
        </w:rPr>
        <w:t>New England journal of medicine</w:t>
      </w:r>
      <w:r>
        <w:rPr>
          <w:noProof/>
        </w:rPr>
        <w:t xml:space="preserve"> (2002).</w:t>
      </w:r>
    </w:p>
    <w:p w14:paraId="1FA9F989" w14:textId="0BDAED70" w:rsidR="00637D1E" w:rsidRDefault="00637D1E" w:rsidP="003F1CCD">
      <w:pPr>
        <w:widowControl w:val="0"/>
        <w:autoSpaceDE w:val="0"/>
        <w:autoSpaceDN w:val="0"/>
        <w:adjustRightInd w:val="0"/>
        <w:ind w:left="560" w:hanging="560"/>
        <w:jc w:val="both"/>
        <w:rPr>
          <w:noProof/>
        </w:rPr>
      </w:pPr>
      <w:r>
        <w:rPr>
          <w:noProof/>
        </w:rPr>
        <w:t>8.</w:t>
      </w:r>
      <w:r>
        <w:rPr>
          <w:noProof/>
        </w:rPr>
        <w:tab/>
        <w:t xml:space="preserve">Nair, S., Yadav, D. &amp; Corpuz, M. </w:t>
      </w:r>
      <w:r w:rsidR="00AB3480" w:rsidRPr="00AB3480">
        <w:rPr>
          <w:i/>
          <w:noProof/>
        </w:rPr>
        <w:t>Clostridium difficile</w:t>
      </w:r>
      <w:r>
        <w:rPr>
          <w:noProof/>
        </w:rPr>
        <w:t xml:space="preserve"> colitis: factors influencing treatment failure and relapse—a prospective evaluation. </w:t>
      </w:r>
      <w:r>
        <w:rPr>
          <w:i/>
          <w:iCs/>
          <w:noProof/>
        </w:rPr>
        <w:t>The American journal of …</w:t>
      </w:r>
      <w:r>
        <w:rPr>
          <w:noProof/>
        </w:rPr>
        <w:t xml:space="preserve"> (1998).</w:t>
      </w:r>
    </w:p>
    <w:p w14:paraId="56D6AE72" w14:textId="174AC6BA" w:rsidR="00637D1E" w:rsidRDefault="00637D1E" w:rsidP="003F1CCD">
      <w:pPr>
        <w:widowControl w:val="0"/>
        <w:autoSpaceDE w:val="0"/>
        <w:autoSpaceDN w:val="0"/>
        <w:adjustRightInd w:val="0"/>
        <w:ind w:left="560" w:hanging="560"/>
        <w:jc w:val="both"/>
        <w:rPr>
          <w:noProof/>
        </w:rPr>
      </w:pPr>
      <w:r>
        <w:rPr>
          <w:noProof/>
        </w:rPr>
        <w:t>9.</w:t>
      </w:r>
      <w:r>
        <w:rPr>
          <w:noProof/>
        </w:rPr>
        <w:tab/>
        <w:t xml:space="preserve">Zerey, M. </w:t>
      </w:r>
      <w:r>
        <w:rPr>
          <w:i/>
          <w:iCs/>
          <w:noProof/>
        </w:rPr>
        <w:t>et al.</w:t>
      </w:r>
      <w:r>
        <w:rPr>
          <w:noProof/>
        </w:rPr>
        <w:t xml:space="preserve"> The burden of </w:t>
      </w:r>
      <w:r w:rsidR="00AB3480" w:rsidRPr="00AB3480">
        <w:rPr>
          <w:i/>
          <w:noProof/>
        </w:rPr>
        <w:t>Clostridium difficile</w:t>
      </w:r>
      <w:r>
        <w:rPr>
          <w:noProof/>
        </w:rPr>
        <w:t xml:space="preserve"> in surgical patients in the United States. </w:t>
      </w:r>
      <w:r>
        <w:rPr>
          <w:i/>
          <w:iCs/>
          <w:noProof/>
        </w:rPr>
        <w:t>Surg Infect (Larchmt)</w:t>
      </w:r>
      <w:r>
        <w:rPr>
          <w:noProof/>
        </w:rPr>
        <w:t xml:space="preserve"> </w:t>
      </w:r>
      <w:r>
        <w:rPr>
          <w:b/>
          <w:bCs/>
          <w:noProof/>
        </w:rPr>
        <w:t>8,</w:t>
      </w:r>
      <w:r>
        <w:rPr>
          <w:noProof/>
        </w:rPr>
        <w:t xml:space="preserve"> 557–566 (2007).</w:t>
      </w:r>
    </w:p>
    <w:p w14:paraId="04EF35AB" w14:textId="3830A7A2" w:rsidR="00637D1E" w:rsidRDefault="00637D1E" w:rsidP="003F1CCD">
      <w:pPr>
        <w:widowControl w:val="0"/>
        <w:autoSpaceDE w:val="0"/>
        <w:autoSpaceDN w:val="0"/>
        <w:adjustRightInd w:val="0"/>
        <w:ind w:left="560" w:hanging="560"/>
        <w:jc w:val="both"/>
        <w:rPr>
          <w:noProof/>
        </w:rPr>
      </w:pPr>
      <w:r>
        <w:rPr>
          <w:noProof/>
        </w:rPr>
        <w:t>10.</w:t>
      </w:r>
      <w:r>
        <w:rPr>
          <w:noProof/>
        </w:rPr>
        <w:tab/>
        <w:t xml:space="preserve">Maroo, S. &amp; Lamont, J. T. Recurrent </w:t>
      </w:r>
      <w:r w:rsidR="00AB3480" w:rsidRPr="00AB3480">
        <w:rPr>
          <w:i/>
          <w:noProof/>
        </w:rPr>
        <w:t>Clostridium difficile</w:t>
      </w:r>
      <w:r>
        <w:rPr>
          <w:noProof/>
        </w:rPr>
        <w:t xml:space="preserve">. </w:t>
      </w:r>
      <w:r>
        <w:rPr>
          <w:i/>
          <w:iCs/>
          <w:noProof/>
        </w:rPr>
        <w:t>Gastroenterology</w:t>
      </w:r>
      <w:r>
        <w:rPr>
          <w:noProof/>
        </w:rPr>
        <w:t xml:space="preserve"> </w:t>
      </w:r>
      <w:r>
        <w:rPr>
          <w:b/>
          <w:bCs/>
          <w:noProof/>
        </w:rPr>
        <w:t>130,</w:t>
      </w:r>
      <w:r>
        <w:rPr>
          <w:noProof/>
        </w:rPr>
        <w:t xml:space="preserve"> 1311–1316 (2006).</w:t>
      </w:r>
    </w:p>
    <w:p w14:paraId="67EA83F6" w14:textId="1C2A1F41" w:rsidR="00637D1E" w:rsidRDefault="00637D1E" w:rsidP="003F1CCD">
      <w:pPr>
        <w:widowControl w:val="0"/>
        <w:autoSpaceDE w:val="0"/>
        <w:autoSpaceDN w:val="0"/>
        <w:adjustRightInd w:val="0"/>
        <w:ind w:left="560" w:hanging="560"/>
        <w:jc w:val="both"/>
        <w:rPr>
          <w:noProof/>
        </w:rPr>
      </w:pPr>
      <w:r>
        <w:rPr>
          <w:noProof/>
        </w:rPr>
        <w:t>11.</w:t>
      </w:r>
      <w:r>
        <w:rPr>
          <w:noProof/>
        </w:rPr>
        <w:tab/>
        <w:t xml:space="preserve">Johnson, S. Meeting the challenge of recurrent </w:t>
      </w:r>
      <w:r w:rsidR="00AB3480" w:rsidRPr="00AB3480">
        <w:rPr>
          <w:i/>
          <w:noProof/>
        </w:rPr>
        <w:t>Clostridium difficile</w:t>
      </w:r>
      <w:r>
        <w:rPr>
          <w:noProof/>
        </w:rPr>
        <w:t xml:space="preserve"> infection. </w:t>
      </w:r>
      <w:r>
        <w:rPr>
          <w:i/>
          <w:iCs/>
          <w:noProof/>
        </w:rPr>
        <w:t>J Hosp Med</w:t>
      </w:r>
      <w:r>
        <w:rPr>
          <w:noProof/>
        </w:rPr>
        <w:t xml:space="preserve"> </w:t>
      </w:r>
      <w:r>
        <w:rPr>
          <w:b/>
          <w:bCs/>
          <w:noProof/>
        </w:rPr>
        <w:t>7 Suppl 3,</w:t>
      </w:r>
      <w:r>
        <w:rPr>
          <w:noProof/>
        </w:rPr>
        <w:t xml:space="preserve"> S11-3 (2012).</w:t>
      </w:r>
    </w:p>
    <w:p w14:paraId="2AD55FF7" w14:textId="1D297115" w:rsidR="00637D1E" w:rsidRDefault="00637D1E" w:rsidP="003F1CCD">
      <w:pPr>
        <w:widowControl w:val="0"/>
        <w:autoSpaceDE w:val="0"/>
        <w:autoSpaceDN w:val="0"/>
        <w:adjustRightInd w:val="0"/>
        <w:ind w:left="560" w:hanging="560"/>
        <w:jc w:val="both"/>
        <w:rPr>
          <w:noProof/>
        </w:rPr>
      </w:pPr>
      <w:r>
        <w:rPr>
          <w:noProof/>
        </w:rPr>
        <w:t>12.</w:t>
      </w:r>
      <w:r>
        <w:rPr>
          <w:noProof/>
        </w:rPr>
        <w:tab/>
        <w:t xml:space="preserve">Johnson, S. Recurrent </w:t>
      </w:r>
      <w:r w:rsidR="00AB3480" w:rsidRPr="00AB3480">
        <w:rPr>
          <w:i/>
          <w:noProof/>
        </w:rPr>
        <w:t>Clostridium difficile</w:t>
      </w:r>
      <w:r>
        <w:rPr>
          <w:noProof/>
        </w:rPr>
        <w:t xml:space="preserve"> infection: causality and therapeutic approaches. </w:t>
      </w:r>
      <w:r>
        <w:rPr>
          <w:i/>
          <w:iCs/>
          <w:noProof/>
        </w:rPr>
        <w:t>Int. J. Antimicrob. Agents</w:t>
      </w:r>
      <w:r>
        <w:rPr>
          <w:noProof/>
        </w:rPr>
        <w:t xml:space="preserve"> </w:t>
      </w:r>
      <w:r>
        <w:rPr>
          <w:b/>
          <w:bCs/>
          <w:noProof/>
        </w:rPr>
        <w:t>33 Suppl 1,</w:t>
      </w:r>
      <w:r>
        <w:rPr>
          <w:noProof/>
        </w:rPr>
        <w:t xml:space="preserve"> S33-6 (2009).</w:t>
      </w:r>
    </w:p>
    <w:p w14:paraId="56CF5A46" w14:textId="19EAC9DC" w:rsidR="00637D1E" w:rsidRDefault="00637D1E" w:rsidP="003F1CCD">
      <w:pPr>
        <w:widowControl w:val="0"/>
        <w:autoSpaceDE w:val="0"/>
        <w:autoSpaceDN w:val="0"/>
        <w:adjustRightInd w:val="0"/>
        <w:ind w:left="560" w:hanging="560"/>
        <w:jc w:val="both"/>
        <w:rPr>
          <w:noProof/>
        </w:rPr>
      </w:pPr>
      <w:r>
        <w:rPr>
          <w:noProof/>
        </w:rPr>
        <w:t>13.</w:t>
      </w:r>
      <w:r>
        <w:rPr>
          <w:noProof/>
        </w:rPr>
        <w:tab/>
        <w:t xml:space="preserve">Kuijper, E. J. </w:t>
      </w:r>
      <w:r>
        <w:rPr>
          <w:i/>
          <w:iCs/>
          <w:noProof/>
        </w:rPr>
        <w:t>et al.</w:t>
      </w:r>
      <w:r>
        <w:rPr>
          <w:noProof/>
        </w:rPr>
        <w:t xml:space="preserve"> Emergence of </w:t>
      </w:r>
      <w:r w:rsidR="00AB3480" w:rsidRPr="00AB3480">
        <w:rPr>
          <w:i/>
          <w:noProof/>
        </w:rPr>
        <w:t>Clostridium difficile</w:t>
      </w:r>
      <w:r>
        <w:rPr>
          <w:noProof/>
        </w:rPr>
        <w:t xml:space="preserve">-associated disease in North America and Europe. </w:t>
      </w:r>
      <w:r>
        <w:rPr>
          <w:i/>
          <w:iCs/>
          <w:noProof/>
        </w:rPr>
        <w:t>Clin. Microbiol. Infect.</w:t>
      </w:r>
      <w:r>
        <w:rPr>
          <w:noProof/>
        </w:rPr>
        <w:t xml:space="preserve"> </w:t>
      </w:r>
      <w:r>
        <w:rPr>
          <w:b/>
          <w:bCs/>
          <w:noProof/>
        </w:rPr>
        <w:t>12 Suppl 6,</w:t>
      </w:r>
      <w:r>
        <w:rPr>
          <w:noProof/>
        </w:rPr>
        <w:t xml:space="preserve"> 2–18 (2006).</w:t>
      </w:r>
    </w:p>
    <w:p w14:paraId="6BC71D92" w14:textId="692846D8" w:rsidR="00637D1E" w:rsidRDefault="00637D1E" w:rsidP="003F1CCD">
      <w:pPr>
        <w:widowControl w:val="0"/>
        <w:autoSpaceDE w:val="0"/>
        <w:autoSpaceDN w:val="0"/>
        <w:adjustRightInd w:val="0"/>
        <w:ind w:left="560" w:hanging="560"/>
        <w:jc w:val="both"/>
        <w:rPr>
          <w:noProof/>
        </w:rPr>
      </w:pPr>
      <w:r>
        <w:rPr>
          <w:noProof/>
        </w:rPr>
        <w:t>14.</w:t>
      </w:r>
      <w:r>
        <w:rPr>
          <w:noProof/>
        </w:rPr>
        <w:tab/>
        <w:t xml:space="preserve">Warny, M. </w:t>
      </w:r>
      <w:r>
        <w:rPr>
          <w:i/>
          <w:iCs/>
          <w:noProof/>
        </w:rPr>
        <w:t>et al.</w:t>
      </w:r>
      <w:r>
        <w:rPr>
          <w:noProof/>
        </w:rPr>
        <w:t xml:space="preserve"> Toxin production by an emerging strain of </w:t>
      </w:r>
      <w:r w:rsidR="00AB3480" w:rsidRPr="00AB3480">
        <w:rPr>
          <w:i/>
          <w:noProof/>
        </w:rPr>
        <w:t>Clostridium difficile</w:t>
      </w:r>
      <w:r>
        <w:rPr>
          <w:noProof/>
        </w:rPr>
        <w:t xml:space="preserve"> associated with outbreaks of severe disease in North America and Europe. </w:t>
      </w:r>
      <w:r>
        <w:rPr>
          <w:i/>
          <w:iCs/>
          <w:noProof/>
        </w:rPr>
        <w:t>Lancet</w:t>
      </w:r>
      <w:r>
        <w:rPr>
          <w:noProof/>
        </w:rPr>
        <w:t xml:space="preserve"> </w:t>
      </w:r>
      <w:r>
        <w:rPr>
          <w:b/>
          <w:bCs/>
          <w:noProof/>
        </w:rPr>
        <w:t>366,</w:t>
      </w:r>
      <w:r>
        <w:rPr>
          <w:noProof/>
        </w:rPr>
        <w:t xml:space="preserve"> 1079–1084 (2005).</w:t>
      </w:r>
    </w:p>
    <w:p w14:paraId="50C66AB1" w14:textId="3B89C3AD" w:rsidR="00637D1E" w:rsidRDefault="00637D1E" w:rsidP="003F1CCD">
      <w:pPr>
        <w:widowControl w:val="0"/>
        <w:autoSpaceDE w:val="0"/>
        <w:autoSpaceDN w:val="0"/>
        <w:adjustRightInd w:val="0"/>
        <w:ind w:left="560" w:hanging="560"/>
        <w:jc w:val="both"/>
        <w:rPr>
          <w:noProof/>
        </w:rPr>
      </w:pPr>
      <w:r>
        <w:rPr>
          <w:noProof/>
        </w:rPr>
        <w:t>15.</w:t>
      </w:r>
      <w:r>
        <w:rPr>
          <w:noProof/>
        </w:rPr>
        <w:tab/>
        <w:t xml:space="preserve">Merrigan, M. </w:t>
      </w:r>
      <w:r>
        <w:rPr>
          <w:i/>
          <w:iCs/>
          <w:noProof/>
        </w:rPr>
        <w:t>et al.</w:t>
      </w:r>
      <w:r>
        <w:rPr>
          <w:noProof/>
        </w:rPr>
        <w:t xml:space="preserve"> Human hypervirulent </w:t>
      </w:r>
      <w:r w:rsidR="00AB3480" w:rsidRPr="00AB3480">
        <w:rPr>
          <w:i/>
          <w:noProof/>
        </w:rPr>
        <w:t>Clostridium difficile</w:t>
      </w:r>
      <w:r>
        <w:rPr>
          <w:noProof/>
        </w:rPr>
        <w:t xml:space="preserve"> strains exhibit increased sporulation as well as robust toxin production. </w:t>
      </w:r>
      <w:r>
        <w:rPr>
          <w:i/>
          <w:iCs/>
          <w:noProof/>
        </w:rPr>
        <w:t>J. Bacteriol.</w:t>
      </w:r>
      <w:r>
        <w:rPr>
          <w:noProof/>
        </w:rPr>
        <w:t xml:space="preserve"> </w:t>
      </w:r>
      <w:r>
        <w:rPr>
          <w:b/>
          <w:bCs/>
          <w:noProof/>
        </w:rPr>
        <w:t>192,</w:t>
      </w:r>
      <w:r>
        <w:rPr>
          <w:noProof/>
        </w:rPr>
        <w:t xml:space="preserve"> 4904–4911 (2010).</w:t>
      </w:r>
    </w:p>
    <w:p w14:paraId="66F7DD7E" w14:textId="2A1002A1" w:rsidR="00637D1E" w:rsidRDefault="00637D1E" w:rsidP="003F1CCD">
      <w:pPr>
        <w:widowControl w:val="0"/>
        <w:autoSpaceDE w:val="0"/>
        <w:autoSpaceDN w:val="0"/>
        <w:adjustRightInd w:val="0"/>
        <w:ind w:left="560" w:hanging="560"/>
        <w:jc w:val="both"/>
        <w:rPr>
          <w:noProof/>
        </w:rPr>
      </w:pPr>
      <w:r>
        <w:rPr>
          <w:noProof/>
        </w:rPr>
        <w:t>16.</w:t>
      </w:r>
      <w:r>
        <w:rPr>
          <w:noProof/>
        </w:rPr>
        <w:tab/>
        <w:t xml:space="preserve">Valiente, E., Dawson, L. F., Cairns, M. D., Stabler, R. A. &amp; Wren, B. W. Emergence </w:t>
      </w:r>
      <w:r>
        <w:rPr>
          <w:noProof/>
        </w:rPr>
        <w:lastRenderedPageBreak/>
        <w:t xml:space="preserve">of new PCR ribotypes from the hypervirulent </w:t>
      </w:r>
      <w:r w:rsidR="00AB3480" w:rsidRPr="00AB3480">
        <w:rPr>
          <w:i/>
          <w:noProof/>
        </w:rPr>
        <w:t>Clostridium difficile</w:t>
      </w:r>
      <w:r>
        <w:rPr>
          <w:noProof/>
        </w:rPr>
        <w:t xml:space="preserve"> 027 lineage. </w:t>
      </w:r>
      <w:r>
        <w:rPr>
          <w:i/>
          <w:iCs/>
          <w:noProof/>
        </w:rPr>
        <w:t>J. Med. Microbiol.</w:t>
      </w:r>
      <w:r>
        <w:rPr>
          <w:noProof/>
        </w:rPr>
        <w:t xml:space="preserve"> </w:t>
      </w:r>
      <w:r>
        <w:rPr>
          <w:b/>
          <w:bCs/>
          <w:noProof/>
        </w:rPr>
        <w:t>61,</w:t>
      </w:r>
      <w:r>
        <w:rPr>
          <w:noProof/>
        </w:rPr>
        <w:t xml:space="preserve"> 49–56 (2012).</w:t>
      </w:r>
    </w:p>
    <w:p w14:paraId="4DF918C5" w14:textId="48AA6377" w:rsidR="00637D1E" w:rsidRDefault="00637D1E" w:rsidP="003F1CCD">
      <w:pPr>
        <w:widowControl w:val="0"/>
        <w:autoSpaceDE w:val="0"/>
        <w:autoSpaceDN w:val="0"/>
        <w:adjustRightInd w:val="0"/>
        <w:ind w:left="560" w:hanging="560"/>
        <w:jc w:val="both"/>
        <w:rPr>
          <w:noProof/>
        </w:rPr>
      </w:pPr>
      <w:r>
        <w:rPr>
          <w:noProof/>
        </w:rPr>
        <w:t>17.</w:t>
      </w:r>
      <w:r>
        <w:rPr>
          <w:noProof/>
        </w:rPr>
        <w:tab/>
        <w:t xml:space="preserve">Dawson, L. F., Valiente, E., Donahue, E. H., Birchenough, G. &amp; Wren, B. W. Hypervirulent </w:t>
      </w:r>
      <w:r w:rsidR="00AB3480" w:rsidRPr="00AB3480">
        <w:rPr>
          <w:i/>
          <w:noProof/>
        </w:rPr>
        <w:t>Clostridium difficile</w:t>
      </w:r>
      <w:r>
        <w:rPr>
          <w:noProof/>
        </w:rPr>
        <w:t xml:space="preserve"> PCR-ribotypes exhibit resistance to widely used disinfectants. </w:t>
      </w:r>
      <w:r>
        <w:rPr>
          <w:i/>
          <w:iCs/>
          <w:noProof/>
        </w:rPr>
        <w:t>PLoS One</w:t>
      </w:r>
      <w:r>
        <w:rPr>
          <w:noProof/>
        </w:rPr>
        <w:t xml:space="preserve"> </w:t>
      </w:r>
      <w:r>
        <w:rPr>
          <w:b/>
          <w:bCs/>
          <w:noProof/>
        </w:rPr>
        <w:t>6,</w:t>
      </w:r>
      <w:r>
        <w:rPr>
          <w:noProof/>
        </w:rPr>
        <w:t xml:space="preserve"> e25754 (2011).</w:t>
      </w:r>
    </w:p>
    <w:p w14:paraId="683809EB" w14:textId="3AEAFCBE" w:rsidR="00637D1E" w:rsidRDefault="00637D1E" w:rsidP="003F1CCD">
      <w:pPr>
        <w:widowControl w:val="0"/>
        <w:autoSpaceDE w:val="0"/>
        <w:autoSpaceDN w:val="0"/>
        <w:adjustRightInd w:val="0"/>
        <w:ind w:left="560" w:hanging="560"/>
        <w:jc w:val="both"/>
        <w:rPr>
          <w:noProof/>
        </w:rPr>
      </w:pPr>
      <w:r>
        <w:rPr>
          <w:noProof/>
        </w:rPr>
        <w:t>18.</w:t>
      </w:r>
      <w:r>
        <w:rPr>
          <w:noProof/>
        </w:rPr>
        <w:tab/>
        <w:t xml:space="preserve">Akerlund, T. </w:t>
      </w:r>
      <w:r>
        <w:rPr>
          <w:i/>
          <w:iCs/>
          <w:noProof/>
        </w:rPr>
        <w:t>et al.</w:t>
      </w:r>
      <w:r>
        <w:rPr>
          <w:noProof/>
        </w:rPr>
        <w:t xml:space="preserve"> Increased sporulation rate of epidemic </w:t>
      </w:r>
      <w:r w:rsidR="00AB3480" w:rsidRPr="00AB3480">
        <w:rPr>
          <w:i/>
          <w:noProof/>
        </w:rPr>
        <w:t>Clostridium difficile</w:t>
      </w:r>
      <w:r>
        <w:rPr>
          <w:noProof/>
        </w:rPr>
        <w:t xml:space="preserve"> Type 027/NAP1. </w:t>
      </w:r>
      <w:r>
        <w:rPr>
          <w:i/>
          <w:iCs/>
          <w:noProof/>
        </w:rPr>
        <w:t>J. Clin. Microbiol.</w:t>
      </w:r>
      <w:r>
        <w:rPr>
          <w:noProof/>
        </w:rPr>
        <w:t xml:space="preserve"> </w:t>
      </w:r>
      <w:r>
        <w:rPr>
          <w:b/>
          <w:bCs/>
          <w:noProof/>
        </w:rPr>
        <w:t>46,</w:t>
      </w:r>
      <w:r>
        <w:rPr>
          <w:noProof/>
        </w:rPr>
        <w:t xml:space="preserve"> 1530–1533 (2008).</w:t>
      </w:r>
    </w:p>
    <w:p w14:paraId="48E159BB" w14:textId="77777777" w:rsidR="00637D1E" w:rsidRDefault="00637D1E" w:rsidP="003F1CCD">
      <w:pPr>
        <w:widowControl w:val="0"/>
        <w:autoSpaceDE w:val="0"/>
        <w:autoSpaceDN w:val="0"/>
        <w:adjustRightInd w:val="0"/>
        <w:ind w:left="560" w:hanging="560"/>
        <w:jc w:val="both"/>
        <w:rPr>
          <w:noProof/>
        </w:rPr>
      </w:pPr>
      <w:r>
        <w:rPr>
          <w:noProof/>
        </w:rPr>
        <w:t>19.</w:t>
      </w:r>
      <w:r>
        <w:rPr>
          <w:noProof/>
        </w:rPr>
        <w:tab/>
        <w:t xml:space="preserve">Couturier, J., Davies, K., Gateau, C. &amp; Barbut, F. Ribotypes and new virulent strains across europe. </w:t>
      </w:r>
      <w:r>
        <w:rPr>
          <w:i/>
          <w:iCs/>
          <w:noProof/>
        </w:rPr>
        <w:t>Adv. Exp. Med. Biol.</w:t>
      </w:r>
      <w:r>
        <w:rPr>
          <w:noProof/>
        </w:rPr>
        <w:t xml:space="preserve"> </w:t>
      </w:r>
      <w:r>
        <w:rPr>
          <w:b/>
          <w:bCs/>
          <w:noProof/>
        </w:rPr>
        <w:t>1050,</w:t>
      </w:r>
      <w:r>
        <w:rPr>
          <w:noProof/>
        </w:rPr>
        <w:t xml:space="preserve"> 45–58 (2018).</w:t>
      </w:r>
    </w:p>
    <w:p w14:paraId="083C4137" w14:textId="5ECE8B9C" w:rsidR="00637D1E" w:rsidRDefault="00637D1E" w:rsidP="003F1CCD">
      <w:pPr>
        <w:widowControl w:val="0"/>
        <w:autoSpaceDE w:val="0"/>
        <w:autoSpaceDN w:val="0"/>
        <w:adjustRightInd w:val="0"/>
        <w:ind w:left="560" w:hanging="560"/>
        <w:jc w:val="both"/>
        <w:rPr>
          <w:noProof/>
        </w:rPr>
      </w:pPr>
      <w:r>
        <w:rPr>
          <w:noProof/>
        </w:rPr>
        <w:t>20.</w:t>
      </w:r>
      <w:r>
        <w:rPr>
          <w:noProof/>
        </w:rPr>
        <w:tab/>
        <w:t xml:space="preserve">Hunt, J. J. &amp; Ballard, J. D. Variations in virulence and molecular biology among emerging strains of </w:t>
      </w:r>
      <w:r w:rsidR="00AB3480" w:rsidRPr="00AB3480">
        <w:rPr>
          <w:i/>
          <w:noProof/>
        </w:rPr>
        <w:t>Clostridium difficile</w:t>
      </w:r>
      <w:r>
        <w:rPr>
          <w:noProof/>
        </w:rPr>
        <w:t xml:space="preserve">. </w:t>
      </w:r>
      <w:r>
        <w:rPr>
          <w:i/>
          <w:iCs/>
          <w:noProof/>
        </w:rPr>
        <w:t>Microbiol. Mol. Biol. Rev.</w:t>
      </w:r>
      <w:r>
        <w:rPr>
          <w:noProof/>
        </w:rPr>
        <w:t xml:space="preserve"> </w:t>
      </w:r>
      <w:r>
        <w:rPr>
          <w:b/>
          <w:bCs/>
          <w:noProof/>
        </w:rPr>
        <w:t>77,</w:t>
      </w:r>
      <w:r>
        <w:rPr>
          <w:noProof/>
        </w:rPr>
        <w:t xml:space="preserve"> 567–581 (2013).</w:t>
      </w:r>
    </w:p>
    <w:p w14:paraId="0A9E8C23" w14:textId="7BF44E22" w:rsidR="00637D1E" w:rsidRDefault="00637D1E" w:rsidP="003F1CCD">
      <w:pPr>
        <w:widowControl w:val="0"/>
        <w:autoSpaceDE w:val="0"/>
        <w:autoSpaceDN w:val="0"/>
        <w:adjustRightInd w:val="0"/>
        <w:ind w:left="560" w:hanging="560"/>
        <w:jc w:val="both"/>
        <w:rPr>
          <w:noProof/>
        </w:rPr>
      </w:pPr>
      <w:r>
        <w:rPr>
          <w:noProof/>
        </w:rPr>
        <w:t>21.</w:t>
      </w:r>
      <w:r>
        <w:rPr>
          <w:noProof/>
        </w:rPr>
        <w:tab/>
        <w:t xml:space="preserve">Valiente, E., Dawson, L. F., Cairns, M. D., Stabler, R. A. &amp; Wren, B. W. Emergence of new PCR ribotypes from the hypervirulent </w:t>
      </w:r>
      <w:r w:rsidR="00AB3480" w:rsidRPr="00AB3480">
        <w:rPr>
          <w:i/>
          <w:noProof/>
        </w:rPr>
        <w:t>Clostridium difficile</w:t>
      </w:r>
      <w:r>
        <w:rPr>
          <w:noProof/>
        </w:rPr>
        <w:t xml:space="preserve"> 027 lineage. </w:t>
      </w:r>
      <w:r>
        <w:rPr>
          <w:i/>
          <w:iCs/>
          <w:noProof/>
        </w:rPr>
        <w:t>J. Med. Microbiol.</w:t>
      </w:r>
      <w:r>
        <w:rPr>
          <w:noProof/>
        </w:rPr>
        <w:t xml:space="preserve"> </w:t>
      </w:r>
      <w:r>
        <w:rPr>
          <w:b/>
          <w:bCs/>
          <w:noProof/>
        </w:rPr>
        <w:t>61,</w:t>
      </w:r>
      <w:r>
        <w:rPr>
          <w:noProof/>
        </w:rPr>
        <w:t xml:space="preserve"> 49–56 (2012).</w:t>
      </w:r>
    </w:p>
    <w:p w14:paraId="7F72D42E" w14:textId="04557C32" w:rsidR="00637D1E" w:rsidRDefault="00637D1E" w:rsidP="003F1CCD">
      <w:pPr>
        <w:widowControl w:val="0"/>
        <w:autoSpaceDE w:val="0"/>
        <w:autoSpaceDN w:val="0"/>
        <w:adjustRightInd w:val="0"/>
        <w:ind w:left="560" w:hanging="560"/>
        <w:jc w:val="both"/>
        <w:rPr>
          <w:noProof/>
        </w:rPr>
      </w:pPr>
      <w:r>
        <w:rPr>
          <w:noProof/>
        </w:rPr>
        <w:t>22.</w:t>
      </w:r>
      <w:r>
        <w:rPr>
          <w:noProof/>
        </w:rPr>
        <w:tab/>
        <w:t xml:space="preserve">O’Connor, J. R., Johnson, S. &amp; Gerding, D. N. </w:t>
      </w:r>
      <w:r w:rsidR="00AB3480" w:rsidRPr="00AB3480">
        <w:rPr>
          <w:i/>
          <w:noProof/>
        </w:rPr>
        <w:t>Clostridium difficile</w:t>
      </w:r>
      <w:r>
        <w:rPr>
          <w:noProof/>
        </w:rPr>
        <w:t xml:space="preserve"> infection caused by the epidemic BI/NAP1/027 strain. </w:t>
      </w:r>
      <w:r>
        <w:rPr>
          <w:i/>
          <w:iCs/>
          <w:noProof/>
        </w:rPr>
        <w:t>Gastroenterology</w:t>
      </w:r>
      <w:r>
        <w:rPr>
          <w:noProof/>
        </w:rPr>
        <w:t xml:space="preserve"> </w:t>
      </w:r>
      <w:r>
        <w:rPr>
          <w:b/>
          <w:bCs/>
          <w:noProof/>
        </w:rPr>
        <w:t>136,</w:t>
      </w:r>
      <w:r>
        <w:rPr>
          <w:noProof/>
        </w:rPr>
        <w:t xml:space="preserve"> 1913–1924 (2009).</w:t>
      </w:r>
    </w:p>
    <w:p w14:paraId="7342F520" w14:textId="79FB1C45" w:rsidR="00637D1E" w:rsidRDefault="00637D1E" w:rsidP="003F1CCD">
      <w:pPr>
        <w:widowControl w:val="0"/>
        <w:autoSpaceDE w:val="0"/>
        <w:autoSpaceDN w:val="0"/>
        <w:adjustRightInd w:val="0"/>
        <w:ind w:left="560" w:hanging="560"/>
        <w:jc w:val="both"/>
        <w:rPr>
          <w:noProof/>
        </w:rPr>
      </w:pPr>
      <w:r>
        <w:rPr>
          <w:noProof/>
        </w:rPr>
        <w:t>23.</w:t>
      </w:r>
      <w:r>
        <w:rPr>
          <w:noProof/>
        </w:rPr>
        <w:tab/>
        <w:t xml:space="preserve">Vohra, P. &amp; Poxton, I. R. Comparison of toxin and spore production in clinically relevant strains of </w:t>
      </w:r>
      <w:r w:rsidR="00AB3480" w:rsidRPr="00AB3480">
        <w:rPr>
          <w:i/>
          <w:noProof/>
        </w:rPr>
        <w:t>Clostridium difficile</w:t>
      </w:r>
      <w:r>
        <w:rPr>
          <w:noProof/>
        </w:rPr>
        <w:t xml:space="preserve">. </w:t>
      </w:r>
      <w:r>
        <w:rPr>
          <w:i/>
          <w:iCs/>
          <w:noProof/>
        </w:rPr>
        <w:t>Microbiology (Reading, Engl.)</w:t>
      </w:r>
      <w:r>
        <w:rPr>
          <w:noProof/>
        </w:rPr>
        <w:t xml:space="preserve"> </w:t>
      </w:r>
      <w:r>
        <w:rPr>
          <w:b/>
          <w:bCs/>
          <w:noProof/>
        </w:rPr>
        <w:t>157,</w:t>
      </w:r>
      <w:r>
        <w:rPr>
          <w:noProof/>
        </w:rPr>
        <w:t xml:space="preserve"> 1343–1353 (2011).</w:t>
      </w:r>
    </w:p>
    <w:p w14:paraId="6AC2B5BF" w14:textId="77A41BFC" w:rsidR="00637D1E" w:rsidRDefault="00637D1E" w:rsidP="003F1CCD">
      <w:pPr>
        <w:widowControl w:val="0"/>
        <w:autoSpaceDE w:val="0"/>
        <w:autoSpaceDN w:val="0"/>
        <w:adjustRightInd w:val="0"/>
        <w:ind w:left="560" w:hanging="560"/>
        <w:jc w:val="both"/>
        <w:rPr>
          <w:noProof/>
        </w:rPr>
      </w:pPr>
      <w:r>
        <w:rPr>
          <w:noProof/>
        </w:rPr>
        <w:t>24.</w:t>
      </w:r>
      <w:r>
        <w:rPr>
          <w:noProof/>
        </w:rPr>
        <w:tab/>
        <w:t xml:space="preserve">Knetsch, C. W. </w:t>
      </w:r>
      <w:r>
        <w:rPr>
          <w:i/>
          <w:iCs/>
          <w:noProof/>
        </w:rPr>
        <w:t>et al.</w:t>
      </w:r>
      <w:r>
        <w:rPr>
          <w:noProof/>
        </w:rPr>
        <w:t xml:space="preserve"> Genetic markers for </w:t>
      </w:r>
      <w:r w:rsidR="00AB3480" w:rsidRPr="00AB3480">
        <w:rPr>
          <w:i/>
          <w:noProof/>
        </w:rPr>
        <w:t>Clostridium difficile</w:t>
      </w:r>
      <w:r>
        <w:rPr>
          <w:noProof/>
        </w:rPr>
        <w:t xml:space="preserve"> lineages linked to hypervirulence. </w:t>
      </w:r>
      <w:r>
        <w:rPr>
          <w:i/>
          <w:iCs/>
          <w:noProof/>
        </w:rPr>
        <w:t>Microbiology (Reading, Engl.)</w:t>
      </w:r>
      <w:r>
        <w:rPr>
          <w:noProof/>
        </w:rPr>
        <w:t xml:space="preserve"> </w:t>
      </w:r>
      <w:r>
        <w:rPr>
          <w:b/>
          <w:bCs/>
          <w:noProof/>
        </w:rPr>
        <w:t>157,</w:t>
      </w:r>
      <w:r>
        <w:rPr>
          <w:noProof/>
        </w:rPr>
        <w:t xml:space="preserve"> 3113–3123 (2011).</w:t>
      </w:r>
    </w:p>
    <w:p w14:paraId="4AC35A98" w14:textId="4199C9FA" w:rsidR="00637D1E" w:rsidRDefault="00637D1E" w:rsidP="003F1CCD">
      <w:pPr>
        <w:widowControl w:val="0"/>
        <w:autoSpaceDE w:val="0"/>
        <w:autoSpaceDN w:val="0"/>
        <w:adjustRightInd w:val="0"/>
        <w:ind w:left="560" w:hanging="560"/>
        <w:jc w:val="both"/>
        <w:rPr>
          <w:noProof/>
        </w:rPr>
      </w:pPr>
      <w:r>
        <w:rPr>
          <w:noProof/>
        </w:rPr>
        <w:t>25.</w:t>
      </w:r>
      <w:r>
        <w:rPr>
          <w:noProof/>
        </w:rPr>
        <w:tab/>
        <w:t xml:space="preserve">Edwards, A. N., Nawrocki, K. L. &amp; McBride, S. M. Conserved oligopeptide permeases modulate sporulation initiation in </w:t>
      </w:r>
      <w:r w:rsidR="00AB3480" w:rsidRPr="00AB3480">
        <w:rPr>
          <w:i/>
          <w:noProof/>
        </w:rPr>
        <w:t>Clostridium difficile</w:t>
      </w:r>
      <w:r>
        <w:rPr>
          <w:noProof/>
        </w:rPr>
        <w:t xml:space="preserve">. </w:t>
      </w:r>
      <w:r>
        <w:rPr>
          <w:i/>
          <w:iCs/>
          <w:noProof/>
        </w:rPr>
        <w:t>Infect. Immun.</w:t>
      </w:r>
      <w:r>
        <w:rPr>
          <w:noProof/>
        </w:rPr>
        <w:t xml:space="preserve"> </w:t>
      </w:r>
      <w:r>
        <w:rPr>
          <w:b/>
          <w:bCs/>
          <w:noProof/>
        </w:rPr>
        <w:t>82,</w:t>
      </w:r>
      <w:r>
        <w:rPr>
          <w:noProof/>
        </w:rPr>
        <w:t xml:space="preserve"> </w:t>
      </w:r>
      <w:r>
        <w:rPr>
          <w:noProof/>
        </w:rPr>
        <w:lastRenderedPageBreak/>
        <w:t>4276–4291 (2014).</w:t>
      </w:r>
    </w:p>
    <w:p w14:paraId="43775CE0" w14:textId="77777777" w:rsidR="00637D1E" w:rsidRDefault="00637D1E" w:rsidP="003F1CCD">
      <w:pPr>
        <w:widowControl w:val="0"/>
        <w:autoSpaceDE w:val="0"/>
        <w:autoSpaceDN w:val="0"/>
        <w:adjustRightInd w:val="0"/>
        <w:ind w:left="560" w:hanging="560"/>
        <w:jc w:val="both"/>
        <w:rPr>
          <w:noProof/>
        </w:rPr>
      </w:pPr>
      <w:r>
        <w:rPr>
          <w:noProof/>
        </w:rPr>
        <w:t>26.</w:t>
      </w:r>
      <w:r>
        <w:rPr>
          <w:noProof/>
        </w:rPr>
        <w:tab/>
        <w:t xml:space="preserve">Vreeland, R. H., Rosenzweig, W. D. &amp; Powers, D. W. Isolation of a 250 million-year-old halotolerant bacterium from a primary salt crystal. </w:t>
      </w:r>
      <w:r>
        <w:rPr>
          <w:i/>
          <w:iCs/>
          <w:noProof/>
        </w:rPr>
        <w:t>Nature</w:t>
      </w:r>
      <w:r>
        <w:rPr>
          <w:noProof/>
        </w:rPr>
        <w:t xml:space="preserve"> </w:t>
      </w:r>
      <w:r>
        <w:rPr>
          <w:b/>
          <w:bCs/>
          <w:noProof/>
        </w:rPr>
        <w:t>407,</w:t>
      </w:r>
      <w:r>
        <w:rPr>
          <w:noProof/>
        </w:rPr>
        <w:t xml:space="preserve"> 897–900 (2000).</w:t>
      </w:r>
    </w:p>
    <w:p w14:paraId="5532C72E" w14:textId="785F6FD2" w:rsidR="00637D1E" w:rsidRDefault="00637D1E" w:rsidP="003F1CCD">
      <w:pPr>
        <w:widowControl w:val="0"/>
        <w:autoSpaceDE w:val="0"/>
        <w:autoSpaceDN w:val="0"/>
        <w:adjustRightInd w:val="0"/>
        <w:ind w:left="560" w:hanging="560"/>
        <w:jc w:val="both"/>
        <w:rPr>
          <w:noProof/>
        </w:rPr>
      </w:pPr>
      <w:r>
        <w:rPr>
          <w:noProof/>
        </w:rPr>
        <w:t>27.</w:t>
      </w:r>
      <w:r>
        <w:rPr>
          <w:noProof/>
        </w:rPr>
        <w:tab/>
        <w:t xml:space="preserve">Gil, F., Lagos-Moraga, S., Calderón-Romero, P., Pizarro-Guajardo, M. &amp; Paredes-Sabja, D. Updates on </w:t>
      </w:r>
      <w:r w:rsidR="00AB3480" w:rsidRPr="00AB3480">
        <w:rPr>
          <w:i/>
          <w:noProof/>
        </w:rPr>
        <w:t>Clostridium difficile</w:t>
      </w:r>
      <w:r>
        <w:rPr>
          <w:noProof/>
        </w:rPr>
        <w:t xml:space="preserve"> spore biology. </w:t>
      </w:r>
      <w:r>
        <w:rPr>
          <w:i/>
          <w:iCs/>
          <w:noProof/>
        </w:rPr>
        <w:t>Anaerobe</w:t>
      </w:r>
      <w:r>
        <w:rPr>
          <w:noProof/>
        </w:rPr>
        <w:t xml:space="preserve"> </w:t>
      </w:r>
      <w:r>
        <w:rPr>
          <w:b/>
          <w:bCs/>
          <w:noProof/>
        </w:rPr>
        <w:t>45,</w:t>
      </w:r>
      <w:r>
        <w:rPr>
          <w:noProof/>
        </w:rPr>
        <w:t xml:space="preserve"> 3–9 (2017).</w:t>
      </w:r>
    </w:p>
    <w:p w14:paraId="18100655" w14:textId="5A29D2DA" w:rsidR="00637D1E" w:rsidRDefault="00637D1E" w:rsidP="003F1CCD">
      <w:pPr>
        <w:widowControl w:val="0"/>
        <w:autoSpaceDE w:val="0"/>
        <w:autoSpaceDN w:val="0"/>
        <w:adjustRightInd w:val="0"/>
        <w:ind w:left="560" w:hanging="560"/>
        <w:jc w:val="both"/>
        <w:rPr>
          <w:noProof/>
        </w:rPr>
      </w:pPr>
      <w:r>
        <w:rPr>
          <w:noProof/>
        </w:rPr>
        <w:t>28.</w:t>
      </w:r>
      <w:r>
        <w:rPr>
          <w:noProof/>
        </w:rPr>
        <w:tab/>
        <w:t xml:space="preserve">Wilcox, M. H. &amp; Fawley, W. N. Hospital disinfectants and spore formation by </w:t>
      </w:r>
      <w:r w:rsidR="00AB3480" w:rsidRPr="00AB3480">
        <w:rPr>
          <w:i/>
          <w:noProof/>
        </w:rPr>
        <w:t>Clostridium difficile</w:t>
      </w:r>
      <w:r>
        <w:rPr>
          <w:noProof/>
        </w:rPr>
        <w:t xml:space="preserve">. </w:t>
      </w:r>
      <w:r>
        <w:rPr>
          <w:i/>
          <w:iCs/>
          <w:noProof/>
        </w:rPr>
        <w:t>Lancet</w:t>
      </w:r>
      <w:r>
        <w:rPr>
          <w:noProof/>
        </w:rPr>
        <w:t xml:space="preserve"> </w:t>
      </w:r>
      <w:r>
        <w:rPr>
          <w:b/>
          <w:bCs/>
          <w:noProof/>
        </w:rPr>
        <w:t>356,</w:t>
      </w:r>
      <w:r>
        <w:rPr>
          <w:noProof/>
        </w:rPr>
        <w:t xml:space="preserve"> 1324 (2000).</w:t>
      </w:r>
    </w:p>
    <w:p w14:paraId="39CF9D75" w14:textId="155ACAA6" w:rsidR="00637D1E" w:rsidRDefault="00637D1E" w:rsidP="003F1CCD">
      <w:pPr>
        <w:widowControl w:val="0"/>
        <w:autoSpaceDE w:val="0"/>
        <w:autoSpaceDN w:val="0"/>
        <w:adjustRightInd w:val="0"/>
        <w:ind w:left="560" w:hanging="560"/>
        <w:jc w:val="both"/>
        <w:rPr>
          <w:noProof/>
        </w:rPr>
      </w:pPr>
      <w:r>
        <w:rPr>
          <w:noProof/>
        </w:rPr>
        <w:t>29.</w:t>
      </w:r>
      <w:r>
        <w:rPr>
          <w:noProof/>
        </w:rPr>
        <w:tab/>
        <w:t xml:space="preserve">Weber, D. J., Rutala, W. A., Miller, M. B., Huslage, K. &amp; Sickbert-Bennett, E. Role of hospital surfaces in the transmission of emerging health care-associated pathogens: norovirus, </w:t>
      </w:r>
      <w:r w:rsidR="00AB3480" w:rsidRPr="00AB3480">
        <w:rPr>
          <w:i/>
          <w:noProof/>
        </w:rPr>
        <w:t>Clostridium difficile</w:t>
      </w:r>
      <w:r>
        <w:rPr>
          <w:noProof/>
        </w:rPr>
        <w:t xml:space="preserve">, and </w:t>
      </w:r>
      <w:r w:rsidRPr="003F1CCD">
        <w:rPr>
          <w:i/>
          <w:noProof/>
        </w:rPr>
        <w:t>Acinetobacter</w:t>
      </w:r>
      <w:r>
        <w:rPr>
          <w:noProof/>
        </w:rPr>
        <w:t xml:space="preserve"> species. </w:t>
      </w:r>
      <w:r>
        <w:rPr>
          <w:i/>
          <w:iCs/>
          <w:noProof/>
        </w:rPr>
        <w:t>Am. J. Infect. Control</w:t>
      </w:r>
      <w:r>
        <w:rPr>
          <w:noProof/>
        </w:rPr>
        <w:t xml:space="preserve"> </w:t>
      </w:r>
      <w:r>
        <w:rPr>
          <w:b/>
          <w:bCs/>
          <w:noProof/>
        </w:rPr>
        <w:t>38,</w:t>
      </w:r>
      <w:r>
        <w:rPr>
          <w:noProof/>
        </w:rPr>
        <w:t xml:space="preserve"> S25-33 (2010).</w:t>
      </w:r>
    </w:p>
    <w:p w14:paraId="6CD85C48" w14:textId="0FBCCC6C" w:rsidR="00637D1E" w:rsidRDefault="00637D1E" w:rsidP="003F1CCD">
      <w:pPr>
        <w:widowControl w:val="0"/>
        <w:autoSpaceDE w:val="0"/>
        <w:autoSpaceDN w:val="0"/>
        <w:adjustRightInd w:val="0"/>
        <w:ind w:left="560" w:hanging="560"/>
        <w:jc w:val="both"/>
        <w:rPr>
          <w:noProof/>
        </w:rPr>
      </w:pPr>
      <w:r>
        <w:rPr>
          <w:noProof/>
        </w:rPr>
        <w:t>30.</w:t>
      </w:r>
      <w:r>
        <w:rPr>
          <w:noProof/>
        </w:rPr>
        <w:tab/>
        <w:t xml:space="preserve">Fawley, W. N. </w:t>
      </w:r>
      <w:r>
        <w:rPr>
          <w:i/>
          <w:iCs/>
          <w:noProof/>
        </w:rPr>
        <w:t>et al.</w:t>
      </w:r>
      <w:r>
        <w:rPr>
          <w:noProof/>
        </w:rPr>
        <w:t xml:space="preserve"> Efficacy of hospital cleaning agents and germicides against epidemic </w:t>
      </w:r>
      <w:r w:rsidR="00AB3480" w:rsidRPr="00AB3480">
        <w:rPr>
          <w:i/>
          <w:noProof/>
        </w:rPr>
        <w:t>Clostridium difficile</w:t>
      </w:r>
      <w:r>
        <w:rPr>
          <w:noProof/>
        </w:rPr>
        <w:t xml:space="preserve"> strains. </w:t>
      </w:r>
      <w:r>
        <w:rPr>
          <w:i/>
          <w:iCs/>
          <w:noProof/>
        </w:rPr>
        <w:t>Infect. Control Hosp. Epidemiol.</w:t>
      </w:r>
      <w:r>
        <w:rPr>
          <w:noProof/>
        </w:rPr>
        <w:t xml:space="preserve"> </w:t>
      </w:r>
      <w:r>
        <w:rPr>
          <w:b/>
          <w:bCs/>
          <w:noProof/>
        </w:rPr>
        <w:t>28,</w:t>
      </w:r>
      <w:r>
        <w:rPr>
          <w:noProof/>
        </w:rPr>
        <w:t xml:space="preserve"> 920–925 (2007).</w:t>
      </w:r>
    </w:p>
    <w:p w14:paraId="43591AA3" w14:textId="31D928F8" w:rsidR="00637D1E" w:rsidRDefault="00637D1E" w:rsidP="003F1CCD">
      <w:pPr>
        <w:widowControl w:val="0"/>
        <w:autoSpaceDE w:val="0"/>
        <w:autoSpaceDN w:val="0"/>
        <w:adjustRightInd w:val="0"/>
        <w:ind w:left="560" w:hanging="560"/>
        <w:jc w:val="both"/>
        <w:rPr>
          <w:noProof/>
        </w:rPr>
      </w:pPr>
      <w:r>
        <w:rPr>
          <w:noProof/>
        </w:rPr>
        <w:t>31.</w:t>
      </w:r>
      <w:r>
        <w:rPr>
          <w:noProof/>
        </w:rPr>
        <w:tab/>
        <w:t xml:space="preserve">Nerandzic, M. M., Cadnum, J. L., Pultz, M. J. &amp; Donskey, C. J. Evaluation of an automated ultraviolet radiation device for decontamination of </w:t>
      </w:r>
      <w:r w:rsidR="00AB3480" w:rsidRPr="00AB3480">
        <w:rPr>
          <w:i/>
          <w:noProof/>
        </w:rPr>
        <w:t>Clostridium difficile</w:t>
      </w:r>
      <w:r>
        <w:rPr>
          <w:noProof/>
        </w:rPr>
        <w:t xml:space="preserve"> and other healthcare-associated pathogens in hospital rooms. </w:t>
      </w:r>
      <w:r>
        <w:rPr>
          <w:i/>
          <w:iCs/>
          <w:noProof/>
        </w:rPr>
        <w:t>BMC Infect. Dis.</w:t>
      </w:r>
      <w:r>
        <w:rPr>
          <w:noProof/>
        </w:rPr>
        <w:t xml:space="preserve"> </w:t>
      </w:r>
      <w:r>
        <w:rPr>
          <w:b/>
          <w:bCs/>
          <w:noProof/>
        </w:rPr>
        <w:t>10,</w:t>
      </w:r>
      <w:r>
        <w:rPr>
          <w:noProof/>
        </w:rPr>
        <w:t xml:space="preserve"> 197 (2010).</w:t>
      </w:r>
    </w:p>
    <w:p w14:paraId="4C5FA905" w14:textId="3512D5CD" w:rsidR="00637D1E" w:rsidRDefault="00637D1E" w:rsidP="003F1CCD">
      <w:pPr>
        <w:widowControl w:val="0"/>
        <w:autoSpaceDE w:val="0"/>
        <w:autoSpaceDN w:val="0"/>
        <w:adjustRightInd w:val="0"/>
        <w:ind w:left="560" w:hanging="560"/>
        <w:jc w:val="both"/>
        <w:rPr>
          <w:noProof/>
        </w:rPr>
      </w:pPr>
      <w:r>
        <w:rPr>
          <w:noProof/>
        </w:rPr>
        <w:t>32.</w:t>
      </w:r>
      <w:r>
        <w:rPr>
          <w:noProof/>
        </w:rPr>
        <w:tab/>
        <w:t xml:space="preserve">Barbut, F., Menuet, D., Verachten, M. &amp; Girou, E. Comparison of the efficacy of a hydrogen peroxide dry-mist disinfection system and sodium hypochlorite solution for eradication of </w:t>
      </w:r>
      <w:r w:rsidR="00AB3480" w:rsidRPr="00AB3480">
        <w:rPr>
          <w:i/>
          <w:noProof/>
        </w:rPr>
        <w:t>Clostridium difficile</w:t>
      </w:r>
      <w:r>
        <w:rPr>
          <w:noProof/>
        </w:rPr>
        <w:t xml:space="preserve"> spores. </w:t>
      </w:r>
      <w:r>
        <w:rPr>
          <w:i/>
          <w:iCs/>
          <w:noProof/>
        </w:rPr>
        <w:t>Infect. Control Hosp. Epidemiol.</w:t>
      </w:r>
      <w:r>
        <w:rPr>
          <w:noProof/>
        </w:rPr>
        <w:t xml:space="preserve"> </w:t>
      </w:r>
      <w:r>
        <w:rPr>
          <w:b/>
          <w:bCs/>
          <w:noProof/>
        </w:rPr>
        <w:t>30,</w:t>
      </w:r>
      <w:r>
        <w:rPr>
          <w:noProof/>
        </w:rPr>
        <w:t xml:space="preserve"> 507–514 (2009).</w:t>
      </w:r>
    </w:p>
    <w:p w14:paraId="0CE3FB70" w14:textId="77777777" w:rsidR="00637D1E" w:rsidRDefault="00637D1E" w:rsidP="003F1CCD">
      <w:pPr>
        <w:widowControl w:val="0"/>
        <w:autoSpaceDE w:val="0"/>
        <w:autoSpaceDN w:val="0"/>
        <w:adjustRightInd w:val="0"/>
        <w:ind w:left="560" w:hanging="560"/>
        <w:jc w:val="both"/>
        <w:rPr>
          <w:noProof/>
        </w:rPr>
      </w:pPr>
      <w:r>
        <w:rPr>
          <w:noProof/>
        </w:rPr>
        <w:t>33.</w:t>
      </w:r>
      <w:r>
        <w:rPr>
          <w:noProof/>
        </w:rPr>
        <w:tab/>
        <w:t xml:space="preserve">Setlow, P. Spores of Bacillus subtilis: their resistance to and killing by radiation, heat </w:t>
      </w:r>
      <w:r>
        <w:rPr>
          <w:noProof/>
        </w:rPr>
        <w:lastRenderedPageBreak/>
        <w:t xml:space="preserve">and chemicals. </w:t>
      </w:r>
      <w:r>
        <w:rPr>
          <w:i/>
          <w:iCs/>
          <w:noProof/>
        </w:rPr>
        <w:t>J. Appl. Microbiol.</w:t>
      </w:r>
      <w:r>
        <w:rPr>
          <w:noProof/>
        </w:rPr>
        <w:t xml:space="preserve"> </w:t>
      </w:r>
      <w:r>
        <w:rPr>
          <w:b/>
          <w:bCs/>
          <w:noProof/>
        </w:rPr>
        <w:t>101,</w:t>
      </w:r>
      <w:r>
        <w:rPr>
          <w:noProof/>
        </w:rPr>
        <w:t xml:space="preserve"> 514–525 (2006).</w:t>
      </w:r>
    </w:p>
    <w:p w14:paraId="2131AA44" w14:textId="6ECE5F4D" w:rsidR="00637D1E" w:rsidRDefault="00637D1E" w:rsidP="003F1CCD">
      <w:pPr>
        <w:widowControl w:val="0"/>
        <w:autoSpaceDE w:val="0"/>
        <w:autoSpaceDN w:val="0"/>
        <w:adjustRightInd w:val="0"/>
        <w:ind w:left="560" w:hanging="560"/>
        <w:jc w:val="both"/>
        <w:rPr>
          <w:noProof/>
        </w:rPr>
      </w:pPr>
      <w:r>
        <w:rPr>
          <w:noProof/>
        </w:rPr>
        <w:t>34.</w:t>
      </w:r>
      <w:r>
        <w:rPr>
          <w:noProof/>
        </w:rPr>
        <w:tab/>
        <w:t xml:space="preserve">Roberts, K. </w:t>
      </w:r>
      <w:r>
        <w:rPr>
          <w:i/>
          <w:iCs/>
          <w:noProof/>
        </w:rPr>
        <w:t>et al.</w:t>
      </w:r>
      <w:r>
        <w:rPr>
          <w:noProof/>
        </w:rPr>
        <w:t xml:space="preserve"> Aerial dissemination of </w:t>
      </w:r>
      <w:r w:rsidR="00AB3480" w:rsidRPr="00AB3480">
        <w:rPr>
          <w:i/>
          <w:noProof/>
        </w:rPr>
        <w:t>Clostridium difficile</w:t>
      </w:r>
      <w:r>
        <w:rPr>
          <w:noProof/>
        </w:rPr>
        <w:t xml:space="preserve"> spores. </w:t>
      </w:r>
      <w:r>
        <w:rPr>
          <w:i/>
          <w:iCs/>
          <w:noProof/>
        </w:rPr>
        <w:t>BMC Infect. Dis.</w:t>
      </w:r>
      <w:r>
        <w:rPr>
          <w:noProof/>
        </w:rPr>
        <w:t xml:space="preserve"> </w:t>
      </w:r>
      <w:r>
        <w:rPr>
          <w:b/>
          <w:bCs/>
          <w:noProof/>
        </w:rPr>
        <w:t>8,</w:t>
      </w:r>
      <w:r>
        <w:rPr>
          <w:noProof/>
        </w:rPr>
        <w:t xml:space="preserve"> 7 (2008).</w:t>
      </w:r>
    </w:p>
    <w:p w14:paraId="095DBD7C" w14:textId="54494D3B" w:rsidR="00637D1E" w:rsidRDefault="00637D1E" w:rsidP="003F1CCD">
      <w:pPr>
        <w:widowControl w:val="0"/>
        <w:autoSpaceDE w:val="0"/>
        <w:autoSpaceDN w:val="0"/>
        <w:adjustRightInd w:val="0"/>
        <w:ind w:left="560" w:hanging="560"/>
        <w:jc w:val="both"/>
        <w:rPr>
          <w:noProof/>
        </w:rPr>
      </w:pPr>
      <w:r>
        <w:rPr>
          <w:noProof/>
        </w:rPr>
        <w:t>35.</w:t>
      </w:r>
      <w:r>
        <w:rPr>
          <w:noProof/>
        </w:rPr>
        <w:tab/>
        <w:t xml:space="preserve">Burns, D. A., Heap, J. T. &amp; Minton, N. P. </w:t>
      </w:r>
      <w:r w:rsidR="00AB3480" w:rsidRPr="00AB3480">
        <w:rPr>
          <w:i/>
          <w:noProof/>
        </w:rPr>
        <w:t>Clostridium difficile</w:t>
      </w:r>
      <w:r>
        <w:rPr>
          <w:noProof/>
        </w:rPr>
        <w:t xml:space="preserve"> spore germination: an update. </w:t>
      </w:r>
      <w:r>
        <w:rPr>
          <w:i/>
          <w:iCs/>
          <w:noProof/>
        </w:rPr>
        <w:t>Res. Microbiol.</w:t>
      </w:r>
      <w:r>
        <w:rPr>
          <w:noProof/>
        </w:rPr>
        <w:t xml:space="preserve"> </w:t>
      </w:r>
      <w:r>
        <w:rPr>
          <w:b/>
          <w:bCs/>
          <w:noProof/>
        </w:rPr>
        <w:t>161,</w:t>
      </w:r>
      <w:r>
        <w:rPr>
          <w:noProof/>
        </w:rPr>
        <w:t xml:space="preserve"> 730–734 (2010).</w:t>
      </w:r>
    </w:p>
    <w:p w14:paraId="6C3AFC29" w14:textId="6C25E8C0" w:rsidR="00637D1E" w:rsidRDefault="00637D1E" w:rsidP="003F1CCD">
      <w:pPr>
        <w:widowControl w:val="0"/>
        <w:autoSpaceDE w:val="0"/>
        <w:autoSpaceDN w:val="0"/>
        <w:adjustRightInd w:val="0"/>
        <w:ind w:left="560" w:hanging="560"/>
        <w:jc w:val="both"/>
        <w:rPr>
          <w:noProof/>
        </w:rPr>
      </w:pPr>
      <w:r>
        <w:rPr>
          <w:noProof/>
        </w:rPr>
        <w:t>36.</w:t>
      </w:r>
      <w:r>
        <w:rPr>
          <w:noProof/>
        </w:rPr>
        <w:tab/>
        <w:t xml:space="preserve">Johnson, S. </w:t>
      </w:r>
      <w:r>
        <w:rPr>
          <w:i/>
          <w:iCs/>
          <w:noProof/>
        </w:rPr>
        <w:t>et al.</w:t>
      </w:r>
      <w:r>
        <w:rPr>
          <w:noProof/>
        </w:rPr>
        <w:t xml:space="preserve"> Nosocomial </w:t>
      </w:r>
      <w:r w:rsidR="00AB3480" w:rsidRPr="00AB3480">
        <w:rPr>
          <w:i/>
          <w:noProof/>
        </w:rPr>
        <w:t>Clostridium difficile</w:t>
      </w:r>
      <w:r>
        <w:rPr>
          <w:noProof/>
        </w:rPr>
        <w:t xml:space="preserve"> colonisation and disease. </w:t>
      </w:r>
      <w:r>
        <w:rPr>
          <w:i/>
          <w:iCs/>
          <w:noProof/>
        </w:rPr>
        <w:t>Lancet</w:t>
      </w:r>
      <w:r>
        <w:rPr>
          <w:noProof/>
        </w:rPr>
        <w:t xml:space="preserve"> </w:t>
      </w:r>
      <w:r>
        <w:rPr>
          <w:b/>
          <w:bCs/>
          <w:noProof/>
        </w:rPr>
        <w:t>336,</w:t>
      </w:r>
      <w:r>
        <w:rPr>
          <w:noProof/>
        </w:rPr>
        <w:t xml:space="preserve"> 97–100 (1990).</w:t>
      </w:r>
    </w:p>
    <w:p w14:paraId="2DE8A0FD" w14:textId="279EFE4F" w:rsidR="00637D1E" w:rsidRDefault="00637D1E" w:rsidP="003F1CCD">
      <w:pPr>
        <w:widowControl w:val="0"/>
        <w:autoSpaceDE w:val="0"/>
        <w:autoSpaceDN w:val="0"/>
        <w:adjustRightInd w:val="0"/>
        <w:ind w:left="560" w:hanging="560"/>
        <w:jc w:val="both"/>
        <w:rPr>
          <w:noProof/>
        </w:rPr>
      </w:pPr>
      <w:r>
        <w:rPr>
          <w:noProof/>
        </w:rPr>
        <w:t>37.</w:t>
      </w:r>
      <w:r>
        <w:rPr>
          <w:noProof/>
        </w:rPr>
        <w:tab/>
        <w:t xml:space="preserve">McFarland, L. V., Mulligan, M. E., Kwok, R. Y. &amp; Stamm, W. E. Nosocomial acquisition of </w:t>
      </w:r>
      <w:r w:rsidR="00AB3480" w:rsidRPr="00AB3480">
        <w:rPr>
          <w:i/>
          <w:noProof/>
        </w:rPr>
        <w:t>Clostridium difficile</w:t>
      </w:r>
      <w:r>
        <w:rPr>
          <w:noProof/>
        </w:rPr>
        <w:t xml:space="preserve"> infection. </w:t>
      </w:r>
      <w:r>
        <w:rPr>
          <w:i/>
          <w:iCs/>
          <w:noProof/>
        </w:rPr>
        <w:t>N. Engl. J. Med.</w:t>
      </w:r>
      <w:r>
        <w:rPr>
          <w:noProof/>
        </w:rPr>
        <w:t xml:space="preserve"> </w:t>
      </w:r>
      <w:r>
        <w:rPr>
          <w:b/>
          <w:bCs/>
          <w:noProof/>
        </w:rPr>
        <w:t>320,</w:t>
      </w:r>
      <w:r>
        <w:rPr>
          <w:noProof/>
        </w:rPr>
        <w:t xml:space="preserve"> 204–210 (1989).</w:t>
      </w:r>
    </w:p>
    <w:p w14:paraId="5074D98F" w14:textId="17D4F483" w:rsidR="00637D1E" w:rsidRDefault="00637D1E" w:rsidP="003F1CCD">
      <w:pPr>
        <w:widowControl w:val="0"/>
        <w:autoSpaceDE w:val="0"/>
        <w:autoSpaceDN w:val="0"/>
        <w:adjustRightInd w:val="0"/>
        <w:ind w:left="560" w:hanging="560"/>
        <w:jc w:val="both"/>
        <w:rPr>
          <w:noProof/>
        </w:rPr>
      </w:pPr>
      <w:r>
        <w:rPr>
          <w:noProof/>
        </w:rPr>
        <w:t>38.</w:t>
      </w:r>
      <w:r>
        <w:rPr>
          <w:noProof/>
        </w:rPr>
        <w:tab/>
        <w:t xml:space="preserve">Wilson, K. H. Efficiency of various bile salt preparations for stimulation of </w:t>
      </w:r>
      <w:r w:rsidR="00AB3480" w:rsidRPr="00AB3480">
        <w:rPr>
          <w:i/>
          <w:noProof/>
        </w:rPr>
        <w:t>Clostridium difficile</w:t>
      </w:r>
      <w:r>
        <w:rPr>
          <w:noProof/>
        </w:rPr>
        <w:t xml:space="preserve"> spore germination. </w:t>
      </w:r>
      <w:r>
        <w:rPr>
          <w:i/>
          <w:iCs/>
          <w:noProof/>
        </w:rPr>
        <w:t>J. Clin. Microbiol.</w:t>
      </w:r>
      <w:r>
        <w:rPr>
          <w:noProof/>
        </w:rPr>
        <w:t xml:space="preserve"> </w:t>
      </w:r>
      <w:r>
        <w:rPr>
          <w:b/>
          <w:bCs/>
          <w:noProof/>
        </w:rPr>
        <w:t>18,</w:t>
      </w:r>
      <w:r>
        <w:rPr>
          <w:noProof/>
        </w:rPr>
        <w:t xml:space="preserve"> 1017–1019 (1983).</w:t>
      </w:r>
    </w:p>
    <w:p w14:paraId="2DCB2003" w14:textId="3F395687" w:rsidR="00637D1E" w:rsidRDefault="00637D1E" w:rsidP="003F1CCD">
      <w:pPr>
        <w:widowControl w:val="0"/>
        <w:autoSpaceDE w:val="0"/>
        <w:autoSpaceDN w:val="0"/>
        <w:adjustRightInd w:val="0"/>
        <w:ind w:left="560" w:hanging="560"/>
        <w:jc w:val="both"/>
        <w:rPr>
          <w:noProof/>
        </w:rPr>
      </w:pPr>
      <w:r>
        <w:rPr>
          <w:noProof/>
        </w:rPr>
        <w:t>39.</w:t>
      </w:r>
      <w:r>
        <w:rPr>
          <w:noProof/>
        </w:rPr>
        <w:tab/>
        <w:t xml:space="preserve">Sorg, J. A. &amp; Sonenshein, A. L. Bile salts and glycine as cogerminants for </w:t>
      </w:r>
      <w:r w:rsidR="00AB3480" w:rsidRPr="00AB3480">
        <w:rPr>
          <w:i/>
          <w:noProof/>
        </w:rPr>
        <w:t>Clostridium difficile</w:t>
      </w:r>
      <w:r>
        <w:rPr>
          <w:noProof/>
        </w:rPr>
        <w:t xml:space="preserve"> spores. </w:t>
      </w:r>
      <w:r>
        <w:rPr>
          <w:i/>
          <w:iCs/>
          <w:noProof/>
        </w:rPr>
        <w:t>J. Bacteriol.</w:t>
      </w:r>
      <w:r>
        <w:rPr>
          <w:noProof/>
        </w:rPr>
        <w:t xml:space="preserve"> </w:t>
      </w:r>
      <w:r>
        <w:rPr>
          <w:b/>
          <w:bCs/>
          <w:noProof/>
        </w:rPr>
        <w:t>190,</w:t>
      </w:r>
      <w:r>
        <w:rPr>
          <w:noProof/>
        </w:rPr>
        <w:t xml:space="preserve"> 2505–2512 (2008).</w:t>
      </w:r>
    </w:p>
    <w:p w14:paraId="6497DD7E" w14:textId="7E96FD56" w:rsidR="00637D1E" w:rsidRDefault="00637D1E" w:rsidP="003F1CCD">
      <w:pPr>
        <w:widowControl w:val="0"/>
        <w:autoSpaceDE w:val="0"/>
        <w:autoSpaceDN w:val="0"/>
        <w:adjustRightInd w:val="0"/>
        <w:ind w:left="560" w:hanging="560"/>
        <w:jc w:val="both"/>
        <w:rPr>
          <w:noProof/>
        </w:rPr>
      </w:pPr>
      <w:r>
        <w:rPr>
          <w:noProof/>
        </w:rPr>
        <w:t>40.</w:t>
      </w:r>
      <w:r>
        <w:rPr>
          <w:noProof/>
        </w:rPr>
        <w:tab/>
        <w:t xml:space="preserve">Burns, D. A., Heap, J. T. &amp; Minton, N. P. SleC is essential for germination of </w:t>
      </w:r>
      <w:r w:rsidR="00AB3480" w:rsidRPr="00AB3480">
        <w:rPr>
          <w:i/>
          <w:noProof/>
        </w:rPr>
        <w:t>Clostridium difficile</w:t>
      </w:r>
      <w:r>
        <w:rPr>
          <w:noProof/>
        </w:rPr>
        <w:t xml:space="preserve"> spores in nutrient-rich medium supplemented with the bile salt taurocholate. </w:t>
      </w:r>
      <w:r>
        <w:rPr>
          <w:i/>
          <w:iCs/>
          <w:noProof/>
        </w:rPr>
        <w:t>J. Bacteriol.</w:t>
      </w:r>
      <w:r>
        <w:rPr>
          <w:noProof/>
        </w:rPr>
        <w:t xml:space="preserve"> </w:t>
      </w:r>
      <w:r>
        <w:rPr>
          <w:b/>
          <w:bCs/>
          <w:noProof/>
        </w:rPr>
        <w:t>192,</w:t>
      </w:r>
      <w:r>
        <w:rPr>
          <w:noProof/>
        </w:rPr>
        <w:t xml:space="preserve"> 657–664 (2010).</w:t>
      </w:r>
    </w:p>
    <w:p w14:paraId="311912C6" w14:textId="68D84267" w:rsidR="00637D1E" w:rsidRDefault="00637D1E" w:rsidP="003F1CCD">
      <w:pPr>
        <w:widowControl w:val="0"/>
        <w:autoSpaceDE w:val="0"/>
        <w:autoSpaceDN w:val="0"/>
        <w:adjustRightInd w:val="0"/>
        <w:ind w:left="560" w:hanging="560"/>
        <w:jc w:val="both"/>
        <w:rPr>
          <w:noProof/>
        </w:rPr>
      </w:pPr>
      <w:r>
        <w:rPr>
          <w:noProof/>
        </w:rPr>
        <w:t>41.</w:t>
      </w:r>
      <w:r>
        <w:rPr>
          <w:noProof/>
        </w:rPr>
        <w:tab/>
        <w:t xml:space="preserve">Paredes-Sabja, D., Shen, A. &amp; Sorg, J. A. </w:t>
      </w:r>
      <w:r w:rsidR="00AB3480" w:rsidRPr="00AB3480">
        <w:rPr>
          <w:i/>
          <w:noProof/>
        </w:rPr>
        <w:t>Clostridium difficile</w:t>
      </w:r>
      <w:r>
        <w:rPr>
          <w:noProof/>
        </w:rPr>
        <w:t xml:space="preserve"> spore biology: sporulation, germination, and spore structural proteins. </w:t>
      </w:r>
      <w:r>
        <w:rPr>
          <w:i/>
          <w:iCs/>
          <w:noProof/>
        </w:rPr>
        <w:t>Trends Microbiol.</w:t>
      </w:r>
      <w:r>
        <w:rPr>
          <w:noProof/>
        </w:rPr>
        <w:t xml:space="preserve"> </w:t>
      </w:r>
      <w:r>
        <w:rPr>
          <w:b/>
          <w:bCs/>
          <w:noProof/>
        </w:rPr>
        <w:t>22,</w:t>
      </w:r>
      <w:r>
        <w:rPr>
          <w:noProof/>
        </w:rPr>
        <w:t xml:space="preserve"> 406–416 (2014).</w:t>
      </w:r>
    </w:p>
    <w:p w14:paraId="29F21444" w14:textId="05A5100B" w:rsidR="00637D1E" w:rsidRDefault="00637D1E" w:rsidP="003F1CCD">
      <w:pPr>
        <w:widowControl w:val="0"/>
        <w:autoSpaceDE w:val="0"/>
        <w:autoSpaceDN w:val="0"/>
        <w:adjustRightInd w:val="0"/>
        <w:ind w:left="560" w:hanging="560"/>
        <w:jc w:val="both"/>
        <w:rPr>
          <w:noProof/>
        </w:rPr>
      </w:pPr>
      <w:r>
        <w:rPr>
          <w:noProof/>
        </w:rPr>
        <w:t>42.</w:t>
      </w:r>
      <w:r>
        <w:rPr>
          <w:noProof/>
        </w:rPr>
        <w:tab/>
        <w:t xml:space="preserve">Woods, E. C., Edwards, A. N., Childress, K. O., Jones, J. B. &amp; McBride, S. M. The </w:t>
      </w:r>
      <w:r w:rsidR="00AB3480" w:rsidRPr="00AB3480">
        <w:rPr>
          <w:i/>
          <w:noProof/>
        </w:rPr>
        <w:t>C. difficile</w:t>
      </w:r>
      <w:r>
        <w:rPr>
          <w:noProof/>
        </w:rPr>
        <w:t xml:space="preserve"> clnRAB operon initiates adaptations to the host environment in response to LL-37. </w:t>
      </w:r>
      <w:r>
        <w:rPr>
          <w:i/>
          <w:iCs/>
          <w:noProof/>
        </w:rPr>
        <w:t>PLoS Pathog.</w:t>
      </w:r>
      <w:r>
        <w:rPr>
          <w:noProof/>
        </w:rPr>
        <w:t xml:space="preserve"> </w:t>
      </w:r>
      <w:r>
        <w:rPr>
          <w:b/>
          <w:bCs/>
          <w:noProof/>
        </w:rPr>
        <w:t>14,</w:t>
      </w:r>
      <w:r>
        <w:rPr>
          <w:noProof/>
        </w:rPr>
        <w:t xml:space="preserve"> e1007153 (2018).</w:t>
      </w:r>
    </w:p>
    <w:p w14:paraId="4700427B" w14:textId="611AA834" w:rsidR="00637D1E" w:rsidRDefault="00637D1E" w:rsidP="003F1CCD">
      <w:pPr>
        <w:widowControl w:val="0"/>
        <w:autoSpaceDE w:val="0"/>
        <w:autoSpaceDN w:val="0"/>
        <w:adjustRightInd w:val="0"/>
        <w:ind w:left="560" w:hanging="560"/>
        <w:jc w:val="both"/>
        <w:rPr>
          <w:noProof/>
        </w:rPr>
      </w:pPr>
      <w:r>
        <w:rPr>
          <w:noProof/>
        </w:rPr>
        <w:t>43.</w:t>
      </w:r>
      <w:r>
        <w:rPr>
          <w:noProof/>
        </w:rPr>
        <w:tab/>
        <w:t xml:space="preserve">Paredes-Sabja, D., Shen, A. &amp; Sorg, J. A. </w:t>
      </w:r>
      <w:r w:rsidR="00AB3480" w:rsidRPr="00AB3480">
        <w:rPr>
          <w:i/>
          <w:noProof/>
        </w:rPr>
        <w:t>Clostridium difficile</w:t>
      </w:r>
      <w:r>
        <w:rPr>
          <w:noProof/>
        </w:rPr>
        <w:t xml:space="preserve"> spore biology: sporulation, germination, and spore structural proteins. </w:t>
      </w:r>
      <w:r>
        <w:rPr>
          <w:i/>
          <w:iCs/>
          <w:noProof/>
        </w:rPr>
        <w:t>Trends Microbiol.</w:t>
      </w:r>
      <w:r>
        <w:rPr>
          <w:noProof/>
        </w:rPr>
        <w:t xml:space="preserve"> </w:t>
      </w:r>
      <w:r>
        <w:rPr>
          <w:b/>
          <w:bCs/>
          <w:noProof/>
        </w:rPr>
        <w:t>22,</w:t>
      </w:r>
      <w:r>
        <w:rPr>
          <w:noProof/>
        </w:rPr>
        <w:t xml:space="preserve"> 406–</w:t>
      </w:r>
      <w:r>
        <w:rPr>
          <w:noProof/>
        </w:rPr>
        <w:lastRenderedPageBreak/>
        <w:t>416 (2014).</w:t>
      </w:r>
    </w:p>
    <w:p w14:paraId="700330FD" w14:textId="4937EE1A" w:rsidR="00637D1E" w:rsidRDefault="00637D1E" w:rsidP="003F1CCD">
      <w:pPr>
        <w:widowControl w:val="0"/>
        <w:autoSpaceDE w:val="0"/>
        <w:autoSpaceDN w:val="0"/>
        <w:adjustRightInd w:val="0"/>
        <w:ind w:left="560" w:hanging="560"/>
        <w:jc w:val="both"/>
        <w:rPr>
          <w:noProof/>
        </w:rPr>
      </w:pPr>
      <w:r>
        <w:rPr>
          <w:noProof/>
        </w:rPr>
        <w:t>44.</w:t>
      </w:r>
      <w:r>
        <w:rPr>
          <w:noProof/>
        </w:rPr>
        <w:tab/>
        <w:t xml:space="preserve">Freeman, J. &amp; Wilcox, M. H. Antibiotics and </w:t>
      </w:r>
      <w:r w:rsidR="00AB3480" w:rsidRPr="00AB3480">
        <w:rPr>
          <w:i/>
          <w:noProof/>
        </w:rPr>
        <w:t>Clostridium difficile</w:t>
      </w:r>
      <w:r>
        <w:rPr>
          <w:noProof/>
        </w:rPr>
        <w:t xml:space="preserve">. </w:t>
      </w:r>
      <w:r>
        <w:rPr>
          <w:i/>
          <w:iCs/>
          <w:noProof/>
        </w:rPr>
        <w:t>Microbes Infect.</w:t>
      </w:r>
      <w:r>
        <w:rPr>
          <w:noProof/>
        </w:rPr>
        <w:t xml:space="preserve"> </w:t>
      </w:r>
      <w:r>
        <w:rPr>
          <w:b/>
          <w:bCs/>
          <w:noProof/>
        </w:rPr>
        <w:t>1,</w:t>
      </w:r>
      <w:r>
        <w:rPr>
          <w:noProof/>
        </w:rPr>
        <w:t xml:space="preserve"> 377–384 (1999).</w:t>
      </w:r>
    </w:p>
    <w:p w14:paraId="457B3E9D" w14:textId="45358E0E" w:rsidR="00637D1E" w:rsidRDefault="00637D1E" w:rsidP="003F1CCD">
      <w:pPr>
        <w:widowControl w:val="0"/>
        <w:autoSpaceDE w:val="0"/>
        <w:autoSpaceDN w:val="0"/>
        <w:adjustRightInd w:val="0"/>
        <w:ind w:left="560" w:hanging="560"/>
        <w:jc w:val="both"/>
        <w:rPr>
          <w:noProof/>
        </w:rPr>
      </w:pPr>
      <w:r>
        <w:rPr>
          <w:noProof/>
        </w:rPr>
        <w:t>45.</w:t>
      </w:r>
      <w:r>
        <w:rPr>
          <w:noProof/>
        </w:rPr>
        <w:tab/>
        <w:t xml:space="preserve">Schäffler, H. &amp; Breitrück, A. </w:t>
      </w:r>
      <w:r w:rsidR="00AB3480" w:rsidRPr="00AB3480">
        <w:rPr>
          <w:i/>
          <w:noProof/>
        </w:rPr>
        <w:t>Clostridium difficile</w:t>
      </w:r>
      <w:r>
        <w:rPr>
          <w:noProof/>
        </w:rPr>
        <w:t xml:space="preserve"> - From Colonization to Infection. </w:t>
      </w:r>
      <w:r>
        <w:rPr>
          <w:i/>
          <w:iCs/>
          <w:noProof/>
        </w:rPr>
        <w:t>Front. Microbiol.</w:t>
      </w:r>
      <w:r>
        <w:rPr>
          <w:noProof/>
        </w:rPr>
        <w:t xml:space="preserve"> </w:t>
      </w:r>
      <w:r>
        <w:rPr>
          <w:b/>
          <w:bCs/>
          <w:noProof/>
        </w:rPr>
        <w:t>9,</w:t>
      </w:r>
      <w:r>
        <w:rPr>
          <w:noProof/>
        </w:rPr>
        <w:t xml:space="preserve"> 646 (2018).</w:t>
      </w:r>
    </w:p>
    <w:p w14:paraId="241DEBAC" w14:textId="7A7E13FE" w:rsidR="00637D1E" w:rsidRDefault="00637D1E" w:rsidP="003F1CCD">
      <w:pPr>
        <w:widowControl w:val="0"/>
        <w:autoSpaceDE w:val="0"/>
        <w:autoSpaceDN w:val="0"/>
        <w:adjustRightInd w:val="0"/>
        <w:ind w:left="560" w:hanging="560"/>
        <w:jc w:val="both"/>
        <w:rPr>
          <w:noProof/>
        </w:rPr>
      </w:pPr>
      <w:r>
        <w:rPr>
          <w:noProof/>
        </w:rPr>
        <w:t>46.</w:t>
      </w:r>
      <w:r>
        <w:rPr>
          <w:noProof/>
        </w:rPr>
        <w:tab/>
        <w:t xml:space="preserve">Akerlund, T., Svenungsson, B., Lagergren, A. &amp; Burman, L. G. Correlation of disease severity with fecal toxin levels in patients with </w:t>
      </w:r>
      <w:r w:rsidR="00AB3480" w:rsidRPr="00AB3480">
        <w:rPr>
          <w:i/>
          <w:noProof/>
        </w:rPr>
        <w:t>Clostridium difficile</w:t>
      </w:r>
      <w:r>
        <w:rPr>
          <w:noProof/>
        </w:rPr>
        <w:t xml:space="preserve">-associated diarrhea and distribution of PCR ribotypes and toxin yields in vitro of corresponding isolates. </w:t>
      </w:r>
      <w:r>
        <w:rPr>
          <w:i/>
          <w:iCs/>
          <w:noProof/>
        </w:rPr>
        <w:t>J. Clin. Microbiol.</w:t>
      </w:r>
      <w:r>
        <w:rPr>
          <w:noProof/>
        </w:rPr>
        <w:t xml:space="preserve"> </w:t>
      </w:r>
      <w:r>
        <w:rPr>
          <w:b/>
          <w:bCs/>
          <w:noProof/>
        </w:rPr>
        <w:t>44,</w:t>
      </w:r>
      <w:r>
        <w:rPr>
          <w:noProof/>
        </w:rPr>
        <w:t xml:space="preserve"> 353–358 (2006).</w:t>
      </w:r>
    </w:p>
    <w:p w14:paraId="2AE6E8C6" w14:textId="7FADEE07" w:rsidR="00637D1E" w:rsidRDefault="00637D1E" w:rsidP="003F1CCD">
      <w:pPr>
        <w:widowControl w:val="0"/>
        <w:autoSpaceDE w:val="0"/>
        <w:autoSpaceDN w:val="0"/>
        <w:adjustRightInd w:val="0"/>
        <w:ind w:left="560" w:hanging="560"/>
        <w:jc w:val="both"/>
        <w:rPr>
          <w:noProof/>
        </w:rPr>
      </w:pPr>
      <w:r>
        <w:rPr>
          <w:noProof/>
        </w:rPr>
        <w:t>47.</w:t>
      </w:r>
      <w:r>
        <w:rPr>
          <w:noProof/>
        </w:rPr>
        <w:tab/>
        <w:t xml:space="preserve">Voth, D. E. &amp; Ballard, J. D. </w:t>
      </w:r>
      <w:r w:rsidR="00AB3480" w:rsidRPr="00AB3480">
        <w:rPr>
          <w:i/>
          <w:noProof/>
        </w:rPr>
        <w:t>Clostridium difficile</w:t>
      </w:r>
      <w:r>
        <w:rPr>
          <w:noProof/>
        </w:rPr>
        <w:t xml:space="preserve"> toxins: mechanism of action and role in disease. </w:t>
      </w:r>
      <w:r>
        <w:rPr>
          <w:i/>
          <w:iCs/>
          <w:noProof/>
        </w:rPr>
        <w:t>Clin. Microbiol. Rev.</w:t>
      </w:r>
      <w:r>
        <w:rPr>
          <w:noProof/>
        </w:rPr>
        <w:t xml:space="preserve"> </w:t>
      </w:r>
      <w:r>
        <w:rPr>
          <w:b/>
          <w:bCs/>
          <w:noProof/>
        </w:rPr>
        <w:t>18,</w:t>
      </w:r>
      <w:r>
        <w:rPr>
          <w:noProof/>
        </w:rPr>
        <w:t xml:space="preserve"> 247–263 (2005).</w:t>
      </w:r>
    </w:p>
    <w:p w14:paraId="777CABC0" w14:textId="3C1E7011" w:rsidR="00637D1E" w:rsidRDefault="00637D1E" w:rsidP="003F1CCD">
      <w:pPr>
        <w:widowControl w:val="0"/>
        <w:autoSpaceDE w:val="0"/>
        <w:autoSpaceDN w:val="0"/>
        <w:adjustRightInd w:val="0"/>
        <w:ind w:left="560" w:hanging="560"/>
        <w:jc w:val="both"/>
        <w:rPr>
          <w:noProof/>
        </w:rPr>
      </w:pPr>
      <w:r>
        <w:rPr>
          <w:noProof/>
        </w:rPr>
        <w:t>48.</w:t>
      </w:r>
      <w:r>
        <w:rPr>
          <w:noProof/>
        </w:rPr>
        <w:tab/>
        <w:t xml:space="preserve">Dupuy, B. &amp; Sonenshein, A. L. Regulated transcription of </w:t>
      </w:r>
      <w:r w:rsidR="00AB3480" w:rsidRPr="00AB3480">
        <w:rPr>
          <w:i/>
          <w:noProof/>
        </w:rPr>
        <w:t>Clostridium difficile</w:t>
      </w:r>
      <w:r>
        <w:rPr>
          <w:noProof/>
        </w:rPr>
        <w:t xml:space="preserve"> toxin genes. </w:t>
      </w:r>
      <w:r>
        <w:rPr>
          <w:i/>
          <w:iCs/>
          <w:noProof/>
        </w:rPr>
        <w:t>Mol. Microbiol.</w:t>
      </w:r>
      <w:r>
        <w:rPr>
          <w:noProof/>
        </w:rPr>
        <w:t xml:space="preserve"> </w:t>
      </w:r>
      <w:r>
        <w:rPr>
          <w:b/>
          <w:bCs/>
          <w:noProof/>
        </w:rPr>
        <w:t>27,</w:t>
      </w:r>
      <w:r>
        <w:rPr>
          <w:noProof/>
        </w:rPr>
        <w:t xml:space="preserve"> 107–120 (1998).</w:t>
      </w:r>
    </w:p>
    <w:p w14:paraId="04D5CAF5" w14:textId="752E8B52" w:rsidR="00637D1E" w:rsidRDefault="00637D1E" w:rsidP="003F1CCD">
      <w:pPr>
        <w:widowControl w:val="0"/>
        <w:autoSpaceDE w:val="0"/>
        <w:autoSpaceDN w:val="0"/>
        <w:adjustRightInd w:val="0"/>
        <w:ind w:left="560" w:hanging="560"/>
        <w:jc w:val="both"/>
        <w:rPr>
          <w:noProof/>
        </w:rPr>
      </w:pPr>
      <w:r>
        <w:rPr>
          <w:noProof/>
        </w:rPr>
        <w:t>49.</w:t>
      </w:r>
      <w:r>
        <w:rPr>
          <w:noProof/>
        </w:rPr>
        <w:tab/>
        <w:t xml:space="preserve">Hundsberger, T. </w:t>
      </w:r>
      <w:r>
        <w:rPr>
          <w:i/>
          <w:iCs/>
          <w:noProof/>
        </w:rPr>
        <w:t>et al.</w:t>
      </w:r>
      <w:r>
        <w:rPr>
          <w:noProof/>
        </w:rPr>
        <w:t xml:space="preserve"> Transcription analysis of the genes </w:t>
      </w:r>
      <w:r w:rsidRPr="003F1CCD">
        <w:rPr>
          <w:i/>
          <w:noProof/>
        </w:rPr>
        <w:t>tcdA-E</w:t>
      </w:r>
      <w:r>
        <w:rPr>
          <w:noProof/>
        </w:rPr>
        <w:t xml:space="preserve"> of the pathogenicity locus of </w:t>
      </w:r>
      <w:r w:rsidR="00AB3480" w:rsidRPr="00AB3480">
        <w:rPr>
          <w:i/>
          <w:noProof/>
        </w:rPr>
        <w:t>Clostridium difficile</w:t>
      </w:r>
      <w:r>
        <w:rPr>
          <w:noProof/>
        </w:rPr>
        <w:t xml:space="preserve">. </w:t>
      </w:r>
      <w:r>
        <w:rPr>
          <w:i/>
          <w:iCs/>
          <w:noProof/>
        </w:rPr>
        <w:t>Eur. J. Biochem.</w:t>
      </w:r>
      <w:r>
        <w:rPr>
          <w:noProof/>
        </w:rPr>
        <w:t xml:space="preserve"> </w:t>
      </w:r>
      <w:r>
        <w:rPr>
          <w:b/>
          <w:bCs/>
          <w:noProof/>
        </w:rPr>
        <w:t>244,</w:t>
      </w:r>
      <w:r>
        <w:rPr>
          <w:noProof/>
        </w:rPr>
        <w:t xml:space="preserve"> 735–742 (1997).</w:t>
      </w:r>
    </w:p>
    <w:p w14:paraId="18D7C331" w14:textId="4654562D" w:rsidR="00637D1E" w:rsidRDefault="00637D1E" w:rsidP="003F1CCD">
      <w:pPr>
        <w:widowControl w:val="0"/>
        <w:autoSpaceDE w:val="0"/>
        <w:autoSpaceDN w:val="0"/>
        <w:adjustRightInd w:val="0"/>
        <w:ind w:left="560" w:hanging="560"/>
        <w:jc w:val="both"/>
        <w:rPr>
          <w:noProof/>
        </w:rPr>
      </w:pPr>
      <w:r>
        <w:rPr>
          <w:noProof/>
        </w:rPr>
        <w:t>50.</w:t>
      </w:r>
      <w:r>
        <w:rPr>
          <w:noProof/>
        </w:rPr>
        <w:tab/>
        <w:t xml:space="preserve">Karlsson, S., Burman, L. G. &amp; Akerlund, T. Induction of toxins in </w:t>
      </w:r>
      <w:r w:rsidR="00AB3480" w:rsidRPr="00AB3480">
        <w:rPr>
          <w:i/>
          <w:noProof/>
        </w:rPr>
        <w:t>Clostridium difficile</w:t>
      </w:r>
      <w:r>
        <w:rPr>
          <w:noProof/>
        </w:rPr>
        <w:t xml:space="preserve"> is associated with dramatic changes of its metabolism. </w:t>
      </w:r>
      <w:r>
        <w:rPr>
          <w:i/>
          <w:iCs/>
          <w:noProof/>
        </w:rPr>
        <w:t>Microbiology (Reading, Engl.)</w:t>
      </w:r>
      <w:r>
        <w:rPr>
          <w:noProof/>
        </w:rPr>
        <w:t xml:space="preserve"> </w:t>
      </w:r>
      <w:r>
        <w:rPr>
          <w:b/>
          <w:bCs/>
          <w:noProof/>
        </w:rPr>
        <w:t>154,</w:t>
      </w:r>
      <w:r>
        <w:rPr>
          <w:noProof/>
        </w:rPr>
        <w:t xml:space="preserve"> 3430–3436 (2008).</w:t>
      </w:r>
    </w:p>
    <w:p w14:paraId="2867EC65" w14:textId="01018F65" w:rsidR="00637D1E" w:rsidRDefault="00637D1E" w:rsidP="003F1CCD">
      <w:pPr>
        <w:widowControl w:val="0"/>
        <w:autoSpaceDE w:val="0"/>
        <w:autoSpaceDN w:val="0"/>
        <w:adjustRightInd w:val="0"/>
        <w:ind w:left="560" w:hanging="560"/>
        <w:jc w:val="both"/>
        <w:rPr>
          <w:noProof/>
        </w:rPr>
      </w:pPr>
      <w:r>
        <w:rPr>
          <w:noProof/>
        </w:rPr>
        <w:t>51.</w:t>
      </w:r>
      <w:r>
        <w:rPr>
          <w:noProof/>
        </w:rPr>
        <w:tab/>
        <w:t xml:space="preserve">Kazamias, M. T. &amp; Sperry, J. F. Enhanced fermentation of mannitol and release of cytotoxin by </w:t>
      </w:r>
      <w:r w:rsidR="00AB3480" w:rsidRPr="00AB3480">
        <w:rPr>
          <w:i/>
          <w:noProof/>
        </w:rPr>
        <w:t>Clostridium difficile</w:t>
      </w:r>
      <w:r>
        <w:rPr>
          <w:noProof/>
        </w:rPr>
        <w:t xml:space="preserve"> in alkaline culture media. </w:t>
      </w:r>
      <w:r>
        <w:rPr>
          <w:i/>
          <w:iCs/>
          <w:noProof/>
        </w:rPr>
        <w:t>Appl. Environ. Microbiol.</w:t>
      </w:r>
      <w:r>
        <w:rPr>
          <w:noProof/>
        </w:rPr>
        <w:t xml:space="preserve"> </w:t>
      </w:r>
      <w:r>
        <w:rPr>
          <w:b/>
          <w:bCs/>
          <w:noProof/>
        </w:rPr>
        <w:t>61,</w:t>
      </w:r>
      <w:r>
        <w:rPr>
          <w:noProof/>
        </w:rPr>
        <w:t xml:space="preserve"> 2425–2427 (1995).</w:t>
      </w:r>
    </w:p>
    <w:p w14:paraId="35E49E02" w14:textId="394FD652" w:rsidR="00637D1E" w:rsidRDefault="00637D1E" w:rsidP="003F1CCD">
      <w:pPr>
        <w:widowControl w:val="0"/>
        <w:autoSpaceDE w:val="0"/>
        <w:autoSpaceDN w:val="0"/>
        <w:adjustRightInd w:val="0"/>
        <w:ind w:left="560" w:hanging="560"/>
        <w:jc w:val="both"/>
        <w:rPr>
          <w:noProof/>
        </w:rPr>
      </w:pPr>
      <w:r>
        <w:rPr>
          <w:noProof/>
        </w:rPr>
        <w:t>52.</w:t>
      </w:r>
      <w:r>
        <w:rPr>
          <w:noProof/>
        </w:rPr>
        <w:tab/>
        <w:t xml:space="preserve">Antunes, A., Martin-Verstraete, I. &amp; Dupuy, B. CcpA-mediated repression of </w:t>
      </w:r>
      <w:r w:rsidR="00AB3480" w:rsidRPr="00AB3480">
        <w:rPr>
          <w:i/>
          <w:noProof/>
        </w:rPr>
        <w:t>Clostridium difficile</w:t>
      </w:r>
      <w:r>
        <w:rPr>
          <w:noProof/>
        </w:rPr>
        <w:t xml:space="preserve"> toxin gene expression. </w:t>
      </w:r>
      <w:r>
        <w:rPr>
          <w:i/>
          <w:iCs/>
          <w:noProof/>
        </w:rPr>
        <w:t>Mol. Microbiol.</w:t>
      </w:r>
      <w:r>
        <w:rPr>
          <w:noProof/>
        </w:rPr>
        <w:t xml:space="preserve"> </w:t>
      </w:r>
      <w:r>
        <w:rPr>
          <w:b/>
          <w:bCs/>
          <w:noProof/>
        </w:rPr>
        <w:t>79,</w:t>
      </w:r>
      <w:r>
        <w:rPr>
          <w:noProof/>
        </w:rPr>
        <w:t xml:space="preserve"> 882–899 (2011).</w:t>
      </w:r>
    </w:p>
    <w:p w14:paraId="1E8E78DD" w14:textId="457289BC" w:rsidR="00637D1E" w:rsidRDefault="00637D1E" w:rsidP="003F1CCD">
      <w:pPr>
        <w:widowControl w:val="0"/>
        <w:autoSpaceDE w:val="0"/>
        <w:autoSpaceDN w:val="0"/>
        <w:adjustRightInd w:val="0"/>
        <w:ind w:left="560" w:hanging="560"/>
        <w:jc w:val="both"/>
        <w:rPr>
          <w:noProof/>
        </w:rPr>
      </w:pPr>
      <w:r>
        <w:rPr>
          <w:noProof/>
        </w:rPr>
        <w:t>53.</w:t>
      </w:r>
      <w:r>
        <w:rPr>
          <w:noProof/>
        </w:rPr>
        <w:tab/>
        <w:t xml:space="preserve">Bouillaut, L., Dubois, T., Sonenshein, A. L. &amp; Dupuy, B. Integration of metabolism </w:t>
      </w:r>
      <w:r>
        <w:rPr>
          <w:noProof/>
        </w:rPr>
        <w:lastRenderedPageBreak/>
        <w:t xml:space="preserve">and virulence in </w:t>
      </w:r>
      <w:r w:rsidR="00AB3480" w:rsidRPr="00AB3480">
        <w:rPr>
          <w:i/>
          <w:noProof/>
        </w:rPr>
        <w:t>Clostridium difficile</w:t>
      </w:r>
      <w:r>
        <w:rPr>
          <w:noProof/>
        </w:rPr>
        <w:t xml:space="preserve">. </w:t>
      </w:r>
      <w:r>
        <w:rPr>
          <w:i/>
          <w:iCs/>
          <w:noProof/>
        </w:rPr>
        <w:t>Res. Microbiol.</w:t>
      </w:r>
      <w:r>
        <w:rPr>
          <w:noProof/>
        </w:rPr>
        <w:t xml:space="preserve"> </w:t>
      </w:r>
      <w:r>
        <w:rPr>
          <w:b/>
          <w:bCs/>
          <w:noProof/>
        </w:rPr>
        <w:t>166,</w:t>
      </w:r>
      <w:r>
        <w:rPr>
          <w:noProof/>
        </w:rPr>
        <w:t xml:space="preserve"> 375–383 (2015).</w:t>
      </w:r>
    </w:p>
    <w:p w14:paraId="5ABF6A5C" w14:textId="5E9EFBFC" w:rsidR="00637D1E" w:rsidRDefault="00637D1E" w:rsidP="003F1CCD">
      <w:pPr>
        <w:widowControl w:val="0"/>
        <w:autoSpaceDE w:val="0"/>
        <w:autoSpaceDN w:val="0"/>
        <w:adjustRightInd w:val="0"/>
        <w:ind w:left="560" w:hanging="560"/>
        <w:jc w:val="both"/>
        <w:rPr>
          <w:noProof/>
        </w:rPr>
      </w:pPr>
      <w:r>
        <w:rPr>
          <w:noProof/>
        </w:rPr>
        <w:t>54.</w:t>
      </w:r>
      <w:r>
        <w:rPr>
          <w:noProof/>
        </w:rPr>
        <w:tab/>
        <w:t xml:space="preserve">Dineen, S. S., McBride, S. M. &amp; Sonenshein, A. L. Integration of metabolism and virulence by </w:t>
      </w:r>
      <w:r w:rsidR="00AB3480" w:rsidRPr="00AB3480">
        <w:rPr>
          <w:i/>
          <w:noProof/>
        </w:rPr>
        <w:t>Clostridium difficile</w:t>
      </w:r>
      <w:r>
        <w:rPr>
          <w:noProof/>
        </w:rPr>
        <w:t xml:space="preserve"> CodY. </w:t>
      </w:r>
      <w:r>
        <w:rPr>
          <w:i/>
          <w:iCs/>
          <w:noProof/>
        </w:rPr>
        <w:t>J. Bacteriol.</w:t>
      </w:r>
      <w:r>
        <w:rPr>
          <w:noProof/>
        </w:rPr>
        <w:t xml:space="preserve"> </w:t>
      </w:r>
      <w:r>
        <w:rPr>
          <w:b/>
          <w:bCs/>
          <w:noProof/>
        </w:rPr>
        <w:t>192,</w:t>
      </w:r>
      <w:r>
        <w:rPr>
          <w:noProof/>
        </w:rPr>
        <w:t xml:space="preserve"> 5350–5362 (2010).</w:t>
      </w:r>
    </w:p>
    <w:p w14:paraId="7C602E79" w14:textId="73F689B2" w:rsidR="00637D1E" w:rsidRDefault="00637D1E" w:rsidP="003F1CCD">
      <w:pPr>
        <w:widowControl w:val="0"/>
        <w:autoSpaceDE w:val="0"/>
        <w:autoSpaceDN w:val="0"/>
        <w:adjustRightInd w:val="0"/>
        <w:ind w:left="560" w:hanging="560"/>
        <w:jc w:val="both"/>
        <w:rPr>
          <w:noProof/>
        </w:rPr>
      </w:pPr>
      <w:r>
        <w:rPr>
          <w:noProof/>
        </w:rPr>
        <w:t>55.</w:t>
      </w:r>
      <w:r>
        <w:rPr>
          <w:noProof/>
        </w:rPr>
        <w:tab/>
        <w:t xml:space="preserve">Karlsson, S., Burman, L. G. &amp; Akerlund, T. Suppression of toxin production in </w:t>
      </w:r>
      <w:r w:rsidR="00AB3480" w:rsidRPr="00AB3480">
        <w:rPr>
          <w:i/>
          <w:noProof/>
        </w:rPr>
        <w:t>Clostridium difficile</w:t>
      </w:r>
      <w:r>
        <w:rPr>
          <w:noProof/>
        </w:rPr>
        <w:t xml:space="preserve"> VPI 10463 by amino acids. </w:t>
      </w:r>
      <w:r>
        <w:rPr>
          <w:i/>
          <w:iCs/>
          <w:noProof/>
        </w:rPr>
        <w:t>Microbiology (Reading, Engl.)</w:t>
      </w:r>
      <w:r>
        <w:rPr>
          <w:noProof/>
        </w:rPr>
        <w:t xml:space="preserve"> </w:t>
      </w:r>
      <w:r>
        <w:rPr>
          <w:b/>
          <w:bCs/>
          <w:noProof/>
        </w:rPr>
        <w:t>145 ( Pt 7),</w:t>
      </w:r>
      <w:r>
        <w:rPr>
          <w:noProof/>
        </w:rPr>
        <w:t xml:space="preserve"> 1683–1693 (1999).</w:t>
      </w:r>
    </w:p>
    <w:p w14:paraId="10E3DD1C" w14:textId="220CEC73" w:rsidR="00637D1E" w:rsidRDefault="00637D1E" w:rsidP="003F1CCD">
      <w:pPr>
        <w:widowControl w:val="0"/>
        <w:autoSpaceDE w:val="0"/>
        <w:autoSpaceDN w:val="0"/>
        <w:adjustRightInd w:val="0"/>
        <w:ind w:left="560" w:hanging="560"/>
        <w:jc w:val="both"/>
        <w:rPr>
          <w:noProof/>
        </w:rPr>
      </w:pPr>
      <w:r>
        <w:rPr>
          <w:noProof/>
        </w:rPr>
        <w:t>56.</w:t>
      </w:r>
      <w:r>
        <w:rPr>
          <w:noProof/>
        </w:rPr>
        <w:tab/>
        <w:t xml:space="preserve">Lyon, S. A., Hutton, M. L., Rood, J. I., Cheung, J. K. &amp; Lyras, D. CdtR Regulates TcdA and TcdB Production in </w:t>
      </w:r>
      <w:r w:rsidR="00AB3480" w:rsidRPr="00AB3480">
        <w:rPr>
          <w:i/>
          <w:noProof/>
        </w:rPr>
        <w:t>Clostridium difficile</w:t>
      </w:r>
      <w:r>
        <w:rPr>
          <w:noProof/>
        </w:rPr>
        <w:t xml:space="preserve">. </w:t>
      </w:r>
      <w:r>
        <w:rPr>
          <w:i/>
          <w:iCs/>
          <w:noProof/>
        </w:rPr>
        <w:t>PLoS Pathog.</w:t>
      </w:r>
      <w:r>
        <w:rPr>
          <w:noProof/>
        </w:rPr>
        <w:t xml:space="preserve"> </w:t>
      </w:r>
      <w:r>
        <w:rPr>
          <w:b/>
          <w:bCs/>
          <w:noProof/>
        </w:rPr>
        <w:t>12,</w:t>
      </w:r>
      <w:r>
        <w:rPr>
          <w:noProof/>
        </w:rPr>
        <w:t xml:space="preserve"> e1005758 (2016).</w:t>
      </w:r>
    </w:p>
    <w:p w14:paraId="10A6261C" w14:textId="44C860A2" w:rsidR="00637D1E" w:rsidRDefault="00637D1E" w:rsidP="003F1CCD">
      <w:pPr>
        <w:widowControl w:val="0"/>
        <w:autoSpaceDE w:val="0"/>
        <w:autoSpaceDN w:val="0"/>
        <w:adjustRightInd w:val="0"/>
        <w:ind w:left="560" w:hanging="560"/>
        <w:jc w:val="both"/>
        <w:rPr>
          <w:noProof/>
        </w:rPr>
      </w:pPr>
      <w:r>
        <w:rPr>
          <w:noProof/>
        </w:rPr>
        <w:t>57.</w:t>
      </w:r>
      <w:r>
        <w:rPr>
          <w:noProof/>
        </w:rPr>
        <w:tab/>
        <w:t xml:space="preserve">Nawrocki, K. L., Edwards, A. N., Daou, N., Bouillaut, L. &amp; McBride, S. M. CodY-Dependent Regulation of Sporulation in </w:t>
      </w:r>
      <w:r w:rsidR="00AB3480" w:rsidRPr="00AB3480">
        <w:rPr>
          <w:i/>
          <w:noProof/>
        </w:rPr>
        <w:t>Clostridium difficile</w:t>
      </w:r>
      <w:r>
        <w:rPr>
          <w:noProof/>
        </w:rPr>
        <w:t xml:space="preserve">. </w:t>
      </w:r>
      <w:r>
        <w:rPr>
          <w:i/>
          <w:iCs/>
          <w:noProof/>
        </w:rPr>
        <w:t>J. Bacteriol.</w:t>
      </w:r>
      <w:r>
        <w:rPr>
          <w:noProof/>
        </w:rPr>
        <w:t xml:space="preserve"> </w:t>
      </w:r>
      <w:r>
        <w:rPr>
          <w:b/>
          <w:bCs/>
          <w:noProof/>
        </w:rPr>
        <w:t>198,</w:t>
      </w:r>
      <w:r>
        <w:rPr>
          <w:noProof/>
        </w:rPr>
        <w:t xml:space="preserve"> 2113–2130 (2016).</w:t>
      </w:r>
    </w:p>
    <w:p w14:paraId="5110B6B8" w14:textId="0AFBF373" w:rsidR="00637D1E" w:rsidRDefault="00637D1E" w:rsidP="003F1CCD">
      <w:pPr>
        <w:widowControl w:val="0"/>
        <w:autoSpaceDE w:val="0"/>
        <w:autoSpaceDN w:val="0"/>
        <w:adjustRightInd w:val="0"/>
        <w:ind w:left="560" w:hanging="560"/>
        <w:jc w:val="both"/>
        <w:rPr>
          <w:noProof/>
        </w:rPr>
      </w:pPr>
      <w:r>
        <w:rPr>
          <w:noProof/>
        </w:rPr>
        <w:t>58.</w:t>
      </w:r>
      <w:r>
        <w:rPr>
          <w:noProof/>
        </w:rPr>
        <w:tab/>
        <w:t xml:space="preserve">Antunes, A. </w:t>
      </w:r>
      <w:r>
        <w:rPr>
          <w:i/>
          <w:iCs/>
          <w:noProof/>
        </w:rPr>
        <w:t>et al.</w:t>
      </w:r>
      <w:r>
        <w:rPr>
          <w:noProof/>
        </w:rPr>
        <w:t xml:space="preserve"> Global transcriptional control by glucose and carbon regulator CcpA in </w:t>
      </w:r>
      <w:r w:rsidR="00AB3480" w:rsidRPr="00AB3480">
        <w:rPr>
          <w:i/>
          <w:noProof/>
        </w:rPr>
        <w:t>Clostridium difficile</w:t>
      </w:r>
      <w:r>
        <w:rPr>
          <w:noProof/>
        </w:rPr>
        <w:t xml:space="preserve">. </w:t>
      </w:r>
      <w:r>
        <w:rPr>
          <w:i/>
          <w:iCs/>
          <w:noProof/>
        </w:rPr>
        <w:t>Nucleic Acids Res.</w:t>
      </w:r>
      <w:r>
        <w:rPr>
          <w:noProof/>
        </w:rPr>
        <w:t xml:space="preserve"> </w:t>
      </w:r>
      <w:r>
        <w:rPr>
          <w:b/>
          <w:bCs/>
          <w:noProof/>
        </w:rPr>
        <w:t>40,</w:t>
      </w:r>
      <w:r>
        <w:rPr>
          <w:noProof/>
        </w:rPr>
        <w:t xml:space="preserve"> 10701–10718 (2012).</w:t>
      </w:r>
    </w:p>
    <w:p w14:paraId="093E93AE" w14:textId="56F97E27" w:rsidR="00637D1E" w:rsidRDefault="00637D1E" w:rsidP="003F1CCD">
      <w:pPr>
        <w:widowControl w:val="0"/>
        <w:autoSpaceDE w:val="0"/>
        <w:autoSpaceDN w:val="0"/>
        <w:adjustRightInd w:val="0"/>
        <w:ind w:left="560" w:hanging="560"/>
        <w:jc w:val="both"/>
        <w:rPr>
          <w:noProof/>
        </w:rPr>
      </w:pPr>
      <w:r>
        <w:rPr>
          <w:noProof/>
        </w:rPr>
        <w:t>59.</w:t>
      </w:r>
      <w:r>
        <w:rPr>
          <w:noProof/>
        </w:rPr>
        <w:tab/>
        <w:t xml:space="preserve">Jank, T., Giesemann, T. &amp; Aktories, K. Rho-glucosylating </w:t>
      </w:r>
      <w:r w:rsidR="00AB3480" w:rsidRPr="00AB3480">
        <w:rPr>
          <w:i/>
          <w:noProof/>
        </w:rPr>
        <w:t>Clostridium difficile</w:t>
      </w:r>
      <w:r>
        <w:rPr>
          <w:noProof/>
        </w:rPr>
        <w:t xml:space="preserve"> toxins A and B: new insights into structure and function. </w:t>
      </w:r>
      <w:r>
        <w:rPr>
          <w:i/>
          <w:iCs/>
          <w:noProof/>
        </w:rPr>
        <w:t>Glycobiology</w:t>
      </w:r>
      <w:r>
        <w:rPr>
          <w:noProof/>
        </w:rPr>
        <w:t xml:space="preserve"> </w:t>
      </w:r>
      <w:r>
        <w:rPr>
          <w:b/>
          <w:bCs/>
          <w:noProof/>
        </w:rPr>
        <w:t>17,</w:t>
      </w:r>
      <w:r>
        <w:rPr>
          <w:noProof/>
        </w:rPr>
        <w:t xml:space="preserve"> 15R–22R (2007).</w:t>
      </w:r>
    </w:p>
    <w:p w14:paraId="40B41DBA" w14:textId="379A9A77" w:rsidR="00637D1E" w:rsidRDefault="00637D1E" w:rsidP="003F1CCD">
      <w:pPr>
        <w:widowControl w:val="0"/>
        <w:autoSpaceDE w:val="0"/>
        <w:autoSpaceDN w:val="0"/>
        <w:adjustRightInd w:val="0"/>
        <w:ind w:left="560" w:hanging="560"/>
        <w:jc w:val="both"/>
        <w:rPr>
          <w:noProof/>
        </w:rPr>
      </w:pPr>
      <w:r>
        <w:rPr>
          <w:noProof/>
        </w:rPr>
        <w:t>60.</w:t>
      </w:r>
      <w:r>
        <w:rPr>
          <w:noProof/>
        </w:rPr>
        <w:tab/>
        <w:t xml:space="preserve">Sullivan, N. M., Pellett, S. &amp; Wilkins, T. D. Purification and characterization of toxins A and B of </w:t>
      </w:r>
      <w:r w:rsidR="00AB3480" w:rsidRPr="00AB3480">
        <w:rPr>
          <w:i/>
          <w:noProof/>
        </w:rPr>
        <w:t>Clostridium difficile</w:t>
      </w:r>
      <w:r>
        <w:rPr>
          <w:noProof/>
        </w:rPr>
        <w:t xml:space="preserve">. </w:t>
      </w:r>
      <w:r>
        <w:rPr>
          <w:i/>
          <w:iCs/>
          <w:noProof/>
        </w:rPr>
        <w:t>Infect. Immun.</w:t>
      </w:r>
      <w:r>
        <w:rPr>
          <w:noProof/>
        </w:rPr>
        <w:t xml:space="preserve"> </w:t>
      </w:r>
      <w:r>
        <w:rPr>
          <w:b/>
          <w:bCs/>
          <w:noProof/>
        </w:rPr>
        <w:t>35,</w:t>
      </w:r>
      <w:r>
        <w:rPr>
          <w:noProof/>
        </w:rPr>
        <w:t xml:space="preserve"> 1032–1040 (1982).</w:t>
      </w:r>
    </w:p>
    <w:p w14:paraId="58E54628" w14:textId="3407CF70" w:rsidR="00637D1E" w:rsidRDefault="00637D1E" w:rsidP="003F1CCD">
      <w:pPr>
        <w:widowControl w:val="0"/>
        <w:autoSpaceDE w:val="0"/>
        <w:autoSpaceDN w:val="0"/>
        <w:adjustRightInd w:val="0"/>
        <w:ind w:left="560" w:hanging="560"/>
        <w:jc w:val="both"/>
        <w:rPr>
          <w:noProof/>
        </w:rPr>
      </w:pPr>
      <w:r>
        <w:rPr>
          <w:noProof/>
        </w:rPr>
        <w:t>61.</w:t>
      </w:r>
      <w:r>
        <w:rPr>
          <w:noProof/>
        </w:rPr>
        <w:tab/>
        <w:t xml:space="preserve">Lyerly, D. M., Lockwood, D. E., Richardson, S. H. &amp; Wilkins, T. D. Biological activities of toxins A and B of </w:t>
      </w:r>
      <w:r w:rsidR="00AB3480" w:rsidRPr="00AB3480">
        <w:rPr>
          <w:i/>
          <w:noProof/>
        </w:rPr>
        <w:t>Clostridium difficile</w:t>
      </w:r>
      <w:r>
        <w:rPr>
          <w:noProof/>
        </w:rPr>
        <w:t xml:space="preserve">. </w:t>
      </w:r>
      <w:r>
        <w:rPr>
          <w:i/>
          <w:iCs/>
          <w:noProof/>
        </w:rPr>
        <w:t>Infect. Immun.</w:t>
      </w:r>
      <w:r>
        <w:rPr>
          <w:noProof/>
        </w:rPr>
        <w:t xml:space="preserve"> </w:t>
      </w:r>
      <w:r>
        <w:rPr>
          <w:b/>
          <w:bCs/>
          <w:noProof/>
        </w:rPr>
        <w:t>35,</w:t>
      </w:r>
      <w:r>
        <w:rPr>
          <w:noProof/>
        </w:rPr>
        <w:t xml:space="preserve"> 1147–1150 (1982).</w:t>
      </w:r>
    </w:p>
    <w:p w14:paraId="6EC14159" w14:textId="68C5FAA5" w:rsidR="00637D1E" w:rsidRDefault="00637D1E" w:rsidP="003F1CCD">
      <w:pPr>
        <w:widowControl w:val="0"/>
        <w:autoSpaceDE w:val="0"/>
        <w:autoSpaceDN w:val="0"/>
        <w:adjustRightInd w:val="0"/>
        <w:ind w:left="560" w:hanging="560"/>
        <w:jc w:val="both"/>
        <w:rPr>
          <w:noProof/>
        </w:rPr>
      </w:pPr>
      <w:r>
        <w:rPr>
          <w:noProof/>
        </w:rPr>
        <w:t>62.</w:t>
      </w:r>
      <w:r>
        <w:rPr>
          <w:noProof/>
        </w:rPr>
        <w:tab/>
        <w:t xml:space="preserve">Kuehne, S. A. </w:t>
      </w:r>
      <w:r>
        <w:rPr>
          <w:i/>
          <w:iCs/>
          <w:noProof/>
        </w:rPr>
        <w:t>et al.</w:t>
      </w:r>
      <w:r>
        <w:rPr>
          <w:noProof/>
        </w:rPr>
        <w:t xml:space="preserve"> The role of toxin A and toxin B in </w:t>
      </w:r>
      <w:r w:rsidR="00AB3480" w:rsidRPr="00AB3480">
        <w:rPr>
          <w:i/>
          <w:noProof/>
        </w:rPr>
        <w:t>Clostridium difficile</w:t>
      </w:r>
      <w:r>
        <w:rPr>
          <w:noProof/>
        </w:rPr>
        <w:t xml:space="preserve"> infection. </w:t>
      </w:r>
      <w:r>
        <w:rPr>
          <w:i/>
          <w:iCs/>
          <w:noProof/>
        </w:rPr>
        <w:t>Nature</w:t>
      </w:r>
      <w:r>
        <w:rPr>
          <w:noProof/>
        </w:rPr>
        <w:t xml:space="preserve"> </w:t>
      </w:r>
      <w:r>
        <w:rPr>
          <w:b/>
          <w:bCs/>
          <w:noProof/>
        </w:rPr>
        <w:t>467,</w:t>
      </w:r>
      <w:r>
        <w:rPr>
          <w:noProof/>
        </w:rPr>
        <w:t xml:space="preserve"> 711–713 (2010).</w:t>
      </w:r>
    </w:p>
    <w:p w14:paraId="06F4E4DA" w14:textId="02D98AF7" w:rsidR="00637D1E" w:rsidRDefault="00637D1E" w:rsidP="003F1CCD">
      <w:pPr>
        <w:widowControl w:val="0"/>
        <w:autoSpaceDE w:val="0"/>
        <w:autoSpaceDN w:val="0"/>
        <w:adjustRightInd w:val="0"/>
        <w:ind w:left="560" w:hanging="560"/>
        <w:jc w:val="both"/>
        <w:rPr>
          <w:noProof/>
        </w:rPr>
      </w:pPr>
      <w:r>
        <w:rPr>
          <w:noProof/>
        </w:rPr>
        <w:lastRenderedPageBreak/>
        <w:t>63.</w:t>
      </w:r>
      <w:r>
        <w:rPr>
          <w:noProof/>
        </w:rPr>
        <w:tab/>
        <w:t xml:space="preserve">Shen, A. </w:t>
      </w:r>
      <w:r w:rsidR="00AB3480" w:rsidRPr="00AB3480">
        <w:rPr>
          <w:i/>
          <w:noProof/>
        </w:rPr>
        <w:t>Clostridium difficile</w:t>
      </w:r>
      <w:r>
        <w:rPr>
          <w:noProof/>
        </w:rPr>
        <w:t xml:space="preserve"> toxins: mediators of inflammation. </w:t>
      </w:r>
      <w:r>
        <w:rPr>
          <w:i/>
          <w:iCs/>
          <w:noProof/>
        </w:rPr>
        <w:t>J Innate Immun</w:t>
      </w:r>
      <w:r>
        <w:rPr>
          <w:noProof/>
        </w:rPr>
        <w:t xml:space="preserve"> </w:t>
      </w:r>
      <w:r>
        <w:rPr>
          <w:b/>
          <w:bCs/>
          <w:noProof/>
        </w:rPr>
        <w:t>4,</w:t>
      </w:r>
      <w:r>
        <w:rPr>
          <w:noProof/>
        </w:rPr>
        <w:t xml:space="preserve"> 149–158 (2012).</w:t>
      </w:r>
    </w:p>
    <w:p w14:paraId="7BFC39DC" w14:textId="29E9A458" w:rsidR="00637D1E" w:rsidRDefault="00637D1E" w:rsidP="003F1CCD">
      <w:pPr>
        <w:widowControl w:val="0"/>
        <w:autoSpaceDE w:val="0"/>
        <w:autoSpaceDN w:val="0"/>
        <w:adjustRightInd w:val="0"/>
        <w:ind w:left="560" w:hanging="560"/>
        <w:jc w:val="both"/>
        <w:rPr>
          <w:noProof/>
        </w:rPr>
      </w:pPr>
      <w:r>
        <w:rPr>
          <w:noProof/>
        </w:rPr>
        <w:t>64.</w:t>
      </w:r>
      <w:r>
        <w:rPr>
          <w:noProof/>
        </w:rPr>
        <w:tab/>
        <w:t xml:space="preserve">Abt, M. C., McKenney, P. T. &amp; Pamer, E. G. </w:t>
      </w:r>
      <w:r w:rsidR="00AB3480" w:rsidRPr="00AB3480">
        <w:rPr>
          <w:i/>
          <w:noProof/>
        </w:rPr>
        <w:t>Clostridium difficile</w:t>
      </w:r>
      <w:r>
        <w:rPr>
          <w:noProof/>
        </w:rPr>
        <w:t xml:space="preserve"> colitis: pathogenesis and host defence. </w:t>
      </w:r>
      <w:r>
        <w:rPr>
          <w:i/>
          <w:iCs/>
          <w:noProof/>
        </w:rPr>
        <w:t>Nat. Rev. Microbiol.</w:t>
      </w:r>
      <w:r>
        <w:rPr>
          <w:noProof/>
        </w:rPr>
        <w:t xml:space="preserve"> </w:t>
      </w:r>
      <w:r>
        <w:rPr>
          <w:b/>
          <w:bCs/>
          <w:noProof/>
        </w:rPr>
        <w:t>14,</w:t>
      </w:r>
      <w:r>
        <w:rPr>
          <w:noProof/>
        </w:rPr>
        <w:t xml:space="preserve"> 609–620 (2016).</w:t>
      </w:r>
    </w:p>
    <w:p w14:paraId="1644B5BE" w14:textId="77777777" w:rsidR="00637D1E" w:rsidRDefault="00637D1E" w:rsidP="003F1CCD">
      <w:pPr>
        <w:widowControl w:val="0"/>
        <w:autoSpaceDE w:val="0"/>
        <w:autoSpaceDN w:val="0"/>
        <w:adjustRightInd w:val="0"/>
        <w:ind w:left="560" w:hanging="560"/>
        <w:jc w:val="both"/>
        <w:rPr>
          <w:noProof/>
        </w:rPr>
      </w:pPr>
      <w:r>
        <w:rPr>
          <w:noProof/>
        </w:rPr>
        <w:t>65.</w:t>
      </w:r>
      <w:r>
        <w:rPr>
          <w:noProof/>
        </w:rPr>
        <w:tab/>
        <w:t xml:space="preserve">Farooq, P. D., Urrunaga, N. H., Tang, D. M. &amp; von Rosenvinge, E. C. Pseudomembranous colitis. </w:t>
      </w:r>
      <w:r>
        <w:rPr>
          <w:i/>
          <w:iCs/>
          <w:noProof/>
        </w:rPr>
        <w:t>Dis. Mon.</w:t>
      </w:r>
      <w:r>
        <w:rPr>
          <w:noProof/>
        </w:rPr>
        <w:t xml:space="preserve"> </w:t>
      </w:r>
      <w:r>
        <w:rPr>
          <w:b/>
          <w:bCs/>
          <w:noProof/>
        </w:rPr>
        <w:t>61,</w:t>
      </w:r>
      <w:r>
        <w:rPr>
          <w:noProof/>
        </w:rPr>
        <w:t xml:space="preserve"> 181–206 (2015).</w:t>
      </w:r>
    </w:p>
    <w:p w14:paraId="64FD0793" w14:textId="12ED2657" w:rsidR="00637D1E" w:rsidRDefault="00637D1E" w:rsidP="003F1CCD">
      <w:pPr>
        <w:widowControl w:val="0"/>
        <w:autoSpaceDE w:val="0"/>
        <w:autoSpaceDN w:val="0"/>
        <w:adjustRightInd w:val="0"/>
        <w:ind w:left="560" w:hanging="560"/>
        <w:jc w:val="both"/>
        <w:rPr>
          <w:noProof/>
        </w:rPr>
      </w:pPr>
      <w:r>
        <w:rPr>
          <w:noProof/>
        </w:rPr>
        <w:t>66.</w:t>
      </w:r>
      <w:r>
        <w:rPr>
          <w:noProof/>
        </w:rPr>
        <w:tab/>
        <w:t xml:space="preserve">Dobson, G., Hickey, C. &amp; Trinder, J. </w:t>
      </w:r>
      <w:r w:rsidR="00AB3480" w:rsidRPr="00AB3480">
        <w:rPr>
          <w:i/>
          <w:noProof/>
        </w:rPr>
        <w:t>Clostridium difficile</w:t>
      </w:r>
      <w:r>
        <w:rPr>
          <w:noProof/>
        </w:rPr>
        <w:t xml:space="preserve"> colitis causing toxic megacolon, severe sepsis and multiple organ dysfunction syndrome. </w:t>
      </w:r>
      <w:r>
        <w:rPr>
          <w:i/>
          <w:iCs/>
          <w:noProof/>
        </w:rPr>
        <w:t>Intensive Care Med.</w:t>
      </w:r>
      <w:r>
        <w:rPr>
          <w:noProof/>
        </w:rPr>
        <w:t xml:space="preserve"> </w:t>
      </w:r>
      <w:r>
        <w:rPr>
          <w:b/>
          <w:bCs/>
          <w:noProof/>
        </w:rPr>
        <w:t>29,</w:t>
      </w:r>
      <w:r>
        <w:rPr>
          <w:noProof/>
        </w:rPr>
        <w:t xml:space="preserve"> 1030 (2003).</w:t>
      </w:r>
    </w:p>
    <w:p w14:paraId="5A186C2A" w14:textId="12C97583" w:rsidR="00637D1E" w:rsidRDefault="00637D1E" w:rsidP="003F1CCD">
      <w:pPr>
        <w:widowControl w:val="0"/>
        <w:autoSpaceDE w:val="0"/>
        <w:autoSpaceDN w:val="0"/>
        <w:adjustRightInd w:val="0"/>
        <w:ind w:left="560" w:hanging="560"/>
        <w:jc w:val="both"/>
        <w:rPr>
          <w:noProof/>
        </w:rPr>
      </w:pPr>
      <w:r>
        <w:rPr>
          <w:noProof/>
        </w:rPr>
        <w:t>67.</w:t>
      </w:r>
      <w:r>
        <w:rPr>
          <w:noProof/>
        </w:rPr>
        <w:tab/>
        <w:t xml:space="preserve">Drummond, L. J., Smith, D. G. E. &amp; Poxton, I. R. Effects of sub-MIC concentrations of antibiotics on growth of and toxin production by </w:t>
      </w:r>
      <w:r w:rsidR="00AB3480" w:rsidRPr="00AB3480">
        <w:rPr>
          <w:i/>
          <w:noProof/>
        </w:rPr>
        <w:t>Clostridium difficile</w:t>
      </w:r>
      <w:r>
        <w:rPr>
          <w:noProof/>
        </w:rPr>
        <w:t xml:space="preserve">. </w:t>
      </w:r>
      <w:r>
        <w:rPr>
          <w:i/>
          <w:iCs/>
          <w:noProof/>
        </w:rPr>
        <w:t>J. Med. Microbiol.</w:t>
      </w:r>
      <w:r>
        <w:rPr>
          <w:noProof/>
        </w:rPr>
        <w:t xml:space="preserve"> </w:t>
      </w:r>
      <w:r>
        <w:rPr>
          <w:b/>
          <w:bCs/>
          <w:noProof/>
        </w:rPr>
        <w:t>52,</w:t>
      </w:r>
      <w:r>
        <w:rPr>
          <w:noProof/>
        </w:rPr>
        <w:t xml:space="preserve"> 1033–1038 (2003).</w:t>
      </w:r>
    </w:p>
    <w:p w14:paraId="75FA7852" w14:textId="08E5FCC2" w:rsidR="00637D1E" w:rsidRDefault="00637D1E" w:rsidP="003F1CCD">
      <w:pPr>
        <w:widowControl w:val="0"/>
        <w:autoSpaceDE w:val="0"/>
        <w:autoSpaceDN w:val="0"/>
        <w:adjustRightInd w:val="0"/>
        <w:ind w:left="560" w:hanging="560"/>
        <w:jc w:val="both"/>
        <w:rPr>
          <w:noProof/>
        </w:rPr>
      </w:pPr>
      <w:r>
        <w:rPr>
          <w:noProof/>
        </w:rPr>
        <w:t>68.</w:t>
      </w:r>
      <w:r>
        <w:rPr>
          <w:noProof/>
        </w:rPr>
        <w:tab/>
        <w:t xml:space="preserve">Lamontagne, F. </w:t>
      </w:r>
      <w:r>
        <w:rPr>
          <w:i/>
          <w:iCs/>
          <w:noProof/>
        </w:rPr>
        <w:t>et al.</w:t>
      </w:r>
      <w:r>
        <w:rPr>
          <w:noProof/>
        </w:rPr>
        <w:t xml:space="preserve"> Impact of emergency colectomy on survival of patients with fulminant </w:t>
      </w:r>
      <w:r w:rsidR="00AB3480" w:rsidRPr="00AB3480">
        <w:rPr>
          <w:i/>
          <w:noProof/>
        </w:rPr>
        <w:t>Clostridium difficile</w:t>
      </w:r>
      <w:r>
        <w:rPr>
          <w:noProof/>
        </w:rPr>
        <w:t xml:space="preserve"> colitis during an epidemic caused by a hypervirulent strain. </w:t>
      </w:r>
      <w:r>
        <w:rPr>
          <w:i/>
          <w:iCs/>
          <w:noProof/>
        </w:rPr>
        <w:t>Ann. Surg.</w:t>
      </w:r>
      <w:r>
        <w:rPr>
          <w:noProof/>
        </w:rPr>
        <w:t xml:space="preserve"> </w:t>
      </w:r>
      <w:r>
        <w:rPr>
          <w:b/>
          <w:bCs/>
          <w:noProof/>
        </w:rPr>
        <w:t>245,</w:t>
      </w:r>
      <w:r>
        <w:rPr>
          <w:noProof/>
        </w:rPr>
        <w:t xml:space="preserve"> 267–272 (2007).</w:t>
      </w:r>
    </w:p>
    <w:p w14:paraId="24E6E5AA" w14:textId="76BC8083" w:rsidR="00637D1E" w:rsidRDefault="00637D1E" w:rsidP="003F1CCD">
      <w:pPr>
        <w:widowControl w:val="0"/>
        <w:autoSpaceDE w:val="0"/>
        <w:autoSpaceDN w:val="0"/>
        <w:adjustRightInd w:val="0"/>
        <w:ind w:left="560" w:hanging="560"/>
        <w:jc w:val="both"/>
        <w:rPr>
          <w:noProof/>
        </w:rPr>
      </w:pPr>
      <w:r>
        <w:rPr>
          <w:noProof/>
        </w:rPr>
        <w:t>69.</w:t>
      </w:r>
      <w:r>
        <w:rPr>
          <w:noProof/>
        </w:rPr>
        <w:tab/>
        <w:t xml:space="preserve">Braun, V., Hundsberger, T., Leukel, P., Sauerborn, M. &amp; von Eichel-Streiber, C. Definition of the single integration site of the pathogenicity locus in </w:t>
      </w:r>
      <w:r w:rsidR="00AB3480" w:rsidRPr="00AB3480">
        <w:rPr>
          <w:i/>
          <w:noProof/>
        </w:rPr>
        <w:t>Clostridium difficile</w:t>
      </w:r>
      <w:r>
        <w:rPr>
          <w:noProof/>
        </w:rPr>
        <w:t xml:space="preserve">. </w:t>
      </w:r>
      <w:r>
        <w:rPr>
          <w:i/>
          <w:iCs/>
          <w:noProof/>
        </w:rPr>
        <w:t>Gene</w:t>
      </w:r>
      <w:r>
        <w:rPr>
          <w:noProof/>
        </w:rPr>
        <w:t xml:space="preserve"> </w:t>
      </w:r>
      <w:r>
        <w:rPr>
          <w:b/>
          <w:bCs/>
          <w:noProof/>
        </w:rPr>
        <w:t>181,</w:t>
      </w:r>
      <w:r>
        <w:rPr>
          <w:noProof/>
        </w:rPr>
        <w:t xml:space="preserve"> 29–38 (1996).</w:t>
      </w:r>
    </w:p>
    <w:p w14:paraId="4905789C" w14:textId="2E44AA58" w:rsidR="00637D1E" w:rsidRDefault="00637D1E" w:rsidP="003F1CCD">
      <w:pPr>
        <w:widowControl w:val="0"/>
        <w:autoSpaceDE w:val="0"/>
        <w:autoSpaceDN w:val="0"/>
        <w:adjustRightInd w:val="0"/>
        <w:ind w:left="560" w:hanging="560"/>
        <w:jc w:val="both"/>
        <w:rPr>
          <w:noProof/>
        </w:rPr>
      </w:pPr>
      <w:r>
        <w:rPr>
          <w:noProof/>
        </w:rPr>
        <w:t>70.</w:t>
      </w:r>
      <w:r>
        <w:rPr>
          <w:noProof/>
        </w:rPr>
        <w:tab/>
        <w:t xml:space="preserve">Kachrimanidou, M. &amp; Malisiovas, N. </w:t>
      </w:r>
      <w:r w:rsidR="00AB3480" w:rsidRPr="00AB3480">
        <w:rPr>
          <w:i/>
          <w:noProof/>
        </w:rPr>
        <w:t>Clostridium difficile</w:t>
      </w:r>
      <w:r>
        <w:rPr>
          <w:noProof/>
        </w:rPr>
        <w:t xml:space="preserve"> infection: a comprehensive review. </w:t>
      </w:r>
      <w:r>
        <w:rPr>
          <w:i/>
          <w:iCs/>
          <w:noProof/>
        </w:rPr>
        <w:t>Crit Rev Microbiol</w:t>
      </w:r>
      <w:r>
        <w:rPr>
          <w:noProof/>
        </w:rPr>
        <w:t xml:space="preserve"> </w:t>
      </w:r>
      <w:r>
        <w:rPr>
          <w:b/>
          <w:bCs/>
          <w:noProof/>
        </w:rPr>
        <w:t>37,</w:t>
      </w:r>
      <w:r>
        <w:rPr>
          <w:noProof/>
        </w:rPr>
        <w:t xml:space="preserve"> 178–187 (2011).</w:t>
      </w:r>
    </w:p>
    <w:p w14:paraId="71F0C7F1" w14:textId="77777777" w:rsidR="00637D1E" w:rsidRDefault="00637D1E" w:rsidP="003F1CCD">
      <w:pPr>
        <w:widowControl w:val="0"/>
        <w:autoSpaceDE w:val="0"/>
        <w:autoSpaceDN w:val="0"/>
        <w:adjustRightInd w:val="0"/>
        <w:ind w:left="560" w:hanging="560"/>
        <w:jc w:val="both"/>
        <w:rPr>
          <w:noProof/>
        </w:rPr>
      </w:pPr>
      <w:r>
        <w:rPr>
          <w:noProof/>
        </w:rPr>
        <w:t>71.</w:t>
      </w:r>
      <w:r>
        <w:rPr>
          <w:noProof/>
        </w:rPr>
        <w:tab/>
        <w:t xml:space="preserve">Dupuy, B. </w:t>
      </w:r>
      <w:r>
        <w:rPr>
          <w:i/>
          <w:iCs/>
          <w:noProof/>
        </w:rPr>
        <w:t>et al.</w:t>
      </w:r>
      <w:r>
        <w:rPr>
          <w:noProof/>
        </w:rPr>
        <w:t xml:space="preserve"> Regulation of toxin and bacteriocin gene expression in </w:t>
      </w:r>
      <w:r w:rsidRPr="00930C17">
        <w:rPr>
          <w:i/>
          <w:noProof/>
        </w:rPr>
        <w:t>Clostridium</w:t>
      </w:r>
      <w:r>
        <w:rPr>
          <w:noProof/>
        </w:rPr>
        <w:t xml:space="preserve"> by interchangeable RNA polymerase sigma factors. </w:t>
      </w:r>
      <w:r>
        <w:rPr>
          <w:i/>
          <w:iCs/>
          <w:noProof/>
        </w:rPr>
        <w:t>Mol. Microbiol.</w:t>
      </w:r>
      <w:r>
        <w:rPr>
          <w:noProof/>
        </w:rPr>
        <w:t xml:space="preserve"> </w:t>
      </w:r>
      <w:r>
        <w:rPr>
          <w:b/>
          <w:bCs/>
          <w:noProof/>
        </w:rPr>
        <w:t>60,</w:t>
      </w:r>
      <w:r>
        <w:rPr>
          <w:noProof/>
        </w:rPr>
        <w:t xml:space="preserve"> 1044–1057 (2006).</w:t>
      </w:r>
    </w:p>
    <w:p w14:paraId="3D336F7F" w14:textId="2BE6FB6F" w:rsidR="00637D1E" w:rsidRDefault="00637D1E" w:rsidP="003F1CCD">
      <w:pPr>
        <w:widowControl w:val="0"/>
        <w:autoSpaceDE w:val="0"/>
        <w:autoSpaceDN w:val="0"/>
        <w:adjustRightInd w:val="0"/>
        <w:ind w:left="560" w:hanging="560"/>
        <w:jc w:val="both"/>
        <w:rPr>
          <w:noProof/>
        </w:rPr>
      </w:pPr>
      <w:r>
        <w:rPr>
          <w:noProof/>
        </w:rPr>
        <w:t>72.</w:t>
      </w:r>
      <w:r>
        <w:rPr>
          <w:noProof/>
        </w:rPr>
        <w:tab/>
        <w:t xml:space="preserve">Govind, R. &amp; Dupuy, B. Secretion of </w:t>
      </w:r>
      <w:r w:rsidR="00AB3480" w:rsidRPr="00AB3480">
        <w:rPr>
          <w:i/>
          <w:noProof/>
        </w:rPr>
        <w:t>Clostridium difficile</w:t>
      </w:r>
      <w:r>
        <w:rPr>
          <w:noProof/>
        </w:rPr>
        <w:t xml:space="preserve"> toxins A and B requires </w:t>
      </w:r>
      <w:r>
        <w:rPr>
          <w:noProof/>
        </w:rPr>
        <w:lastRenderedPageBreak/>
        <w:t xml:space="preserve">the holin-like protein TcdE. </w:t>
      </w:r>
      <w:r>
        <w:rPr>
          <w:i/>
          <w:iCs/>
          <w:noProof/>
        </w:rPr>
        <w:t>PLoS Pathog.</w:t>
      </w:r>
      <w:r>
        <w:rPr>
          <w:noProof/>
        </w:rPr>
        <w:t xml:space="preserve"> </w:t>
      </w:r>
      <w:r>
        <w:rPr>
          <w:b/>
          <w:bCs/>
          <w:noProof/>
        </w:rPr>
        <w:t>8,</w:t>
      </w:r>
      <w:r>
        <w:rPr>
          <w:noProof/>
        </w:rPr>
        <w:t xml:space="preserve"> e1002727 (2012).</w:t>
      </w:r>
    </w:p>
    <w:p w14:paraId="79493A38" w14:textId="179975ED" w:rsidR="00637D1E" w:rsidRDefault="00637D1E" w:rsidP="003F1CCD">
      <w:pPr>
        <w:widowControl w:val="0"/>
        <w:autoSpaceDE w:val="0"/>
        <w:autoSpaceDN w:val="0"/>
        <w:adjustRightInd w:val="0"/>
        <w:ind w:left="560" w:hanging="560"/>
        <w:jc w:val="both"/>
        <w:rPr>
          <w:noProof/>
        </w:rPr>
      </w:pPr>
      <w:r>
        <w:rPr>
          <w:noProof/>
        </w:rPr>
        <w:t>73.</w:t>
      </w:r>
      <w:r>
        <w:rPr>
          <w:noProof/>
        </w:rPr>
        <w:tab/>
        <w:t xml:space="preserve">Chen, S., Sun, C., Wang, H. &amp; Wang, J. The Role of Rho GTPases in Toxicity of </w:t>
      </w:r>
      <w:r w:rsidR="00AB3480" w:rsidRPr="00AB3480">
        <w:rPr>
          <w:i/>
          <w:noProof/>
        </w:rPr>
        <w:t>Clostridium difficile</w:t>
      </w:r>
      <w:r>
        <w:rPr>
          <w:noProof/>
        </w:rPr>
        <w:t xml:space="preserve"> Toxins. </w:t>
      </w:r>
      <w:r>
        <w:rPr>
          <w:i/>
          <w:iCs/>
          <w:noProof/>
        </w:rPr>
        <w:t>Toxins (Basel)</w:t>
      </w:r>
      <w:r>
        <w:rPr>
          <w:noProof/>
        </w:rPr>
        <w:t xml:space="preserve"> </w:t>
      </w:r>
      <w:r>
        <w:rPr>
          <w:b/>
          <w:bCs/>
          <w:noProof/>
        </w:rPr>
        <w:t>7,</w:t>
      </w:r>
      <w:r>
        <w:rPr>
          <w:noProof/>
        </w:rPr>
        <w:t xml:space="preserve"> 5254–5267 (2015).</w:t>
      </w:r>
    </w:p>
    <w:p w14:paraId="094B6371" w14:textId="45046AAA" w:rsidR="00637D1E" w:rsidRDefault="00637D1E" w:rsidP="003F1CCD">
      <w:pPr>
        <w:widowControl w:val="0"/>
        <w:autoSpaceDE w:val="0"/>
        <w:autoSpaceDN w:val="0"/>
        <w:adjustRightInd w:val="0"/>
        <w:ind w:left="560" w:hanging="560"/>
        <w:jc w:val="both"/>
        <w:rPr>
          <w:noProof/>
        </w:rPr>
      </w:pPr>
      <w:r>
        <w:rPr>
          <w:noProof/>
        </w:rPr>
        <w:t>74.</w:t>
      </w:r>
      <w:r>
        <w:rPr>
          <w:noProof/>
        </w:rPr>
        <w:tab/>
        <w:t xml:space="preserve">Gerhard, R. Receptors and Binding Structures for </w:t>
      </w:r>
      <w:r w:rsidR="00AB3480" w:rsidRPr="00AB3480">
        <w:rPr>
          <w:i/>
          <w:noProof/>
        </w:rPr>
        <w:t>Clostridium difficile</w:t>
      </w:r>
      <w:r>
        <w:rPr>
          <w:noProof/>
        </w:rPr>
        <w:t xml:space="preserve"> Toxins A and B. </w:t>
      </w:r>
      <w:r>
        <w:rPr>
          <w:i/>
          <w:iCs/>
          <w:noProof/>
        </w:rPr>
        <w:t>Curr. Top. Microbiol. Immunol.</w:t>
      </w:r>
      <w:r>
        <w:rPr>
          <w:noProof/>
        </w:rPr>
        <w:t xml:space="preserve"> </w:t>
      </w:r>
      <w:r>
        <w:rPr>
          <w:b/>
          <w:bCs/>
          <w:noProof/>
        </w:rPr>
        <w:t>406,</w:t>
      </w:r>
      <w:r>
        <w:rPr>
          <w:noProof/>
        </w:rPr>
        <w:t xml:space="preserve"> 79–96 (2017).</w:t>
      </w:r>
    </w:p>
    <w:p w14:paraId="2C32AB83" w14:textId="31999A91" w:rsidR="00637D1E" w:rsidRDefault="00637D1E" w:rsidP="003F1CCD">
      <w:pPr>
        <w:widowControl w:val="0"/>
        <w:autoSpaceDE w:val="0"/>
        <w:autoSpaceDN w:val="0"/>
        <w:adjustRightInd w:val="0"/>
        <w:ind w:left="560" w:hanging="560"/>
        <w:jc w:val="both"/>
        <w:rPr>
          <w:noProof/>
        </w:rPr>
      </w:pPr>
      <w:r>
        <w:rPr>
          <w:noProof/>
        </w:rPr>
        <w:t>75.</w:t>
      </w:r>
      <w:r>
        <w:rPr>
          <w:noProof/>
        </w:rPr>
        <w:tab/>
        <w:t xml:space="preserve">Aktories, K., Schwan, C. &amp; Jank, T. </w:t>
      </w:r>
      <w:r w:rsidR="00AB3480" w:rsidRPr="00AB3480">
        <w:rPr>
          <w:i/>
          <w:noProof/>
        </w:rPr>
        <w:t>Clostridium difficile</w:t>
      </w:r>
      <w:r>
        <w:rPr>
          <w:noProof/>
        </w:rPr>
        <w:t xml:space="preserve"> Toxin Biology. </w:t>
      </w:r>
      <w:r>
        <w:rPr>
          <w:i/>
          <w:iCs/>
          <w:noProof/>
        </w:rPr>
        <w:t>Annu. Rev. Microbiol.</w:t>
      </w:r>
      <w:r>
        <w:rPr>
          <w:noProof/>
        </w:rPr>
        <w:t xml:space="preserve"> </w:t>
      </w:r>
      <w:r>
        <w:rPr>
          <w:b/>
          <w:bCs/>
          <w:noProof/>
        </w:rPr>
        <w:t>71,</w:t>
      </w:r>
      <w:r>
        <w:rPr>
          <w:noProof/>
        </w:rPr>
        <w:t xml:space="preserve"> 281–307 (2017).</w:t>
      </w:r>
    </w:p>
    <w:p w14:paraId="2EEA82AE" w14:textId="52B5B882" w:rsidR="00637D1E" w:rsidRDefault="00637D1E" w:rsidP="003F1CCD">
      <w:pPr>
        <w:widowControl w:val="0"/>
        <w:autoSpaceDE w:val="0"/>
        <w:autoSpaceDN w:val="0"/>
        <w:adjustRightInd w:val="0"/>
        <w:ind w:left="560" w:hanging="560"/>
        <w:jc w:val="both"/>
        <w:rPr>
          <w:noProof/>
        </w:rPr>
      </w:pPr>
      <w:r>
        <w:rPr>
          <w:noProof/>
        </w:rPr>
        <w:t>76.</w:t>
      </w:r>
      <w:r>
        <w:rPr>
          <w:noProof/>
        </w:rPr>
        <w:tab/>
        <w:t xml:space="preserve">Lambert, G. S. &amp; Baldwin, M. R. Evidence for dual receptor-binding sites in </w:t>
      </w:r>
      <w:r w:rsidR="00AB3480" w:rsidRPr="00AB3480">
        <w:rPr>
          <w:i/>
          <w:noProof/>
        </w:rPr>
        <w:t>Clostridium difficile</w:t>
      </w:r>
      <w:r>
        <w:rPr>
          <w:noProof/>
        </w:rPr>
        <w:t xml:space="preserve"> toxin A. </w:t>
      </w:r>
      <w:r>
        <w:rPr>
          <w:i/>
          <w:iCs/>
          <w:noProof/>
        </w:rPr>
        <w:t>FEBS Lett.</w:t>
      </w:r>
      <w:r>
        <w:rPr>
          <w:noProof/>
        </w:rPr>
        <w:t xml:space="preserve"> </w:t>
      </w:r>
      <w:r>
        <w:rPr>
          <w:b/>
          <w:bCs/>
          <w:noProof/>
        </w:rPr>
        <w:t>590,</w:t>
      </w:r>
      <w:r>
        <w:rPr>
          <w:noProof/>
        </w:rPr>
        <w:t xml:space="preserve"> 4550–4563 (2016).</w:t>
      </w:r>
    </w:p>
    <w:p w14:paraId="75A408A0" w14:textId="275B8F89" w:rsidR="00637D1E" w:rsidRDefault="00637D1E" w:rsidP="003F1CCD">
      <w:pPr>
        <w:widowControl w:val="0"/>
        <w:autoSpaceDE w:val="0"/>
        <w:autoSpaceDN w:val="0"/>
        <w:adjustRightInd w:val="0"/>
        <w:ind w:left="560" w:hanging="560"/>
        <w:jc w:val="both"/>
        <w:rPr>
          <w:noProof/>
        </w:rPr>
      </w:pPr>
      <w:r>
        <w:rPr>
          <w:noProof/>
        </w:rPr>
        <w:t>77.</w:t>
      </w:r>
      <w:r>
        <w:rPr>
          <w:noProof/>
        </w:rPr>
        <w:tab/>
        <w:t xml:space="preserve">Chandrasekaran, R., Kenworthy, A. K. &amp; Lacy, D. B. </w:t>
      </w:r>
      <w:r w:rsidR="00AB3480" w:rsidRPr="00AB3480">
        <w:rPr>
          <w:i/>
          <w:noProof/>
        </w:rPr>
        <w:t>Clostridium difficile</w:t>
      </w:r>
      <w:r>
        <w:rPr>
          <w:noProof/>
        </w:rPr>
        <w:t xml:space="preserve"> Toxin A Undergoes Clathrin-Independent, PACSIN2-Dependent Endocytosis. </w:t>
      </w:r>
      <w:r>
        <w:rPr>
          <w:i/>
          <w:iCs/>
          <w:noProof/>
        </w:rPr>
        <w:t>PLoS Pathog.</w:t>
      </w:r>
      <w:r>
        <w:rPr>
          <w:noProof/>
        </w:rPr>
        <w:t xml:space="preserve"> </w:t>
      </w:r>
      <w:r>
        <w:rPr>
          <w:b/>
          <w:bCs/>
          <w:noProof/>
        </w:rPr>
        <w:t>12,</w:t>
      </w:r>
      <w:r>
        <w:rPr>
          <w:noProof/>
        </w:rPr>
        <w:t xml:space="preserve"> e1006070 (2016).</w:t>
      </w:r>
    </w:p>
    <w:p w14:paraId="30EBE3E7" w14:textId="4A038F01" w:rsidR="00637D1E" w:rsidRDefault="00637D1E" w:rsidP="003F1CCD">
      <w:pPr>
        <w:widowControl w:val="0"/>
        <w:autoSpaceDE w:val="0"/>
        <w:autoSpaceDN w:val="0"/>
        <w:adjustRightInd w:val="0"/>
        <w:ind w:left="560" w:hanging="560"/>
        <w:jc w:val="both"/>
        <w:rPr>
          <w:noProof/>
        </w:rPr>
      </w:pPr>
      <w:r>
        <w:rPr>
          <w:noProof/>
        </w:rPr>
        <w:t>78.</w:t>
      </w:r>
      <w:r>
        <w:rPr>
          <w:noProof/>
        </w:rPr>
        <w:tab/>
        <w:t xml:space="preserve">Tao, L. </w:t>
      </w:r>
      <w:r>
        <w:rPr>
          <w:i/>
          <w:iCs/>
          <w:noProof/>
        </w:rPr>
        <w:t>et al.</w:t>
      </w:r>
      <w:r>
        <w:rPr>
          <w:noProof/>
        </w:rPr>
        <w:t xml:space="preserve"> Frizzled proteins are colonic epithelial receptors for </w:t>
      </w:r>
      <w:r w:rsidR="00AB3480" w:rsidRPr="00AB3480">
        <w:rPr>
          <w:i/>
          <w:noProof/>
        </w:rPr>
        <w:t>C. difficile</w:t>
      </w:r>
      <w:r>
        <w:rPr>
          <w:noProof/>
        </w:rPr>
        <w:t xml:space="preserve"> toxin B. </w:t>
      </w:r>
      <w:r>
        <w:rPr>
          <w:i/>
          <w:iCs/>
          <w:noProof/>
        </w:rPr>
        <w:t>Nature</w:t>
      </w:r>
      <w:r>
        <w:rPr>
          <w:noProof/>
        </w:rPr>
        <w:t xml:space="preserve"> </w:t>
      </w:r>
      <w:r>
        <w:rPr>
          <w:b/>
          <w:bCs/>
          <w:noProof/>
        </w:rPr>
        <w:t>538,</w:t>
      </w:r>
      <w:r>
        <w:rPr>
          <w:noProof/>
        </w:rPr>
        <w:t xml:space="preserve"> 350–355 (2016).</w:t>
      </w:r>
    </w:p>
    <w:p w14:paraId="6492DF78" w14:textId="1749A293" w:rsidR="00637D1E" w:rsidRDefault="00637D1E" w:rsidP="003F1CCD">
      <w:pPr>
        <w:widowControl w:val="0"/>
        <w:autoSpaceDE w:val="0"/>
        <w:autoSpaceDN w:val="0"/>
        <w:adjustRightInd w:val="0"/>
        <w:ind w:left="560" w:hanging="560"/>
        <w:jc w:val="both"/>
        <w:rPr>
          <w:noProof/>
        </w:rPr>
      </w:pPr>
      <w:r>
        <w:rPr>
          <w:noProof/>
        </w:rPr>
        <w:t>79.</w:t>
      </w:r>
      <w:r>
        <w:rPr>
          <w:noProof/>
        </w:rPr>
        <w:tab/>
        <w:t xml:space="preserve">LaFrance, M. E. </w:t>
      </w:r>
      <w:r>
        <w:rPr>
          <w:i/>
          <w:iCs/>
          <w:noProof/>
        </w:rPr>
        <w:t>et al.</w:t>
      </w:r>
      <w:r>
        <w:rPr>
          <w:noProof/>
        </w:rPr>
        <w:t xml:space="preserve"> Identification of an epithelial cell receptor responsible for </w:t>
      </w:r>
      <w:r w:rsidR="00AB3480" w:rsidRPr="00AB3480">
        <w:rPr>
          <w:i/>
          <w:noProof/>
        </w:rPr>
        <w:t>Clostridium difficile</w:t>
      </w:r>
      <w:r>
        <w:rPr>
          <w:noProof/>
        </w:rPr>
        <w:t xml:space="preserve"> TcdB-induced cytotoxicity. </w:t>
      </w:r>
      <w:r>
        <w:rPr>
          <w:i/>
          <w:iCs/>
          <w:noProof/>
        </w:rPr>
        <w:t>Proc. Natl. Acad. Sci. USA</w:t>
      </w:r>
      <w:r>
        <w:rPr>
          <w:noProof/>
        </w:rPr>
        <w:t xml:space="preserve"> </w:t>
      </w:r>
      <w:r>
        <w:rPr>
          <w:b/>
          <w:bCs/>
          <w:noProof/>
        </w:rPr>
        <w:t>112,</w:t>
      </w:r>
      <w:r>
        <w:rPr>
          <w:noProof/>
        </w:rPr>
        <w:t xml:space="preserve"> 7073–7078 (2015).</w:t>
      </w:r>
    </w:p>
    <w:p w14:paraId="7193F487" w14:textId="77777777" w:rsidR="00637D1E" w:rsidRDefault="00637D1E" w:rsidP="003F1CCD">
      <w:pPr>
        <w:widowControl w:val="0"/>
        <w:autoSpaceDE w:val="0"/>
        <w:autoSpaceDN w:val="0"/>
        <w:adjustRightInd w:val="0"/>
        <w:ind w:left="560" w:hanging="560"/>
        <w:jc w:val="both"/>
        <w:rPr>
          <w:noProof/>
        </w:rPr>
      </w:pPr>
      <w:r>
        <w:rPr>
          <w:noProof/>
        </w:rPr>
        <w:t>80.</w:t>
      </w:r>
      <w:r>
        <w:rPr>
          <w:noProof/>
        </w:rPr>
        <w:tab/>
        <w:t xml:space="preserve">Papatheodorou, P., Zamboglou, C., Genisyuerek, S., Guttenberg, G. &amp; Aktories, K. Clostridial glucosylating toxins enter cells via clathrin-mediated endocytosis. </w:t>
      </w:r>
      <w:r>
        <w:rPr>
          <w:i/>
          <w:iCs/>
          <w:noProof/>
        </w:rPr>
        <w:t>PLoS One</w:t>
      </w:r>
      <w:r>
        <w:rPr>
          <w:noProof/>
        </w:rPr>
        <w:t xml:space="preserve"> </w:t>
      </w:r>
      <w:r>
        <w:rPr>
          <w:b/>
          <w:bCs/>
          <w:noProof/>
        </w:rPr>
        <w:t>5,</w:t>
      </w:r>
      <w:r>
        <w:rPr>
          <w:noProof/>
        </w:rPr>
        <w:t xml:space="preserve"> e10673 (2010).</w:t>
      </w:r>
    </w:p>
    <w:p w14:paraId="5418DB7F" w14:textId="25FF9D4E" w:rsidR="00637D1E" w:rsidRDefault="00637D1E" w:rsidP="003F1CCD">
      <w:pPr>
        <w:widowControl w:val="0"/>
        <w:autoSpaceDE w:val="0"/>
        <w:autoSpaceDN w:val="0"/>
        <w:adjustRightInd w:val="0"/>
        <w:ind w:left="560" w:hanging="560"/>
        <w:jc w:val="both"/>
        <w:rPr>
          <w:noProof/>
        </w:rPr>
      </w:pPr>
      <w:r>
        <w:rPr>
          <w:noProof/>
        </w:rPr>
        <w:t>81.</w:t>
      </w:r>
      <w:r>
        <w:rPr>
          <w:noProof/>
        </w:rPr>
        <w:tab/>
        <w:t xml:space="preserve">Carter, G. P. </w:t>
      </w:r>
      <w:r>
        <w:rPr>
          <w:i/>
          <w:iCs/>
          <w:noProof/>
        </w:rPr>
        <w:t>et al.</w:t>
      </w:r>
      <w:r>
        <w:rPr>
          <w:noProof/>
        </w:rPr>
        <w:t xml:space="preserve"> Binary toxin production in </w:t>
      </w:r>
      <w:r w:rsidR="00AB3480" w:rsidRPr="00AB3480">
        <w:rPr>
          <w:i/>
          <w:noProof/>
        </w:rPr>
        <w:t>Clostridium difficile</w:t>
      </w:r>
      <w:r>
        <w:rPr>
          <w:noProof/>
        </w:rPr>
        <w:t xml:space="preserve"> is regulated by CdtR, a LytTR family response regulator. </w:t>
      </w:r>
      <w:r>
        <w:rPr>
          <w:i/>
          <w:iCs/>
          <w:noProof/>
        </w:rPr>
        <w:t>J. Bacteriol.</w:t>
      </w:r>
      <w:r>
        <w:rPr>
          <w:noProof/>
        </w:rPr>
        <w:t xml:space="preserve"> </w:t>
      </w:r>
      <w:r>
        <w:rPr>
          <w:b/>
          <w:bCs/>
          <w:noProof/>
        </w:rPr>
        <w:t>189,</w:t>
      </w:r>
      <w:r>
        <w:rPr>
          <w:noProof/>
        </w:rPr>
        <w:t xml:space="preserve"> 7290–7301 (2007).</w:t>
      </w:r>
    </w:p>
    <w:p w14:paraId="58A98C19" w14:textId="4183372A" w:rsidR="00637D1E" w:rsidRDefault="00637D1E" w:rsidP="003F1CCD">
      <w:pPr>
        <w:widowControl w:val="0"/>
        <w:autoSpaceDE w:val="0"/>
        <w:autoSpaceDN w:val="0"/>
        <w:adjustRightInd w:val="0"/>
        <w:ind w:left="560" w:hanging="560"/>
        <w:jc w:val="both"/>
        <w:rPr>
          <w:noProof/>
        </w:rPr>
      </w:pPr>
      <w:r>
        <w:rPr>
          <w:noProof/>
        </w:rPr>
        <w:t>82.</w:t>
      </w:r>
      <w:r>
        <w:rPr>
          <w:noProof/>
        </w:rPr>
        <w:tab/>
        <w:t xml:space="preserve">Perelle, S., Gibert, M., Bourlioux, P., Corthier, G. &amp; Popoff, M. R. Production of a complete binary toxin (actin-specific ADP-ribosyltransferase) by </w:t>
      </w:r>
      <w:r w:rsidR="00AB3480" w:rsidRPr="00AB3480">
        <w:rPr>
          <w:i/>
          <w:noProof/>
        </w:rPr>
        <w:t xml:space="preserve">Clostridium </w:t>
      </w:r>
      <w:r w:rsidR="00AB3480" w:rsidRPr="00AB3480">
        <w:rPr>
          <w:i/>
          <w:noProof/>
        </w:rPr>
        <w:lastRenderedPageBreak/>
        <w:t>difficile</w:t>
      </w:r>
      <w:r>
        <w:rPr>
          <w:noProof/>
        </w:rPr>
        <w:t xml:space="preserve"> CD196. </w:t>
      </w:r>
      <w:r>
        <w:rPr>
          <w:i/>
          <w:iCs/>
          <w:noProof/>
        </w:rPr>
        <w:t>Infect. Immun.</w:t>
      </w:r>
      <w:r>
        <w:rPr>
          <w:noProof/>
        </w:rPr>
        <w:t xml:space="preserve"> </w:t>
      </w:r>
      <w:r>
        <w:rPr>
          <w:b/>
          <w:bCs/>
          <w:noProof/>
        </w:rPr>
        <w:t>65,</w:t>
      </w:r>
      <w:r>
        <w:rPr>
          <w:noProof/>
        </w:rPr>
        <w:t xml:space="preserve"> 1402–1407 (1997).</w:t>
      </w:r>
    </w:p>
    <w:p w14:paraId="7B7089AC" w14:textId="22B0DEE9" w:rsidR="00637D1E" w:rsidRDefault="00637D1E" w:rsidP="003F1CCD">
      <w:pPr>
        <w:widowControl w:val="0"/>
        <w:autoSpaceDE w:val="0"/>
        <w:autoSpaceDN w:val="0"/>
        <w:adjustRightInd w:val="0"/>
        <w:ind w:left="560" w:hanging="560"/>
        <w:jc w:val="both"/>
        <w:rPr>
          <w:noProof/>
        </w:rPr>
      </w:pPr>
      <w:r>
        <w:rPr>
          <w:noProof/>
        </w:rPr>
        <w:t>83.</w:t>
      </w:r>
      <w:r>
        <w:rPr>
          <w:noProof/>
        </w:rPr>
        <w:tab/>
        <w:t xml:space="preserve">Gerding, D. N., Johnson, S., Rupnik, M. &amp; Aktories, K. </w:t>
      </w:r>
      <w:r w:rsidR="00AB3480" w:rsidRPr="00AB3480">
        <w:rPr>
          <w:i/>
          <w:noProof/>
        </w:rPr>
        <w:t>Clostridium difficile</w:t>
      </w:r>
      <w:r>
        <w:rPr>
          <w:noProof/>
        </w:rPr>
        <w:t xml:space="preserve"> binary toxin CDT: mechanism, epidemiology, and potential clinical importance. </w:t>
      </w:r>
      <w:r>
        <w:rPr>
          <w:i/>
          <w:iCs/>
          <w:noProof/>
        </w:rPr>
        <w:t>Gut Microbes</w:t>
      </w:r>
      <w:r>
        <w:rPr>
          <w:noProof/>
        </w:rPr>
        <w:t xml:space="preserve"> </w:t>
      </w:r>
      <w:r>
        <w:rPr>
          <w:b/>
          <w:bCs/>
          <w:noProof/>
        </w:rPr>
        <w:t>5,</w:t>
      </w:r>
      <w:r>
        <w:rPr>
          <w:noProof/>
        </w:rPr>
        <w:t xml:space="preserve"> 15–27 (2014).</w:t>
      </w:r>
    </w:p>
    <w:p w14:paraId="275E8F96" w14:textId="0087A013" w:rsidR="00637D1E" w:rsidRDefault="00637D1E" w:rsidP="003F1CCD">
      <w:pPr>
        <w:widowControl w:val="0"/>
        <w:autoSpaceDE w:val="0"/>
        <w:autoSpaceDN w:val="0"/>
        <w:adjustRightInd w:val="0"/>
        <w:ind w:left="560" w:hanging="560"/>
        <w:jc w:val="both"/>
        <w:rPr>
          <w:noProof/>
        </w:rPr>
      </w:pPr>
      <w:r>
        <w:rPr>
          <w:noProof/>
        </w:rPr>
        <w:t>84.</w:t>
      </w:r>
      <w:r>
        <w:rPr>
          <w:noProof/>
        </w:rPr>
        <w:tab/>
        <w:t xml:space="preserve">Gülke, I. </w:t>
      </w:r>
      <w:r>
        <w:rPr>
          <w:i/>
          <w:iCs/>
          <w:noProof/>
        </w:rPr>
        <w:t>et al.</w:t>
      </w:r>
      <w:r>
        <w:rPr>
          <w:noProof/>
        </w:rPr>
        <w:t xml:space="preserve"> Characterization of the enzymatic component of the ADP-ribosyltransferase toxin CDTa from </w:t>
      </w:r>
      <w:r w:rsidR="00AB3480" w:rsidRPr="00AB3480">
        <w:rPr>
          <w:i/>
          <w:noProof/>
        </w:rPr>
        <w:t>Clostridium difficile</w:t>
      </w:r>
      <w:r>
        <w:rPr>
          <w:noProof/>
        </w:rPr>
        <w:t xml:space="preserve">. </w:t>
      </w:r>
      <w:r>
        <w:rPr>
          <w:i/>
          <w:iCs/>
          <w:noProof/>
        </w:rPr>
        <w:t>Infect. Immun.</w:t>
      </w:r>
      <w:r>
        <w:rPr>
          <w:noProof/>
        </w:rPr>
        <w:t xml:space="preserve"> </w:t>
      </w:r>
      <w:r>
        <w:rPr>
          <w:b/>
          <w:bCs/>
          <w:noProof/>
        </w:rPr>
        <w:t>69,</w:t>
      </w:r>
      <w:r>
        <w:rPr>
          <w:noProof/>
        </w:rPr>
        <w:t xml:space="preserve"> 6004–6011 (2001).</w:t>
      </w:r>
    </w:p>
    <w:p w14:paraId="71B729F5" w14:textId="29F7D8FB" w:rsidR="00637D1E" w:rsidRDefault="00637D1E" w:rsidP="003F1CCD">
      <w:pPr>
        <w:widowControl w:val="0"/>
        <w:autoSpaceDE w:val="0"/>
        <w:autoSpaceDN w:val="0"/>
        <w:adjustRightInd w:val="0"/>
        <w:ind w:left="560" w:hanging="560"/>
        <w:jc w:val="both"/>
        <w:rPr>
          <w:noProof/>
        </w:rPr>
      </w:pPr>
      <w:r>
        <w:rPr>
          <w:noProof/>
        </w:rPr>
        <w:t>85.</w:t>
      </w:r>
      <w:r>
        <w:rPr>
          <w:noProof/>
        </w:rPr>
        <w:tab/>
        <w:t xml:space="preserve">Schwan, C. </w:t>
      </w:r>
      <w:r>
        <w:rPr>
          <w:i/>
          <w:iCs/>
          <w:noProof/>
        </w:rPr>
        <w:t>et al.</w:t>
      </w:r>
      <w:r>
        <w:rPr>
          <w:noProof/>
        </w:rPr>
        <w:t xml:space="preserve"> </w:t>
      </w:r>
      <w:r w:rsidR="00AB3480" w:rsidRPr="00AB3480">
        <w:rPr>
          <w:i/>
          <w:noProof/>
        </w:rPr>
        <w:t>Clostridium difficile</w:t>
      </w:r>
      <w:r>
        <w:rPr>
          <w:noProof/>
        </w:rPr>
        <w:t xml:space="preserve"> toxin CDT induces formation of microtubule-based protrusions and increases adherence of bacteria. </w:t>
      </w:r>
      <w:r>
        <w:rPr>
          <w:i/>
          <w:iCs/>
          <w:noProof/>
        </w:rPr>
        <w:t>PLoS Pathog.</w:t>
      </w:r>
      <w:r>
        <w:rPr>
          <w:noProof/>
        </w:rPr>
        <w:t xml:space="preserve"> </w:t>
      </w:r>
      <w:r>
        <w:rPr>
          <w:b/>
          <w:bCs/>
          <w:noProof/>
        </w:rPr>
        <w:t>5,</w:t>
      </w:r>
      <w:r>
        <w:rPr>
          <w:noProof/>
        </w:rPr>
        <w:t xml:space="preserve"> e1000626 (2009).</w:t>
      </w:r>
    </w:p>
    <w:p w14:paraId="1AD18C40" w14:textId="10290A56" w:rsidR="00637D1E" w:rsidRDefault="00637D1E" w:rsidP="003F1CCD">
      <w:pPr>
        <w:widowControl w:val="0"/>
        <w:autoSpaceDE w:val="0"/>
        <w:autoSpaceDN w:val="0"/>
        <w:adjustRightInd w:val="0"/>
        <w:ind w:left="560" w:hanging="560"/>
        <w:jc w:val="both"/>
        <w:rPr>
          <w:noProof/>
        </w:rPr>
      </w:pPr>
      <w:r>
        <w:rPr>
          <w:noProof/>
        </w:rPr>
        <w:t>86.</w:t>
      </w:r>
      <w:r>
        <w:rPr>
          <w:noProof/>
        </w:rPr>
        <w:tab/>
        <w:t xml:space="preserve">Papatheodorou, P. </w:t>
      </w:r>
      <w:r>
        <w:rPr>
          <w:i/>
          <w:iCs/>
          <w:noProof/>
        </w:rPr>
        <w:t>et al.</w:t>
      </w:r>
      <w:r>
        <w:rPr>
          <w:noProof/>
        </w:rPr>
        <w:t xml:space="preserve"> Lipolysis-stimulated lipoprotein receptor (LSR) is the host receptor for the binary toxin </w:t>
      </w:r>
      <w:r w:rsidR="00AB3480" w:rsidRPr="00AB3480">
        <w:rPr>
          <w:i/>
          <w:noProof/>
        </w:rPr>
        <w:t>Clostridium difficile</w:t>
      </w:r>
      <w:r>
        <w:rPr>
          <w:noProof/>
        </w:rPr>
        <w:t xml:space="preserve"> transferase (CDT). </w:t>
      </w:r>
      <w:r>
        <w:rPr>
          <w:i/>
          <w:iCs/>
          <w:noProof/>
        </w:rPr>
        <w:t>Proc. Natl. Acad. Sci. USA</w:t>
      </w:r>
      <w:r>
        <w:rPr>
          <w:noProof/>
        </w:rPr>
        <w:t xml:space="preserve"> </w:t>
      </w:r>
      <w:r>
        <w:rPr>
          <w:b/>
          <w:bCs/>
          <w:noProof/>
        </w:rPr>
        <w:t>108,</w:t>
      </w:r>
      <w:r>
        <w:rPr>
          <w:noProof/>
        </w:rPr>
        <w:t xml:space="preserve"> 16422–16427 (2011).</w:t>
      </w:r>
    </w:p>
    <w:p w14:paraId="73FE2A9F" w14:textId="3588D788" w:rsidR="00637D1E" w:rsidRDefault="00637D1E" w:rsidP="003F1CCD">
      <w:pPr>
        <w:widowControl w:val="0"/>
        <w:autoSpaceDE w:val="0"/>
        <w:autoSpaceDN w:val="0"/>
        <w:adjustRightInd w:val="0"/>
        <w:ind w:left="560" w:hanging="560"/>
        <w:jc w:val="both"/>
        <w:rPr>
          <w:noProof/>
        </w:rPr>
      </w:pPr>
      <w:r>
        <w:rPr>
          <w:noProof/>
        </w:rPr>
        <w:t>87.</w:t>
      </w:r>
      <w:r>
        <w:rPr>
          <w:noProof/>
        </w:rPr>
        <w:tab/>
        <w:t xml:space="preserve">Hemmasi, S. </w:t>
      </w:r>
      <w:r>
        <w:rPr>
          <w:i/>
          <w:iCs/>
          <w:noProof/>
        </w:rPr>
        <w:t>et al.</w:t>
      </w:r>
      <w:r>
        <w:rPr>
          <w:noProof/>
        </w:rPr>
        <w:t xml:space="preserve"> Interaction of the </w:t>
      </w:r>
      <w:r w:rsidR="00AB3480" w:rsidRPr="00AB3480">
        <w:rPr>
          <w:i/>
          <w:noProof/>
        </w:rPr>
        <w:t>Clostridium difficile</w:t>
      </w:r>
      <w:r>
        <w:rPr>
          <w:noProof/>
        </w:rPr>
        <w:t xml:space="preserve"> Binary Toxin CDT and Its Host Cell Receptor, Lipolysis-stimulated Lipoprotein Receptor (LSR). </w:t>
      </w:r>
      <w:r>
        <w:rPr>
          <w:i/>
          <w:iCs/>
          <w:noProof/>
        </w:rPr>
        <w:t>J. Biol. Chem.</w:t>
      </w:r>
      <w:r>
        <w:rPr>
          <w:noProof/>
        </w:rPr>
        <w:t xml:space="preserve"> </w:t>
      </w:r>
      <w:r>
        <w:rPr>
          <w:b/>
          <w:bCs/>
          <w:noProof/>
        </w:rPr>
        <w:t>290,</w:t>
      </w:r>
      <w:r>
        <w:rPr>
          <w:noProof/>
        </w:rPr>
        <w:t xml:space="preserve"> 14031–14044 (2015).</w:t>
      </w:r>
    </w:p>
    <w:p w14:paraId="78B5F884" w14:textId="77777777" w:rsidR="00637D1E" w:rsidRDefault="00637D1E" w:rsidP="003F1CCD">
      <w:pPr>
        <w:widowControl w:val="0"/>
        <w:autoSpaceDE w:val="0"/>
        <w:autoSpaceDN w:val="0"/>
        <w:adjustRightInd w:val="0"/>
        <w:ind w:left="560" w:hanging="560"/>
        <w:jc w:val="both"/>
        <w:rPr>
          <w:noProof/>
        </w:rPr>
      </w:pPr>
      <w:r>
        <w:rPr>
          <w:noProof/>
        </w:rPr>
        <w:t>88.</w:t>
      </w:r>
      <w:r>
        <w:rPr>
          <w:noProof/>
        </w:rPr>
        <w:tab/>
        <w:t xml:space="preserve">Mann, C. J. </w:t>
      </w:r>
      <w:r>
        <w:rPr>
          <w:i/>
          <w:iCs/>
          <w:noProof/>
        </w:rPr>
        <w:t>et al.</w:t>
      </w:r>
      <w:r>
        <w:rPr>
          <w:noProof/>
        </w:rPr>
        <w:t xml:space="preserve"> Inhibitory effects of specific apolipoprotein C-III isoforms on the binding of triglyceride-rich lipoproteins to the lipolysis-stimulated receptor. </w:t>
      </w:r>
      <w:r>
        <w:rPr>
          <w:i/>
          <w:iCs/>
          <w:noProof/>
        </w:rPr>
        <w:t>J. Biol. Chem.</w:t>
      </w:r>
      <w:r>
        <w:rPr>
          <w:noProof/>
        </w:rPr>
        <w:t xml:space="preserve"> </w:t>
      </w:r>
      <w:r>
        <w:rPr>
          <w:b/>
          <w:bCs/>
          <w:noProof/>
        </w:rPr>
        <w:t>272,</w:t>
      </w:r>
      <w:r>
        <w:rPr>
          <w:noProof/>
        </w:rPr>
        <w:t xml:space="preserve"> 31348–31354 (1997).</w:t>
      </w:r>
    </w:p>
    <w:p w14:paraId="780BC960" w14:textId="77777777" w:rsidR="00637D1E" w:rsidRDefault="00637D1E" w:rsidP="003F1CCD">
      <w:pPr>
        <w:widowControl w:val="0"/>
        <w:autoSpaceDE w:val="0"/>
        <w:autoSpaceDN w:val="0"/>
        <w:adjustRightInd w:val="0"/>
        <w:ind w:left="560" w:hanging="560"/>
        <w:jc w:val="both"/>
        <w:rPr>
          <w:noProof/>
        </w:rPr>
      </w:pPr>
      <w:r>
        <w:rPr>
          <w:noProof/>
        </w:rPr>
        <w:t>89.</w:t>
      </w:r>
      <w:r>
        <w:rPr>
          <w:noProof/>
        </w:rPr>
        <w:tab/>
        <w:t xml:space="preserve">Masuda, S. </w:t>
      </w:r>
      <w:r>
        <w:rPr>
          <w:i/>
          <w:iCs/>
          <w:noProof/>
        </w:rPr>
        <w:t>et al.</w:t>
      </w:r>
      <w:r>
        <w:rPr>
          <w:noProof/>
        </w:rPr>
        <w:t xml:space="preserve"> LSR defines cell corners for tricellular tight junction formation in epithelial cells. </w:t>
      </w:r>
      <w:r>
        <w:rPr>
          <w:i/>
          <w:iCs/>
          <w:noProof/>
        </w:rPr>
        <w:t>J. Cell Sci.</w:t>
      </w:r>
      <w:r>
        <w:rPr>
          <w:noProof/>
        </w:rPr>
        <w:t xml:space="preserve"> </w:t>
      </w:r>
      <w:r>
        <w:rPr>
          <w:b/>
          <w:bCs/>
          <w:noProof/>
        </w:rPr>
        <w:t>124,</w:t>
      </w:r>
      <w:r>
        <w:rPr>
          <w:noProof/>
        </w:rPr>
        <w:t xml:space="preserve"> 548–555 (2011).</w:t>
      </w:r>
    </w:p>
    <w:p w14:paraId="77395797" w14:textId="58DDB12F" w:rsidR="00637D1E" w:rsidRDefault="00637D1E" w:rsidP="003F1CCD">
      <w:pPr>
        <w:widowControl w:val="0"/>
        <w:autoSpaceDE w:val="0"/>
        <w:autoSpaceDN w:val="0"/>
        <w:adjustRightInd w:val="0"/>
        <w:ind w:left="560" w:hanging="560"/>
        <w:jc w:val="both"/>
        <w:rPr>
          <w:noProof/>
        </w:rPr>
      </w:pPr>
      <w:r>
        <w:rPr>
          <w:noProof/>
        </w:rPr>
        <w:t>90.</w:t>
      </w:r>
      <w:r>
        <w:rPr>
          <w:noProof/>
        </w:rPr>
        <w:tab/>
        <w:t xml:space="preserve">Papatheodorou, P. </w:t>
      </w:r>
      <w:r>
        <w:rPr>
          <w:i/>
          <w:iCs/>
          <w:noProof/>
        </w:rPr>
        <w:t>et al.</w:t>
      </w:r>
      <w:r>
        <w:rPr>
          <w:noProof/>
        </w:rPr>
        <w:t xml:space="preserve"> </w:t>
      </w:r>
      <w:r w:rsidR="00AB3480" w:rsidRPr="00AB3480">
        <w:rPr>
          <w:i/>
          <w:noProof/>
        </w:rPr>
        <w:t>Clostridium difficile</w:t>
      </w:r>
      <w:r>
        <w:rPr>
          <w:noProof/>
        </w:rPr>
        <w:t xml:space="preserve"> binary toxin CDT induces clustering of the lipolysis-stimulated lipoprotein receptor into lipid rafts. </w:t>
      </w:r>
      <w:r>
        <w:rPr>
          <w:i/>
          <w:iCs/>
          <w:noProof/>
        </w:rPr>
        <w:t>MBio</w:t>
      </w:r>
      <w:r>
        <w:rPr>
          <w:noProof/>
        </w:rPr>
        <w:t xml:space="preserve"> </w:t>
      </w:r>
      <w:r>
        <w:rPr>
          <w:b/>
          <w:bCs/>
          <w:noProof/>
        </w:rPr>
        <w:t>4,</w:t>
      </w:r>
      <w:r>
        <w:rPr>
          <w:noProof/>
        </w:rPr>
        <w:t xml:space="preserve"> e00244-13 (2013).</w:t>
      </w:r>
    </w:p>
    <w:p w14:paraId="6DE23576" w14:textId="77777777" w:rsidR="00637D1E" w:rsidRDefault="00637D1E" w:rsidP="003F1CCD">
      <w:pPr>
        <w:widowControl w:val="0"/>
        <w:autoSpaceDE w:val="0"/>
        <w:autoSpaceDN w:val="0"/>
        <w:adjustRightInd w:val="0"/>
        <w:ind w:left="560" w:hanging="560"/>
        <w:jc w:val="both"/>
        <w:rPr>
          <w:noProof/>
        </w:rPr>
      </w:pPr>
      <w:r>
        <w:rPr>
          <w:noProof/>
        </w:rPr>
        <w:lastRenderedPageBreak/>
        <w:t>91.</w:t>
      </w:r>
      <w:r>
        <w:rPr>
          <w:noProof/>
        </w:rPr>
        <w:tab/>
        <w:t xml:space="preserve">Weigt, C., Just, I., Wegner, A. &amp; Aktories, K. Nonmuscle actin ADP-ribosylated by botulinum C2 toxin caps actin filaments. </w:t>
      </w:r>
      <w:r>
        <w:rPr>
          <w:i/>
          <w:iCs/>
          <w:noProof/>
        </w:rPr>
        <w:t>FEBS Lett.</w:t>
      </w:r>
      <w:r>
        <w:rPr>
          <w:noProof/>
        </w:rPr>
        <w:t xml:space="preserve"> </w:t>
      </w:r>
      <w:r>
        <w:rPr>
          <w:b/>
          <w:bCs/>
          <w:noProof/>
        </w:rPr>
        <w:t>246,</w:t>
      </w:r>
      <w:r>
        <w:rPr>
          <w:noProof/>
        </w:rPr>
        <w:t xml:space="preserve"> 181–184 (1989).</w:t>
      </w:r>
    </w:p>
    <w:p w14:paraId="1A29E894" w14:textId="77777777" w:rsidR="00637D1E" w:rsidRDefault="00637D1E" w:rsidP="003F1CCD">
      <w:pPr>
        <w:widowControl w:val="0"/>
        <w:autoSpaceDE w:val="0"/>
        <w:autoSpaceDN w:val="0"/>
        <w:adjustRightInd w:val="0"/>
        <w:ind w:left="560" w:hanging="560"/>
        <w:jc w:val="both"/>
        <w:rPr>
          <w:noProof/>
        </w:rPr>
      </w:pPr>
      <w:r>
        <w:rPr>
          <w:noProof/>
        </w:rPr>
        <w:t>92.</w:t>
      </w:r>
      <w:r>
        <w:rPr>
          <w:noProof/>
        </w:rPr>
        <w:tab/>
        <w:t xml:space="preserve">Ernst, K. </w:t>
      </w:r>
      <w:r>
        <w:rPr>
          <w:i/>
          <w:iCs/>
          <w:noProof/>
        </w:rPr>
        <w:t>et al.</w:t>
      </w:r>
      <w:r>
        <w:rPr>
          <w:noProof/>
        </w:rPr>
        <w:t xml:space="preserve"> Cyclophilin-facilitated membrane translocation as pharmacological target to prevent intoxication of mammalian cells by binary clostridial actin ADP-ribosylated toxins. </w:t>
      </w:r>
      <w:r>
        <w:rPr>
          <w:i/>
          <w:iCs/>
          <w:noProof/>
        </w:rPr>
        <w:t>J. Mol. Biol.</w:t>
      </w:r>
      <w:r>
        <w:rPr>
          <w:noProof/>
        </w:rPr>
        <w:t xml:space="preserve"> </w:t>
      </w:r>
      <w:r>
        <w:rPr>
          <w:b/>
          <w:bCs/>
          <w:noProof/>
        </w:rPr>
        <w:t>427,</w:t>
      </w:r>
      <w:r>
        <w:rPr>
          <w:noProof/>
        </w:rPr>
        <w:t xml:space="preserve"> 1224–1238 (2015).</w:t>
      </w:r>
    </w:p>
    <w:p w14:paraId="54CC4138" w14:textId="77777777" w:rsidR="00637D1E" w:rsidRDefault="00637D1E" w:rsidP="003F1CCD">
      <w:pPr>
        <w:widowControl w:val="0"/>
        <w:autoSpaceDE w:val="0"/>
        <w:autoSpaceDN w:val="0"/>
        <w:adjustRightInd w:val="0"/>
        <w:ind w:left="560" w:hanging="560"/>
        <w:jc w:val="both"/>
        <w:rPr>
          <w:noProof/>
        </w:rPr>
      </w:pPr>
      <w:r>
        <w:rPr>
          <w:noProof/>
        </w:rPr>
        <w:t>93.</w:t>
      </w:r>
      <w:r>
        <w:rPr>
          <w:noProof/>
        </w:rPr>
        <w:tab/>
        <w:t xml:space="preserve">Lang, A. E. </w:t>
      </w:r>
      <w:r>
        <w:rPr>
          <w:i/>
          <w:iCs/>
          <w:noProof/>
        </w:rPr>
        <w:t>et al.</w:t>
      </w:r>
      <w:r>
        <w:rPr>
          <w:noProof/>
        </w:rPr>
        <w:t xml:space="preserve"> </w:t>
      </w:r>
      <w:r w:rsidRPr="00930C17">
        <w:rPr>
          <w:i/>
          <w:noProof/>
        </w:rPr>
        <w:t>Photorhabdus luminescens</w:t>
      </w:r>
      <w:r>
        <w:rPr>
          <w:noProof/>
        </w:rPr>
        <w:t xml:space="preserve"> toxins ADP-ribosylate actin and RhoA to force actin clustering. </w:t>
      </w:r>
      <w:r>
        <w:rPr>
          <w:i/>
          <w:iCs/>
          <w:noProof/>
        </w:rPr>
        <w:t>Science</w:t>
      </w:r>
      <w:r>
        <w:rPr>
          <w:noProof/>
        </w:rPr>
        <w:t xml:space="preserve"> </w:t>
      </w:r>
      <w:r>
        <w:rPr>
          <w:b/>
          <w:bCs/>
          <w:noProof/>
        </w:rPr>
        <w:t>327,</w:t>
      </w:r>
      <w:r>
        <w:rPr>
          <w:noProof/>
        </w:rPr>
        <w:t xml:space="preserve"> 1139–1142 (2010).</w:t>
      </w:r>
    </w:p>
    <w:p w14:paraId="3AEED7D0" w14:textId="682C5697" w:rsidR="00637D1E" w:rsidRDefault="00637D1E" w:rsidP="003F1CCD">
      <w:pPr>
        <w:widowControl w:val="0"/>
        <w:autoSpaceDE w:val="0"/>
        <w:autoSpaceDN w:val="0"/>
        <w:adjustRightInd w:val="0"/>
        <w:ind w:left="560" w:hanging="560"/>
        <w:jc w:val="both"/>
        <w:rPr>
          <w:noProof/>
        </w:rPr>
      </w:pPr>
      <w:r>
        <w:rPr>
          <w:noProof/>
        </w:rPr>
        <w:t>94.</w:t>
      </w:r>
      <w:r>
        <w:rPr>
          <w:noProof/>
        </w:rPr>
        <w:tab/>
        <w:t xml:space="preserve">Aktories, K., Papatheodorou, P. &amp; Schwan, C. Binary </w:t>
      </w:r>
      <w:r w:rsidR="00AB3480" w:rsidRPr="00AB3480">
        <w:rPr>
          <w:i/>
          <w:noProof/>
        </w:rPr>
        <w:t>Clostridium difficile</w:t>
      </w:r>
      <w:r>
        <w:rPr>
          <w:noProof/>
        </w:rPr>
        <w:t xml:space="preserve"> toxin (CDT) - A virulence factor disturbing the cytoskeleton. </w:t>
      </w:r>
      <w:r>
        <w:rPr>
          <w:i/>
          <w:iCs/>
          <w:noProof/>
        </w:rPr>
        <w:t>Anaerobe</w:t>
      </w:r>
      <w:r>
        <w:rPr>
          <w:noProof/>
        </w:rPr>
        <w:t xml:space="preserve"> </w:t>
      </w:r>
      <w:r>
        <w:rPr>
          <w:b/>
          <w:bCs/>
          <w:noProof/>
        </w:rPr>
        <w:t>53,</w:t>
      </w:r>
      <w:r>
        <w:rPr>
          <w:noProof/>
        </w:rPr>
        <w:t xml:space="preserve"> 21–29 (2018).</w:t>
      </w:r>
    </w:p>
    <w:p w14:paraId="77DA1190" w14:textId="77777777" w:rsidR="00637D1E" w:rsidRDefault="00637D1E" w:rsidP="003F1CCD">
      <w:pPr>
        <w:widowControl w:val="0"/>
        <w:autoSpaceDE w:val="0"/>
        <w:autoSpaceDN w:val="0"/>
        <w:adjustRightInd w:val="0"/>
        <w:ind w:left="560" w:hanging="560"/>
        <w:jc w:val="both"/>
        <w:rPr>
          <w:noProof/>
        </w:rPr>
      </w:pPr>
      <w:r>
        <w:rPr>
          <w:noProof/>
        </w:rPr>
        <w:t>95.</w:t>
      </w:r>
      <w:r>
        <w:rPr>
          <w:noProof/>
        </w:rPr>
        <w:tab/>
        <w:t xml:space="preserve">Gross, M. Antibiotics in crisis. </w:t>
      </w:r>
      <w:r>
        <w:rPr>
          <w:i/>
          <w:iCs/>
          <w:noProof/>
        </w:rPr>
        <w:t>Curr. Biol.</w:t>
      </w:r>
      <w:r>
        <w:rPr>
          <w:noProof/>
        </w:rPr>
        <w:t xml:space="preserve"> </w:t>
      </w:r>
      <w:r>
        <w:rPr>
          <w:b/>
          <w:bCs/>
          <w:noProof/>
        </w:rPr>
        <w:t>23,</w:t>
      </w:r>
      <w:r>
        <w:rPr>
          <w:noProof/>
        </w:rPr>
        <w:t xml:space="preserve"> R1063-5 (2013).</w:t>
      </w:r>
    </w:p>
    <w:p w14:paraId="03E0BAB3" w14:textId="6C4ECC81" w:rsidR="00637D1E" w:rsidRDefault="00637D1E" w:rsidP="003F1CCD">
      <w:pPr>
        <w:widowControl w:val="0"/>
        <w:autoSpaceDE w:val="0"/>
        <w:autoSpaceDN w:val="0"/>
        <w:adjustRightInd w:val="0"/>
        <w:ind w:left="560" w:hanging="560"/>
        <w:jc w:val="both"/>
        <w:rPr>
          <w:noProof/>
        </w:rPr>
      </w:pPr>
      <w:r>
        <w:rPr>
          <w:noProof/>
        </w:rPr>
        <w:t>96.</w:t>
      </w:r>
      <w:r>
        <w:rPr>
          <w:noProof/>
        </w:rPr>
        <w:tab/>
        <w:t xml:space="preserve">Keller, J. M. &amp; Surawicz, C. M. </w:t>
      </w:r>
      <w:r w:rsidR="00AB3480" w:rsidRPr="00AB3480">
        <w:rPr>
          <w:i/>
          <w:noProof/>
        </w:rPr>
        <w:t>Clostridium difficile</w:t>
      </w:r>
      <w:r>
        <w:rPr>
          <w:noProof/>
        </w:rPr>
        <w:t xml:space="preserve"> infection in the elderly. </w:t>
      </w:r>
      <w:r>
        <w:rPr>
          <w:i/>
          <w:iCs/>
          <w:noProof/>
        </w:rPr>
        <w:t>Clin Geriatr Med</w:t>
      </w:r>
      <w:r>
        <w:rPr>
          <w:noProof/>
        </w:rPr>
        <w:t xml:space="preserve"> </w:t>
      </w:r>
      <w:r>
        <w:rPr>
          <w:b/>
          <w:bCs/>
          <w:noProof/>
        </w:rPr>
        <w:t>30,</w:t>
      </w:r>
      <w:r>
        <w:rPr>
          <w:noProof/>
        </w:rPr>
        <w:t xml:space="preserve"> 79–93 (2014).</w:t>
      </w:r>
    </w:p>
    <w:p w14:paraId="5F672264" w14:textId="2BE3B690" w:rsidR="00637D1E" w:rsidRDefault="00637D1E" w:rsidP="003F1CCD">
      <w:pPr>
        <w:widowControl w:val="0"/>
        <w:autoSpaceDE w:val="0"/>
        <w:autoSpaceDN w:val="0"/>
        <w:adjustRightInd w:val="0"/>
        <w:ind w:left="560" w:hanging="560"/>
        <w:jc w:val="both"/>
        <w:rPr>
          <w:noProof/>
        </w:rPr>
      </w:pPr>
      <w:r>
        <w:rPr>
          <w:noProof/>
        </w:rPr>
        <w:t>97.</w:t>
      </w:r>
      <w:r>
        <w:rPr>
          <w:noProof/>
        </w:rPr>
        <w:tab/>
        <w:t xml:space="preserve">Dantes, R. </w:t>
      </w:r>
      <w:r>
        <w:rPr>
          <w:i/>
          <w:iCs/>
          <w:noProof/>
        </w:rPr>
        <w:t>et al.</w:t>
      </w:r>
      <w:r>
        <w:rPr>
          <w:noProof/>
        </w:rPr>
        <w:t xml:space="preserve"> Investigation of a cluster of </w:t>
      </w:r>
      <w:r w:rsidR="00AB3480" w:rsidRPr="00AB3480">
        <w:rPr>
          <w:i/>
          <w:noProof/>
        </w:rPr>
        <w:t>Clostridium difficile</w:t>
      </w:r>
      <w:r>
        <w:rPr>
          <w:noProof/>
        </w:rPr>
        <w:t xml:space="preserve"> infections in a pediatric oncology setting. </w:t>
      </w:r>
      <w:r>
        <w:rPr>
          <w:i/>
          <w:iCs/>
          <w:noProof/>
        </w:rPr>
        <w:t>Am. J. Infect. Control</w:t>
      </w:r>
      <w:r>
        <w:rPr>
          <w:noProof/>
        </w:rPr>
        <w:t xml:space="preserve"> </w:t>
      </w:r>
      <w:r>
        <w:rPr>
          <w:b/>
          <w:bCs/>
          <w:noProof/>
        </w:rPr>
        <w:t>44,</w:t>
      </w:r>
      <w:r>
        <w:rPr>
          <w:noProof/>
        </w:rPr>
        <w:t xml:space="preserve"> 138–145 (2016).</w:t>
      </w:r>
    </w:p>
    <w:p w14:paraId="129F4D78" w14:textId="6F21F092" w:rsidR="00637D1E" w:rsidRDefault="00637D1E" w:rsidP="003F1CCD">
      <w:pPr>
        <w:widowControl w:val="0"/>
        <w:autoSpaceDE w:val="0"/>
        <w:autoSpaceDN w:val="0"/>
        <w:adjustRightInd w:val="0"/>
        <w:ind w:left="560" w:hanging="560"/>
        <w:jc w:val="both"/>
        <w:rPr>
          <w:noProof/>
        </w:rPr>
      </w:pPr>
      <w:r>
        <w:rPr>
          <w:noProof/>
        </w:rPr>
        <w:t>98.</w:t>
      </w:r>
      <w:r>
        <w:rPr>
          <w:noProof/>
        </w:rPr>
        <w:tab/>
        <w:t xml:space="preserve">Miller, R., Simmons, S., Dale, C., Stachowiak, J. &amp; Stibich, M. Utilization and impact of a pulsed-xenon ultraviolet room disinfection system and multidisciplinary care team on </w:t>
      </w:r>
      <w:r w:rsidR="00AB3480" w:rsidRPr="00AB3480">
        <w:rPr>
          <w:i/>
          <w:noProof/>
        </w:rPr>
        <w:t>Clostridium difficile</w:t>
      </w:r>
      <w:r>
        <w:rPr>
          <w:noProof/>
        </w:rPr>
        <w:t xml:space="preserve"> in a long-term acute care facility. </w:t>
      </w:r>
      <w:r>
        <w:rPr>
          <w:i/>
          <w:iCs/>
          <w:noProof/>
        </w:rPr>
        <w:t>Am. J. Infect. Control</w:t>
      </w:r>
      <w:r>
        <w:rPr>
          <w:noProof/>
        </w:rPr>
        <w:t xml:space="preserve"> </w:t>
      </w:r>
      <w:r>
        <w:rPr>
          <w:b/>
          <w:bCs/>
          <w:noProof/>
        </w:rPr>
        <w:t>43,</w:t>
      </w:r>
      <w:r>
        <w:rPr>
          <w:noProof/>
        </w:rPr>
        <w:t xml:space="preserve"> 1350–1353 (2015).</w:t>
      </w:r>
    </w:p>
    <w:p w14:paraId="046BA0BB" w14:textId="03706FB0" w:rsidR="00637D1E" w:rsidRDefault="00637D1E" w:rsidP="003F1CCD">
      <w:pPr>
        <w:widowControl w:val="0"/>
        <w:autoSpaceDE w:val="0"/>
        <w:autoSpaceDN w:val="0"/>
        <w:adjustRightInd w:val="0"/>
        <w:ind w:left="560" w:hanging="560"/>
        <w:jc w:val="both"/>
        <w:rPr>
          <w:noProof/>
        </w:rPr>
      </w:pPr>
      <w:r>
        <w:rPr>
          <w:noProof/>
        </w:rPr>
        <w:t>99.</w:t>
      </w:r>
      <w:r>
        <w:rPr>
          <w:noProof/>
        </w:rPr>
        <w:tab/>
        <w:t xml:space="preserve">Stokely, J. N. </w:t>
      </w:r>
      <w:r>
        <w:rPr>
          <w:i/>
          <w:iCs/>
          <w:noProof/>
        </w:rPr>
        <w:t>et al.</w:t>
      </w:r>
      <w:r>
        <w:rPr>
          <w:noProof/>
        </w:rPr>
        <w:t xml:space="preserve"> Prevalence of human norovirus and </w:t>
      </w:r>
      <w:r w:rsidR="00AB3480" w:rsidRPr="00AB3480">
        <w:rPr>
          <w:i/>
          <w:noProof/>
        </w:rPr>
        <w:t>Clostridium difficile</w:t>
      </w:r>
      <w:r>
        <w:rPr>
          <w:noProof/>
        </w:rPr>
        <w:t xml:space="preserve"> coinfections in adult hospitalized patients. </w:t>
      </w:r>
      <w:r>
        <w:rPr>
          <w:i/>
          <w:iCs/>
          <w:noProof/>
        </w:rPr>
        <w:t>Clin Epidemiol</w:t>
      </w:r>
      <w:r>
        <w:rPr>
          <w:noProof/>
        </w:rPr>
        <w:t xml:space="preserve"> </w:t>
      </w:r>
      <w:r>
        <w:rPr>
          <w:b/>
          <w:bCs/>
          <w:noProof/>
        </w:rPr>
        <w:t>8,</w:t>
      </w:r>
      <w:r>
        <w:rPr>
          <w:noProof/>
        </w:rPr>
        <w:t xml:space="preserve"> 253–260 (2016).</w:t>
      </w:r>
    </w:p>
    <w:p w14:paraId="3001D8E3" w14:textId="49247BA8" w:rsidR="00637D1E" w:rsidRDefault="00637D1E" w:rsidP="003F1CCD">
      <w:pPr>
        <w:widowControl w:val="0"/>
        <w:autoSpaceDE w:val="0"/>
        <w:autoSpaceDN w:val="0"/>
        <w:adjustRightInd w:val="0"/>
        <w:ind w:left="560" w:hanging="560"/>
        <w:jc w:val="both"/>
        <w:rPr>
          <w:noProof/>
        </w:rPr>
      </w:pPr>
      <w:r>
        <w:rPr>
          <w:noProof/>
        </w:rPr>
        <w:t>100.</w:t>
      </w:r>
      <w:r>
        <w:rPr>
          <w:noProof/>
        </w:rPr>
        <w:tab/>
        <w:t xml:space="preserve">Lauda-Maillen, M. </w:t>
      </w:r>
      <w:r>
        <w:rPr>
          <w:i/>
          <w:iCs/>
          <w:noProof/>
        </w:rPr>
        <w:t>et al.</w:t>
      </w:r>
      <w:r>
        <w:rPr>
          <w:noProof/>
        </w:rPr>
        <w:t xml:space="preserve"> Treatment compliance with European guidelines and prognosis of </w:t>
      </w:r>
      <w:r w:rsidR="00AB3480" w:rsidRPr="00AB3480">
        <w:rPr>
          <w:i/>
          <w:noProof/>
        </w:rPr>
        <w:t>Clostridium difficile</w:t>
      </w:r>
      <w:r>
        <w:rPr>
          <w:noProof/>
        </w:rPr>
        <w:t xml:space="preserve"> infection according to age. </w:t>
      </w:r>
      <w:r>
        <w:rPr>
          <w:i/>
          <w:iCs/>
          <w:noProof/>
        </w:rPr>
        <w:t>Med Mal Infect</w:t>
      </w:r>
      <w:r>
        <w:rPr>
          <w:noProof/>
        </w:rPr>
        <w:t xml:space="preserve"> (2018). doi:10.1016/j.medmal.2018.08.001</w:t>
      </w:r>
    </w:p>
    <w:p w14:paraId="51EA43B9" w14:textId="3F3353BA" w:rsidR="00637D1E" w:rsidRDefault="00637D1E" w:rsidP="003F1CCD">
      <w:pPr>
        <w:widowControl w:val="0"/>
        <w:autoSpaceDE w:val="0"/>
        <w:autoSpaceDN w:val="0"/>
        <w:adjustRightInd w:val="0"/>
        <w:ind w:left="560" w:hanging="560"/>
        <w:jc w:val="both"/>
        <w:rPr>
          <w:noProof/>
        </w:rPr>
      </w:pPr>
      <w:r>
        <w:rPr>
          <w:noProof/>
        </w:rPr>
        <w:t>101.</w:t>
      </w:r>
      <w:r>
        <w:rPr>
          <w:noProof/>
        </w:rPr>
        <w:tab/>
        <w:t xml:space="preserve">Kelly, C. R. </w:t>
      </w:r>
      <w:r>
        <w:rPr>
          <w:i/>
          <w:iCs/>
          <w:noProof/>
        </w:rPr>
        <w:t>et al.</w:t>
      </w:r>
      <w:r>
        <w:rPr>
          <w:noProof/>
        </w:rPr>
        <w:t xml:space="preserve"> Fecal microbiota transplant for treatment of </w:t>
      </w:r>
      <w:r w:rsidR="00AB3480" w:rsidRPr="00AB3480">
        <w:rPr>
          <w:i/>
          <w:noProof/>
        </w:rPr>
        <w:t>Clostridium difficile</w:t>
      </w:r>
      <w:r>
        <w:rPr>
          <w:noProof/>
        </w:rPr>
        <w:t xml:space="preserve"> </w:t>
      </w:r>
      <w:r>
        <w:rPr>
          <w:noProof/>
        </w:rPr>
        <w:lastRenderedPageBreak/>
        <w:t xml:space="preserve">infection in immunocompromised patients. </w:t>
      </w:r>
      <w:r>
        <w:rPr>
          <w:i/>
          <w:iCs/>
          <w:noProof/>
        </w:rPr>
        <w:t>Am. J. Gastroenterol.</w:t>
      </w:r>
      <w:r>
        <w:rPr>
          <w:noProof/>
        </w:rPr>
        <w:t xml:space="preserve"> </w:t>
      </w:r>
      <w:r>
        <w:rPr>
          <w:b/>
          <w:bCs/>
          <w:noProof/>
        </w:rPr>
        <w:t>109,</w:t>
      </w:r>
      <w:r>
        <w:rPr>
          <w:noProof/>
        </w:rPr>
        <w:t xml:space="preserve"> 1065–1071 (2014).</w:t>
      </w:r>
    </w:p>
    <w:p w14:paraId="2334E015" w14:textId="73502091" w:rsidR="00637D1E" w:rsidRDefault="00637D1E" w:rsidP="003F1CCD">
      <w:pPr>
        <w:widowControl w:val="0"/>
        <w:autoSpaceDE w:val="0"/>
        <w:autoSpaceDN w:val="0"/>
        <w:adjustRightInd w:val="0"/>
        <w:ind w:left="560" w:hanging="560"/>
        <w:jc w:val="both"/>
        <w:rPr>
          <w:noProof/>
        </w:rPr>
      </w:pPr>
      <w:r>
        <w:rPr>
          <w:noProof/>
        </w:rPr>
        <w:t>102.</w:t>
      </w:r>
      <w:r>
        <w:rPr>
          <w:noProof/>
        </w:rPr>
        <w:tab/>
        <w:t xml:space="preserve">Cohen, S. H. </w:t>
      </w:r>
      <w:r>
        <w:rPr>
          <w:i/>
          <w:iCs/>
          <w:noProof/>
        </w:rPr>
        <w:t>et al.</w:t>
      </w:r>
      <w:r>
        <w:rPr>
          <w:noProof/>
        </w:rPr>
        <w:t xml:space="preserve"> Clinical practice guidelines for </w:t>
      </w:r>
      <w:r w:rsidR="00AB3480" w:rsidRPr="00AB3480">
        <w:rPr>
          <w:i/>
          <w:noProof/>
        </w:rPr>
        <w:t>Clostridium difficile</w:t>
      </w:r>
      <w:r>
        <w:rPr>
          <w:noProof/>
        </w:rPr>
        <w:t xml:space="preserve"> infection in adults: 2010 update by the society for healthcare epidemiology of America (SHEA) and the infectious diseases society of America (IDSA). </w:t>
      </w:r>
      <w:r>
        <w:rPr>
          <w:i/>
          <w:iCs/>
          <w:noProof/>
        </w:rPr>
        <w:t>Infect. Control Hosp. Epidemiol.</w:t>
      </w:r>
      <w:r>
        <w:rPr>
          <w:noProof/>
        </w:rPr>
        <w:t xml:space="preserve"> </w:t>
      </w:r>
      <w:r>
        <w:rPr>
          <w:b/>
          <w:bCs/>
          <w:noProof/>
        </w:rPr>
        <w:t>31,</w:t>
      </w:r>
      <w:r>
        <w:rPr>
          <w:noProof/>
        </w:rPr>
        <w:t xml:space="preserve"> 431–455 (2010).</w:t>
      </w:r>
    </w:p>
    <w:p w14:paraId="3E85513B" w14:textId="2D703840" w:rsidR="00637D1E" w:rsidRDefault="00637D1E" w:rsidP="003F1CCD">
      <w:pPr>
        <w:widowControl w:val="0"/>
        <w:autoSpaceDE w:val="0"/>
        <w:autoSpaceDN w:val="0"/>
        <w:adjustRightInd w:val="0"/>
        <w:ind w:left="560" w:hanging="560"/>
        <w:jc w:val="both"/>
        <w:rPr>
          <w:noProof/>
        </w:rPr>
      </w:pPr>
      <w:r>
        <w:rPr>
          <w:noProof/>
        </w:rPr>
        <w:t>103.</w:t>
      </w:r>
      <w:r>
        <w:rPr>
          <w:noProof/>
        </w:rPr>
        <w:tab/>
        <w:t xml:space="preserve">Song, J. H. &amp; Kim, Y. S. Recurrent </w:t>
      </w:r>
      <w:r w:rsidR="00AB3480" w:rsidRPr="00AB3480">
        <w:rPr>
          <w:i/>
          <w:noProof/>
        </w:rPr>
        <w:t>Clostridium difficile</w:t>
      </w:r>
      <w:r>
        <w:rPr>
          <w:noProof/>
        </w:rPr>
        <w:t xml:space="preserve"> Infection: Risk Factors, Treatment, and Prevention. </w:t>
      </w:r>
      <w:r>
        <w:rPr>
          <w:i/>
          <w:iCs/>
          <w:noProof/>
        </w:rPr>
        <w:t>Gut Liver</w:t>
      </w:r>
      <w:r>
        <w:rPr>
          <w:noProof/>
        </w:rPr>
        <w:t xml:space="preserve"> (2018). doi:10.5009/gnl18071</w:t>
      </w:r>
    </w:p>
    <w:p w14:paraId="1B8A28D7" w14:textId="151DECC8" w:rsidR="00637D1E" w:rsidRDefault="00637D1E" w:rsidP="003F1CCD">
      <w:pPr>
        <w:widowControl w:val="0"/>
        <w:autoSpaceDE w:val="0"/>
        <w:autoSpaceDN w:val="0"/>
        <w:adjustRightInd w:val="0"/>
        <w:ind w:left="560" w:hanging="560"/>
        <w:jc w:val="both"/>
        <w:rPr>
          <w:noProof/>
        </w:rPr>
      </w:pPr>
      <w:r>
        <w:rPr>
          <w:noProof/>
        </w:rPr>
        <w:t>104.</w:t>
      </w:r>
      <w:r>
        <w:rPr>
          <w:noProof/>
        </w:rPr>
        <w:tab/>
        <w:t xml:space="preserve">Jarrad, A. M., Karoli, T., Blaskovich, M. A. T., Lyras, D. &amp; Cooper, M. A. </w:t>
      </w:r>
      <w:r w:rsidR="00AB3480" w:rsidRPr="00AB3480">
        <w:rPr>
          <w:i/>
          <w:noProof/>
        </w:rPr>
        <w:t>Clostridium difficile</w:t>
      </w:r>
      <w:r>
        <w:rPr>
          <w:noProof/>
        </w:rPr>
        <w:t xml:space="preserve"> drug pipeline: challenges in discovery and development of new agents. </w:t>
      </w:r>
      <w:r>
        <w:rPr>
          <w:i/>
          <w:iCs/>
          <w:noProof/>
        </w:rPr>
        <w:t>J. Med. Chem.</w:t>
      </w:r>
      <w:r>
        <w:rPr>
          <w:noProof/>
        </w:rPr>
        <w:t xml:space="preserve"> </w:t>
      </w:r>
      <w:r>
        <w:rPr>
          <w:b/>
          <w:bCs/>
          <w:noProof/>
        </w:rPr>
        <w:t>58,</w:t>
      </w:r>
      <w:r>
        <w:rPr>
          <w:noProof/>
        </w:rPr>
        <w:t xml:space="preserve"> 5164–5185 (2015).</w:t>
      </w:r>
    </w:p>
    <w:p w14:paraId="1E4D82DE" w14:textId="77777777" w:rsidR="00637D1E" w:rsidRDefault="00637D1E" w:rsidP="003F1CCD">
      <w:pPr>
        <w:widowControl w:val="0"/>
        <w:autoSpaceDE w:val="0"/>
        <w:autoSpaceDN w:val="0"/>
        <w:adjustRightInd w:val="0"/>
        <w:ind w:left="560" w:hanging="560"/>
        <w:jc w:val="both"/>
        <w:rPr>
          <w:noProof/>
        </w:rPr>
      </w:pPr>
      <w:r>
        <w:rPr>
          <w:noProof/>
        </w:rPr>
        <w:t>105.</w:t>
      </w:r>
      <w:r>
        <w:rPr>
          <w:noProof/>
        </w:rPr>
        <w:tab/>
        <w:t xml:space="preserve">Ooijevaar, R. E., Terveer, E. M., Verspaget, H. W., Kuijper, E. J. &amp; Keller, J. J. Clinical application and potential of fecal microbiota transplantation. </w:t>
      </w:r>
      <w:r>
        <w:rPr>
          <w:i/>
          <w:iCs/>
          <w:noProof/>
        </w:rPr>
        <w:t>Annu. Rev. Med.</w:t>
      </w:r>
      <w:r>
        <w:rPr>
          <w:noProof/>
        </w:rPr>
        <w:t xml:space="preserve"> </w:t>
      </w:r>
      <w:r>
        <w:rPr>
          <w:b/>
          <w:bCs/>
          <w:noProof/>
        </w:rPr>
        <w:t>70,</w:t>
      </w:r>
      <w:r>
        <w:rPr>
          <w:noProof/>
        </w:rPr>
        <w:t xml:space="preserve"> (2018).</w:t>
      </w:r>
    </w:p>
    <w:p w14:paraId="1EA2526C" w14:textId="0F6D0B2C" w:rsidR="00637D1E" w:rsidRDefault="00637D1E" w:rsidP="003F1CCD">
      <w:pPr>
        <w:widowControl w:val="0"/>
        <w:autoSpaceDE w:val="0"/>
        <w:autoSpaceDN w:val="0"/>
        <w:adjustRightInd w:val="0"/>
        <w:ind w:left="560" w:hanging="560"/>
        <w:jc w:val="both"/>
        <w:rPr>
          <w:noProof/>
        </w:rPr>
      </w:pPr>
      <w:r>
        <w:rPr>
          <w:noProof/>
        </w:rPr>
        <w:t>106.</w:t>
      </w:r>
      <w:r>
        <w:rPr>
          <w:noProof/>
        </w:rPr>
        <w:tab/>
        <w:t xml:space="preserve">Milani, C. </w:t>
      </w:r>
      <w:r>
        <w:rPr>
          <w:i/>
          <w:iCs/>
          <w:noProof/>
        </w:rPr>
        <w:t>et al.</w:t>
      </w:r>
      <w:r>
        <w:rPr>
          <w:noProof/>
        </w:rPr>
        <w:t xml:space="preserve"> Gut microbiota composition and </w:t>
      </w:r>
      <w:r w:rsidR="00AB3480" w:rsidRPr="00AB3480">
        <w:rPr>
          <w:i/>
          <w:noProof/>
        </w:rPr>
        <w:t>Clostridium difficile</w:t>
      </w:r>
      <w:r>
        <w:rPr>
          <w:noProof/>
        </w:rPr>
        <w:t xml:space="preserve"> infection in hospitalized elderly individuals: a metagenomic study. </w:t>
      </w:r>
      <w:r>
        <w:rPr>
          <w:i/>
          <w:iCs/>
          <w:noProof/>
        </w:rPr>
        <w:t>Sci. Rep.</w:t>
      </w:r>
      <w:r>
        <w:rPr>
          <w:noProof/>
        </w:rPr>
        <w:t xml:space="preserve"> </w:t>
      </w:r>
      <w:r>
        <w:rPr>
          <w:b/>
          <w:bCs/>
          <w:noProof/>
        </w:rPr>
        <w:t>6,</w:t>
      </w:r>
      <w:r>
        <w:rPr>
          <w:noProof/>
        </w:rPr>
        <w:t xml:space="preserve"> 25945 (2016).</w:t>
      </w:r>
    </w:p>
    <w:p w14:paraId="5440AF8E" w14:textId="22B16F03" w:rsidR="00637D1E" w:rsidRDefault="00637D1E" w:rsidP="003F1CCD">
      <w:pPr>
        <w:widowControl w:val="0"/>
        <w:autoSpaceDE w:val="0"/>
        <w:autoSpaceDN w:val="0"/>
        <w:adjustRightInd w:val="0"/>
        <w:ind w:left="560" w:hanging="560"/>
        <w:jc w:val="both"/>
        <w:rPr>
          <w:noProof/>
        </w:rPr>
      </w:pPr>
      <w:r>
        <w:rPr>
          <w:noProof/>
        </w:rPr>
        <w:t>107.</w:t>
      </w:r>
      <w:r>
        <w:rPr>
          <w:noProof/>
        </w:rPr>
        <w:tab/>
        <w:t xml:space="preserve">Bakken, J. S. </w:t>
      </w:r>
      <w:r>
        <w:rPr>
          <w:i/>
          <w:iCs/>
          <w:noProof/>
        </w:rPr>
        <w:t>et al.</w:t>
      </w:r>
      <w:r>
        <w:rPr>
          <w:noProof/>
        </w:rPr>
        <w:t xml:space="preserve"> Treating </w:t>
      </w:r>
      <w:r w:rsidR="00AB3480" w:rsidRPr="00AB3480">
        <w:rPr>
          <w:i/>
          <w:noProof/>
        </w:rPr>
        <w:t>Clostridium difficile</w:t>
      </w:r>
      <w:r>
        <w:rPr>
          <w:noProof/>
        </w:rPr>
        <w:t xml:space="preserve"> infection with fecal microbiota transplantation. </w:t>
      </w:r>
      <w:r>
        <w:rPr>
          <w:i/>
          <w:iCs/>
          <w:noProof/>
        </w:rPr>
        <w:t>Clin. Gastroenterol. Hepatol.</w:t>
      </w:r>
      <w:r>
        <w:rPr>
          <w:noProof/>
        </w:rPr>
        <w:t xml:space="preserve"> </w:t>
      </w:r>
      <w:r>
        <w:rPr>
          <w:b/>
          <w:bCs/>
          <w:noProof/>
        </w:rPr>
        <w:t>9,</w:t>
      </w:r>
      <w:r>
        <w:rPr>
          <w:noProof/>
        </w:rPr>
        <w:t xml:space="preserve"> 1044–1049 (2011).</w:t>
      </w:r>
    </w:p>
    <w:p w14:paraId="509BCEE0" w14:textId="77777777" w:rsidR="00637D1E" w:rsidRDefault="00637D1E" w:rsidP="003F1CCD">
      <w:pPr>
        <w:widowControl w:val="0"/>
        <w:autoSpaceDE w:val="0"/>
        <w:autoSpaceDN w:val="0"/>
        <w:adjustRightInd w:val="0"/>
        <w:ind w:left="560" w:hanging="560"/>
        <w:jc w:val="both"/>
        <w:rPr>
          <w:noProof/>
        </w:rPr>
      </w:pPr>
      <w:r>
        <w:rPr>
          <w:noProof/>
        </w:rPr>
        <w:t>108.</w:t>
      </w:r>
      <w:r>
        <w:rPr>
          <w:noProof/>
        </w:rPr>
        <w:tab/>
        <w:t xml:space="preserve">Borody, T. J. &amp; Khoruts, A. Fecal microbiota transplantation and emerging applications. </w:t>
      </w:r>
      <w:r>
        <w:rPr>
          <w:i/>
          <w:iCs/>
          <w:noProof/>
        </w:rPr>
        <w:t>Nat. Rev. Gastroenterol. Hepatol.</w:t>
      </w:r>
      <w:r>
        <w:rPr>
          <w:noProof/>
        </w:rPr>
        <w:t xml:space="preserve"> </w:t>
      </w:r>
      <w:r>
        <w:rPr>
          <w:b/>
          <w:bCs/>
          <w:noProof/>
        </w:rPr>
        <w:t>9,</w:t>
      </w:r>
      <w:r>
        <w:rPr>
          <w:noProof/>
        </w:rPr>
        <w:t xml:space="preserve"> 88–96 (2011).</w:t>
      </w:r>
    </w:p>
    <w:p w14:paraId="045C3D9F" w14:textId="743A2E85" w:rsidR="00637D1E" w:rsidRDefault="00637D1E" w:rsidP="003F1CCD">
      <w:pPr>
        <w:widowControl w:val="0"/>
        <w:autoSpaceDE w:val="0"/>
        <w:autoSpaceDN w:val="0"/>
        <w:adjustRightInd w:val="0"/>
        <w:ind w:left="560" w:hanging="560"/>
        <w:jc w:val="both"/>
        <w:rPr>
          <w:noProof/>
        </w:rPr>
      </w:pPr>
      <w:r>
        <w:rPr>
          <w:noProof/>
        </w:rPr>
        <w:t>109.</w:t>
      </w:r>
      <w:r>
        <w:rPr>
          <w:noProof/>
        </w:rPr>
        <w:tab/>
        <w:t xml:space="preserve">Reigadas, E. </w:t>
      </w:r>
      <w:r>
        <w:rPr>
          <w:i/>
          <w:iCs/>
          <w:noProof/>
        </w:rPr>
        <w:t>et al.</w:t>
      </w:r>
      <w:r>
        <w:rPr>
          <w:noProof/>
        </w:rPr>
        <w:t xml:space="preserve"> Fecal microbiota transplantation for recurrent </w:t>
      </w:r>
      <w:r w:rsidR="00AB3480" w:rsidRPr="00AB3480">
        <w:rPr>
          <w:i/>
          <w:noProof/>
        </w:rPr>
        <w:t>Clostridium difficile</w:t>
      </w:r>
      <w:r>
        <w:rPr>
          <w:noProof/>
        </w:rPr>
        <w:t xml:space="preserve"> infection: Experience, protocol, and results. </w:t>
      </w:r>
      <w:r>
        <w:rPr>
          <w:i/>
          <w:iCs/>
          <w:noProof/>
        </w:rPr>
        <w:t>Rev Esp Quimioter</w:t>
      </w:r>
      <w:r>
        <w:rPr>
          <w:noProof/>
        </w:rPr>
        <w:t xml:space="preserve"> </w:t>
      </w:r>
      <w:r>
        <w:rPr>
          <w:b/>
          <w:bCs/>
          <w:noProof/>
        </w:rPr>
        <w:t>31,</w:t>
      </w:r>
      <w:r>
        <w:rPr>
          <w:noProof/>
        </w:rPr>
        <w:t xml:space="preserve"> 411–418 (2018).</w:t>
      </w:r>
    </w:p>
    <w:p w14:paraId="61B4B2DC" w14:textId="5FBF0345" w:rsidR="00637D1E" w:rsidRDefault="00637D1E" w:rsidP="003F1CCD">
      <w:pPr>
        <w:widowControl w:val="0"/>
        <w:autoSpaceDE w:val="0"/>
        <w:autoSpaceDN w:val="0"/>
        <w:adjustRightInd w:val="0"/>
        <w:ind w:left="560" w:hanging="560"/>
        <w:jc w:val="both"/>
        <w:rPr>
          <w:noProof/>
        </w:rPr>
      </w:pPr>
      <w:r>
        <w:rPr>
          <w:noProof/>
        </w:rPr>
        <w:t>110.</w:t>
      </w:r>
      <w:r>
        <w:rPr>
          <w:noProof/>
        </w:rPr>
        <w:tab/>
        <w:t xml:space="preserve">Kochan, T. J. </w:t>
      </w:r>
      <w:r>
        <w:rPr>
          <w:i/>
          <w:iCs/>
          <w:noProof/>
        </w:rPr>
        <w:t>et al.</w:t>
      </w:r>
      <w:r>
        <w:rPr>
          <w:noProof/>
        </w:rPr>
        <w:t xml:space="preserve"> Updates to </w:t>
      </w:r>
      <w:r w:rsidR="00AB3480" w:rsidRPr="00AB3480">
        <w:rPr>
          <w:i/>
          <w:noProof/>
        </w:rPr>
        <w:t>Clostridium difficile</w:t>
      </w:r>
      <w:r>
        <w:rPr>
          <w:noProof/>
        </w:rPr>
        <w:t xml:space="preserve"> Spore Germination. </w:t>
      </w:r>
      <w:r>
        <w:rPr>
          <w:i/>
          <w:iCs/>
          <w:noProof/>
        </w:rPr>
        <w:t>J. Bacteriol.</w:t>
      </w:r>
      <w:r>
        <w:rPr>
          <w:noProof/>
        </w:rPr>
        <w:t xml:space="preserve"> </w:t>
      </w:r>
      <w:r>
        <w:rPr>
          <w:b/>
          <w:bCs/>
          <w:noProof/>
        </w:rPr>
        <w:t>200,</w:t>
      </w:r>
      <w:r>
        <w:rPr>
          <w:noProof/>
        </w:rPr>
        <w:t xml:space="preserve"> (2018).</w:t>
      </w:r>
    </w:p>
    <w:p w14:paraId="6C3E814E" w14:textId="52796620" w:rsidR="00637D1E" w:rsidRDefault="00637D1E" w:rsidP="003F1CCD">
      <w:pPr>
        <w:widowControl w:val="0"/>
        <w:autoSpaceDE w:val="0"/>
        <w:autoSpaceDN w:val="0"/>
        <w:adjustRightInd w:val="0"/>
        <w:ind w:left="560" w:hanging="560"/>
        <w:jc w:val="both"/>
        <w:rPr>
          <w:noProof/>
        </w:rPr>
      </w:pPr>
      <w:r>
        <w:rPr>
          <w:noProof/>
        </w:rPr>
        <w:lastRenderedPageBreak/>
        <w:t>111.</w:t>
      </w:r>
      <w:r>
        <w:rPr>
          <w:noProof/>
        </w:rPr>
        <w:tab/>
        <w:t xml:space="preserve">Petrosillo, N., Granata, G. &amp; Cataldo, M. A. Novel Antimicrobials for the Treatment of </w:t>
      </w:r>
      <w:r w:rsidR="00AB3480" w:rsidRPr="00AB3480">
        <w:rPr>
          <w:i/>
          <w:noProof/>
        </w:rPr>
        <w:t>Clostridium difficile</w:t>
      </w:r>
      <w:r>
        <w:rPr>
          <w:noProof/>
        </w:rPr>
        <w:t xml:space="preserve"> Infection. </w:t>
      </w:r>
      <w:r>
        <w:rPr>
          <w:i/>
          <w:iCs/>
          <w:noProof/>
        </w:rPr>
        <w:t>Front Med (Lausanne)</w:t>
      </w:r>
      <w:r>
        <w:rPr>
          <w:noProof/>
        </w:rPr>
        <w:t xml:space="preserve"> </w:t>
      </w:r>
      <w:r>
        <w:rPr>
          <w:b/>
          <w:bCs/>
          <w:noProof/>
        </w:rPr>
        <w:t>5,</w:t>
      </w:r>
      <w:r>
        <w:rPr>
          <w:noProof/>
        </w:rPr>
        <w:t xml:space="preserve"> 96 (2018).</w:t>
      </w:r>
    </w:p>
    <w:p w14:paraId="34F36FF1" w14:textId="0C485B06" w:rsidR="00637D1E" w:rsidRDefault="00637D1E" w:rsidP="003F1CCD">
      <w:pPr>
        <w:widowControl w:val="0"/>
        <w:autoSpaceDE w:val="0"/>
        <w:autoSpaceDN w:val="0"/>
        <w:adjustRightInd w:val="0"/>
        <w:ind w:left="560" w:hanging="560"/>
        <w:jc w:val="both"/>
        <w:rPr>
          <w:noProof/>
        </w:rPr>
      </w:pPr>
      <w:r>
        <w:rPr>
          <w:noProof/>
        </w:rPr>
        <w:t>112.</w:t>
      </w:r>
      <w:r>
        <w:rPr>
          <w:noProof/>
        </w:rPr>
        <w:tab/>
        <w:t xml:space="preserve">Surawicz, C. M. </w:t>
      </w:r>
      <w:r>
        <w:rPr>
          <w:i/>
          <w:iCs/>
          <w:noProof/>
        </w:rPr>
        <w:t>et al.</w:t>
      </w:r>
      <w:r>
        <w:rPr>
          <w:noProof/>
        </w:rPr>
        <w:t xml:space="preserve"> Guidelines for diagnosis, treatment, and prevention of </w:t>
      </w:r>
      <w:r w:rsidR="00AB3480" w:rsidRPr="00AB3480">
        <w:rPr>
          <w:i/>
          <w:noProof/>
        </w:rPr>
        <w:t>Clostridium difficile</w:t>
      </w:r>
      <w:r>
        <w:rPr>
          <w:noProof/>
        </w:rPr>
        <w:t xml:space="preserve"> infections. </w:t>
      </w:r>
      <w:r>
        <w:rPr>
          <w:i/>
          <w:iCs/>
          <w:noProof/>
        </w:rPr>
        <w:t>Am. J. Gastroenterol.</w:t>
      </w:r>
      <w:r>
        <w:rPr>
          <w:noProof/>
        </w:rPr>
        <w:t xml:space="preserve"> </w:t>
      </w:r>
      <w:r>
        <w:rPr>
          <w:b/>
          <w:bCs/>
          <w:noProof/>
        </w:rPr>
        <w:t>108,</w:t>
      </w:r>
      <w:r>
        <w:rPr>
          <w:noProof/>
        </w:rPr>
        <w:t xml:space="preserve"> 478–98; quiz 499 (2013).</w:t>
      </w:r>
    </w:p>
    <w:p w14:paraId="7A1A4BE3" w14:textId="77777777" w:rsidR="00637D1E" w:rsidRDefault="00637D1E" w:rsidP="003F1CCD">
      <w:pPr>
        <w:widowControl w:val="0"/>
        <w:autoSpaceDE w:val="0"/>
        <w:autoSpaceDN w:val="0"/>
        <w:adjustRightInd w:val="0"/>
        <w:ind w:left="560" w:hanging="560"/>
        <w:jc w:val="both"/>
        <w:rPr>
          <w:noProof/>
        </w:rPr>
      </w:pPr>
      <w:r>
        <w:rPr>
          <w:noProof/>
        </w:rPr>
        <w:t>113.</w:t>
      </w:r>
      <w:r>
        <w:rPr>
          <w:noProof/>
        </w:rPr>
        <w:tab/>
        <w:t xml:space="preserve">Löfmark, S., Edlund, C. &amp; Nord, C. E. Metronidazole is still the drug of choice for treatment of anaerobic infections. </w:t>
      </w:r>
      <w:r>
        <w:rPr>
          <w:i/>
          <w:iCs/>
          <w:noProof/>
        </w:rPr>
        <w:t>Clin. Infect. Dis.</w:t>
      </w:r>
      <w:r>
        <w:rPr>
          <w:noProof/>
        </w:rPr>
        <w:t xml:space="preserve"> </w:t>
      </w:r>
      <w:r>
        <w:rPr>
          <w:b/>
          <w:bCs/>
          <w:noProof/>
        </w:rPr>
        <w:t>50 Suppl 1,</w:t>
      </w:r>
      <w:r>
        <w:rPr>
          <w:noProof/>
        </w:rPr>
        <w:t xml:space="preserve"> S16-23 (2010).</w:t>
      </w:r>
    </w:p>
    <w:p w14:paraId="5DDE2D69" w14:textId="77777777" w:rsidR="00637D1E" w:rsidRDefault="00637D1E" w:rsidP="003F1CCD">
      <w:pPr>
        <w:widowControl w:val="0"/>
        <w:autoSpaceDE w:val="0"/>
        <w:autoSpaceDN w:val="0"/>
        <w:adjustRightInd w:val="0"/>
        <w:ind w:left="560" w:hanging="560"/>
        <w:jc w:val="both"/>
        <w:rPr>
          <w:noProof/>
        </w:rPr>
      </w:pPr>
      <w:r>
        <w:rPr>
          <w:noProof/>
        </w:rPr>
        <w:t>114.</w:t>
      </w:r>
      <w:r>
        <w:rPr>
          <w:noProof/>
        </w:rPr>
        <w:tab/>
        <w:t xml:space="preserve">Teasley, D. G. </w:t>
      </w:r>
      <w:r>
        <w:rPr>
          <w:i/>
          <w:iCs/>
          <w:noProof/>
        </w:rPr>
        <w:t>et al.</w:t>
      </w:r>
      <w:r>
        <w:rPr>
          <w:noProof/>
        </w:rPr>
        <w:t xml:space="preserve"> Prospective randomised trial of metronidazole versus vancomycin for </w:t>
      </w:r>
      <w:r w:rsidRPr="00930C17">
        <w:rPr>
          <w:i/>
          <w:noProof/>
        </w:rPr>
        <w:t>Clostridium</w:t>
      </w:r>
      <w:r>
        <w:rPr>
          <w:noProof/>
        </w:rPr>
        <w:t>-</w:t>
      </w:r>
      <w:r w:rsidRPr="00930C17">
        <w:rPr>
          <w:i/>
          <w:noProof/>
        </w:rPr>
        <w:t>difficile</w:t>
      </w:r>
      <w:r>
        <w:rPr>
          <w:noProof/>
        </w:rPr>
        <w:t xml:space="preserve">-associated diarrhoea and colitis. </w:t>
      </w:r>
      <w:r>
        <w:rPr>
          <w:i/>
          <w:iCs/>
          <w:noProof/>
        </w:rPr>
        <w:t>Lancet</w:t>
      </w:r>
      <w:r>
        <w:rPr>
          <w:noProof/>
        </w:rPr>
        <w:t xml:space="preserve"> </w:t>
      </w:r>
      <w:r>
        <w:rPr>
          <w:b/>
          <w:bCs/>
          <w:noProof/>
        </w:rPr>
        <w:t>2,</w:t>
      </w:r>
      <w:r>
        <w:rPr>
          <w:noProof/>
        </w:rPr>
        <w:t xml:space="preserve"> 1043–1046 (1983).</w:t>
      </w:r>
    </w:p>
    <w:p w14:paraId="2F810F5B" w14:textId="6A8B7287" w:rsidR="00637D1E" w:rsidRDefault="00637D1E" w:rsidP="003F1CCD">
      <w:pPr>
        <w:widowControl w:val="0"/>
        <w:autoSpaceDE w:val="0"/>
        <w:autoSpaceDN w:val="0"/>
        <w:adjustRightInd w:val="0"/>
        <w:ind w:left="560" w:hanging="560"/>
        <w:jc w:val="both"/>
        <w:rPr>
          <w:noProof/>
        </w:rPr>
      </w:pPr>
      <w:r>
        <w:rPr>
          <w:noProof/>
        </w:rPr>
        <w:t>115.</w:t>
      </w:r>
      <w:r>
        <w:rPr>
          <w:noProof/>
        </w:rPr>
        <w:tab/>
        <w:t xml:space="preserve">Bolton, R. P. &amp; Culshaw, M. A. Faecal metronidazole concentrations during oral and intravenous therapy for antibiotic associated colitis due to </w:t>
      </w:r>
      <w:r w:rsidR="00AB3480" w:rsidRPr="00AB3480">
        <w:rPr>
          <w:i/>
          <w:noProof/>
        </w:rPr>
        <w:t>Clostridium difficile</w:t>
      </w:r>
      <w:r>
        <w:rPr>
          <w:noProof/>
        </w:rPr>
        <w:t xml:space="preserve">. </w:t>
      </w:r>
      <w:r>
        <w:rPr>
          <w:i/>
          <w:iCs/>
          <w:noProof/>
        </w:rPr>
        <w:t>Gut</w:t>
      </w:r>
      <w:r>
        <w:rPr>
          <w:noProof/>
        </w:rPr>
        <w:t xml:space="preserve"> </w:t>
      </w:r>
      <w:r>
        <w:rPr>
          <w:b/>
          <w:bCs/>
          <w:noProof/>
        </w:rPr>
        <w:t>27,</w:t>
      </w:r>
      <w:r>
        <w:rPr>
          <w:noProof/>
        </w:rPr>
        <w:t xml:space="preserve"> 1169–1172 (1986).</w:t>
      </w:r>
    </w:p>
    <w:p w14:paraId="0536D35B" w14:textId="77777777" w:rsidR="00637D1E" w:rsidRDefault="00637D1E" w:rsidP="003F1CCD">
      <w:pPr>
        <w:widowControl w:val="0"/>
        <w:autoSpaceDE w:val="0"/>
        <w:autoSpaceDN w:val="0"/>
        <w:adjustRightInd w:val="0"/>
        <w:ind w:left="560" w:hanging="560"/>
        <w:jc w:val="both"/>
        <w:rPr>
          <w:noProof/>
        </w:rPr>
      </w:pPr>
      <w:r>
        <w:rPr>
          <w:noProof/>
        </w:rPr>
        <w:t>116.</w:t>
      </w:r>
      <w:r>
        <w:rPr>
          <w:noProof/>
        </w:rPr>
        <w:tab/>
        <w:t xml:space="preserve">Dale, L. D., Tocher, J. H., Dyson, T. M. &amp; Edwards, D. I. Studies on DNA damage and induction of SOS repair by novel multifunctional bioreducible compounds. II. A metronidazole adduct of a ruthenium-arene compound. </w:t>
      </w:r>
      <w:r>
        <w:rPr>
          <w:i/>
          <w:iCs/>
          <w:noProof/>
        </w:rPr>
        <w:t>Anti</w:t>
      </w:r>
    </w:p>
    <w:p w14:paraId="2356ED80" w14:textId="77777777" w:rsidR="00637D1E" w:rsidRDefault="00637D1E" w:rsidP="003F1CCD">
      <w:pPr>
        <w:widowControl w:val="0"/>
        <w:autoSpaceDE w:val="0"/>
        <w:autoSpaceDN w:val="0"/>
        <w:adjustRightInd w:val="0"/>
        <w:ind w:left="560" w:hanging="560"/>
        <w:jc w:val="both"/>
        <w:rPr>
          <w:noProof/>
        </w:rPr>
      </w:pPr>
      <w:r>
        <w:rPr>
          <w:noProof/>
        </w:rPr>
        <w:t>117.</w:t>
      </w:r>
      <w:r>
        <w:rPr>
          <w:noProof/>
        </w:rPr>
        <w:tab/>
        <w:t xml:space="preserve">Menéndez, D., Rojas, E., Herrera, L. A. &amp; López, M. C. DNA breakage due to metronidazole treatment. </w:t>
      </w:r>
      <w:r>
        <w:rPr>
          <w:i/>
          <w:iCs/>
          <w:noProof/>
        </w:rPr>
        <w:t>Mutation Research …</w:t>
      </w:r>
      <w:r>
        <w:rPr>
          <w:noProof/>
        </w:rPr>
        <w:t xml:space="preserve"> (2001).</w:t>
      </w:r>
    </w:p>
    <w:p w14:paraId="58E21E1E" w14:textId="0924A684" w:rsidR="00637D1E" w:rsidRDefault="00637D1E" w:rsidP="003F1CCD">
      <w:pPr>
        <w:widowControl w:val="0"/>
        <w:autoSpaceDE w:val="0"/>
        <w:autoSpaceDN w:val="0"/>
        <w:adjustRightInd w:val="0"/>
        <w:ind w:left="560" w:hanging="560"/>
        <w:jc w:val="both"/>
        <w:rPr>
          <w:noProof/>
        </w:rPr>
      </w:pPr>
      <w:r>
        <w:rPr>
          <w:noProof/>
        </w:rPr>
        <w:t>118.</w:t>
      </w:r>
      <w:r>
        <w:rPr>
          <w:noProof/>
        </w:rPr>
        <w:tab/>
        <w:t xml:space="preserve">Moura, I. </w:t>
      </w:r>
      <w:r>
        <w:rPr>
          <w:i/>
          <w:iCs/>
          <w:noProof/>
        </w:rPr>
        <w:t>et al.</w:t>
      </w:r>
      <w:r>
        <w:rPr>
          <w:noProof/>
        </w:rPr>
        <w:t xml:space="preserve"> Multidisciplinary analysis of a nontoxigenic </w:t>
      </w:r>
      <w:r w:rsidR="00AB3480" w:rsidRPr="00AB3480">
        <w:rPr>
          <w:i/>
          <w:noProof/>
        </w:rPr>
        <w:t>Clostridium difficile</w:t>
      </w:r>
      <w:r>
        <w:rPr>
          <w:noProof/>
        </w:rPr>
        <w:t xml:space="preserve"> strain with stable resistance to metronidazole. </w:t>
      </w:r>
      <w:r>
        <w:rPr>
          <w:i/>
          <w:iCs/>
          <w:noProof/>
        </w:rPr>
        <w:t>Antimicrob. Agents Chemother.</w:t>
      </w:r>
      <w:r>
        <w:rPr>
          <w:noProof/>
        </w:rPr>
        <w:t xml:space="preserve"> </w:t>
      </w:r>
      <w:r>
        <w:rPr>
          <w:b/>
          <w:bCs/>
          <w:noProof/>
        </w:rPr>
        <w:t>58,</w:t>
      </w:r>
      <w:r>
        <w:rPr>
          <w:noProof/>
        </w:rPr>
        <w:t xml:space="preserve"> 4957–4960 (2014).</w:t>
      </w:r>
    </w:p>
    <w:p w14:paraId="75AA3DD6" w14:textId="604C54EF" w:rsidR="00637D1E" w:rsidRDefault="00637D1E" w:rsidP="003F1CCD">
      <w:pPr>
        <w:widowControl w:val="0"/>
        <w:autoSpaceDE w:val="0"/>
        <w:autoSpaceDN w:val="0"/>
        <w:adjustRightInd w:val="0"/>
        <w:ind w:left="560" w:hanging="560"/>
        <w:jc w:val="both"/>
        <w:rPr>
          <w:noProof/>
        </w:rPr>
      </w:pPr>
      <w:r>
        <w:rPr>
          <w:noProof/>
        </w:rPr>
        <w:t>119.</w:t>
      </w:r>
      <w:r>
        <w:rPr>
          <w:noProof/>
        </w:rPr>
        <w:tab/>
        <w:t xml:space="preserve">Al Momani, L. A., Abughanimeh, O., Boonpheng, B., Gabriel, J. G. &amp; Young, M. Fidaxomicin vs Vancomycin for the Treatment of a First Episode of </w:t>
      </w:r>
      <w:r w:rsidR="00AB3480" w:rsidRPr="00AB3480">
        <w:rPr>
          <w:i/>
          <w:noProof/>
        </w:rPr>
        <w:t>Clostridium difficile</w:t>
      </w:r>
      <w:r>
        <w:rPr>
          <w:noProof/>
        </w:rPr>
        <w:t xml:space="preserve"> Infection: A Meta-analysis and Systematic Review. </w:t>
      </w:r>
      <w:r>
        <w:rPr>
          <w:i/>
          <w:iCs/>
          <w:noProof/>
        </w:rPr>
        <w:t>Cureus</w:t>
      </w:r>
      <w:r>
        <w:rPr>
          <w:noProof/>
        </w:rPr>
        <w:t xml:space="preserve"> </w:t>
      </w:r>
      <w:r>
        <w:rPr>
          <w:b/>
          <w:bCs/>
          <w:noProof/>
        </w:rPr>
        <w:t>10,</w:t>
      </w:r>
      <w:r>
        <w:rPr>
          <w:noProof/>
        </w:rPr>
        <w:t xml:space="preserve"> e2778 (2018).</w:t>
      </w:r>
    </w:p>
    <w:p w14:paraId="1F132BE3" w14:textId="77777777" w:rsidR="00637D1E" w:rsidRDefault="00637D1E" w:rsidP="003F1CCD">
      <w:pPr>
        <w:widowControl w:val="0"/>
        <w:autoSpaceDE w:val="0"/>
        <w:autoSpaceDN w:val="0"/>
        <w:adjustRightInd w:val="0"/>
        <w:ind w:left="560" w:hanging="560"/>
        <w:jc w:val="both"/>
        <w:rPr>
          <w:noProof/>
        </w:rPr>
      </w:pPr>
      <w:r>
        <w:rPr>
          <w:noProof/>
        </w:rPr>
        <w:lastRenderedPageBreak/>
        <w:t>120.</w:t>
      </w:r>
      <w:r>
        <w:rPr>
          <w:noProof/>
        </w:rPr>
        <w:tab/>
        <w:t xml:space="preserve">Reynolds, P. E. Structure, biochemistry and mechanism of action of glycopeptide antibiotics. </w:t>
      </w:r>
      <w:r>
        <w:rPr>
          <w:i/>
          <w:iCs/>
          <w:noProof/>
        </w:rPr>
        <w:t>Eur. J. Clin. Microbiol. Infect. Dis.</w:t>
      </w:r>
      <w:r>
        <w:rPr>
          <w:noProof/>
        </w:rPr>
        <w:t xml:space="preserve"> </w:t>
      </w:r>
      <w:r>
        <w:rPr>
          <w:b/>
          <w:bCs/>
          <w:noProof/>
        </w:rPr>
        <w:t>8,</w:t>
      </w:r>
      <w:r>
        <w:rPr>
          <w:noProof/>
        </w:rPr>
        <w:t xml:space="preserve"> 943–950 (1989).</w:t>
      </w:r>
    </w:p>
    <w:p w14:paraId="3D8761BB" w14:textId="77777777" w:rsidR="00637D1E" w:rsidRDefault="00637D1E" w:rsidP="003F1CCD">
      <w:pPr>
        <w:widowControl w:val="0"/>
        <w:autoSpaceDE w:val="0"/>
        <w:autoSpaceDN w:val="0"/>
        <w:adjustRightInd w:val="0"/>
        <w:ind w:left="560" w:hanging="560"/>
        <w:jc w:val="both"/>
        <w:rPr>
          <w:noProof/>
        </w:rPr>
      </w:pPr>
      <w:r>
        <w:rPr>
          <w:noProof/>
        </w:rPr>
        <w:t>121.</w:t>
      </w:r>
      <w:r>
        <w:rPr>
          <w:noProof/>
        </w:rPr>
        <w:tab/>
        <w:t xml:space="preserve">Wright, G. D. &amp; Walsh, C. T. D-Alanyl-D-alanine ligases and the molecular mechanism of vancomycin resistance. </w:t>
      </w:r>
      <w:r>
        <w:rPr>
          <w:i/>
          <w:iCs/>
          <w:noProof/>
        </w:rPr>
        <w:t>Accounts of chemical research</w:t>
      </w:r>
      <w:r>
        <w:rPr>
          <w:noProof/>
        </w:rPr>
        <w:t xml:space="preserve"> (1992).</w:t>
      </w:r>
    </w:p>
    <w:p w14:paraId="0DBD1A9A" w14:textId="57F65670" w:rsidR="00637D1E" w:rsidRDefault="00637D1E" w:rsidP="003F1CCD">
      <w:pPr>
        <w:widowControl w:val="0"/>
        <w:autoSpaceDE w:val="0"/>
        <w:autoSpaceDN w:val="0"/>
        <w:adjustRightInd w:val="0"/>
        <w:ind w:left="560" w:hanging="560"/>
        <w:jc w:val="both"/>
        <w:rPr>
          <w:noProof/>
        </w:rPr>
      </w:pPr>
      <w:r>
        <w:rPr>
          <w:noProof/>
        </w:rPr>
        <w:t>122.</w:t>
      </w:r>
      <w:r>
        <w:rPr>
          <w:noProof/>
        </w:rPr>
        <w:tab/>
        <w:t xml:space="preserve">Leeds, J. A., Sachdeva, M., Mullin, S., Barnes, S. W. &amp; Ruzin, A. In vitro selection, via serial passage, of </w:t>
      </w:r>
      <w:r w:rsidR="00AB3480" w:rsidRPr="00AB3480">
        <w:rPr>
          <w:i/>
          <w:noProof/>
        </w:rPr>
        <w:t>Clostridium difficile</w:t>
      </w:r>
      <w:r>
        <w:rPr>
          <w:noProof/>
        </w:rPr>
        <w:t xml:space="preserve"> mutants with reduced susceptibility to fidaxomicin or vancomycin. </w:t>
      </w:r>
      <w:r>
        <w:rPr>
          <w:i/>
          <w:iCs/>
          <w:noProof/>
        </w:rPr>
        <w:t>J. Antimicrob. Chemother.</w:t>
      </w:r>
      <w:r>
        <w:rPr>
          <w:noProof/>
        </w:rPr>
        <w:t xml:space="preserve"> </w:t>
      </w:r>
      <w:r>
        <w:rPr>
          <w:b/>
          <w:bCs/>
          <w:noProof/>
        </w:rPr>
        <w:t>69,</w:t>
      </w:r>
      <w:r>
        <w:rPr>
          <w:noProof/>
        </w:rPr>
        <w:t xml:space="preserve"> 41–44 (2014).</w:t>
      </w:r>
    </w:p>
    <w:p w14:paraId="2AB24D5B" w14:textId="72097606" w:rsidR="00637D1E" w:rsidRDefault="00637D1E" w:rsidP="003F1CCD">
      <w:pPr>
        <w:widowControl w:val="0"/>
        <w:autoSpaceDE w:val="0"/>
        <w:autoSpaceDN w:val="0"/>
        <w:adjustRightInd w:val="0"/>
        <w:ind w:left="560" w:hanging="560"/>
        <w:jc w:val="both"/>
        <w:rPr>
          <w:noProof/>
        </w:rPr>
      </w:pPr>
      <w:r>
        <w:rPr>
          <w:noProof/>
        </w:rPr>
        <w:t>123.</w:t>
      </w:r>
      <w:r>
        <w:rPr>
          <w:noProof/>
        </w:rPr>
        <w:tab/>
        <w:t xml:space="preserve">Louie, T. J. </w:t>
      </w:r>
      <w:r>
        <w:rPr>
          <w:i/>
          <w:iCs/>
          <w:noProof/>
        </w:rPr>
        <w:t>et al.</w:t>
      </w:r>
      <w:r>
        <w:rPr>
          <w:noProof/>
        </w:rPr>
        <w:t xml:space="preserve"> Fidaxomicin versus vancomycin for </w:t>
      </w:r>
      <w:r w:rsidR="00AB3480" w:rsidRPr="00AB3480">
        <w:rPr>
          <w:i/>
          <w:noProof/>
        </w:rPr>
        <w:t>Clostridium difficile</w:t>
      </w:r>
      <w:r>
        <w:rPr>
          <w:noProof/>
        </w:rPr>
        <w:t xml:space="preserve"> infection. </w:t>
      </w:r>
      <w:r>
        <w:rPr>
          <w:i/>
          <w:iCs/>
          <w:noProof/>
        </w:rPr>
        <w:t>N. Engl. J. Med.</w:t>
      </w:r>
      <w:r>
        <w:rPr>
          <w:noProof/>
        </w:rPr>
        <w:t xml:space="preserve"> </w:t>
      </w:r>
      <w:r>
        <w:rPr>
          <w:b/>
          <w:bCs/>
          <w:noProof/>
        </w:rPr>
        <w:t>364,</w:t>
      </w:r>
      <w:r>
        <w:rPr>
          <w:noProof/>
        </w:rPr>
        <w:t xml:space="preserve"> 422–431 (2011).</w:t>
      </w:r>
    </w:p>
    <w:p w14:paraId="154E5382" w14:textId="0D3F87B7" w:rsidR="00637D1E" w:rsidRDefault="00637D1E" w:rsidP="003F1CCD">
      <w:pPr>
        <w:widowControl w:val="0"/>
        <w:autoSpaceDE w:val="0"/>
        <w:autoSpaceDN w:val="0"/>
        <w:adjustRightInd w:val="0"/>
        <w:ind w:left="560" w:hanging="560"/>
        <w:jc w:val="both"/>
        <w:rPr>
          <w:noProof/>
        </w:rPr>
      </w:pPr>
      <w:r>
        <w:rPr>
          <w:noProof/>
        </w:rPr>
        <w:t>124.</w:t>
      </w:r>
      <w:r>
        <w:rPr>
          <w:noProof/>
        </w:rPr>
        <w:tab/>
        <w:t xml:space="preserve">Cornely, O. A. </w:t>
      </w:r>
      <w:r>
        <w:rPr>
          <w:i/>
          <w:iCs/>
          <w:noProof/>
        </w:rPr>
        <w:t>et al.</w:t>
      </w:r>
      <w:r>
        <w:rPr>
          <w:noProof/>
        </w:rPr>
        <w:t xml:space="preserve"> Fidaxomicin versus vancomycin for infection with </w:t>
      </w:r>
      <w:r w:rsidR="00AB3480" w:rsidRPr="00AB3480">
        <w:rPr>
          <w:i/>
          <w:noProof/>
        </w:rPr>
        <w:t>Clostridium difficile</w:t>
      </w:r>
      <w:r>
        <w:rPr>
          <w:noProof/>
        </w:rPr>
        <w:t xml:space="preserve"> in Europe, Canada, and the USA: a double-blind, non-inferiority, randomised controlled trial. </w:t>
      </w:r>
      <w:r>
        <w:rPr>
          <w:i/>
          <w:iCs/>
          <w:noProof/>
        </w:rPr>
        <w:t>Lancet Infect. Dis.</w:t>
      </w:r>
      <w:r>
        <w:rPr>
          <w:noProof/>
        </w:rPr>
        <w:t xml:space="preserve"> </w:t>
      </w:r>
      <w:r>
        <w:rPr>
          <w:b/>
          <w:bCs/>
          <w:noProof/>
        </w:rPr>
        <w:t>12,</w:t>
      </w:r>
      <w:r>
        <w:rPr>
          <w:noProof/>
        </w:rPr>
        <w:t xml:space="preserve"> 281–289 (2012).</w:t>
      </w:r>
    </w:p>
    <w:p w14:paraId="78E66595" w14:textId="765D6E7B" w:rsidR="00637D1E" w:rsidRDefault="00637D1E" w:rsidP="003F1CCD">
      <w:pPr>
        <w:widowControl w:val="0"/>
        <w:autoSpaceDE w:val="0"/>
        <w:autoSpaceDN w:val="0"/>
        <w:adjustRightInd w:val="0"/>
        <w:ind w:left="560" w:hanging="560"/>
        <w:jc w:val="both"/>
        <w:rPr>
          <w:noProof/>
        </w:rPr>
      </w:pPr>
      <w:r>
        <w:rPr>
          <w:noProof/>
        </w:rPr>
        <w:t>125.</w:t>
      </w:r>
      <w:r>
        <w:rPr>
          <w:noProof/>
        </w:rPr>
        <w:tab/>
        <w:t xml:space="preserve">Louie, T. J. </w:t>
      </w:r>
      <w:r>
        <w:rPr>
          <w:i/>
          <w:iCs/>
          <w:noProof/>
        </w:rPr>
        <w:t>et al.</w:t>
      </w:r>
      <w:r>
        <w:rPr>
          <w:noProof/>
        </w:rPr>
        <w:t xml:space="preserve"> Fidaxomicin preserves the intestinal microbiome during and after treatment of </w:t>
      </w:r>
      <w:r w:rsidR="00AB3480" w:rsidRPr="00AB3480">
        <w:rPr>
          <w:i/>
          <w:noProof/>
        </w:rPr>
        <w:t>Clostridium difficile</w:t>
      </w:r>
      <w:r>
        <w:rPr>
          <w:noProof/>
        </w:rPr>
        <w:t xml:space="preserve"> infection (CDI) and reduces both toxin reexpression and recurrence of CDI. </w:t>
      </w:r>
      <w:r>
        <w:rPr>
          <w:i/>
          <w:iCs/>
          <w:noProof/>
        </w:rPr>
        <w:t>Clin. Infect. Dis.</w:t>
      </w:r>
      <w:r>
        <w:rPr>
          <w:noProof/>
        </w:rPr>
        <w:t xml:space="preserve"> </w:t>
      </w:r>
      <w:r>
        <w:rPr>
          <w:b/>
          <w:bCs/>
          <w:noProof/>
        </w:rPr>
        <w:t>55 Suppl 2,</w:t>
      </w:r>
      <w:r>
        <w:rPr>
          <w:noProof/>
        </w:rPr>
        <w:t xml:space="preserve"> S132-42 (2012).</w:t>
      </w:r>
    </w:p>
    <w:p w14:paraId="39D410A5" w14:textId="1906C6AA" w:rsidR="00637D1E" w:rsidRDefault="00637D1E" w:rsidP="003F1CCD">
      <w:pPr>
        <w:widowControl w:val="0"/>
        <w:autoSpaceDE w:val="0"/>
        <w:autoSpaceDN w:val="0"/>
        <w:adjustRightInd w:val="0"/>
        <w:ind w:left="560" w:hanging="560"/>
        <w:jc w:val="both"/>
        <w:rPr>
          <w:noProof/>
        </w:rPr>
      </w:pPr>
      <w:r>
        <w:rPr>
          <w:noProof/>
        </w:rPr>
        <w:t>126.</w:t>
      </w:r>
      <w:r>
        <w:rPr>
          <w:noProof/>
        </w:rPr>
        <w:tab/>
        <w:t xml:space="preserve">Miller, M. Fidaxomicin (OPT-80) for the treatment of </w:t>
      </w:r>
      <w:r w:rsidR="00AB3480" w:rsidRPr="00AB3480">
        <w:rPr>
          <w:i/>
          <w:noProof/>
        </w:rPr>
        <w:t>Clostridium difficile</w:t>
      </w:r>
      <w:r>
        <w:rPr>
          <w:noProof/>
        </w:rPr>
        <w:t xml:space="preserve"> infection. </w:t>
      </w:r>
      <w:r>
        <w:rPr>
          <w:i/>
          <w:iCs/>
          <w:noProof/>
        </w:rPr>
        <w:t>Expert opinion on pharmacotherapy</w:t>
      </w:r>
      <w:r>
        <w:rPr>
          <w:noProof/>
        </w:rPr>
        <w:t xml:space="preserve"> (2010).</w:t>
      </w:r>
    </w:p>
    <w:p w14:paraId="178F6C2D" w14:textId="07C1E931" w:rsidR="00637D1E" w:rsidRDefault="00637D1E" w:rsidP="003F1CCD">
      <w:pPr>
        <w:widowControl w:val="0"/>
        <w:autoSpaceDE w:val="0"/>
        <w:autoSpaceDN w:val="0"/>
        <w:adjustRightInd w:val="0"/>
        <w:ind w:left="560" w:hanging="560"/>
        <w:jc w:val="both"/>
        <w:rPr>
          <w:noProof/>
        </w:rPr>
      </w:pPr>
      <w:r>
        <w:rPr>
          <w:noProof/>
        </w:rPr>
        <w:t>127.</w:t>
      </w:r>
      <w:r>
        <w:rPr>
          <w:noProof/>
        </w:rPr>
        <w:tab/>
        <w:t xml:space="preserve">Venugopal, A. A. &amp; Johnson, S. Fidaxomicin: a novel macrocyclic antibiotic approved for treatment of </w:t>
      </w:r>
      <w:r w:rsidR="00AB3480" w:rsidRPr="00AB3480">
        <w:rPr>
          <w:i/>
          <w:noProof/>
        </w:rPr>
        <w:t>Clostridium difficile</w:t>
      </w:r>
      <w:r>
        <w:rPr>
          <w:noProof/>
        </w:rPr>
        <w:t xml:space="preserve"> infection. </w:t>
      </w:r>
      <w:r>
        <w:rPr>
          <w:i/>
          <w:iCs/>
          <w:noProof/>
        </w:rPr>
        <w:t>Clin. Infect. Dis.</w:t>
      </w:r>
      <w:r>
        <w:rPr>
          <w:noProof/>
        </w:rPr>
        <w:t xml:space="preserve"> </w:t>
      </w:r>
      <w:r>
        <w:rPr>
          <w:b/>
          <w:bCs/>
          <w:noProof/>
        </w:rPr>
        <w:t>54,</w:t>
      </w:r>
      <w:r>
        <w:rPr>
          <w:noProof/>
        </w:rPr>
        <w:t xml:space="preserve"> 568–574 (2012).</w:t>
      </w:r>
    </w:p>
    <w:p w14:paraId="7435B2D7" w14:textId="77777777" w:rsidR="00637D1E" w:rsidRDefault="00637D1E" w:rsidP="003F1CCD">
      <w:pPr>
        <w:widowControl w:val="0"/>
        <w:autoSpaceDE w:val="0"/>
        <w:autoSpaceDN w:val="0"/>
        <w:adjustRightInd w:val="0"/>
        <w:ind w:left="560" w:hanging="560"/>
        <w:jc w:val="both"/>
        <w:rPr>
          <w:noProof/>
        </w:rPr>
      </w:pPr>
      <w:r>
        <w:rPr>
          <w:noProof/>
        </w:rPr>
        <w:t>128.</w:t>
      </w:r>
      <w:r>
        <w:rPr>
          <w:noProof/>
        </w:rPr>
        <w:tab/>
        <w:t xml:space="preserve">Artsimovitch, I., Seddon, J. &amp; Sears, P. Fidaxomicin is an inhibitor of the initiation of bacterial RNA synthesis. </w:t>
      </w:r>
      <w:r>
        <w:rPr>
          <w:i/>
          <w:iCs/>
          <w:noProof/>
        </w:rPr>
        <w:t>Clin. Infect. Dis.</w:t>
      </w:r>
      <w:r>
        <w:rPr>
          <w:noProof/>
        </w:rPr>
        <w:t xml:space="preserve"> </w:t>
      </w:r>
      <w:r>
        <w:rPr>
          <w:b/>
          <w:bCs/>
          <w:noProof/>
        </w:rPr>
        <w:t>55 Suppl 2,</w:t>
      </w:r>
      <w:r>
        <w:rPr>
          <w:noProof/>
        </w:rPr>
        <w:t xml:space="preserve"> S127-31 (2012).</w:t>
      </w:r>
    </w:p>
    <w:p w14:paraId="4B1AE0A9" w14:textId="00B9B751" w:rsidR="00637D1E" w:rsidRDefault="00637D1E" w:rsidP="003F1CCD">
      <w:pPr>
        <w:widowControl w:val="0"/>
        <w:autoSpaceDE w:val="0"/>
        <w:autoSpaceDN w:val="0"/>
        <w:adjustRightInd w:val="0"/>
        <w:ind w:left="560" w:hanging="560"/>
        <w:jc w:val="both"/>
        <w:rPr>
          <w:noProof/>
        </w:rPr>
      </w:pPr>
      <w:r>
        <w:rPr>
          <w:noProof/>
        </w:rPr>
        <w:t>129.</w:t>
      </w:r>
      <w:r>
        <w:rPr>
          <w:noProof/>
        </w:rPr>
        <w:tab/>
        <w:t xml:space="preserve">Roshan, N., Hammer, K. A. &amp; Riley, T. V. Non-conventional antimicrobial and alternative therapies for the treatment of </w:t>
      </w:r>
      <w:r w:rsidR="00AB3480" w:rsidRPr="00AB3480">
        <w:rPr>
          <w:i/>
          <w:noProof/>
        </w:rPr>
        <w:t>Clostridium difficile</w:t>
      </w:r>
      <w:r>
        <w:rPr>
          <w:noProof/>
        </w:rPr>
        <w:t xml:space="preserve"> infection. </w:t>
      </w:r>
      <w:r>
        <w:rPr>
          <w:i/>
          <w:iCs/>
          <w:noProof/>
        </w:rPr>
        <w:t>Anaerobe</w:t>
      </w:r>
      <w:r>
        <w:rPr>
          <w:noProof/>
        </w:rPr>
        <w:t xml:space="preserve"> </w:t>
      </w:r>
      <w:r>
        <w:rPr>
          <w:b/>
          <w:bCs/>
          <w:noProof/>
        </w:rPr>
        <w:t>49,</w:t>
      </w:r>
      <w:r>
        <w:rPr>
          <w:noProof/>
        </w:rPr>
        <w:t xml:space="preserve"> </w:t>
      </w:r>
      <w:r>
        <w:rPr>
          <w:noProof/>
        </w:rPr>
        <w:lastRenderedPageBreak/>
        <w:t>103–111 (2018).</w:t>
      </w:r>
    </w:p>
    <w:p w14:paraId="6129854A" w14:textId="58D0E901" w:rsidR="00637D1E" w:rsidRDefault="00637D1E" w:rsidP="003F1CCD">
      <w:pPr>
        <w:widowControl w:val="0"/>
        <w:autoSpaceDE w:val="0"/>
        <w:autoSpaceDN w:val="0"/>
        <w:adjustRightInd w:val="0"/>
        <w:ind w:left="560" w:hanging="560"/>
        <w:jc w:val="both"/>
        <w:rPr>
          <w:noProof/>
        </w:rPr>
      </w:pPr>
      <w:r>
        <w:rPr>
          <w:noProof/>
        </w:rPr>
        <w:t>130.</w:t>
      </w:r>
      <w:r>
        <w:rPr>
          <w:noProof/>
        </w:rPr>
        <w:tab/>
        <w:t xml:space="preserve">Wang, S., Wang, Y., Cai, Y., Kelly, C. P. &amp; Sun, X. Novel Chimeric Protein Vaccines Against </w:t>
      </w:r>
      <w:r w:rsidR="00AB3480" w:rsidRPr="00AB3480">
        <w:rPr>
          <w:i/>
          <w:noProof/>
        </w:rPr>
        <w:t>Clostridium difficile</w:t>
      </w:r>
      <w:r>
        <w:rPr>
          <w:noProof/>
        </w:rPr>
        <w:t xml:space="preserve"> Infection. </w:t>
      </w:r>
      <w:r>
        <w:rPr>
          <w:i/>
          <w:iCs/>
          <w:noProof/>
        </w:rPr>
        <w:t>Front. Immunol.</w:t>
      </w:r>
      <w:r>
        <w:rPr>
          <w:noProof/>
        </w:rPr>
        <w:t xml:space="preserve"> </w:t>
      </w:r>
      <w:r>
        <w:rPr>
          <w:b/>
          <w:bCs/>
          <w:noProof/>
        </w:rPr>
        <w:t>9,</w:t>
      </w:r>
      <w:r>
        <w:rPr>
          <w:noProof/>
        </w:rPr>
        <w:t xml:space="preserve"> 2440 (2018).</w:t>
      </w:r>
    </w:p>
    <w:p w14:paraId="10EB562E" w14:textId="2F4EE5BB" w:rsidR="00637D1E" w:rsidRDefault="00637D1E" w:rsidP="003F1CCD">
      <w:pPr>
        <w:widowControl w:val="0"/>
        <w:autoSpaceDE w:val="0"/>
        <w:autoSpaceDN w:val="0"/>
        <w:adjustRightInd w:val="0"/>
        <w:ind w:left="560" w:hanging="560"/>
        <w:jc w:val="both"/>
        <w:rPr>
          <w:noProof/>
        </w:rPr>
      </w:pPr>
      <w:r>
        <w:rPr>
          <w:noProof/>
        </w:rPr>
        <w:t>131.</w:t>
      </w:r>
      <w:r>
        <w:rPr>
          <w:noProof/>
        </w:rPr>
        <w:tab/>
        <w:t xml:space="preserve">Gardiner, D. F., Rosenberg, T., Zaharatos, J. &amp; Franco, D. A DNA vaccine targeting the receptor-binding domain of </w:t>
      </w:r>
      <w:r w:rsidR="00AB3480" w:rsidRPr="00AB3480">
        <w:rPr>
          <w:i/>
          <w:noProof/>
        </w:rPr>
        <w:t>Clostridium difficile</w:t>
      </w:r>
      <w:r>
        <w:rPr>
          <w:noProof/>
        </w:rPr>
        <w:t xml:space="preserve"> toxin A. </w:t>
      </w:r>
      <w:r>
        <w:rPr>
          <w:i/>
          <w:iCs/>
          <w:noProof/>
        </w:rPr>
        <w:t>Vaccine</w:t>
      </w:r>
      <w:r>
        <w:rPr>
          <w:noProof/>
        </w:rPr>
        <w:t xml:space="preserve"> (2009).</w:t>
      </w:r>
    </w:p>
    <w:p w14:paraId="2F55E493" w14:textId="48B65FE2" w:rsidR="00637D1E" w:rsidRDefault="00637D1E" w:rsidP="003F1CCD">
      <w:pPr>
        <w:widowControl w:val="0"/>
        <w:autoSpaceDE w:val="0"/>
        <w:autoSpaceDN w:val="0"/>
        <w:adjustRightInd w:val="0"/>
        <w:ind w:left="560" w:hanging="560"/>
        <w:jc w:val="both"/>
        <w:rPr>
          <w:noProof/>
        </w:rPr>
      </w:pPr>
      <w:r>
        <w:rPr>
          <w:noProof/>
        </w:rPr>
        <w:t>132.</w:t>
      </w:r>
      <w:r>
        <w:rPr>
          <w:noProof/>
        </w:rPr>
        <w:tab/>
        <w:t xml:space="preserve">Sougioultzis, S. </w:t>
      </w:r>
      <w:r>
        <w:rPr>
          <w:i/>
          <w:iCs/>
          <w:noProof/>
        </w:rPr>
        <w:t>et al.</w:t>
      </w:r>
      <w:r>
        <w:rPr>
          <w:noProof/>
        </w:rPr>
        <w:t xml:space="preserve"> </w:t>
      </w:r>
      <w:r w:rsidR="00AB3480" w:rsidRPr="00AB3480">
        <w:rPr>
          <w:i/>
          <w:noProof/>
        </w:rPr>
        <w:t>Clostridium difficile</w:t>
      </w:r>
      <w:r>
        <w:rPr>
          <w:noProof/>
        </w:rPr>
        <w:t xml:space="preserve"> toxoid vaccine in recurrent </w:t>
      </w:r>
      <w:r w:rsidR="00AB3480" w:rsidRPr="00AB3480">
        <w:rPr>
          <w:i/>
          <w:noProof/>
        </w:rPr>
        <w:t>C. difficile</w:t>
      </w:r>
      <w:r>
        <w:rPr>
          <w:noProof/>
        </w:rPr>
        <w:t xml:space="preserve">-associated diarrhea. </w:t>
      </w:r>
      <w:r>
        <w:rPr>
          <w:i/>
          <w:iCs/>
          <w:noProof/>
        </w:rPr>
        <w:t>Gastroenterology</w:t>
      </w:r>
      <w:r>
        <w:rPr>
          <w:noProof/>
        </w:rPr>
        <w:t xml:space="preserve"> </w:t>
      </w:r>
      <w:r>
        <w:rPr>
          <w:b/>
          <w:bCs/>
          <w:noProof/>
        </w:rPr>
        <w:t>128,</w:t>
      </w:r>
      <w:r>
        <w:rPr>
          <w:noProof/>
        </w:rPr>
        <w:t xml:space="preserve"> 764–770 (2005).</w:t>
      </w:r>
    </w:p>
    <w:p w14:paraId="0D2EA848" w14:textId="5DA2A0CB" w:rsidR="00637D1E" w:rsidRDefault="00637D1E" w:rsidP="003F1CCD">
      <w:pPr>
        <w:widowControl w:val="0"/>
        <w:autoSpaceDE w:val="0"/>
        <w:autoSpaceDN w:val="0"/>
        <w:adjustRightInd w:val="0"/>
        <w:ind w:left="560" w:hanging="560"/>
        <w:jc w:val="both"/>
        <w:rPr>
          <w:noProof/>
        </w:rPr>
      </w:pPr>
      <w:r>
        <w:rPr>
          <w:noProof/>
        </w:rPr>
        <w:t>133.</w:t>
      </w:r>
      <w:r>
        <w:rPr>
          <w:noProof/>
        </w:rPr>
        <w:tab/>
        <w:t xml:space="preserve">Foglia, G., Shah, S., Luxemburger, C. &amp; Pietrobon, P. J. F. </w:t>
      </w:r>
      <w:r w:rsidR="00AB3480" w:rsidRPr="00AB3480">
        <w:rPr>
          <w:i/>
          <w:noProof/>
        </w:rPr>
        <w:t>Clostridium difficile</w:t>
      </w:r>
      <w:r>
        <w:rPr>
          <w:noProof/>
        </w:rPr>
        <w:t xml:space="preserve">: development of a novel candidate vaccine. </w:t>
      </w:r>
      <w:r>
        <w:rPr>
          <w:i/>
          <w:iCs/>
          <w:noProof/>
        </w:rPr>
        <w:t>Vaccine</w:t>
      </w:r>
      <w:r>
        <w:rPr>
          <w:noProof/>
        </w:rPr>
        <w:t xml:space="preserve"> (2012).</w:t>
      </w:r>
    </w:p>
    <w:p w14:paraId="51FA9391" w14:textId="5AFFFC21" w:rsidR="00637D1E" w:rsidRDefault="00637D1E" w:rsidP="003F1CCD">
      <w:pPr>
        <w:widowControl w:val="0"/>
        <w:autoSpaceDE w:val="0"/>
        <w:autoSpaceDN w:val="0"/>
        <w:adjustRightInd w:val="0"/>
        <w:ind w:left="560" w:hanging="560"/>
        <w:jc w:val="both"/>
        <w:rPr>
          <w:noProof/>
        </w:rPr>
      </w:pPr>
      <w:r>
        <w:rPr>
          <w:noProof/>
        </w:rPr>
        <w:t>134.</w:t>
      </w:r>
      <w:r>
        <w:rPr>
          <w:noProof/>
        </w:rPr>
        <w:tab/>
        <w:t xml:space="preserve">Meader, E., Mayer, M. J., Steverding, D., Carding, S. R. &amp; Narbad, A. Evaluation of bacteriophage therapy to control </w:t>
      </w:r>
      <w:r w:rsidR="00AB3480" w:rsidRPr="00AB3480">
        <w:rPr>
          <w:i/>
          <w:noProof/>
        </w:rPr>
        <w:t>Clostridium difficile</w:t>
      </w:r>
      <w:r>
        <w:rPr>
          <w:noProof/>
        </w:rPr>
        <w:t xml:space="preserve"> and toxin production in an in vitro human colon model system. </w:t>
      </w:r>
      <w:r>
        <w:rPr>
          <w:i/>
          <w:iCs/>
          <w:noProof/>
        </w:rPr>
        <w:t>Anaerobe</w:t>
      </w:r>
      <w:r>
        <w:rPr>
          <w:noProof/>
        </w:rPr>
        <w:t xml:space="preserve"> </w:t>
      </w:r>
      <w:r>
        <w:rPr>
          <w:b/>
          <w:bCs/>
          <w:noProof/>
        </w:rPr>
        <w:t>22,</w:t>
      </w:r>
      <w:r>
        <w:rPr>
          <w:noProof/>
        </w:rPr>
        <w:t xml:space="preserve"> 25–30 (2013).</w:t>
      </w:r>
    </w:p>
    <w:p w14:paraId="14FC1179" w14:textId="77777777" w:rsidR="00637D1E" w:rsidRDefault="00637D1E" w:rsidP="003F1CCD">
      <w:pPr>
        <w:widowControl w:val="0"/>
        <w:autoSpaceDE w:val="0"/>
        <w:autoSpaceDN w:val="0"/>
        <w:adjustRightInd w:val="0"/>
        <w:ind w:left="560" w:hanging="560"/>
        <w:jc w:val="both"/>
        <w:rPr>
          <w:noProof/>
        </w:rPr>
      </w:pPr>
      <w:r>
        <w:rPr>
          <w:noProof/>
        </w:rPr>
        <w:t>135.</w:t>
      </w:r>
      <w:r>
        <w:rPr>
          <w:noProof/>
        </w:rPr>
        <w:tab/>
        <w:t xml:space="preserve">Flanagan, J. M., Wall, J. S., Capel, M. S., Schneider, D. K. &amp; Shanklin, J. Scanning transmission electron microscopy and small-angle scattering provide evidence that native </w:t>
      </w:r>
      <w:r w:rsidRPr="00930C17">
        <w:rPr>
          <w:i/>
          <w:noProof/>
        </w:rPr>
        <w:t>Escherichia coli</w:t>
      </w:r>
      <w:r>
        <w:rPr>
          <w:noProof/>
        </w:rPr>
        <w:t xml:space="preserve"> ClpP is a tetradecamer with an axial pore. </w:t>
      </w:r>
      <w:r>
        <w:rPr>
          <w:i/>
          <w:iCs/>
          <w:noProof/>
        </w:rPr>
        <w:t>Biochemistry</w:t>
      </w:r>
      <w:r>
        <w:rPr>
          <w:noProof/>
        </w:rPr>
        <w:t xml:space="preserve"> </w:t>
      </w:r>
      <w:r>
        <w:rPr>
          <w:b/>
          <w:bCs/>
          <w:noProof/>
        </w:rPr>
        <w:t>34,</w:t>
      </w:r>
      <w:r>
        <w:rPr>
          <w:noProof/>
        </w:rPr>
        <w:t xml:space="preserve"> 10910–10917 (1995).</w:t>
      </w:r>
    </w:p>
    <w:p w14:paraId="253702BC" w14:textId="77777777" w:rsidR="00637D1E" w:rsidRDefault="00637D1E" w:rsidP="003F1CCD">
      <w:pPr>
        <w:widowControl w:val="0"/>
        <w:autoSpaceDE w:val="0"/>
        <w:autoSpaceDN w:val="0"/>
        <w:adjustRightInd w:val="0"/>
        <w:ind w:left="560" w:hanging="560"/>
        <w:jc w:val="both"/>
        <w:rPr>
          <w:noProof/>
        </w:rPr>
      </w:pPr>
      <w:r>
        <w:rPr>
          <w:noProof/>
        </w:rPr>
        <w:t>136.</w:t>
      </w:r>
      <w:r>
        <w:rPr>
          <w:noProof/>
        </w:rPr>
        <w:tab/>
        <w:t xml:space="preserve">Maurizi, M. R., Singh, S. K., Thompson, M. W., Kessel, M. &amp; Ginsburg, A. Molecular properties of ClpAP protease of </w:t>
      </w:r>
      <w:r w:rsidRPr="00930C17">
        <w:rPr>
          <w:i/>
          <w:noProof/>
        </w:rPr>
        <w:t>Escherichia coli</w:t>
      </w:r>
      <w:r>
        <w:rPr>
          <w:noProof/>
        </w:rPr>
        <w:t xml:space="preserve">: ATP-dependent association of ClpA and clpP. </w:t>
      </w:r>
      <w:r>
        <w:rPr>
          <w:i/>
          <w:iCs/>
          <w:noProof/>
        </w:rPr>
        <w:t>Biochemistry</w:t>
      </w:r>
      <w:r>
        <w:rPr>
          <w:noProof/>
        </w:rPr>
        <w:t xml:space="preserve"> </w:t>
      </w:r>
      <w:r>
        <w:rPr>
          <w:b/>
          <w:bCs/>
          <w:noProof/>
        </w:rPr>
        <w:t>37,</w:t>
      </w:r>
      <w:r>
        <w:rPr>
          <w:noProof/>
        </w:rPr>
        <w:t xml:space="preserve"> 7778–7786 (1998).</w:t>
      </w:r>
    </w:p>
    <w:p w14:paraId="4A70AD7A" w14:textId="77777777" w:rsidR="00637D1E" w:rsidRDefault="00637D1E" w:rsidP="003F1CCD">
      <w:pPr>
        <w:widowControl w:val="0"/>
        <w:autoSpaceDE w:val="0"/>
        <w:autoSpaceDN w:val="0"/>
        <w:adjustRightInd w:val="0"/>
        <w:ind w:left="560" w:hanging="560"/>
        <w:jc w:val="both"/>
        <w:rPr>
          <w:noProof/>
        </w:rPr>
      </w:pPr>
      <w:r>
        <w:rPr>
          <w:noProof/>
        </w:rPr>
        <w:t>137.</w:t>
      </w:r>
      <w:r>
        <w:rPr>
          <w:noProof/>
        </w:rPr>
        <w:tab/>
        <w:t xml:space="preserve">Gottesman, S., Clark, W. P., de Crecy-Lagard, V. &amp; Maurizi, M. R. ClpX, an alternative subunit for the ATP-dependent Clp protease of </w:t>
      </w:r>
      <w:r w:rsidRPr="00930C17">
        <w:rPr>
          <w:i/>
          <w:noProof/>
        </w:rPr>
        <w:t>Escherichia coli</w:t>
      </w:r>
      <w:r>
        <w:rPr>
          <w:noProof/>
        </w:rPr>
        <w:t xml:space="preserve">. Sequence and in vivo activities. </w:t>
      </w:r>
      <w:r>
        <w:rPr>
          <w:i/>
          <w:iCs/>
          <w:noProof/>
        </w:rPr>
        <w:t>J. Biol. Chem.</w:t>
      </w:r>
      <w:r>
        <w:rPr>
          <w:noProof/>
        </w:rPr>
        <w:t xml:space="preserve"> </w:t>
      </w:r>
      <w:r>
        <w:rPr>
          <w:b/>
          <w:bCs/>
          <w:noProof/>
        </w:rPr>
        <w:t>268,</w:t>
      </w:r>
      <w:r>
        <w:rPr>
          <w:noProof/>
        </w:rPr>
        <w:t xml:space="preserve"> 22618–22626 (1993).</w:t>
      </w:r>
    </w:p>
    <w:p w14:paraId="5FBC1096" w14:textId="77777777" w:rsidR="00637D1E" w:rsidRDefault="00637D1E" w:rsidP="003F1CCD">
      <w:pPr>
        <w:widowControl w:val="0"/>
        <w:autoSpaceDE w:val="0"/>
        <w:autoSpaceDN w:val="0"/>
        <w:adjustRightInd w:val="0"/>
        <w:ind w:left="560" w:hanging="560"/>
        <w:jc w:val="both"/>
        <w:rPr>
          <w:noProof/>
        </w:rPr>
      </w:pPr>
      <w:r>
        <w:rPr>
          <w:noProof/>
        </w:rPr>
        <w:t>138.</w:t>
      </w:r>
      <w:r>
        <w:rPr>
          <w:noProof/>
        </w:rPr>
        <w:tab/>
        <w:t xml:space="preserve">Gottesman, S., Roche, E., Zhou, Y. &amp; Sauer, R. T. The ClpXP and ClpAP proteases degrade proteins with carboxy-terminal peptide tails added by the SsrA-tagging </w:t>
      </w:r>
      <w:r>
        <w:rPr>
          <w:noProof/>
        </w:rPr>
        <w:lastRenderedPageBreak/>
        <w:t xml:space="preserve">system. </w:t>
      </w:r>
      <w:r>
        <w:rPr>
          <w:i/>
          <w:iCs/>
          <w:noProof/>
        </w:rPr>
        <w:t>Genes Dev.</w:t>
      </w:r>
      <w:r>
        <w:rPr>
          <w:noProof/>
        </w:rPr>
        <w:t xml:space="preserve"> </w:t>
      </w:r>
      <w:r>
        <w:rPr>
          <w:b/>
          <w:bCs/>
          <w:noProof/>
        </w:rPr>
        <w:t>12,</w:t>
      </w:r>
      <w:r>
        <w:rPr>
          <w:noProof/>
        </w:rPr>
        <w:t xml:space="preserve"> 1338–1347 (1998).</w:t>
      </w:r>
    </w:p>
    <w:p w14:paraId="4CD54094" w14:textId="77777777" w:rsidR="00637D1E" w:rsidRDefault="00637D1E" w:rsidP="003F1CCD">
      <w:pPr>
        <w:widowControl w:val="0"/>
        <w:autoSpaceDE w:val="0"/>
        <w:autoSpaceDN w:val="0"/>
        <w:adjustRightInd w:val="0"/>
        <w:ind w:left="560" w:hanging="560"/>
        <w:jc w:val="both"/>
        <w:rPr>
          <w:noProof/>
        </w:rPr>
      </w:pPr>
      <w:r>
        <w:rPr>
          <w:noProof/>
        </w:rPr>
        <w:t>139.</w:t>
      </w:r>
      <w:r>
        <w:rPr>
          <w:noProof/>
        </w:rPr>
        <w:tab/>
        <w:t xml:space="preserve">Trentini, D. B. </w:t>
      </w:r>
      <w:r>
        <w:rPr>
          <w:i/>
          <w:iCs/>
          <w:noProof/>
        </w:rPr>
        <w:t>et al.</w:t>
      </w:r>
      <w:r>
        <w:rPr>
          <w:noProof/>
        </w:rPr>
        <w:t xml:space="preserve"> Arginine phosphorylation marks proteins for degradation by a Clp protease. </w:t>
      </w:r>
      <w:r>
        <w:rPr>
          <w:i/>
          <w:iCs/>
          <w:noProof/>
        </w:rPr>
        <w:t>Nature</w:t>
      </w:r>
      <w:r>
        <w:rPr>
          <w:noProof/>
        </w:rPr>
        <w:t xml:space="preserve"> </w:t>
      </w:r>
      <w:r>
        <w:rPr>
          <w:b/>
          <w:bCs/>
          <w:noProof/>
        </w:rPr>
        <w:t>539,</w:t>
      </w:r>
      <w:r>
        <w:rPr>
          <w:noProof/>
        </w:rPr>
        <w:t xml:space="preserve"> 48–53 (2016).</w:t>
      </w:r>
    </w:p>
    <w:p w14:paraId="2C1B51CC" w14:textId="77777777" w:rsidR="00637D1E" w:rsidRDefault="00637D1E" w:rsidP="003F1CCD">
      <w:pPr>
        <w:widowControl w:val="0"/>
        <w:autoSpaceDE w:val="0"/>
        <w:autoSpaceDN w:val="0"/>
        <w:adjustRightInd w:val="0"/>
        <w:ind w:left="560" w:hanging="560"/>
        <w:jc w:val="both"/>
        <w:rPr>
          <w:noProof/>
        </w:rPr>
      </w:pPr>
      <w:r>
        <w:rPr>
          <w:noProof/>
        </w:rPr>
        <w:t>140.</w:t>
      </w:r>
      <w:r>
        <w:rPr>
          <w:noProof/>
        </w:rPr>
        <w:tab/>
        <w:t xml:space="preserve">Kim, Y. I. </w:t>
      </w:r>
      <w:r>
        <w:rPr>
          <w:i/>
          <w:iCs/>
          <w:noProof/>
        </w:rPr>
        <w:t>et al.</w:t>
      </w:r>
      <w:r>
        <w:rPr>
          <w:noProof/>
        </w:rPr>
        <w:t xml:space="preserve"> Molecular determinants of complex formation between Clp/Hsp100 ATPases and the ClpP peptidase. </w:t>
      </w:r>
      <w:r>
        <w:rPr>
          <w:i/>
          <w:iCs/>
          <w:noProof/>
        </w:rPr>
        <w:t>Nat. Struct. Biol.</w:t>
      </w:r>
      <w:r>
        <w:rPr>
          <w:noProof/>
        </w:rPr>
        <w:t xml:space="preserve"> </w:t>
      </w:r>
      <w:r>
        <w:rPr>
          <w:b/>
          <w:bCs/>
          <w:noProof/>
        </w:rPr>
        <w:t>8,</w:t>
      </w:r>
      <w:r>
        <w:rPr>
          <w:noProof/>
        </w:rPr>
        <w:t xml:space="preserve"> 230–233 (2001).</w:t>
      </w:r>
    </w:p>
    <w:p w14:paraId="2F1DC565" w14:textId="77777777" w:rsidR="00637D1E" w:rsidRDefault="00637D1E" w:rsidP="003F1CCD">
      <w:pPr>
        <w:widowControl w:val="0"/>
        <w:autoSpaceDE w:val="0"/>
        <w:autoSpaceDN w:val="0"/>
        <w:adjustRightInd w:val="0"/>
        <w:ind w:left="560" w:hanging="560"/>
        <w:jc w:val="both"/>
        <w:rPr>
          <w:noProof/>
        </w:rPr>
      </w:pPr>
      <w:r>
        <w:rPr>
          <w:noProof/>
        </w:rPr>
        <w:t>141.</w:t>
      </w:r>
      <w:r>
        <w:rPr>
          <w:noProof/>
        </w:rPr>
        <w:tab/>
        <w:t xml:space="preserve">Alexopoulos, J. A., Guarné, A. &amp; Ortega, J. ClpP: a structurally dynamic protease regulated by AAA+ proteins. </w:t>
      </w:r>
      <w:r>
        <w:rPr>
          <w:i/>
          <w:iCs/>
          <w:noProof/>
        </w:rPr>
        <w:t>J. Struct. Biol.</w:t>
      </w:r>
      <w:r>
        <w:rPr>
          <w:noProof/>
        </w:rPr>
        <w:t xml:space="preserve"> </w:t>
      </w:r>
      <w:r>
        <w:rPr>
          <w:b/>
          <w:bCs/>
          <w:noProof/>
        </w:rPr>
        <w:t>179,</w:t>
      </w:r>
      <w:r>
        <w:rPr>
          <w:noProof/>
        </w:rPr>
        <w:t xml:space="preserve"> 202–210 (2012).</w:t>
      </w:r>
    </w:p>
    <w:p w14:paraId="242A75B5" w14:textId="77777777" w:rsidR="00637D1E" w:rsidRDefault="00637D1E" w:rsidP="003F1CCD">
      <w:pPr>
        <w:widowControl w:val="0"/>
        <w:autoSpaceDE w:val="0"/>
        <w:autoSpaceDN w:val="0"/>
        <w:adjustRightInd w:val="0"/>
        <w:ind w:left="560" w:hanging="560"/>
        <w:jc w:val="both"/>
        <w:rPr>
          <w:noProof/>
        </w:rPr>
      </w:pPr>
      <w:r>
        <w:rPr>
          <w:noProof/>
        </w:rPr>
        <w:t>142.</w:t>
      </w:r>
      <w:r>
        <w:rPr>
          <w:noProof/>
        </w:rPr>
        <w:tab/>
        <w:t xml:space="preserve">Joshi, S. A., Hersch, G. L., Baker, T. A. &amp; Sauer, R. T. Communication between ClpX and ClpP during substrate processing and degradation. </w:t>
      </w:r>
      <w:r>
        <w:rPr>
          <w:i/>
          <w:iCs/>
          <w:noProof/>
        </w:rPr>
        <w:t>Nat. Struct. Mol. Biol.</w:t>
      </w:r>
      <w:r>
        <w:rPr>
          <w:noProof/>
        </w:rPr>
        <w:t xml:space="preserve"> </w:t>
      </w:r>
      <w:r>
        <w:rPr>
          <w:b/>
          <w:bCs/>
          <w:noProof/>
        </w:rPr>
        <w:t>11,</w:t>
      </w:r>
      <w:r>
        <w:rPr>
          <w:noProof/>
        </w:rPr>
        <w:t xml:space="preserve"> 404–411 (2004).</w:t>
      </w:r>
    </w:p>
    <w:p w14:paraId="0BF25535" w14:textId="77777777" w:rsidR="00637D1E" w:rsidRDefault="00637D1E" w:rsidP="003F1CCD">
      <w:pPr>
        <w:widowControl w:val="0"/>
        <w:autoSpaceDE w:val="0"/>
        <w:autoSpaceDN w:val="0"/>
        <w:adjustRightInd w:val="0"/>
        <w:ind w:left="560" w:hanging="560"/>
        <w:jc w:val="both"/>
        <w:rPr>
          <w:noProof/>
        </w:rPr>
      </w:pPr>
      <w:r>
        <w:rPr>
          <w:noProof/>
        </w:rPr>
        <w:t>143.</w:t>
      </w:r>
      <w:r>
        <w:rPr>
          <w:noProof/>
        </w:rPr>
        <w:tab/>
        <w:t xml:space="preserve">Yu, A. Y. H. &amp; Houry, W. A. ClpP: a distinctive family of cylindrical energy-dependent serine proteases. </w:t>
      </w:r>
      <w:r>
        <w:rPr>
          <w:i/>
          <w:iCs/>
          <w:noProof/>
        </w:rPr>
        <w:t>FEBS Lett.</w:t>
      </w:r>
      <w:r>
        <w:rPr>
          <w:noProof/>
        </w:rPr>
        <w:t xml:space="preserve"> </w:t>
      </w:r>
      <w:r>
        <w:rPr>
          <w:b/>
          <w:bCs/>
          <w:noProof/>
        </w:rPr>
        <w:t>581,</w:t>
      </w:r>
      <w:r>
        <w:rPr>
          <w:noProof/>
        </w:rPr>
        <w:t xml:space="preserve"> 3749–3757 (2007).</w:t>
      </w:r>
    </w:p>
    <w:p w14:paraId="6ABB8B6C" w14:textId="77777777" w:rsidR="00637D1E" w:rsidRDefault="00637D1E" w:rsidP="003F1CCD">
      <w:pPr>
        <w:widowControl w:val="0"/>
        <w:autoSpaceDE w:val="0"/>
        <w:autoSpaceDN w:val="0"/>
        <w:adjustRightInd w:val="0"/>
        <w:ind w:left="560" w:hanging="560"/>
        <w:jc w:val="both"/>
        <w:rPr>
          <w:noProof/>
        </w:rPr>
      </w:pPr>
      <w:r>
        <w:rPr>
          <w:noProof/>
        </w:rPr>
        <w:t>144.</w:t>
      </w:r>
      <w:r>
        <w:rPr>
          <w:noProof/>
        </w:rPr>
        <w:tab/>
        <w:t xml:space="preserve">Lee, B.-G., Kim, M. K. &amp; Song, H. K. Structural insights into the conformational diversity of ClpP from Bacillus subtilis. </w:t>
      </w:r>
      <w:r>
        <w:rPr>
          <w:i/>
          <w:iCs/>
          <w:noProof/>
        </w:rPr>
        <w:t>Mol. Cells</w:t>
      </w:r>
      <w:r>
        <w:rPr>
          <w:noProof/>
        </w:rPr>
        <w:t xml:space="preserve"> </w:t>
      </w:r>
      <w:r>
        <w:rPr>
          <w:b/>
          <w:bCs/>
          <w:noProof/>
        </w:rPr>
        <w:t>32,</w:t>
      </w:r>
      <w:r>
        <w:rPr>
          <w:noProof/>
        </w:rPr>
        <w:t xml:space="preserve"> 589–595 (2011).</w:t>
      </w:r>
    </w:p>
    <w:p w14:paraId="37E09EC7" w14:textId="77777777" w:rsidR="00637D1E" w:rsidRDefault="00637D1E" w:rsidP="003F1CCD">
      <w:pPr>
        <w:widowControl w:val="0"/>
        <w:autoSpaceDE w:val="0"/>
        <w:autoSpaceDN w:val="0"/>
        <w:adjustRightInd w:val="0"/>
        <w:ind w:left="560" w:hanging="560"/>
        <w:jc w:val="both"/>
        <w:rPr>
          <w:noProof/>
        </w:rPr>
      </w:pPr>
      <w:r>
        <w:rPr>
          <w:noProof/>
        </w:rPr>
        <w:t>145.</w:t>
      </w:r>
      <w:r>
        <w:rPr>
          <w:noProof/>
        </w:rPr>
        <w:tab/>
        <w:t xml:space="preserve">Li, D. H. S. </w:t>
      </w:r>
      <w:r>
        <w:rPr>
          <w:i/>
          <w:iCs/>
          <w:noProof/>
        </w:rPr>
        <w:t>et al.</w:t>
      </w:r>
      <w:r>
        <w:rPr>
          <w:noProof/>
        </w:rPr>
        <w:t xml:space="preserve"> Acyldepsipeptide antibiotics induce the formation of a structured axial channel in ClpP: A model for the ClpX/ClpA-bound state of ClpP. </w:t>
      </w:r>
      <w:r>
        <w:rPr>
          <w:i/>
          <w:iCs/>
          <w:noProof/>
        </w:rPr>
        <w:t>Chem. Biol.</w:t>
      </w:r>
      <w:r>
        <w:rPr>
          <w:noProof/>
        </w:rPr>
        <w:t xml:space="preserve"> </w:t>
      </w:r>
      <w:r>
        <w:rPr>
          <w:b/>
          <w:bCs/>
          <w:noProof/>
        </w:rPr>
        <w:t>17,</w:t>
      </w:r>
      <w:r>
        <w:rPr>
          <w:noProof/>
        </w:rPr>
        <w:t xml:space="preserve"> 959–969 (2010).</w:t>
      </w:r>
    </w:p>
    <w:p w14:paraId="3F380B64" w14:textId="77777777" w:rsidR="00637D1E" w:rsidRDefault="00637D1E" w:rsidP="003F1CCD">
      <w:pPr>
        <w:widowControl w:val="0"/>
        <w:autoSpaceDE w:val="0"/>
        <w:autoSpaceDN w:val="0"/>
        <w:adjustRightInd w:val="0"/>
        <w:ind w:left="560" w:hanging="560"/>
        <w:jc w:val="both"/>
        <w:rPr>
          <w:noProof/>
        </w:rPr>
      </w:pPr>
      <w:r>
        <w:rPr>
          <w:noProof/>
        </w:rPr>
        <w:t>146.</w:t>
      </w:r>
      <w:r>
        <w:rPr>
          <w:noProof/>
        </w:rPr>
        <w:tab/>
        <w:t xml:space="preserve">Bhandari, V. </w:t>
      </w:r>
      <w:r>
        <w:rPr>
          <w:i/>
          <w:iCs/>
          <w:noProof/>
        </w:rPr>
        <w:t>et al.</w:t>
      </w:r>
      <w:r>
        <w:rPr>
          <w:noProof/>
        </w:rPr>
        <w:t xml:space="preserve"> The role of clpp protease in bacterial pathogenesis and human diseases. </w:t>
      </w:r>
      <w:r>
        <w:rPr>
          <w:i/>
          <w:iCs/>
          <w:noProof/>
        </w:rPr>
        <w:t>ACS Chem. Biol.</w:t>
      </w:r>
      <w:r>
        <w:rPr>
          <w:noProof/>
        </w:rPr>
        <w:t xml:space="preserve"> </w:t>
      </w:r>
      <w:r>
        <w:rPr>
          <w:b/>
          <w:bCs/>
          <w:noProof/>
        </w:rPr>
        <w:t>13,</w:t>
      </w:r>
      <w:r>
        <w:rPr>
          <w:noProof/>
        </w:rPr>
        <w:t xml:space="preserve"> 1413–1425 (2018).</w:t>
      </w:r>
    </w:p>
    <w:p w14:paraId="6419BFA9" w14:textId="77777777" w:rsidR="00637D1E" w:rsidRDefault="00637D1E" w:rsidP="003F1CCD">
      <w:pPr>
        <w:widowControl w:val="0"/>
        <w:autoSpaceDE w:val="0"/>
        <w:autoSpaceDN w:val="0"/>
        <w:adjustRightInd w:val="0"/>
        <w:ind w:left="560" w:hanging="560"/>
        <w:jc w:val="both"/>
        <w:rPr>
          <w:noProof/>
        </w:rPr>
      </w:pPr>
      <w:r>
        <w:rPr>
          <w:noProof/>
        </w:rPr>
        <w:t>147.</w:t>
      </w:r>
      <w:r>
        <w:rPr>
          <w:noProof/>
        </w:rPr>
        <w:tab/>
        <w:t xml:space="preserve">Brötz-Oesterhelt, H. </w:t>
      </w:r>
      <w:r>
        <w:rPr>
          <w:i/>
          <w:iCs/>
          <w:noProof/>
        </w:rPr>
        <w:t>et al.</w:t>
      </w:r>
      <w:r>
        <w:rPr>
          <w:noProof/>
        </w:rPr>
        <w:t xml:space="preserve"> Dysregulation of bacterial proteolytic machinery by a new class of antibiotics. </w:t>
      </w:r>
      <w:r>
        <w:rPr>
          <w:i/>
          <w:iCs/>
          <w:noProof/>
        </w:rPr>
        <w:t>Nat. Med.</w:t>
      </w:r>
      <w:r>
        <w:rPr>
          <w:noProof/>
        </w:rPr>
        <w:t xml:space="preserve"> </w:t>
      </w:r>
      <w:r>
        <w:rPr>
          <w:b/>
          <w:bCs/>
          <w:noProof/>
        </w:rPr>
        <w:t>11,</w:t>
      </w:r>
      <w:r>
        <w:rPr>
          <w:noProof/>
        </w:rPr>
        <w:t xml:space="preserve"> 1082–1087 (2005).</w:t>
      </w:r>
    </w:p>
    <w:p w14:paraId="4ADAA969" w14:textId="77777777" w:rsidR="00637D1E" w:rsidRDefault="00637D1E" w:rsidP="003F1CCD">
      <w:pPr>
        <w:widowControl w:val="0"/>
        <w:autoSpaceDE w:val="0"/>
        <w:autoSpaceDN w:val="0"/>
        <w:adjustRightInd w:val="0"/>
        <w:ind w:left="560" w:hanging="560"/>
        <w:jc w:val="both"/>
        <w:rPr>
          <w:noProof/>
        </w:rPr>
      </w:pPr>
      <w:r>
        <w:rPr>
          <w:noProof/>
        </w:rPr>
        <w:t>148.</w:t>
      </w:r>
      <w:r>
        <w:rPr>
          <w:noProof/>
        </w:rPr>
        <w:tab/>
        <w:t xml:space="preserve">Conlon, B. P. </w:t>
      </w:r>
      <w:r>
        <w:rPr>
          <w:i/>
          <w:iCs/>
          <w:noProof/>
        </w:rPr>
        <w:t>et al.</w:t>
      </w:r>
      <w:r>
        <w:rPr>
          <w:noProof/>
        </w:rPr>
        <w:t xml:space="preserve"> Activated ClpP kills persisters and eradicates a chronic biofilm infection. </w:t>
      </w:r>
      <w:r>
        <w:rPr>
          <w:i/>
          <w:iCs/>
          <w:noProof/>
        </w:rPr>
        <w:t>Nature</w:t>
      </w:r>
      <w:r>
        <w:rPr>
          <w:noProof/>
        </w:rPr>
        <w:t xml:space="preserve"> </w:t>
      </w:r>
      <w:r>
        <w:rPr>
          <w:b/>
          <w:bCs/>
          <w:noProof/>
        </w:rPr>
        <w:t>503,</w:t>
      </w:r>
      <w:r>
        <w:rPr>
          <w:noProof/>
        </w:rPr>
        <w:t xml:space="preserve"> 365–370 (2013).</w:t>
      </w:r>
    </w:p>
    <w:p w14:paraId="41A1F404" w14:textId="77777777" w:rsidR="00637D1E" w:rsidRDefault="00637D1E" w:rsidP="003F1CCD">
      <w:pPr>
        <w:widowControl w:val="0"/>
        <w:autoSpaceDE w:val="0"/>
        <w:autoSpaceDN w:val="0"/>
        <w:adjustRightInd w:val="0"/>
        <w:ind w:left="560" w:hanging="560"/>
        <w:jc w:val="both"/>
        <w:rPr>
          <w:noProof/>
        </w:rPr>
      </w:pPr>
      <w:r>
        <w:rPr>
          <w:noProof/>
        </w:rPr>
        <w:t>149.</w:t>
      </w:r>
      <w:r>
        <w:rPr>
          <w:noProof/>
        </w:rPr>
        <w:tab/>
        <w:t xml:space="preserve">Gersch, M. </w:t>
      </w:r>
      <w:r>
        <w:rPr>
          <w:i/>
          <w:iCs/>
          <w:noProof/>
        </w:rPr>
        <w:t>et al.</w:t>
      </w:r>
      <w:r>
        <w:rPr>
          <w:noProof/>
        </w:rPr>
        <w:t xml:space="preserve"> The mechanism of caseinolytic protease (ClpP) inhibition. </w:t>
      </w:r>
      <w:r>
        <w:rPr>
          <w:i/>
          <w:iCs/>
          <w:noProof/>
        </w:rPr>
        <w:t xml:space="preserve">Angew. </w:t>
      </w:r>
      <w:r>
        <w:rPr>
          <w:i/>
          <w:iCs/>
          <w:noProof/>
        </w:rPr>
        <w:lastRenderedPageBreak/>
        <w:t>Chem. Int. Ed. Engl.</w:t>
      </w:r>
      <w:r>
        <w:rPr>
          <w:noProof/>
        </w:rPr>
        <w:t xml:space="preserve"> </w:t>
      </w:r>
      <w:r>
        <w:rPr>
          <w:b/>
          <w:bCs/>
          <w:noProof/>
        </w:rPr>
        <w:t>52,</w:t>
      </w:r>
      <w:r>
        <w:rPr>
          <w:noProof/>
        </w:rPr>
        <w:t xml:space="preserve"> 3009–3014 (2013).</w:t>
      </w:r>
    </w:p>
    <w:p w14:paraId="7D1B133E" w14:textId="77777777" w:rsidR="00637D1E" w:rsidRDefault="00637D1E" w:rsidP="003F1CCD">
      <w:pPr>
        <w:widowControl w:val="0"/>
        <w:autoSpaceDE w:val="0"/>
        <w:autoSpaceDN w:val="0"/>
        <w:adjustRightInd w:val="0"/>
        <w:ind w:left="560" w:hanging="560"/>
        <w:jc w:val="both"/>
        <w:rPr>
          <w:noProof/>
        </w:rPr>
      </w:pPr>
      <w:r>
        <w:rPr>
          <w:noProof/>
        </w:rPr>
        <w:t>150.</w:t>
      </w:r>
      <w:r>
        <w:rPr>
          <w:noProof/>
        </w:rPr>
        <w:tab/>
        <w:t xml:space="preserve">Brötz-Oesterhelt, H. </w:t>
      </w:r>
      <w:r>
        <w:rPr>
          <w:i/>
          <w:iCs/>
          <w:noProof/>
        </w:rPr>
        <w:t>et al.</w:t>
      </w:r>
      <w:r>
        <w:rPr>
          <w:noProof/>
        </w:rPr>
        <w:t xml:space="preserve"> Dysregulation of bacterial proteolytic machinery by a new class of antibiotics. </w:t>
      </w:r>
      <w:r>
        <w:rPr>
          <w:i/>
          <w:iCs/>
          <w:noProof/>
        </w:rPr>
        <w:t>Nat. Med.</w:t>
      </w:r>
      <w:r>
        <w:rPr>
          <w:noProof/>
        </w:rPr>
        <w:t xml:space="preserve"> </w:t>
      </w:r>
      <w:r>
        <w:rPr>
          <w:b/>
          <w:bCs/>
          <w:noProof/>
        </w:rPr>
        <w:t>11,</w:t>
      </w:r>
      <w:r>
        <w:rPr>
          <w:noProof/>
        </w:rPr>
        <w:t xml:space="preserve"> 1082–1087 (2005).</w:t>
      </w:r>
    </w:p>
    <w:p w14:paraId="12BE30E8" w14:textId="77777777" w:rsidR="00637D1E" w:rsidRDefault="00637D1E" w:rsidP="003F1CCD">
      <w:pPr>
        <w:widowControl w:val="0"/>
        <w:autoSpaceDE w:val="0"/>
        <w:autoSpaceDN w:val="0"/>
        <w:adjustRightInd w:val="0"/>
        <w:ind w:left="560" w:hanging="560"/>
        <w:jc w:val="both"/>
        <w:rPr>
          <w:noProof/>
        </w:rPr>
      </w:pPr>
      <w:r>
        <w:rPr>
          <w:noProof/>
        </w:rPr>
        <w:t>151.</w:t>
      </w:r>
      <w:r>
        <w:rPr>
          <w:noProof/>
        </w:rPr>
        <w:tab/>
        <w:t xml:space="preserve">Mikhailov, V. A., Ståhlberg, F., Clarke, A. K. &amp; Robinson, C. V. Dual stoichiometry and subunit organization in the ClpP1/P2 protease from the cyanobacterium </w:t>
      </w:r>
      <w:r w:rsidRPr="00930C17">
        <w:rPr>
          <w:i/>
          <w:noProof/>
        </w:rPr>
        <w:t>Synechococcus elongatus</w:t>
      </w:r>
      <w:r>
        <w:rPr>
          <w:noProof/>
        </w:rPr>
        <w:t xml:space="preserve">. </w:t>
      </w:r>
      <w:r>
        <w:rPr>
          <w:i/>
          <w:iCs/>
          <w:noProof/>
        </w:rPr>
        <w:t>J. Struct. Biol.</w:t>
      </w:r>
      <w:r>
        <w:rPr>
          <w:noProof/>
        </w:rPr>
        <w:t xml:space="preserve"> </w:t>
      </w:r>
      <w:r>
        <w:rPr>
          <w:b/>
          <w:bCs/>
          <w:noProof/>
        </w:rPr>
        <w:t>192,</w:t>
      </w:r>
      <w:r>
        <w:rPr>
          <w:noProof/>
        </w:rPr>
        <w:t xml:space="preserve"> 519–527 (2015).</w:t>
      </w:r>
    </w:p>
    <w:p w14:paraId="2566DFAB" w14:textId="77777777" w:rsidR="00637D1E" w:rsidRDefault="00637D1E" w:rsidP="003F1CCD">
      <w:pPr>
        <w:widowControl w:val="0"/>
        <w:autoSpaceDE w:val="0"/>
        <w:autoSpaceDN w:val="0"/>
        <w:adjustRightInd w:val="0"/>
        <w:ind w:left="560" w:hanging="560"/>
        <w:jc w:val="both"/>
        <w:rPr>
          <w:noProof/>
        </w:rPr>
      </w:pPr>
      <w:r>
        <w:rPr>
          <w:noProof/>
        </w:rPr>
        <w:t>152.</w:t>
      </w:r>
      <w:r>
        <w:rPr>
          <w:noProof/>
        </w:rPr>
        <w:tab/>
        <w:t xml:space="preserve">Stanne, T. M., Pojidaeva, E., Andersson, F. I. &amp; Clarke, A. K. Distinctive types of ATP-dependent Clp proteases in cyanobacteria. </w:t>
      </w:r>
      <w:r>
        <w:rPr>
          <w:i/>
          <w:iCs/>
          <w:noProof/>
        </w:rPr>
        <w:t>J. Biol. Chem.</w:t>
      </w:r>
      <w:r>
        <w:rPr>
          <w:noProof/>
        </w:rPr>
        <w:t xml:space="preserve"> </w:t>
      </w:r>
      <w:r>
        <w:rPr>
          <w:b/>
          <w:bCs/>
          <w:noProof/>
        </w:rPr>
        <w:t>282,</w:t>
      </w:r>
      <w:r>
        <w:rPr>
          <w:noProof/>
        </w:rPr>
        <w:t xml:space="preserve"> 14394–14402 (2007).</w:t>
      </w:r>
    </w:p>
    <w:p w14:paraId="769F5D1D" w14:textId="77777777" w:rsidR="00637D1E" w:rsidRDefault="00637D1E" w:rsidP="003F1CCD">
      <w:pPr>
        <w:widowControl w:val="0"/>
        <w:autoSpaceDE w:val="0"/>
        <w:autoSpaceDN w:val="0"/>
        <w:adjustRightInd w:val="0"/>
        <w:ind w:left="560" w:hanging="560"/>
        <w:jc w:val="both"/>
        <w:rPr>
          <w:noProof/>
        </w:rPr>
      </w:pPr>
      <w:r>
        <w:rPr>
          <w:noProof/>
        </w:rPr>
        <w:t>153.</w:t>
      </w:r>
      <w:r>
        <w:rPr>
          <w:noProof/>
        </w:rPr>
        <w:tab/>
        <w:t xml:space="preserve">Gaillot, O., Bregenholt, S., Jaubert, F., Di Santo, J. P. &amp; Berche, P. Stress-induced ClpP serine protease of </w:t>
      </w:r>
      <w:r w:rsidRPr="00930C17">
        <w:rPr>
          <w:i/>
          <w:noProof/>
        </w:rPr>
        <w:t>Listeria monocytogenes</w:t>
      </w:r>
      <w:r>
        <w:rPr>
          <w:noProof/>
        </w:rPr>
        <w:t xml:space="preserve"> is essential for induction of listeriolysin O-dependent protective immunity. </w:t>
      </w:r>
      <w:r>
        <w:rPr>
          <w:i/>
          <w:iCs/>
          <w:noProof/>
        </w:rPr>
        <w:t>Infect. Immun.</w:t>
      </w:r>
      <w:r>
        <w:rPr>
          <w:noProof/>
        </w:rPr>
        <w:t xml:space="preserve"> </w:t>
      </w:r>
      <w:r>
        <w:rPr>
          <w:b/>
          <w:bCs/>
          <w:noProof/>
        </w:rPr>
        <w:t>69,</w:t>
      </w:r>
      <w:r>
        <w:rPr>
          <w:noProof/>
        </w:rPr>
        <w:t xml:space="preserve"> 4938–4943 (2001).</w:t>
      </w:r>
    </w:p>
    <w:p w14:paraId="5AC41200" w14:textId="77777777" w:rsidR="00637D1E" w:rsidRDefault="00637D1E" w:rsidP="003F1CCD">
      <w:pPr>
        <w:widowControl w:val="0"/>
        <w:autoSpaceDE w:val="0"/>
        <w:autoSpaceDN w:val="0"/>
        <w:adjustRightInd w:val="0"/>
        <w:ind w:left="560" w:hanging="560"/>
        <w:jc w:val="both"/>
        <w:rPr>
          <w:noProof/>
        </w:rPr>
      </w:pPr>
      <w:r>
        <w:rPr>
          <w:noProof/>
        </w:rPr>
        <w:t>154.</w:t>
      </w:r>
      <w:r>
        <w:rPr>
          <w:noProof/>
        </w:rPr>
        <w:tab/>
        <w:t xml:space="preserve">Gaillot, O., Pellegrini, E., Bregenholt, S., Nair, S. &amp; Berche, P. The ClpP serine protease is essential for the intracellular parasitism and virulence of </w:t>
      </w:r>
      <w:r w:rsidRPr="00930C17">
        <w:rPr>
          <w:i/>
          <w:noProof/>
        </w:rPr>
        <w:t>Listeria monocytogenes</w:t>
      </w:r>
      <w:r>
        <w:rPr>
          <w:noProof/>
        </w:rPr>
        <w:t xml:space="preserve">. </w:t>
      </w:r>
      <w:r>
        <w:rPr>
          <w:i/>
          <w:iCs/>
          <w:noProof/>
        </w:rPr>
        <w:t>Mol. Microbiol.</w:t>
      </w:r>
      <w:r>
        <w:rPr>
          <w:noProof/>
        </w:rPr>
        <w:t xml:space="preserve"> </w:t>
      </w:r>
      <w:r>
        <w:rPr>
          <w:b/>
          <w:bCs/>
          <w:noProof/>
        </w:rPr>
        <w:t>35,</w:t>
      </w:r>
      <w:r>
        <w:rPr>
          <w:noProof/>
        </w:rPr>
        <w:t xml:space="preserve"> 1286–1294 (2000).</w:t>
      </w:r>
    </w:p>
    <w:p w14:paraId="2EF37C91" w14:textId="77777777" w:rsidR="00637D1E" w:rsidRDefault="00637D1E" w:rsidP="003F1CCD">
      <w:pPr>
        <w:widowControl w:val="0"/>
        <w:autoSpaceDE w:val="0"/>
        <w:autoSpaceDN w:val="0"/>
        <w:adjustRightInd w:val="0"/>
        <w:ind w:left="560" w:hanging="560"/>
        <w:jc w:val="both"/>
        <w:rPr>
          <w:noProof/>
        </w:rPr>
      </w:pPr>
      <w:r>
        <w:rPr>
          <w:noProof/>
        </w:rPr>
        <w:t>155.</w:t>
      </w:r>
      <w:r>
        <w:rPr>
          <w:noProof/>
        </w:rPr>
        <w:tab/>
        <w:t xml:space="preserve">Zeiler, E. </w:t>
      </w:r>
      <w:r>
        <w:rPr>
          <w:i/>
          <w:iCs/>
          <w:noProof/>
        </w:rPr>
        <w:t>et al.</w:t>
      </w:r>
      <w:r>
        <w:rPr>
          <w:noProof/>
        </w:rPr>
        <w:t xml:space="preserve"> Vibralactone as a tool to study the activity and structure of the ClpP1P2 complex from </w:t>
      </w:r>
      <w:r w:rsidRPr="00930C17">
        <w:rPr>
          <w:i/>
          <w:noProof/>
        </w:rPr>
        <w:t>Listeria monocytogenes</w:t>
      </w:r>
      <w:r>
        <w:rPr>
          <w:noProof/>
        </w:rPr>
        <w:t xml:space="preserve">. </w:t>
      </w:r>
      <w:r>
        <w:rPr>
          <w:i/>
          <w:iCs/>
          <w:noProof/>
        </w:rPr>
        <w:t>Angew. Chem. Int. Ed. Engl.</w:t>
      </w:r>
      <w:r>
        <w:rPr>
          <w:noProof/>
        </w:rPr>
        <w:t xml:space="preserve"> </w:t>
      </w:r>
      <w:r>
        <w:rPr>
          <w:b/>
          <w:bCs/>
          <w:noProof/>
        </w:rPr>
        <w:t>50,</w:t>
      </w:r>
      <w:r>
        <w:rPr>
          <w:noProof/>
        </w:rPr>
        <w:t xml:space="preserve"> 11001–11004 (2011).</w:t>
      </w:r>
    </w:p>
    <w:p w14:paraId="4DFE9619" w14:textId="77777777" w:rsidR="00637D1E" w:rsidRDefault="00637D1E" w:rsidP="003F1CCD">
      <w:pPr>
        <w:widowControl w:val="0"/>
        <w:autoSpaceDE w:val="0"/>
        <w:autoSpaceDN w:val="0"/>
        <w:adjustRightInd w:val="0"/>
        <w:ind w:left="560" w:hanging="560"/>
        <w:jc w:val="both"/>
        <w:rPr>
          <w:noProof/>
        </w:rPr>
      </w:pPr>
      <w:r>
        <w:rPr>
          <w:noProof/>
        </w:rPr>
        <w:t>156.</w:t>
      </w:r>
      <w:r>
        <w:rPr>
          <w:noProof/>
        </w:rPr>
        <w:tab/>
        <w:t xml:space="preserve">Zeiler, E. </w:t>
      </w:r>
      <w:r>
        <w:rPr>
          <w:i/>
          <w:iCs/>
          <w:noProof/>
        </w:rPr>
        <w:t>et al.</w:t>
      </w:r>
      <w:r>
        <w:rPr>
          <w:noProof/>
        </w:rPr>
        <w:t xml:space="preserve"> Structural and functional insights into caseinolytic proteases reveal an unprecedented regulation principle of their catalytic triad. </w:t>
      </w:r>
      <w:r>
        <w:rPr>
          <w:i/>
          <w:iCs/>
          <w:noProof/>
        </w:rPr>
        <w:t>Proc. Natl. Acad. Sci. USA</w:t>
      </w:r>
      <w:r>
        <w:rPr>
          <w:noProof/>
        </w:rPr>
        <w:t xml:space="preserve"> </w:t>
      </w:r>
      <w:r>
        <w:rPr>
          <w:b/>
          <w:bCs/>
          <w:noProof/>
        </w:rPr>
        <w:t>110,</w:t>
      </w:r>
      <w:r>
        <w:rPr>
          <w:noProof/>
        </w:rPr>
        <w:t xml:space="preserve"> 11302–11307 (2013).</w:t>
      </w:r>
    </w:p>
    <w:p w14:paraId="3AD12B9A" w14:textId="77777777" w:rsidR="00637D1E" w:rsidRDefault="00637D1E" w:rsidP="003F1CCD">
      <w:pPr>
        <w:widowControl w:val="0"/>
        <w:autoSpaceDE w:val="0"/>
        <w:autoSpaceDN w:val="0"/>
        <w:adjustRightInd w:val="0"/>
        <w:ind w:left="560" w:hanging="560"/>
        <w:jc w:val="both"/>
        <w:rPr>
          <w:noProof/>
        </w:rPr>
      </w:pPr>
      <w:r>
        <w:rPr>
          <w:noProof/>
        </w:rPr>
        <w:t>157.</w:t>
      </w:r>
      <w:r>
        <w:rPr>
          <w:noProof/>
        </w:rPr>
        <w:tab/>
        <w:t xml:space="preserve">Hall, B. M. </w:t>
      </w:r>
      <w:r>
        <w:rPr>
          <w:i/>
          <w:iCs/>
          <w:noProof/>
        </w:rPr>
        <w:t>et al.</w:t>
      </w:r>
      <w:r>
        <w:rPr>
          <w:noProof/>
        </w:rPr>
        <w:t xml:space="preserve"> Two Isoforms of Clp Peptidase in </w:t>
      </w:r>
      <w:r w:rsidRPr="00930C17">
        <w:rPr>
          <w:i/>
          <w:noProof/>
        </w:rPr>
        <w:t>Pseudomonas aeruginosa</w:t>
      </w:r>
      <w:r>
        <w:rPr>
          <w:noProof/>
        </w:rPr>
        <w:t xml:space="preserve"> Control Distinct Aspects of Cellular Physiology. </w:t>
      </w:r>
      <w:r>
        <w:rPr>
          <w:i/>
          <w:iCs/>
          <w:noProof/>
        </w:rPr>
        <w:t>J. Bacteriol.</w:t>
      </w:r>
      <w:r>
        <w:rPr>
          <w:noProof/>
        </w:rPr>
        <w:t xml:space="preserve"> </w:t>
      </w:r>
      <w:r>
        <w:rPr>
          <w:b/>
          <w:bCs/>
          <w:noProof/>
        </w:rPr>
        <w:t>199,</w:t>
      </w:r>
      <w:r>
        <w:rPr>
          <w:noProof/>
        </w:rPr>
        <w:t xml:space="preserve"> (2017).</w:t>
      </w:r>
    </w:p>
    <w:p w14:paraId="058289B7" w14:textId="77777777" w:rsidR="00637D1E" w:rsidRDefault="00637D1E" w:rsidP="003F1CCD">
      <w:pPr>
        <w:widowControl w:val="0"/>
        <w:autoSpaceDE w:val="0"/>
        <w:autoSpaceDN w:val="0"/>
        <w:adjustRightInd w:val="0"/>
        <w:ind w:left="560" w:hanging="560"/>
        <w:jc w:val="both"/>
        <w:rPr>
          <w:noProof/>
        </w:rPr>
      </w:pPr>
      <w:r>
        <w:rPr>
          <w:noProof/>
        </w:rPr>
        <w:lastRenderedPageBreak/>
        <w:t>158.</w:t>
      </w:r>
      <w:r>
        <w:rPr>
          <w:noProof/>
        </w:rPr>
        <w:tab/>
        <w:t xml:space="preserve">Akopian, T. </w:t>
      </w:r>
      <w:r>
        <w:rPr>
          <w:i/>
          <w:iCs/>
          <w:noProof/>
        </w:rPr>
        <w:t>et al.</w:t>
      </w:r>
      <w:r>
        <w:rPr>
          <w:noProof/>
        </w:rPr>
        <w:t xml:space="preserve"> The active ClpP protease from </w:t>
      </w:r>
      <w:r w:rsidRPr="00930C17">
        <w:rPr>
          <w:i/>
          <w:noProof/>
        </w:rPr>
        <w:t>M. tuberculosis</w:t>
      </w:r>
      <w:r>
        <w:rPr>
          <w:noProof/>
        </w:rPr>
        <w:t xml:space="preserve"> is a complex composed of a heptameric ClpP1 and a ClpP2 ring. </w:t>
      </w:r>
      <w:r>
        <w:rPr>
          <w:i/>
          <w:iCs/>
          <w:noProof/>
        </w:rPr>
        <w:t>EMBO J.</w:t>
      </w:r>
      <w:r>
        <w:rPr>
          <w:noProof/>
        </w:rPr>
        <w:t xml:space="preserve"> </w:t>
      </w:r>
      <w:r>
        <w:rPr>
          <w:b/>
          <w:bCs/>
          <w:noProof/>
        </w:rPr>
        <w:t>31,</w:t>
      </w:r>
      <w:r>
        <w:rPr>
          <w:noProof/>
        </w:rPr>
        <w:t xml:space="preserve"> 1529–1541 (2012).</w:t>
      </w:r>
    </w:p>
    <w:p w14:paraId="7BE9F1FE" w14:textId="77777777" w:rsidR="00637D1E" w:rsidRDefault="00637D1E" w:rsidP="003F1CCD">
      <w:pPr>
        <w:widowControl w:val="0"/>
        <w:autoSpaceDE w:val="0"/>
        <w:autoSpaceDN w:val="0"/>
        <w:adjustRightInd w:val="0"/>
        <w:ind w:left="560" w:hanging="560"/>
        <w:jc w:val="both"/>
        <w:rPr>
          <w:noProof/>
        </w:rPr>
      </w:pPr>
      <w:r>
        <w:rPr>
          <w:noProof/>
        </w:rPr>
        <w:t>159.</w:t>
      </w:r>
      <w:r>
        <w:rPr>
          <w:noProof/>
        </w:rPr>
        <w:tab/>
        <w:t xml:space="preserve">Famulla, K. </w:t>
      </w:r>
      <w:r>
        <w:rPr>
          <w:i/>
          <w:iCs/>
          <w:noProof/>
        </w:rPr>
        <w:t>et al.</w:t>
      </w:r>
      <w:r>
        <w:rPr>
          <w:noProof/>
        </w:rPr>
        <w:t xml:space="preserve"> Acyldepsipeptide antibiotics kill mycobacteria by preventing the physiological functions of the ClpP1P2 protease. </w:t>
      </w:r>
      <w:r>
        <w:rPr>
          <w:i/>
          <w:iCs/>
          <w:noProof/>
        </w:rPr>
        <w:t>Mol. Microbiol.</w:t>
      </w:r>
      <w:r>
        <w:rPr>
          <w:noProof/>
        </w:rPr>
        <w:t xml:space="preserve"> </w:t>
      </w:r>
      <w:r>
        <w:rPr>
          <w:b/>
          <w:bCs/>
          <w:noProof/>
        </w:rPr>
        <w:t>101,</w:t>
      </w:r>
      <w:r>
        <w:rPr>
          <w:noProof/>
        </w:rPr>
        <w:t xml:space="preserve"> 194–209 (2016).</w:t>
      </w:r>
    </w:p>
    <w:p w14:paraId="58F5862C" w14:textId="77777777" w:rsidR="00637D1E" w:rsidRDefault="00637D1E" w:rsidP="003F1CCD">
      <w:pPr>
        <w:widowControl w:val="0"/>
        <w:autoSpaceDE w:val="0"/>
        <w:autoSpaceDN w:val="0"/>
        <w:adjustRightInd w:val="0"/>
        <w:ind w:left="560" w:hanging="560"/>
        <w:jc w:val="both"/>
        <w:rPr>
          <w:noProof/>
        </w:rPr>
      </w:pPr>
      <w:r>
        <w:rPr>
          <w:noProof/>
        </w:rPr>
        <w:t>160.</w:t>
      </w:r>
      <w:r>
        <w:rPr>
          <w:noProof/>
        </w:rPr>
        <w:tab/>
        <w:t xml:space="preserve">Li, M. </w:t>
      </w:r>
      <w:r>
        <w:rPr>
          <w:i/>
          <w:iCs/>
          <w:noProof/>
        </w:rPr>
        <w:t>et al.</w:t>
      </w:r>
      <w:r>
        <w:rPr>
          <w:noProof/>
        </w:rPr>
        <w:t xml:space="preserve"> Structure and Functional Properties of the Active Form of the Proteolytic Complex, ClpP1P2, from </w:t>
      </w:r>
      <w:r w:rsidRPr="00930C17">
        <w:rPr>
          <w:i/>
          <w:noProof/>
        </w:rPr>
        <w:t>Mycobacterium tuberculosis</w:t>
      </w:r>
      <w:r>
        <w:rPr>
          <w:noProof/>
        </w:rPr>
        <w:t xml:space="preserve">. </w:t>
      </w:r>
      <w:r>
        <w:rPr>
          <w:i/>
          <w:iCs/>
          <w:noProof/>
        </w:rPr>
        <w:t>J. Biol. Chem.</w:t>
      </w:r>
      <w:r>
        <w:rPr>
          <w:noProof/>
        </w:rPr>
        <w:t xml:space="preserve"> </w:t>
      </w:r>
      <w:r>
        <w:rPr>
          <w:b/>
          <w:bCs/>
          <w:noProof/>
        </w:rPr>
        <w:t>291,</w:t>
      </w:r>
      <w:r>
        <w:rPr>
          <w:noProof/>
        </w:rPr>
        <w:t xml:space="preserve"> 7465–7476 (2016).</w:t>
      </w:r>
    </w:p>
    <w:p w14:paraId="5E292B36" w14:textId="77777777" w:rsidR="00637D1E" w:rsidRDefault="00637D1E" w:rsidP="003F1CCD">
      <w:pPr>
        <w:widowControl w:val="0"/>
        <w:autoSpaceDE w:val="0"/>
        <w:autoSpaceDN w:val="0"/>
        <w:adjustRightInd w:val="0"/>
        <w:ind w:left="560" w:hanging="560"/>
        <w:jc w:val="both"/>
        <w:rPr>
          <w:noProof/>
        </w:rPr>
      </w:pPr>
      <w:r>
        <w:rPr>
          <w:noProof/>
        </w:rPr>
        <w:t>161.</w:t>
      </w:r>
      <w:r>
        <w:rPr>
          <w:noProof/>
        </w:rPr>
        <w:tab/>
        <w:t xml:space="preserve">Ollinger, J., O’Malley, T., Kesicki, E. A., Odingo, J. &amp; Parish, T. Validation of the essential ClpP protease in </w:t>
      </w:r>
      <w:r w:rsidRPr="00930C17">
        <w:rPr>
          <w:i/>
          <w:noProof/>
        </w:rPr>
        <w:t>Mycobacterium tuberculosis</w:t>
      </w:r>
      <w:r>
        <w:rPr>
          <w:noProof/>
        </w:rPr>
        <w:t xml:space="preserve"> as a novel drug target. </w:t>
      </w:r>
      <w:r>
        <w:rPr>
          <w:i/>
          <w:iCs/>
          <w:noProof/>
        </w:rPr>
        <w:t>J. Bacteriol.</w:t>
      </w:r>
      <w:r>
        <w:rPr>
          <w:noProof/>
        </w:rPr>
        <w:t xml:space="preserve"> </w:t>
      </w:r>
      <w:r>
        <w:rPr>
          <w:b/>
          <w:bCs/>
          <w:noProof/>
        </w:rPr>
        <w:t>194,</w:t>
      </w:r>
      <w:r>
        <w:rPr>
          <w:noProof/>
        </w:rPr>
        <w:t xml:space="preserve"> 663–668 (2012).</w:t>
      </w:r>
    </w:p>
    <w:p w14:paraId="6C6B9FAA" w14:textId="77777777" w:rsidR="00637D1E" w:rsidRDefault="00637D1E" w:rsidP="003F1CCD">
      <w:pPr>
        <w:widowControl w:val="0"/>
        <w:autoSpaceDE w:val="0"/>
        <w:autoSpaceDN w:val="0"/>
        <w:adjustRightInd w:val="0"/>
        <w:ind w:left="560" w:hanging="560"/>
        <w:jc w:val="both"/>
        <w:rPr>
          <w:noProof/>
        </w:rPr>
      </w:pPr>
      <w:r>
        <w:rPr>
          <w:noProof/>
        </w:rPr>
        <w:t>162.</w:t>
      </w:r>
      <w:r>
        <w:rPr>
          <w:noProof/>
        </w:rPr>
        <w:tab/>
        <w:t xml:space="preserve">Raju, R. M. </w:t>
      </w:r>
      <w:r>
        <w:rPr>
          <w:i/>
          <w:iCs/>
          <w:noProof/>
        </w:rPr>
        <w:t>et al.</w:t>
      </w:r>
      <w:r>
        <w:rPr>
          <w:noProof/>
        </w:rPr>
        <w:t xml:space="preserve"> </w:t>
      </w:r>
      <w:r w:rsidRPr="00930C17">
        <w:rPr>
          <w:i/>
          <w:noProof/>
        </w:rPr>
        <w:t>Mycobacterium tuberculosis</w:t>
      </w:r>
      <w:r>
        <w:rPr>
          <w:noProof/>
        </w:rPr>
        <w:t xml:space="preserve"> ClpP1 and ClpP2 function together in protein degradation and are required for viability in vitro and during infection. </w:t>
      </w:r>
      <w:r>
        <w:rPr>
          <w:i/>
          <w:iCs/>
          <w:noProof/>
        </w:rPr>
        <w:t>PLoS Pathog.</w:t>
      </w:r>
      <w:r>
        <w:rPr>
          <w:noProof/>
        </w:rPr>
        <w:t xml:space="preserve"> </w:t>
      </w:r>
      <w:r>
        <w:rPr>
          <w:b/>
          <w:bCs/>
          <w:noProof/>
        </w:rPr>
        <w:t>8,</w:t>
      </w:r>
      <w:r>
        <w:rPr>
          <w:noProof/>
        </w:rPr>
        <w:t xml:space="preserve"> e1002511 (2012).</w:t>
      </w:r>
    </w:p>
    <w:p w14:paraId="77D92FEB" w14:textId="77777777" w:rsidR="00637D1E" w:rsidRDefault="00637D1E" w:rsidP="003F1CCD">
      <w:pPr>
        <w:widowControl w:val="0"/>
        <w:autoSpaceDE w:val="0"/>
        <w:autoSpaceDN w:val="0"/>
        <w:adjustRightInd w:val="0"/>
        <w:ind w:left="560" w:hanging="560"/>
        <w:jc w:val="both"/>
        <w:rPr>
          <w:noProof/>
        </w:rPr>
      </w:pPr>
      <w:r>
        <w:rPr>
          <w:noProof/>
        </w:rPr>
        <w:t>163.</w:t>
      </w:r>
      <w:r>
        <w:rPr>
          <w:noProof/>
        </w:rPr>
        <w:tab/>
        <w:t xml:space="preserve">Schmitz, K. R., Carney, D. W., Sello, J. K. &amp; Sauer, R. T. Crystal structure of </w:t>
      </w:r>
      <w:r w:rsidRPr="00930C17">
        <w:rPr>
          <w:i/>
          <w:noProof/>
        </w:rPr>
        <w:t>Mycobacterium tuberculosis</w:t>
      </w:r>
      <w:r>
        <w:rPr>
          <w:noProof/>
        </w:rPr>
        <w:t xml:space="preserve"> ClpP1P2 suggests a model for peptidase activation by AAA+ partner binding and substrate delivery. </w:t>
      </w:r>
      <w:r>
        <w:rPr>
          <w:i/>
          <w:iCs/>
          <w:noProof/>
        </w:rPr>
        <w:t>Proc. Natl. Acad. Sci. USA</w:t>
      </w:r>
      <w:r>
        <w:rPr>
          <w:noProof/>
        </w:rPr>
        <w:t xml:space="preserve"> </w:t>
      </w:r>
      <w:r>
        <w:rPr>
          <w:b/>
          <w:bCs/>
          <w:noProof/>
        </w:rPr>
        <w:t>111,</w:t>
      </w:r>
      <w:r>
        <w:rPr>
          <w:noProof/>
        </w:rPr>
        <w:t xml:space="preserve"> E4587-95 (2014).</w:t>
      </w:r>
    </w:p>
    <w:p w14:paraId="6210519D" w14:textId="77777777" w:rsidR="00637D1E" w:rsidRDefault="00637D1E" w:rsidP="003F1CCD">
      <w:pPr>
        <w:widowControl w:val="0"/>
        <w:autoSpaceDE w:val="0"/>
        <w:autoSpaceDN w:val="0"/>
        <w:adjustRightInd w:val="0"/>
        <w:ind w:left="560" w:hanging="560"/>
        <w:jc w:val="both"/>
        <w:rPr>
          <w:noProof/>
        </w:rPr>
      </w:pPr>
      <w:r>
        <w:rPr>
          <w:noProof/>
        </w:rPr>
        <w:t>164.</w:t>
      </w:r>
      <w:r>
        <w:rPr>
          <w:noProof/>
        </w:rPr>
        <w:tab/>
        <w:t xml:space="preserve">Personne, Y., Brown, A. C., Schuessler, D. L. &amp; Parish, T. </w:t>
      </w:r>
      <w:r w:rsidRPr="00930C17">
        <w:rPr>
          <w:i/>
          <w:noProof/>
        </w:rPr>
        <w:t>Mycobacterium tuberculosis</w:t>
      </w:r>
      <w:r>
        <w:rPr>
          <w:noProof/>
        </w:rPr>
        <w:t xml:space="preserve"> ClpP proteases are co-transcribed but exhibit different substrate specificities. </w:t>
      </w:r>
      <w:r>
        <w:rPr>
          <w:i/>
          <w:iCs/>
          <w:noProof/>
        </w:rPr>
        <w:t>PLoS One</w:t>
      </w:r>
      <w:r>
        <w:rPr>
          <w:noProof/>
        </w:rPr>
        <w:t xml:space="preserve"> </w:t>
      </w:r>
      <w:r>
        <w:rPr>
          <w:b/>
          <w:bCs/>
          <w:noProof/>
        </w:rPr>
        <w:t>8,</w:t>
      </w:r>
      <w:r>
        <w:rPr>
          <w:noProof/>
        </w:rPr>
        <w:t xml:space="preserve"> e60228 (2013).</w:t>
      </w:r>
    </w:p>
    <w:p w14:paraId="2717EEFF" w14:textId="098BE928" w:rsidR="00637D1E" w:rsidRDefault="00637D1E" w:rsidP="003F1CCD">
      <w:pPr>
        <w:widowControl w:val="0"/>
        <w:autoSpaceDE w:val="0"/>
        <w:autoSpaceDN w:val="0"/>
        <w:adjustRightInd w:val="0"/>
        <w:ind w:left="560" w:hanging="560"/>
        <w:jc w:val="both"/>
        <w:rPr>
          <w:noProof/>
        </w:rPr>
      </w:pPr>
      <w:r>
        <w:rPr>
          <w:noProof/>
        </w:rPr>
        <w:t>165.</w:t>
      </w:r>
      <w:r>
        <w:rPr>
          <w:noProof/>
        </w:rPr>
        <w:tab/>
        <w:t xml:space="preserve">Jain, S., Graham, C., Graham, R. L. J., McMullan, G. &amp; Ternan, N. G. Quantitative proteomic analysis of the heat stress response in </w:t>
      </w:r>
      <w:r w:rsidR="00AB3480" w:rsidRPr="00AB3480">
        <w:rPr>
          <w:i/>
          <w:noProof/>
        </w:rPr>
        <w:t>Clostridium difficile</w:t>
      </w:r>
      <w:r>
        <w:rPr>
          <w:noProof/>
        </w:rPr>
        <w:t xml:space="preserve"> strain 630. </w:t>
      </w:r>
      <w:r>
        <w:rPr>
          <w:i/>
          <w:iCs/>
          <w:noProof/>
        </w:rPr>
        <w:t>J. Proteome Res.</w:t>
      </w:r>
      <w:r>
        <w:rPr>
          <w:noProof/>
        </w:rPr>
        <w:t xml:space="preserve"> </w:t>
      </w:r>
      <w:r>
        <w:rPr>
          <w:b/>
          <w:bCs/>
          <w:noProof/>
        </w:rPr>
        <w:t>10,</w:t>
      </w:r>
      <w:r>
        <w:rPr>
          <w:noProof/>
        </w:rPr>
        <w:t xml:space="preserve"> 3880–3890 (2011).</w:t>
      </w:r>
    </w:p>
    <w:p w14:paraId="5C3862E2" w14:textId="578D401F" w:rsidR="00637D1E" w:rsidRDefault="00637D1E" w:rsidP="003F1CCD">
      <w:pPr>
        <w:widowControl w:val="0"/>
        <w:autoSpaceDE w:val="0"/>
        <w:autoSpaceDN w:val="0"/>
        <w:adjustRightInd w:val="0"/>
        <w:ind w:left="560" w:hanging="560"/>
        <w:jc w:val="both"/>
        <w:rPr>
          <w:noProof/>
        </w:rPr>
      </w:pPr>
      <w:r>
        <w:rPr>
          <w:noProof/>
        </w:rPr>
        <w:lastRenderedPageBreak/>
        <w:t>166.</w:t>
      </w:r>
      <w:r>
        <w:rPr>
          <w:noProof/>
        </w:rPr>
        <w:tab/>
        <w:t xml:space="preserve">Lawley, T. D. </w:t>
      </w:r>
      <w:r>
        <w:rPr>
          <w:i/>
          <w:iCs/>
          <w:noProof/>
        </w:rPr>
        <w:t>et al.</w:t>
      </w:r>
      <w:r>
        <w:rPr>
          <w:noProof/>
        </w:rPr>
        <w:t xml:space="preserve"> Proteomic and genomic characterization of highly infectious </w:t>
      </w:r>
      <w:r w:rsidR="00AB3480" w:rsidRPr="00AB3480">
        <w:rPr>
          <w:i/>
          <w:noProof/>
        </w:rPr>
        <w:t>Clostridium difficile</w:t>
      </w:r>
      <w:r>
        <w:rPr>
          <w:noProof/>
        </w:rPr>
        <w:t xml:space="preserve"> 630 spores. </w:t>
      </w:r>
      <w:r>
        <w:rPr>
          <w:i/>
          <w:iCs/>
          <w:noProof/>
        </w:rPr>
        <w:t>J. Bacteriol.</w:t>
      </w:r>
      <w:r>
        <w:rPr>
          <w:noProof/>
        </w:rPr>
        <w:t xml:space="preserve"> </w:t>
      </w:r>
      <w:r>
        <w:rPr>
          <w:b/>
          <w:bCs/>
          <w:noProof/>
        </w:rPr>
        <w:t>191,</w:t>
      </w:r>
      <w:r>
        <w:rPr>
          <w:noProof/>
        </w:rPr>
        <w:t xml:space="preserve"> 5377–5386 (2009).</w:t>
      </w:r>
    </w:p>
    <w:p w14:paraId="7A36656B" w14:textId="52BA3418" w:rsidR="00637D1E" w:rsidRDefault="00637D1E" w:rsidP="003F1CCD">
      <w:pPr>
        <w:widowControl w:val="0"/>
        <w:autoSpaceDE w:val="0"/>
        <w:autoSpaceDN w:val="0"/>
        <w:adjustRightInd w:val="0"/>
        <w:ind w:left="560" w:hanging="560"/>
        <w:jc w:val="both"/>
        <w:rPr>
          <w:noProof/>
        </w:rPr>
      </w:pPr>
      <w:r>
        <w:rPr>
          <w:noProof/>
        </w:rPr>
        <w:t>167.</w:t>
      </w:r>
      <w:r>
        <w:rPr>
          <w:noProof/>
        </w:rPr>
        <w:tab/>
        <w:t xml:space="preserve">Emerson, J. E., Stabler, R. A., Wren, B. W. &amp; Fairweather, N. F. Microarray analysis of the transcriptional responses of </w:t>
      </w:r>
      <w:r w:rsidR="00AB3480" w:rsidRPr="00AB3480">
        <w:rPr>
          <w:i/>
          <w:noProof/>
        </w:rPr>
        <w:t>Clostridium difficile</w:t>
      </w:r>
      <w:r>
        <w:rPr>
          <w:noProof/>
        </w:rPr>
        <w:t xml:space="preserve"> to environmental and antibiotic stress. </w:t>
      </w:r>
      <w:r>
        <w:rPr>
          <w:i/>
          <w:iCs/>
          <w:noProof/>
        </w:rPr>
        <w:t>J. Med. Microbiol.</w:t>
      </w:r>
      <w:r>
        <w:rPr>
          <w:noProof/>
        </w:rPr>
        <w:t xml:space="preserve"> </w:t>
      </w:r>
      <w:r>
        <w:rPr>
          <w:b/>
          <w:bCs/>
          <w:noProof/>
        </w:rPr>
        <w:t>57,</w:t>
      </w:r>
      <w:r>
        <w:rPr>
          <w:noProof/>
        </w:rPr>
        <w:t xml:space="preserve"> 757–764 (2008).</w:t>
      </w:r>
    </w:p>
    <w:p w14:paraId="13DDBA9A" w14:textId="1BF462B9" w:rsidR="00637D1E" w:rsidRDefault="00637D1E" w:rsidP="003F1CCD">
      <w:pPr>
        <w:widowControl w:val="0"/>
        <w:autoSpaceDE w:val="0"/>
        <w:autoSpaceDN w:val="0"/>
        <w:adjustRightInd w:val="0"/>
        <w:ind w:left="560" w:hanging="560"/>
        <w:jc w:val="both"/>
        <w:rPr>
          <w:noProof/>
        </w:rPr>
      </w:pPr>
      <w:r>
        <w:rPr>
          <w:noProof/>
        </w:rPr>
        <w:t>168.</w:t>
      </w:r>
      <w:r>
        <w:rPr>
          <w:noProof/>
        </w:rPr>
        <w:tab/>
        <w:t xml:space="preserve">Chong, P. M. </w:t>
      </w:r>
      <w:r>
        <w:rPr>
          <w:i/>
          <w:iCs/>
          <w:noProof/>
        </w:rPr>
        <w:t>et al.</w:t>
      </w:r>
      <w:r>
        <w:rPr>
          <w:noProof/>
        </w:rPr>
        <w:t xml:space="preserve"> Proteomic analysis of a NAP1 </w:t>
      </w:r>
      <w:r w:rsidR="00AB3480" w:rsidRPr="00AB3480">
        <w:rPr>
          <w:i/>
          <w:noProof/>
        </w:rPr>
        <w:t>Clostridium difficile</w:t>
      </w:r>
      <w:r>
        <w:rPr>
          <w:noProof/>
        </w:rPr>
        <w:t xml:space="preserve"> clinical isolate resistant to metronidazole. </w:t>
      </w:r>
      <w:r>
        <w:rPr>
          <w:i/>
          <w:iCs/>
          <w:noProof/>
        </w:rPr>
        <w:t>PLoS One</w:t>
      </w:r>
      <w:r>
        <w:rPr>
          <w:noProof/>
        </w:rPr>
        <w:t xml:space="preserve"> </w:t>
      </w:r>
      <w:r>
        <w:rPr>
          <w:b/>
          <w:bCs/>
          <w:noProof/>
        </w:rPr>
        <w:t>9,</w:t>
      </w:r>
      <w:r>
        <w:rPr>
          <w:noProof/>
        </w:rPr>
        <w:t xml:space="preserve"> e82622 (2014).</w:t>
      </w:r>
    </w:p>
    <w:p w14:paraId="3C4C5BD2" w14:textId="79CDCE91" w:rsidR="00637D1E" w:rsidRDefault="00637D1E" w:rsidP="003F1CCD">
      <w:pPr>
        <w:widowControl w:val="0"/>
        <w:autoSpaceDE w:val="0"/>
        <w:autoSpaceDN w:val="0"/>
        <w:adjustRightInd w:val="0"/>
        <w:ind w:left="560" w:hanging="560"/>
        <w:jc w:val="both"/>
        <w:rPr>
          <w:noProof/>
        </w:rPr>
      </w:pPr>
      <w:r>
        <w:rPr>
          <w:noProof/>
        </w:rPr>
        <w:t>169.</w:t>
      </w:r>
      <w:r>
        <w:rPr>
          <w:noProof/>
        </w:rPr>
        <w:tab/>
        <w:t xml:space="preserve">Sekulovic, O. &amp; Fortier, L.-C. Global transcriptional response of </w:t>
      </w:r>
      <w:r w:rsidR="00AB3480" w:rsidRPr="00AB3480">
        <w:rPr>
          <w:i/>
          <w:noProof/>
        </w:rPr>
        <w:t>Clostridium difficile</w:t>
      </w:r>
      <w:r>
        <w:rPr>
          <w:noProof/>
        </w:rPr>
        <w:t xml:space="preserve"> carrying the CD38 prophage. </w:t>
      </w:r>
      <w:r>
        <w:rPr>
          <w:i/>
          <w:iCs/>
          <w:noProof/>
        </w:rPr>
        <w:t>Appl. Environ. Microbiol.</w:t>
      </w:r>
      <w:r>
        <w:rPr>
          <w:noProof/>
        </w:rPr>
        <w:t xml:space="preserve"> </w:t>
      </w:r>
      <w:r>
        <w:rPr>
          <w:b/>
          <w:bCs/>
          <w:noProof/>
        </w:rPr>
        <w:t>81,</w:t>
      </w:r>
      <w:r>
        <w:rPr>
          <w:noProof/>
        </w:rPr>
        <w:t xml:space="preserve"> 1364–1374 (2015).</w:t>
      </w:r>
    </w:p>
    <w:p w14:paraId="539EBC1F" w14:textId="5BEAC7E3" w:rsidR="00AE6C6D" w:rsidRDefault="00637D1E" w:rsidP="00AE6C6D">
      <w:pPr>
        <w:widowControl w:val="0"/>
        <w:autoSpaceDE w:val="0"/>
        <w:autoSpaceDN w:val="0"/>
        <w:adjustRightInd w:val="0"/>
      </w:pPr>
      <w:r>
        <w:fldChar w:fldCharType="end"/>
      </w:r>
      <w:bookmarkStart w:id="22" w:name="_Toc530397213"/>
    </w:p>
    <w:p w14:paraId="481E0FC6" w14:textId="6D96A69F" w:rsidR="0096243D" w:rsidRDefault="00E6119A">
      <w:pPr>
        <w:spacing w:line="240" w:lineRule="auto"/>
      </w:pPr>
      <w:r>
        <w:br w:type="page"/>
      </w:r>
      <w:r w:rsidR="0096243D">
        <w:lastRenderedPageBreak/>
        <w:br w:type="page"/>
      </w:r>
    </w:p>
    <w:p w14:paraId="478313A7" w14:textId="77777777" w:rsidR="00E6119A" w:rsidRDefault="00E6119A">
      <w:pPr>
        <w:spacing w:line="240" w:lineRule="auto"/>
        <w:rPr>
          <w:b/>
          <w:bCs/>
          <w:sz w:val="28"/>
          <w:szCs w:val="28"/>
        </w:rPr>
      </w:pPr>
    </w:p>
    <w:p w14:paraId="31D4A99D" w14:textId="1C06B36D" w:rsidR="00AE6C6D" w:rsidRDefault="00937009" w:rsidP="007D5BF8">
      <w:pPr>
        <w:pStyle w:val="Heading1"/>
      </w:pPr>
      <w:bookmarkStart w:id="23" w:name="_Toc8392731"/>
      <w:r w:rsidRPr="00AE6C6D">
        <w:t>Chapter 2</w:t>
      </w:r>
      <w:bookmarkEnd w:id="23"/>
      <w:r w:rsidR="00AE6C6D" w:rsidRPr="00AE6C6D">
        <w:t xml:space="preserve"> </w:t>
      </w:r>
    </w:p>
    <w:p w14:paraId="57738414" w14:textId="20A8D09F" w:rsidR="00AE6C6D" w:rsidRDefault="00AB3480" w:rsidP="007D5BF8">
      <w:pPr>
        <w:pStyle w:val="Heading1"/>
      </w:pPr>
      <w:bookmarkStart w:id="24" w:name="_Toc8392732"/>
      <w:r w:rsidRPr="00AB3480">
        <w:rPr>
          <w:i/>
          <w:iCs/>
        </w:rPr>
        <w:t>Clostridium difficile</w:t>
      </w:r>
      <w:r w:rsidR="00B8478A" w:rsidRPr="00AE6C6D">
        <w:t xml:space="preserve"> ClpP Homologs are Capable of Uncoupled Activity and Exhibit Different Levels of Susceptibility to Acyldepsipeptide Modulation</w:t>
      </w:r>
      <w:bookmarkEnd w:id="22"/>
      <w:r w:rsidR="008F3611">
        <w:rPr>
          <w:rStyle w:val="FootnoteReference"/>
        </w:rPr>
        <w:footnoteReference w:id="2"/>
      </w:r>
      <w:bookmarkEnd w:id="24"/>
    </w:p>
    <w:p w14:paraId="74965359" w14:textId="05E47BBB" w:rsidR="00D104C9" w:rsidRDefault="00C363D7" w:rsidP="004E7821">
      <w:pPr>
        <w:pStyle w:val="Heading2"/>
      </w:pPr>
      <w:bookmarkStart w:id="25" w:name="_Toc8392733"/>
      <w:r>
        <w:t xml:space="preserve">2.1 </w:t>
      </w:r>
      <w:r w:rsidR="00D104C9">
        <w:t>Abstract</w:t>
      </w:r>
      <w:bookmarkEnd w:id="25"/>
    </w:p>
    <w:p w14:paraId="0D22ECD2" w14:textId="3850930F" w:rsidR="00D104C9" w:rsidRPr="00D104C9" w:rsidRDefault="00D104C9" w:rsidP="00D104C9">
      <w:pPr>
        <w:jc w:val="both"/>
      </w:pPr>
      <w:r>
        <w:tab/>
      </w:r>
      <w:r w:rsidRPr="00D104C9">
        <w:t>Caseinolytic protease P (ClpP) has emerged as a promising new target for antibacterial development. While ClpPs from single isoform expressing bacteria have been studied in detail, the function and regulation of systems with more than one ClpP homolog are still poorly understood. Herein, we present fundamental studies toward understanding the ClpP system in </w:t>
      </w:r>
      <w:r w:rsidRPr="00D104C9">
        <w:rPr>
          <w:i/>
          <w:iCs/>
        </w:rPr>
        <w:t>C. difficile</w:t>
      </w:r>
      <w:r w:rsidRPr="00D104C9">
        <w:t xml:space="preserve">, an anaerobic spore-forming pathogen that contains two chromosomally distant isoforms of ClpP. Examination of proteomic and genomic data suggest that ClpP1 is the primary isoform responsible for normal growth and virulence, but little is known about the function of ClpP2 or the context required for the formation of functional proteases. For the first time in a pathogenic bacterium, we demonstrate that both </w:t>
      </w:r>
      <w:r w:rsidRPr="00D104C9">
        <w:lastRenderedPageBreak/>
        <w:t>isoforms are capable of forming operative proteases. Interestingly, ClpP1 is the only homolog that possesses characteristic response to small molecule acyldepsipeptide activation. On the contrary, both ClpP1 and ClpP2 respond to cochaperone activation to degrade an ssrA-tagged substrate. These observations indicate that ClpP2 is less susceptible to acyldepsipeptide activation but retains the ability to interact with a known cochaperone. Homology models reveal no obvious characteristics that would allow one to predict less efficient acyldepsipeptide binding. The reported findings establish the uniqueness of the ClpP system in </w:t>
      </w:r>
      <w:r w:rsidRPr="00D104C9">
        <w:rPr>
          <w:i/>
          <w:iCs/>
        </w:rPr>
        <w:t>C. difficile</w:t>
      </w:r>
      <w:r w:rsidRPr="00D104C9">
        <w:t>, open new avenues of inquiry, and highlight the importance of more detailed structural, genetic, and biological characterization of the ClpP system in </w:t>
      </w:r>
      <w:r w:rsidRPr="00D104C9">
        <w:rPr>
          <w:i/>
          <w:iCs/>
        </w:rPr>
        <w:t>C. difficile</w:t>
      </w:r>
      <w:r w:rsidRPr="00D104C9">
        <w:t>.</w:t>
      </w:r>
    </w:p>
    <w:p w14:paraId="57EBBAB3" w14:textId="62A06FA9" w:rsidR="00D104C9" w:rsidRPr="00D104C9" w:rsidRDefault="003E0CEF" w:rsidP="003E0CEF">
      <w:pPr>
        <w:spacing w:line="240" w:lineRule="auto"/>
      </w:pPr>
      <w:r>
        <w:br w:type="page"/>
      </w:r>
    </w:p>
    <w:p w14:paraId="6683FDCB" w14:textId="18E1D233" w:rsidR="00C5406D" w:rsidRPr="00C5406D" w:rsidRDefault="00C5406D" w:rsidP="004E7821">
      <w:pPr>
        <w:pStyle w:val="Heading2"/>
      </w:pPr>
      <w:bookmarkStart w:id="26" w:name="_Toc8392734"/>
      <w:r>
        <w:lastRenderedPageBreak/>
        <w:t>2.</w:t>
      </w:r>
      <w:r w:rsidR="00C363D7">
        <w:t>2</w:t>
      </w:r>
      <w:r>
        <w:t xml:space="preserve"> Introduction</w:t>
      </w:r>
      <w:bookmarkEnd w:id="26"/>
    </w:p>
    <w:p w14:paraId="41E13639" w14:textId="64094562" w:rsidR="00B8478A" w:rsidRDefault="00AB3480" w:rsidP="00365766">
      <w:pPr>
        <w:ind w:firstLine="720"/>
        <w:jc w:val="both"/>
      </w:pPr>
      <w:r w:rsidRPr="00AB3480">
        <w:rPr>
          <w:i/>
        </w:rPr>
        <w:t>C. difficile</w:t>
      </w:r>
      <w:r w:rsidR="00285D85" w:rsidRPr="00407D26">
        <w:rPr>
          <w:i/>
        </w:rPr>
        <w:t xml:space="preserve"> </w:t>
      </w:r>
      <w:r w:rsidR="00285D85" w:rsidRPr="00407D26">
        <w:t>infection (CDI) is a leading cause of hospital-acquired illness and presents a unique challenge to therapeutic development, as it is both caused by and clinically managed with traditional antibiotics that indiscriminately eradicate pathogenic and commensal bacteria</w:t>
      </w:r>
      <w:r w:rsidR="00285D85">
        <w:t>.</w:t>
      </w:r>
      <w:r w:rsidR="00285D85">
        <w:fldChar w:fldCharType="begin"/>
      </w:r>
      <w:r w:rsidR="00285D85">
        <w:instrText>ADDIN F1000_CSL_CITATION&lt;~#@#~&gt;[{"DOI":"10.1021/jm5016846","First":false,"Last":false,"PMCID":"PMC4500462","PMID":"25760275","abstract":"In the past decade Clostridium difficile has become a bacterial pathogen of global significance. Epidemic strains have spread throughout hospitals, while community acquired infections and other sources ensure a constant inoculation of spores into hospitals. In response to the increasing medical burden, a new C. difficile antibiotic, fidaxomicin, was approved in 2011 for the treatment of C. difficile-associated diarrhea. Rudimentary fecal transplants are also being trialed as effective treatments. Despite these advances, therapies that are more effective against C. difficile spores and less damaging to the resident gastrointestinal microbiome and that reduce recurrent disease are still desperately needed. However, bringing a new treatment for C. difficile infection to market involves particular challenges. This review covers the current drug discovery pipeline, including both small molecule and biologic therapies, and highlights the challenges associated with in vitro and in vivo models of C. difficile infection for drug screening and lead optimization. ","author":[{"family":"Jarrad","given":"Angie M"},{"family":"Karoli","given":"Tomislav"},{"family":"Blaskovich","given":"Mark A T"},{"family":"Lyras","given":"Dena"},{"family":"Cooper","given":"Matthew A"}],"authorYearDisplayFormat":false,"citation-label":"2864008","container-title":"Journal of Medicinal Chemistry","container-title-short":"J. Med. Chem.","id":"2864008","invisible":false,"issue":"13","issued":{"date-parts":[["2015","7","9"]]},"journalAbbreviation":"J. Med. Chem.","page":"5164-5185","suppress-author":false,"title":"Clostridium difficile drug pipeline: challenges in discovery and development of new agents.","type":"article-journal","volume":"58"}]</w:instrText>
      </w:r>
      <w:r w:rsidR="00285D85">
        <w:fldChar w:fldCharType="separate"/>
      </w:r>
      <w:r w:rsidR="00285D85" w:rsidRPr="00614784">
        <w:rPr>
          <w:noProof/>
          <w:vertAlign w:val="superscript"/>
        </w:rPr>
        <w:t>1</w:t>
      </w:r>
      <w:r w:rsidR="00285D85">
        <w:fldChar w:fldCharType="end"/>
      </w:r>
      <w:r w:rsidR="00285D85" w:rsidRPr="00407D26">
        <w:t xml:space="preserve"> Importantly, </w:t>
      </w:r>
      <w:r w:rsidRPr="00AB3480">
        <w:rPr>
          <w:i/>
        </w:rPr>
        <w:t>C. difficile</w:t>
      </w:r>
      <w:r w:rsidR="00285D85" w:rsidRPr="00407D26">
        <w:t xml:space="preserve"> is unique from </w:t>
      </w:r>
      <w:r w:rsidR="00285D85">
        <w:t>typical beneficial</w:t>
      </w:r>
      <w:r w:rsidR="00285D85" w:rsidRPr="00407D26">
        <w:t xml:space="preserve"> microflora, in that it expresses two isoforms of ClpP (ClpP1 and ClpP2).</w:t>
      </w:r>
      <w:r w:rsidR="00285D85">
        <w:fldChar w:fldCharType="begin"/>
      </w:r>
      <w:r w:rsidR="00285D85">
        <w:instrText>ADDIN F1000_CSL_CITATION&lt;~#@#~&gt;[{"DOI":"10.1016/j.febslet.2007.04.076","First":false,"Last":false,"PMID":"17499722","abstract":"Processes maintaining protein homeostasis in the cell are governed by the activities of molecular chaperones that mainly assist in the folding of polypeptide chains and by a large class of proteases that regulate protein levels through degradation. ClpP proteases define a distinctive family of cylindrical, energy-dependent serine proteases that are highly conserved throughout bacteria and eukaryota. They typically interact with ATP-dependent AAA+ chaperones that bind and unfold target substrates and then translocate them into ClpP for degradation. Structural and functional studies have provided a detailed view of the mechanism of function of this class of proteases.","author":[{"family":"Yu","given":"Angela Yeou Hsiung"},{"family":"Houry","given":"Walid A"}],"authorYearDisplayFormat":false,"citation-label":"1613890","container-title":"FEBS Letters","container-title-short":"FEBS Lett.","id":"1613890","invisible":false,"issue":"19","issued":{"date-parts":[["2007","7","31"]]},"journalAbbreviation":"FEBS Lett.","page":"3749-3757","suppress-author":false,"title":"ClpP: a distinctive family of cylindrical energy-dependent serine proteases.","type":"article-journal","volume":"581"}]</w:instrText>
      </w:r>
      <w:r w:rsidR="00285D85">
        <w:fldChar w:fldCharType="separate"/>
      </w:r>
      <w:r w:rsidR="00285D85" w:rsidRPr="00614784">
        <w:rPr>
          <w:noProof/>
          <w:vertAlign w:val="superscript"/>
        </w:rPr>
        <w:t>2</w:t>
      </w:r>
      <w:r w:rsidR="00285D85">
        <w:fldChar w:fldCharType="end"/>
      </w:r>
      <w:r w:rsidR="00285D85">
        <w:t xml:space="preserve"> </w:t>
      </w:r>
      <w:r w:rsidR="00285D85" w:rsidRPr="00A46532">
        <w:t xml:space="preserve">To date, our understanding of multiple </w:t>
      </w:r>
      <w:r w:rsidR="00285D85" w:rsidRPr="00A46532">
        <w:rPr>
          <w:i/>
        </w:rPr>
        <w:t>clpP</w:t>
      </w:r>
      <w:r w:rsidR="00285D85" w:rsidRPr="00A46532">
        <w:t xml:space="preserve"> gene expressing organisms is based primarily upon</w:t>
      </w:r>
      <w:r w:rsidR="00285D85">
        <w:t xml:space="preserve"> four</w:t>
      </w:r>
      <w:r w:rsidR="00285D85" w:rsidRPr="00A46532">
        <w:t xml:space="preserve"> microbes, </w:t>
      </w:r>
      <w:r w:rsidR="00285D85" w:rsidRPr="00A46532">
        <w:rPr>
          <w:i/>
        </w:rPr>
        <w:t>Syne</w:t>
      </w:r>
      <w:r w:rsidR="00285D85">
        <w:rPr>
          <w:i/>
        </w:rPr>
        <w:t>chococcus elongatus,</w:t>
      </w:r>
      <w:r w:rsidR="00285D85">
        <w:rPr>
          <w:i/>
        </w:rPr>
        <w:fldChar w:fldCharType="begin"/>
      </w:r>
      <w:r w:rsidR="00285D85">
        <w:rPr>
          <w:i/>
        </w:rPr>
        <w:instrText>ADDIN F1000_CSL_CITATION&lt;~#@#~&gt;[{"DOI":"10.1016/j.jsb.2015.10.016","First":false,"Last":false,"PMCID":"PMC4673316","PMID":"26525362","abstract":"The Clp protease is conserved among eubacteria and most eukaryotes, and uses ATP to drive protein substrate unfolding and translocation into a chamber of sequestered proteolytic active sites. To investigate the proteolytic core of the ClpXP1/P2 protease from the cyanobacterium Synechococcus elongatus we have used a non-denaturing mass spectrometry approach. We show that the proteolytic core is a double ring tetradecamer consisting of an equal number of ClpP1 and ClpP2 subunits with masses of 21.70 and 23.44 kDa, respectively. Two stoichiometries are revealed for the heptameric rings: 4ClpP1+3ClpP2 and 3ClpP1+4ClpP2. When combined in the double ring the stoichiometries are (4ClpP1+3ClpP2)+(3ClpP1+4ClpP2) and 2×(3ClpP1+4ClpP2) with a low population of a 2×(4ClpP1+3ClpP2) tetradecamer. The assignment of the stoichiometries is confirmed by collision-induced dissociation of selected charge states of the intact heptamer and tetradecamer. Presence of the heterodimers, heterotetramers and heterohexamers, and absence of the mono-oligomers, in the mass spectra of the partially denatured protease indicates that the ring complex consists of a chain of ClpP1/ClpP2 heterodimers with the ring completed by an additional ClpP1 or ClpP2 subunit.&lt;br&gt;&lt;br&gt;Copyright © 2015 The Authors. Published by Elsevier Inc. All rights reserved.","author":[{"family":"Mikhailov","given":"Victor A"},{"family":"Ståhlberg","given":"Frida"},{"family":"Clarke","given":"Adrian K"},{"family":"Robinson","given":"Carol V"}],"authorYearDisplayFormat":false,"citation-label":"5898214","container-title":"Journal of Structural Biology","container-title-short":"J. Struct. Biol.","id":"5898214","invisible":false,"issue":"3","issued":{"date-parts":[["2015","12"]]},"journalAbbreviation":"J. Struct. Biol.","page":"519-527","suppress-author":false,"title":"Dual stoichiometry and subunit organization in the ClpP1/P2 protease from the cyanobacterium Synechococcus elongatus.","type":"article-journal","volume":"192"},{"DOI":"10.1074/jbc.M700275200","First":false,"Last":false,"PMID":"17371875","abstract":"Cyanobacteria are the only prokaryotes that perform oxygenic photosynthesis and are thought to be ancestors to plant chloroplasts. Like chloroplasts, cyanobacteria possess a diverse array of proteolytic enzymes, with one of the most prominent being the ATP-dependent Ser-type Clp protease. The model Clp protease in Escherichia coli consists of a single ClpP proteolytic core flanked on one or both ends by a HSP100 chaperone partner. In comparison, cyanobacteria have multiple ClpP paralogs plus a ClpP variant (ClpR), which lacks the catalytic triad typical of Ser-type proteases. In this study, we reveal that two distinct soluble Clp proteases exist in the unicellular cyanobacterium Synechococcus elongatus. Each protease consists of a unique proteolytic core comprised of two separate Clp subunits, one with ClpP1 and ClpP2, the other with ClpP3 and ClpR. Each core also associates with a particular HSP100 chaperone partner, ClpC in the case of the ClpP3/R core, and ClpX for the ClpP1/P2 core. The two adaptor proteins, ClpS1 and ClpS2 also interact with the ClpC chaperone protein, likely increasing the range of protein substrates targeted by the Clp protease in cyanobacteria. We also reveal the possible existence of a third Clp protease in Synechococcus, one which associates with the internal membrane network. Altogether, we show that presence of several distinctive Clp proteases in cyanobacteria, a feature which contrasts from that in most other organisms.","author":[{"family":"Stanne","given":"Tara M"},{"family":"Pojidaeva","given":"Elena"},{"family":"Andersson","given":"Fredrik I"},{"family":"Clarke","given":"Adrian K"}],"authorYearDisplayFormat":false,"citation-label":"6680928","container-title":"The Journal of Biological Chemistry","container-title-short":"J. Biol. Chem.","id":"6680928","invisible":false,"issue":"19","issued":{"date-parts":[["2007","5","11"]]},"journalAbbreviation":"J. Biol. Chem.","page":"14394-14402","suppress-author":false,"title":"Distinctive types of ATP-dependent Clp proteases in cyanobacteria.","type":"article-journal","volume":"282"}]</w:instrText>
      </w:r>
      <w:r w:rsidR="00285D85">
        <w:rPr>
          <w:i/>
        </w:rPr>
        <w:fldChar w:fldCharType="separate"/>
      </w:r>
      <w:r w:rsidR="00285D85" w:rsidRPr="00614784">
        <w:rPr>
          <w:noProof/>
          <w:vertAlign w:val="superscript"/>
        </w:rPr>
        <w:t>3,4</w:t>
      </w:r>
      <w:r w:rsidR="00285D85">
        <w:rPr>
          <w:i/>
        </w:rPr>
        <w:fldChar w:fldCharType="end"/>
      </w:r>
      <w:r w:rsidR="00285D85" w:rsidRPr="00A46532">
        <w:t xml:space="preserve"> </w:t>
      </w:r>
      <w:r w:rsidR="00285D85">
        <w:rPr>
          <w:i/>
        </w:rPr>
        <w:t>Listeria</w:t>
      </w:r>
      <w:r w:rsidR="00285D85" w:rsidRPr="00A46532">
        <w:rPr>
          <w:i/>
        </w:rPr>
        <w:t xml:space="preserve"> monocytogenes</w:t>
      </w:r>
      <w:r w:rsidR="00285D85">
        <w:t>,</w:t>
      </w:r>
      <w:r w:rsidR="00285D85">
        <w:fldChar w:fldCharType="begin"/>
      </w:r>
      <w:r w:rsidR="00285D85">
        <w:instrText>ADDIN F1000_CSL_CITATION&lt;~#@#~&gt;[{"DOI":"10.1128/IAI.69.8.4938-4943.2001","First":false,"Last":false,"PMCID":"PMC98585","PMID":"11447171","abstract":"The stress-induced protease ClpP is required for virulence of the facultative intracellular pathogen Listeria monocytogenes. We previously found that in the absence of ClpP, the virulence of this pathogen was strongly reduced, mainly due to the decreased production of functional listeriolysin O (LLO), a major immunodominant virulence factor promoting intracellular growth. In this work, a clpP deletion mutant of L. monocytogenes was used to study the generation of anti-Listeria protective immunity. We found that ClpP is required for the intracellular growth of L. monocytogenes in resident macrophages in vivo. Mice infected with doses as high as 10(6) clpP mutant bacteria were not protected against a lethal challenge of wild-type bacteria and did not develop any detectable LLO-specific cytolytic T cells or antibodies, suggesting that the amount of LLO produced in infected mice under these conditions was too low to induce a specific immune response. However, in contrast to the results obtained with a mutant with a disrupted hly gene, this lack of protection was overcome by inoculation of very high infecting doses of clpP mutant bacteria (5 x 10(8)), thus producing sufficient amounts of LLO to stimulate anti-Listeria immunity. The role of ClpP was confirmed by showing that anti-Listeria immunity was restored in mice infected with a clpP-complemented mutant. These results indicate that the stress-induced serine protease ClpP is a potential target for modulating the presentation of protective antigens such as LLO and thereby the immune response against L. monocytogenes.","author":[{"family":"Gaillot","given":"O"},{"family":"Bregenholt","given":"S"},{"family":"Jaubert","given":"F"},{"family":"Di Santo","given":"J P"},{"family":"Berche","given":"P"}],"authorYearDisplayFormat":false,"citation-label":"6788083","container-title":"Infection and Immunity","container-title-short":"Infect. Immun.","id":"6788083","invisible":false,"issue":"8","issued":{"date-parts":[["2001","8"]]},"journalAbbreviation":"Infect. Immun.","page":"4938-4943","suppress-author":false,"title":"Stress-induced ClpP serine protease of Listeria monocytogenes is essential for induction of listeriolysin O-dependent protective immunity.","type":"article-journal","volume":"69"},{"DOI":"10.1046/j.1365-2958.2000.01773.x","First":false,"Last":false,"PMID":"10760131","abstract":"We identified the stress-induced ClpP of Listeria monocytogenes and demonstrated its crucial role in intracellular survival of this pathogen. ClpP is a 21.6 kDa protein belonging to a family of proteases highly conserved in prokaryotes and eukaryotes. A clpP-deleted mutant enabled us to demonstrate that ClpP is involved in proteolysis and is required for growth under stress conditions. Intramacrophage survival of this mutant was strongly restricted, thus resulting in loss of virulence for the mouse. The activity of listeriolysin O, a major virulence factor implicated in bacterial escape from phagosomes of macrophages, was much reduced in the clpP mutant under stress conditions. Direct evidence for the role of ClpP in the intracellular parasitism was obtained by showing that virulence and haemolytic activity were fully restored by complementation of the mutant. These results suggest that ClpP is involved in the rapid adaptive response of intracellular pathogens during the infectious process.","author":[{"family":"Gaillot","given":"O"},{"family":"Pellegrini","given":"E"},{"family":"Bregenholt","given":"S"},{"family":"Nair","given":"S"},{"family":"Berche","given":"P"}],"authorYearDisplayFormat":false,"citation-label":"5898256","container-title":"Molecular Microbiology","container-title-short":"Mol. Microbiol.","id":"5898256","invisible":false,"issue":"6","issued":{"date-parts":[["2000","3"]]},"journalAbbreviation":"Mol. Microbiol.","page":"1286-1294","suppress-author":false,"title":"The ClpP serine protease is essential for the intracellular parasitism and virulence of Listeria monocytogenes.","type":"article-journal","volume":"35"},{"DOI":"10.1002/anie.201104391","First":false,"Last":false,"PMID":"21954175","author":[{"family":"Zeiler","given":"Evelyn"},{"family":"Braun","given":"Nathalie"},{"family":"Böttcher","given":"Thomas"},{"family":"Kastenmüller","given":"Andreas"},{"family":"Weinkauf","given":"Sevil"},{"family":"Sieber","given":"Stephan A"}],"authorYearDisplayFormat":false,"citation-label":"6309272","container-title":"Angewandte Chemie","container-title-short":"Angew Chem Int Ed Engl","id":"6309272","invisible":false,"issue":"46","issued":{"date-parts":[["2011","11","11"]]},"journalAbbreviation":"Angew Chem Int Ed Engl","page":"11001-11004","suppress-author":false,"title":"Vibralactone as a tool to study the activity and structure of the ClpP1P2 complex from Listeria monocytogenes.","type":"article-journal","volume":"50"},{"DOI":"10.1073/pnas.1219125110","First":false,"Last":false,"PMCID":"PMC3710848","PMID":"23798410","abstract":"Caseinolytic proteases (ClpPs) are large oligomeric protein complexes that contribute to cell homeostasis as well as virulence regulation in bacteria. Although most organisms possess a single ClpP protein, some organisms encode two or more ClpP isoforms. Here, we elucidated the crystal structures of ClpP1 and ClpP2 from pathogenic Listeria monocytogenes and observe an unprecedented regulation principle by the catalytic triad. Whereas L. monocytogenes (Lm)ClpP2 is both structurally and functionally similar to previously studied tetradecameric ClpP proteins from Escherichia coli and Staphylococcus aureus, heptameric LmClpP1 features an asparagine in its catalytic triad. Mutation of this asparagine to aspartate increased the reactivity of the active site and led to the assembly of a tetradecameric complex. We analyzed the heterooligomeric complex of LmClpP1 and LmClpP2 via coexpression and subsequent labeling studies with natural product-derived probes. Notably, the LmClpP1 peptidase activity is stimulated 75-fold in the complex providing insights into heterooligomerization as a regulatory mechanism. Collectively, our data point toward different preferences for substrates and inhibitors of the two ClpP enzymes and highlight their structural and functional characteristics. ","author":[{"family":"Zeiler","given":"Evelyn"},{"family":"List","given":"Anja"},{"family":"Alte","given":"Ferdinand"},{"family":"Gersch","given":"Malte"},{"family":"Wachtel","given":"Rudolf"},{"family":"Poreba","given":"Marcin"},{"family":"Drag","given":"Marcin"},{"family":"Groll","given":"Michael"},{"family":"Sieber","given":"Stephan A"}],"authorYearDisplayFormat":false,"citation-label":"6309271","container-title":"Proceedings of the National Academy of Sciences of the United States of America","container-title-short":"Proc Natl Acad Sci USA","id":"6309271","invisible":false,"issue":"28","issued":{"date-parts":[["2013","7","9"]]},"journalAbbreviation":"Proc Natl Acad Sci USA","page":"11302-11307","suppress-author":false,"title":"Structural and functional insights into caseinolytic proteases reveal an unprecedented regulation principle of their catalytic triad.","type":"article-journal","volume":"110"},{"DOI":"10.1002/anie.201409325","First":false,"Last":false,"PMID":"25630955","abstract":"Listeria monocytogenes is a devastating bacterial pathogen. Its virulence and intracellular stress tolerance are supported by caseinolytic protease P (ClpP), an enzyme that is conserved among bacteria. L. monocytogenes expresses two ClpP isoforms that are only distantly related by sequence and differ in catalysis, oligomerization, active-site composition, and N-terminal interaction sites for associated AAA(+) chaperones. The crystal structure of the ClpP1/2 heterocomplex from L. monocytogenes was solved, and in combination with biochemical studies, it provides insights into the mode of action. The results demonstrate that structural interlocking of LmClpP1 with LmClpP2 leads to the formation of a tetradecamer, aligns all 14 active sites, and enhances proteolytic activity. Furthermore, the catalytic center was identified as being responsible for the transient stability of ClpPs. &lt;br&gt;&lt;br&gt;© 2015 WILEY-VCH Verlag GmbH &amp; Co. KGaA, Weinheim.","author":[{"family":"Dahmen","given":"Maria"},{"family":"Vielberg","given":"Marie-Theres"},{"family":"Groll","given":"Michael"},{"family":"Sieber","given":"Stephan A"}],"authorYearDisplayFormat":false,"citation-label":"5898154","container-title":"Angewandte Chemie","container-title-short":"Angew Chem Int Ed Engl","id":"5898154","invisible":false,"issue":"12","issued":{"date-parts":[["2015","3","16"]]},"journalAbbreviation":"Angew Chem Int Ed Engl","page":"3598-3602","suppress-author":false,"title":"Structure and mechanism of the caseinolytic protease ClpP1/2 heterocomplex from Listeria monocytogenes.","type":"article-journal","volume":"54"}]</w:instrText>
      </w:r>
      <w:r w:rsidR="00285D85">
        <w:fldChar w:fldCharType="separate"/>
      </w:r>
      <w:r w:rsidR="00285D85" w:rsidRPr="00614784">
        <w:rPr>
          <w:noProof/>
          <w:vertAlign w:val="superscript"/>
        </w:rPr>
        <w:t>5–9</w:t>
      </w:r>
      <w:r w:rsidR="00285D85">
        <w:fldChar w:fldCharType="end"/>
      </w:r>
      <w:r w:rsidR="00285D85" w:rsidRPr="00A46532">
        <w:t xml:space="preserve"> </w:t>
      </w:r>
      <w:r w:rsidR="00285D85">
        <w:rPr>
          <w:i/>
        </w:rPr>
        <w:t>Pseudomonas aeruginosa,</w:t>
      </w:r>
      <w:r w:rsidR="00285D85">
        <w:rPr>
          <w:i/>
        </w:rPr>
        <w:fldChar w:fldCharType="begin"/>
      </w:r>
      <w:r w:rsidR="00285D85">
        <w:rPr>
          <w:i/>
        </w:rPr>
        <w:instrText>ADDIN F1000_CSL_CITATION&lt;~#@#~&gt;[{"DOI":"10.1128/JB.00568-16","First":false,"Last":false,"PMCID":"PMC5237113","PMID":"27849175","abstract":"Caseinolytic peptidases (ClpPs) regulate diverse aspects of cellular physiology in bacteria. Some species have multiple ClpPs, including the opportunistic pathogen Pseudomonas aeruginosa, in which there is an archetypical isoform, ClpP1, and a second isoform, ClpP2, about which little is known. Here, we use phenotypic assays to investigate the biological roles of ClpP1 and ClpP2 and biochemical assays to characterize purified ClpP1, ClpP2, ClpX, and ClpA. Interestingly, ClpP1 and ClpP2 have distinct intracellular roles for motility, pigment production, iron scavenging, and biofilm formation. Of particular interest, ClpP2, but not ClpP1, is required for microcolony organization, where multicellular organized structures first form on the pathway to biofilm production. We found that purified ClpP1 with ClpX or ClpA was enzymatically active, yet to our surprise, ClpP2 was inactive and not fully assembled in vitro; attempts to assist ClpP2 assembly and activation by mixing with the other Clp components failed to turn on ClpP2, as did solution conditions that have helped activate other ClpPs in vitro We postulate that the active form of ClpP2 has yet to be discovered, and we present several potential models to explain its activation as well as the unique role ClpP2 plays in the development of the clinically important biofilms in P. aeruginosaIMPORTANCEPseudomonas aeruginosa is responsible for severe infections of immunocompromised patients. Our work demonstrates that two different isoforms of the Clp peptidase, ClpP1 and ClpP2, control distinct aspects of cellular physiology for this organism. In particular, we identify ClpP2 as being necessary for microcolony organization. Pure active forms of ClpP1 and either ClpX or ClpA were characterized as assembled and active, and ClpP2 was incompletely assembled and inactive. By establishing both the unique biological roles of ClpP1 and ClpP2 and their initial biochemical assemblies, we have set the stage for important future work on the structure, function, and biological targets of Clp proteolytic enzymes in this important opportunistic pathogen.&lt;br&gt;&lt;br&gt;Copyright © 2017 American Society for Microbiology.","author":[{"family":"Hall","given":"Branwen M"},{"family":"Breidenstein","given":"Elena B M"},{"family":"de la Fuente-Núñez","given":"César"},{"family":"Reffuveille","given":"Fany"},{"family":"Mawla","given":"Gina D"},{"family":"Hancock","given":"Robert E W"},{"family":"Baker","given":"Tania A"}],"authorYearDisplayFormat":false,"citation-label":"5898157","container-title":"Journal of Bacteriology","container-title-short":"J. Bacteriol.","id":"5898157","invisible":false,"issue":"3","issued":{"date-parts":[["2017","2","1"]]},"journalAbbreviation":"J. Bacteriol.","suppress-author":false,"title":"Two Isoforms of Clp Peptidase in Pseudomonas aeruginosa Control Distinct Aspects of Cellular Physiology.","type":"article-journal","volume":"199"}]</w:instrText>
      </w:r>
      <w:r w:rsidR="00285D85">
        <w:rPr>
          <w:i/>
        </w:rPr>
        <w:fldChar w:fldCharType="separate"/>
      </w:r>
      <w:r w:rsidR="00285D85" w:rsidRPr="00614784">
        <w:rPr>
          <w:noProof/>
          <w:vertAlign w:val="superscript"/>
        </w:rPr>
        <w:t>10</w:t>
      </w:r>
      <w:r w:rsidR="00285D85">
        <w:rPr>
          <w:i/>
        </w:rPr>
        <w:fldChar w:fldCharType="end"/>
      </w:r>
      <w:r w:rsidR="00285D85">
        <w:rPr>
          <w:i/>
        </w:rPr>
        <w:t xml:space="preserve"> </w:t>
      </w:r>
      <w:r w:rsidR="00285D85" w:rsidRPr="00A46532">
        <w:t xml:space="preserve">and </w:t>
      </w:r>
      <w:r w:rsidR="00285D85">
        <w:rPr>
          <w:i/>
        </w:rPr>
        <w:t>M. tuberculosis,</w:t>
      </w:r>
      <w:r w:rsidR="00285D85">
        <w:rPr>
          <w:i/>
        </w:rPr>
        <w:fldChar w:fldCharType="begin"/>
      </w:r>
      <w:r w:rsidR="00285D85">
        <w:rPr>
          <w:i/>
        </w:rPr>
        <w:instrText>ADDIN F1000_CSL_CITATION&lt;~#@#~&gt;[{"DOI":"10.1038/emboj.2012.5","First":false,"Last":false,"PMCID":"PMC3321190","PMID":"22286948","abstract":"Mycobacterium tuberculosis (Mtb) contains two clpP genes, both of which are essential for viability. We expressed and purified Mtb ClpP1 and ClpP2 separately. Although each formed a tetradecameric structure and was processed, they lacked proteolytic activity. We could, however, reconstitute an active, mixed ClpP1P2 complex after identifying N-blocked dipeptides that stimulate dramatically (&gt;1000-fold) ClpP1P2 activity against certain peptides and proteins. These activators function cooperatively to induce the dissociation of ClpP1 and ClpP2 tetradecamers into heptameric rings, which then re-associate to form the active ClpP1P2 2-ring mixed complex. No analogous small molecule-induced enzyme activation mechanism involving dissociation and re-association of multimeric rings has been described. ClpP1P2 possesses chymotrypsin and caspase-like activities, and ClpP1 and ClpP2 differ in cleavage preferences. The regulatory ATPase ClpC1 was purified and shown to increase hydrolysis of proteins by ClpP1P2, but not peptides. ClpC1 did not activate ClpP1 or ClpP2 homotetradecamers and stimulated ClpP1P2 only when both ATP and a dipeptide activator were present. ClpP1P2 activity, its unusual activation mechanism and ClpC1 ATPase represent attractive drug targets to combat tuberculosis.","author":[{"family":"Akopian","given":"Tatos"},{"family":"Kandror","given":"Olga"},{"family":"Raju","given":"Ravikiran M"},{"family":"Unnikrishnan","given":"Meera"},{"family":"Rubin","given":"Eric J"},{"family":"Goldberg","given":"Alfred L"}],"authorYearDisplayFormat":false,"citation-label":"5898155","container-title":"The EMBO Journal","container-title-short":"EMBO J.","id":"5898155","invisible":false,"issue":"6","issued":{"date-parts":[["2012","3","21"]]},"journalAbbreviation":"EMBO J.","page":"1529-1541","suppress-author":false,"title":"The active ClpP protease from M. tuberculosis is a complex composed of a heptameric ClpP1 and a ClpP2 ring.","type":"article-journal","volume":"31"},{"DOI":"10.1111/mmi.13362","First":false,"Last":false,"PMCID":"PMC5469208","PMID":"26919556","abstract":"The Clp protease complex in Mycobacterium tuberculosis is unusual in its composition, functional importance and activation mechanism. Whilst most bacterial species contain a single ClpP protein that is dispensable for normal growth, mycobacteria have two ClpPs, ClpP1 and ClpP2, which are essential for viability and together form the ClpP1P2 tetradecamer. Acyldepsipeptide antibiotics of the ADEP class inhibit the growth of Gram-positive firmicutes by activating ClpP and causing unregulated protein degradation. Here we show that, in contrast, mycobacteria are killed by ADEP through inhibition of ClpP function. Although ADEPs can stimulate purified M. tuberculosis ClpP1P2 to degrade larger peptides and unstructured proteins, this effect is weaker than for ClpP from other bacteria and depends on the presence of an additional activating factor (e.g. the dipeptide benzyloxycarbonyl-leucyl-leucine in vitro) to form the active ClpP1P2 tetradecamer. The cell division protein FtsZ, which is a particularly sensitive target for ADEP-activated ClpP in firmicutes, is not degraded in mycobacteria. Depletion of the ClpP1P2 level in a conditional Mycobacterium bovis BCG mutant enhanced killing by ADEP unlike in other bacteria. In summary, ADEPs kill mycobacteria by preventing interaction of ClpP1P2 with the regulatory ATPases, ClpX or ClpC1, thus inhibiting essential ATP-dependent protein degradation.&lt;br&gt;&lt;br&gt;© 2016 The Authors Molecular Microbiology Published by John Wiley &amp; Sons Ltd.","author":[{"family":"Famulla","given":"Kirsten"},{"family":"Sass","given":"Peter"},{"family":"Malik","given":"Imran"},{"family":"Akopian","given":"Tatos"},{"family":"Kandror","given":"Olga"},{"family":"Alber","given":"Marina"},{"family":"Hinzen","given":"Berthold"},{"family":"Ruebsamen-Schaeff","given":"Helga"},{"family":"Kalscheuer","given":"Rainer"},{"family":"Goldberg","given":"Alfred L"},{"family":"Brötz-Oesterhelt","given":"Heike"}],"authorYearDisplayFormat":false,"citation-label":"5898196","container-title":"Molecular Microbiology","container-title-short":"Mol. Microbiol.","id":"5898196","invisible":false,"issue":"2","issued":{"date-parts":[["2016","4","1"]]},"journalAbbreviation":"Mol. Microbiol.","page":"194-209","suppress-author":false,"title":"Acyldepsipeptide antibiotics kill mycobacteria by preventing the physiological functions of the ClpP1P2 protease.","type":"article-journal","volume":"101"},{"DOI":"10.1074/jbc.M115.700344","First":false,"Last":false,"PMCID":"PMC4817177","PMID":"26858247","abstract":"The ClpP protease complex and its regulatory ATPases, ClpC1 and ClpX, inMycobacterium tuberculosis(Mtb) are essential and, therefore, promising drug targets. TheMtbClpP protease consists of two heptameric rings, one composed of ClpP1 and the other of ClpP2 subunits. Formation of the enzymatically active ClpP1P2 complex requires binding of N-blocked dipeptide activators. We have found a new potent activator, benzoyl-leucine-leucine (Bz-LL), that binds with higher affinity and promotes 3-4-fold higher peptidase activity than previous activators. Bz-LL-activated ClpP1P2 specifically stimulates the ATPase activity ofMtbClpC1 and ClpX. The ClpC1P1P2 and ClpXP1P2 complexes exhibit 2-3-fold enhanced ATPase activity, peptide cleavage, and ATP-dependent protein degradation. The crystal structure of ClpP1P2 with bound Bz-LL was determined at a resolution of 3.07 Å and with benzyloxycarbonyl-Leu-Leu (Z-LL) bound at 2.9 Å. Bz-LL was present in all 14 active sites, whereas Z-LL density was not resolved. Surprisingly, Bz-LL adopts opposite orientations in ClpP1 and ClpP2. In ClpP1, Bz-LL binds with the C-terminal leucine side chain in the S1 pocket. One C-terminal oxygen is close to the catalytic serine, whereas the other contacts backbone amides in the oxyanion hole. In ClpP2, Bz-LL binds with the benzoyl group in the S1 pocket, and the peptide hydrogen bonded between parallel β-strands. The ClpP2 axial loops are extended, forming an open axial channel as has been observed with bound ADEP antibiotics. Thus occupancy of the active sites of ClpP allosterically alters sites on the surfaces thereby affecting the association of ClpP1 and ClpP2 rings, interactions with regulatory ATPases, and entry of protein substrates. &lt;br&gt;&lt;br&gt;© 2016 by The American Society for Biochemistry and Molecular Biology, Inc.","author":[{"family":"Li","given":"Mi"},{"family":"Kandror","given":"Olga"},{"family":"Akopian","given":"Tatos"},{"family":"Dharkar","given":"Poorva"},{"family":"Wlodawer","given":"Alexander"},{"family":"Maurizi","given":"Michael R"},{"family":"Goldberg","given":"Alfred L"}],"authorYearDisplayFormat":false,"citation-label":"5898168","container-title":"The Journal of Biological Chemistry","container-title-short":"J. Biol. Chem.","id":"5898168","invisible":false,"issue":"14","issued":{"date-parts":[["2016","4","1"]]},"journalAbbreviation":"J. Biol. Chem.","page":"7465-7476","suppress-author":false,"title":"Structure and Functional Properties of the Active Form of the Proteolytic Complex, ClpP1P2, from Mycobacterium tuberculosis.","type":"article-journal","volume":"291"},{"DOI":"10.1128/JB.06142-11","First":false,"Last":false,"PMCID":"PMC3264079","PMID":"22123255","abstract":"Mycobacterium tuberculosis is a pathogen of major global importance. Validated drug targets are required in order to develop novel therapeutics for drug-resistant strains and to shorten therapy. The Clp protease complexes provide a means for quality control of cellular proteins; the proteolytic activity of ClpP in concert with the ATPase activity of the ClpX/ClpC subunits results in degradation of misfolded or damaged proteins. Thus, the Clp system plays a major role in basic metabolism, as well as in stress responses and pathogenic mechanisms. M. tuberculosis has two ClpP proteolytic subunits. Here we demonstrate that ClpP1 is essential for viability in this organism in culture, since the gene could only be deleted from the chromosome when a second functional copy was provided. Overexpression of clpP1 had no effect on growth in aerobic culture or viability under anaerobic conditions or during nutrient starvation. In contrast, clpP2 overexpression was toxic, suggesting different roles for the two homologs. We synthesized known activators of ClpP protease activity; these acyldepsipeptides (ADEPs) were active against M. tuberculosis. ADEP activity was enhanced by the addition of efflux pump inhibitors, demonstrating that ADEPs gain access to the cell but that export occurs. Taken together, the genetic and chemical validation of ClpP as a drug target leads to new avenues for drug discovery.","author":[{"family":"Ollinger","given":"Juliane"},{"family":"O'Malley","given":"Theresa"},{"family":"Kesicki","given":"Edward A"},{"family":"Odingo","given":"Joshua"},{"family":"Parish","given":"Tanya"}],"authorYearDisplayFormat":false,"citation-label":"5898258","container-title":"Journal of Bacteriology","container-title-short":"J. Bacteriol.","id":"5898258","invisible":false,"issue":"3","issued":{"date-parts":[["2012","2"]]},"journalAbbreviation":"J. Bacteriol.","page":"663-668","suppress-author":false,"title":"Validation of the essential ClpP protease in Mycobacterium tuberculosis as a novel drug target.","type":"article-journal","volume":"194"},{"DOI":"10.1371/journal.ppat.1002511","First":false,"Last":false,"PMCID":"PMC3280978","PMID":"22359499","abstract":"In most bacteria, Clp protease is a conserved, non-essential serine protease that regulates the response to various stresses. Mycobacteria, including Mycobacterium tuberculosis (Mtb) and Mycobacterium smegmatis, unlike most well studied prokaryotes, encode two ClpP homologs, ClpP1 and ClpP2, in a single operon. Here we demonstrate that the two proteins form a mixed complex (ClpP1P2) in mycobacteria. Using two different approaches, promoter replacement, and a novel system of inducible protein degradation, leading to inducible expression of clpP1 and clpP2, we demonstrate that both genes are essential for growth and that a marked depletion of either one results in rapid bacterial death. ClpP1P2 protease appears important in degrading missense and prematurely terminated peptides, as partial depletion of ClpP2 reduced growth specifically in the presence of antibiotics that increase errors in translation. We further show that the ClpP1P2 protease is required for the degradation of proteins tagged with the SsrA motif, a tag co-translationally added to incomplete protein products. Using active site mutants of ClpP1 and ClpP2, we show that the activity of each subunit is required for proteolysis, for normal growth of Mtb in vitro and during infection of mice. These observations suggest that the Clp protease plays an unusual and essential role in Mtb and may serve as an ideal target for antimycobacterial therapy.","author":[{"family":"Raju","given":"Ravikiran M"},{"family":"Unnikrishnan","given":"Meera"},{"family":"Rubin","given":"Daniel H F"},{"family":"Krishnamoorthy","given":"Vidhya"},{"family":"Kandror","given":"Olga"},{"family":"Akopian","given":"Tatos N"},{"family":"Goldberg","given":"Alfred L"},{"family":"Rubin","given":"Eric J"}],"authorYearDisplayFormat":false,"citation-label":"5898271","container-title":"PLoS Pathogens","container-title-short":"PLoS Pathog.","id":"5898271","invisible":false,"issue":"2","issued":{"date-parts":[["2012","2","16"]]},"journalAbbreviation":"PLoS Pathog.","page":"e1002511","suppress-author":false,"title":"Mycobacterium tuberculosis ClpP1 and ClpP2 function together in protein degradation and are required for viability in vitro and during infection.","type":"article-journal","volume":"8"},{"DOI":"10.1073/pnas.1417120111","First":false,"Last":false,"PMCID":"PMC4217457","PMID":"25267638","abstract":"Caseinolytic peptidase P (ClpP), a double-ring peptidase with 14 subunits, collaborates with ATPases associated with diverse activities (AAA+) partners to execute ATP-dependent protein degradation. Although many ClpP enzymes self-assemble into catalytically active homo-tetradecamers able to cleave small peptides, the Mycobacterium tuberculosis enzyme consists of discrete ClpP1 and ClpP2 heptamers that require a AAA+ partner and protein-substrate delivery or a peptide agonist to stabilize assembly of the active tetradecamer. Here, we show that cyclic acyldepsipeptides (ADEPs) and agonist peptides synergistically activate ClpP1P2 by mimicking AAA+ partners and substrates, respectively, and determine the structure of the activated complex. Our studies establish the basis of heteromeric ClpP1P2 assembly and function, reveal tight coupling between the conformations of each ring, show that ADEPs bind only to one ring but appear to open the axial pores of both rings, provide a foundation for rational drug development, and suggest strategies for studying the roles of individual ClpP1 and ClpP2 rings in Clp-family proteolysis. ","author":[{"family":"Schmitz","given":"Karl R"},{"family":"Carney","given":"Daniel W"},{"family":"Sello","given":"Jason K"},{"family":"Sauer","given":"Robert T"}],"authorYearDisplayFormat":false,"citation-label":"5898153","container-title":"Proceedings of the National Academy of Sciences of the United States of America","container-title-short":"Proc Natl Acad Sci USA","id":"5898153","invisible":false,"issue":"43","issued":{"date-parts":[["2014","10","28"]]},"journalAbbreviation":"Proc Natl Acad Sci USA","page":"E4587-95","suppress-author":false,"title":"Crystal structure of Mycobacterium tuberculosis ClpP1P2 suggests a model for peptidase activation by AAA+ partner binding and substrate delivery.","type":"article-journal","volume":"111"},{"DOI":"10.1371/journal.pone.0060228","First":false,"Last":false,"PMCID":"PMC3613350","PMID":"23560081","abstract":"Caseinolytic (Clp) proteases are widespread energy-dependent proteases; the functional ATP-dependent protease is comprised of multimers of proteolytic and regulatory subunits. Mycobacterium tuberculosis has two ClpP proteolytic subunits (ClpP1 and ClpP2), with both being essential for growth in vitro. ClpP1 and clpP2 are arranged in an apparent operon; we demonstrated that the two genes are co-expressed under normal growth conditions. We identified a single promoter region for the clpP1P2 operon; no promoter was detected upstream of clpP2 demonstrating that independent expression of clpP1 and clpP2 was highly unlikely. Promoter activity was not induced by heat shock or oxidative stress. We identified a regulatory region upstream of the promoter with a consensus sequence matching the ClgR regulator motif; we determined the limits of the region by mutagenesis and confirmed that positive regulation of the promoter occurs in M. tuberculosis. We developed a reporter system to monitor ClpP1 and ClpP2 enzymatic activities based on LacZ incorporating ssrAtag sequences. We showed that whilst both ClpP1 and ClpP2 degrade SsrA-tagged LacZ, ClpP2 (but not ClpP1) degrades untagged proteins. Our data suggest that the two proteolytic subunits display different substrate specificities and therefore have different, but overlapping roles in M. tuberculosis.","author":[{"family":"Personne","given":"Yoann"},{"family":"Brown","given":"Amanda C"},{"family":"Schuessler","given":"Dorothée L"},{"family":"Parish","given":"Tanya"}],"authorYearDisplayFormat":false,"citation-label":"5898272","container-title":"Plos One","container-title-short":"PLoS ONE","id":"5898272","invisible":false,"issue":"4","issued":{"date-parts":[["2013","4","1"]]},"journalAbbreviation":"PLoS ONE","page":"e60228","suppress-author":false,"title":"Mycobacterium tuberculosis ClpP proteases are co-transcribed but exhibit different substrate specificities.","type":"article-journal","volume":"8"}]</w:instrText>
      </w:r>
      <w:r w:rsidR="00285D85">
        <w:rPr>
          <w:i/>
        </w:rPr>
        <w:fldChar w:fldCharType="separate"/>
      </w:r>
      <w:r w:rsidR="00285D85" w:rsidRPr="00614784">
        <w:rPr>
          <w:noProof/>
          <w:vertAlign w:val="superscript"/>
        </w:rPr>
        <w:t>11–17</w:t>
      </w:r>
      <w:r w:rsidR="00285D85">
        <w:rPr>
          <w:i/>
        </w:rPr>
        <w:fldChar w:fldCharType="end"/>
      </w:r>
      <w:r w:rsidR="00285D85" w:rsidRPr="00A46532">
        <w:rPr>
          <w:i/>
        </w:rPr>
        <w:t xml:space="preserve"> </w:t>
      </w:r>
      <w:r w:rsidR="00285D85" w:rsidRPr="00A46532">
        <w:t>all of which reveal structural disparities and distinct regulation profiles of ClpP.</w:t>
      </w:r>
    </w:p>
    <w:p w14:paraId="77EA047E" w14:textId="77777777" w:rsidR="00B8478A" w:rsidRDefault="00152AAE" w:rsidP="00B8478A">
      <w:pPr>
        <w:jc w:val="center"/>
        <w:rPr>
          <w:b/>
          <w:sz w:val="18"/>
          <w:szCs w:val="18"/>
        </w:rPr>
      </w:pPr>
      <w:r>
        <w:rPr>
          <w:noProof/>
        </w:rPr>
        <w:object w:dxaOrig="7209" w:dyaOrig="3468" w14:anchorId="2B69C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 style="width:418.5pt;height:203.25pt;mso-width-percent:0;mso-height-percent:0;mso-width-percent:0;mso-height-percent:0" o:ole="">
            <v:imagedata r:id="rId27" o:title=""/>
          </v:shape>
          <o:OLEObject Type="Embed" ProgID="ChemDraw.Document.6.0" ShapeID="_x0000_i1033" DrawAspect="Content" ObjectID="_1619005644" r:id="rId28"/>
        </w:object>
      </w:r>
    </w:p>
    <w:p w14:paraId="67BB518E" w14:textId="77777777" w:rsidR="00141BAC" w:rsidRDefault="00B8478A" w:rsidP="00937009">
      <w:pPr>
        <w:spacing w:line="240" w:lineRule="auto"/>
        <w:contextualSpacing/>
        <w:jc w:val="both"/>
      </w:pPr>
      <w:r w:rsidRPr="00B82F08">
        <w:rPr>
          <w:b/>
        </w:rPr>
        <w:t xml:space="preserve">Figure </w:t>
      </w:r>
      <w:r>
        <w:rPr>
          <w:b/>
        </w:rPr>
        <w:t>2.1</w:t>
      </w:r>
      <w:r w:rsidRPr="00B82F08">
        <w:rPr>
          <w:b/>
        </w:rPr>
        <w:t xml:space="preserve"> </w:t>
      </w:r>
      <w:r w:rsidRPr="00141BAC">
        <w:rPr>
          <w:b/>
        </w:rPr>
        <w:t>Composition and behavior of reported multi-ClpP systems</w:t>
      </w:r>
      <w:r w:rsidRPr="00B82F08">
        <w:t xml:space="preserve"> </w:t>
      </w:r>
    </w:p>
    <w:p w14:paraId="33B0389D" w14:textId="4C151287" w:rsidR="00B8478A" w:rsidRDefault="00B8478A" w:rsidP="00D2676A">
      <w:pPr>
        <w:spacing w:line="240" w:lineRule="auto"/>
        <w:contextualSpacing/>
        <w:jc w:val="both"/>
      </w:pPr>
      <w:r w:rsidRPr="00B82F08">
        <w:t>“Mixing” denotes that this result was obtained by mixing ClpP1 and ClpP2 homotetradecamers.</w:t>
      </w:r>
    </w:p>
    <w:p w14:paraId="5F74B1EA" w14:textId="77777777" w:rsidR="00D104C9" w:rsidRPr="00D2676A" w:rsidRDefault="00D104C9" w:rsidP="00D2676A">
      <w:pPr>
        <w:spacing w:line="240" w:lineRule="auto"/>
        <w:contextualSpacing/>
        <w:jc w:val="both"/>
      </w:pPr>
    </w:p>
    <w:p w14:paraId="0A78BD86" w14:textId="21E316F1" w:rsidR="00DA4CD2" w:rsidRPr="008D43DB" w:rsidRDefault="00DA4CD2" w:rsidP="00DA4CD2">
      <w:pPr>
        <w:ind w:firstLine="720"/>
        <w:jc w:val="both"/>
        <w:rPr>
          <w:lang w:bidi="ar-SA"/>
        </w:rPr>
      </w:pPr>
      <w:r>
        <w:t>Gene location and expression characteristics of ClpP1 and ClpP2</w:t>
      </w:r>
      <w:r w:rsidRPr="00F934D8">
        <w:t xml:space="preserve"> in </w:t>
      </w:r>
      <w:r w:rsidR="00AB3480" w:rsidRPr="00AB3480">
        <w:rPr>
          <w:i/>
        </w:rPr>
        <w:t>C. difficile</w:t>
      </w:r>
      <w:r w:rsidRPr="00F934D8">
        <w:rPr>
          <w:i/>
        </w:rPr>
        <w:t xml:space="preserve"> </w:t>
      </w:r>
      <w:r>
        <w:t>are</w:t>
      </w:r>
      <w:r w:rsidRPr="00F934D8">
        <w:t xml:space="preserve"> not only unique from commensal organisms, but also distinct from any path</w:t>
      </w:r>
      <w:r>
        <w:t xml:space="preserve">ogenic system disclosed to date. Of the two ClpP isoforms contained within the </w:t>
      </w:r>
      <w:r w:rsidR="00AB3480" w:rsidRPr="00AB3480">
        <w:rPr>
          <w:i/>
        </w:rPr>
        <w:t>C. difficile</w:t>
      </w:r>
      <w:r>
        <w:t xml:space="preserve"> genome, </w:t>
      </w:r>
      <w:r>
        <w:rPr>
          <w:i/>
        </w:rPr>
        <w:t>clpP1</w:t>
      </w:r>
      <w:r>
        <w:t xml:space="preserve"> is located in an apparent operon with the cochaperone </w:t>
      </w:r>
      <w:r>
        <w:rPr>
          <w:i/>
        </w:rPr>
        <w:t>clpX</w:t>
      </w:r>
      <w:r>
        <w:t xml:space="preserve">. Interestingly, </w:t>
      </w:r>
      <w:r>
        <w:rPr>
          <w:i/>
        </w:rPr>
        <w:t>clpP2</w:t>
      </w:r>
      <w:r>
        <w:t xml:space="preserve"> is </w:t>
      </w:r>
      <w:r>
        <w:lastRenderedPageBreak/>
        <w:t xml:space="preserve">expressed in a chromosomally distant region of the genome without evidence of proximal co-chaperones or adaptors. In previous studies, mass spectrometry-based proteomic evaluation and genomic characterization of sporulated and heat-shocked </w:t>
      </w:r>
      <w:r w:rsidR="00AB3480" w:rsidRPr="00AB3480">
        <w:rPr>
          <w:i/>
          <w:iCs/>
        </w:rPr>
        <w:t>C. difficile</w:t>
      </w:r>
      <w:r>
        <w:rPr>
          <w:i/>
          <w:iCs/>
        </w:rPr>
        <w:t xml:space="preserve"> </w:t>
      </w:r>
      <w:r>
        <w:rPr>
          <w:iCs/>
        </w:rPr>
        <w:t>630</w:t>
      </w:r>
      <w:r>
        <w:t>, revealed the presence of ClpP1 and the cochaperones ClpC and ClpX, but no evidence of ClpP2.</w:t>
      </w:r>
      <w:r>
        <w:fldChar w:fldCharType="begin"/>
      </w:r>
      <w:r>
        <w:instrText>ADDIN F1000_CSL_CITATION&lt;~#@#~&gt;[{"DOI":"10.1021/pr200327t","First":false,"Last":false,"PMID":"21786815","abstract":"Clostridium difficile is a serious nosocomial pathogen whose prevalence worldwide is increasing. Postgenomic technologies can now be deployed to develop understanding of the evolution and diversity of this important human pathogen, yet little is known about the adaptive ability of C. difficile. We used iTRAQ labeling and 2D-LC-MS/MS driven proteomics to investigate the response of C. difficile 630 to a mild, but clinically relevant, heat stress. A statistically validated list of 447 proteins to which functional roles were assigned was generated, allowing reconstruction of central metabolic pathways including glycolysis, γ-aminobutyrate metabolism, and peptidoglycan biosynthesis. Some 49 proteins were significantly modulated under heat stress: classical heat shock proteins including GroEL, GroES, DnaK, Clp proteases, and HtpG were up-regulated in addition to several stress inducible rubrerythrins and proteins associated with protein modification, such as prolyl isomerases and proline racemase. The flagellar filament protein, FliC, was down-regulated, possibly as an energy conservation measure, as was the SecA1 preprotein translocase. The up-regulation of hydrogenases and various oxidoreductases suggests that electron flux across these pools of enzymes changes under heat stress. This work represents the first comparative proteomic analysis of the heat stress response in C. difficile strain 630, complementing the existing proteomics data sets and the single microarray comparative analysis of stress response. Thus we have a benchmark proteome for this pathogen, leading to a deeper understanding of its physiology and metabolism informed by the unique functional and adaptive processes used during a temperature upshift mimicking host pyrexia.","author":[{"family":"Jain","given":"Shailesh"},{"family":"Graham","given":"Ciaren"},{"family":"Graham","given":"Robert L J"},{"family":"McMullan","given":"Geoff"},{"family":"Ternan","given":"Nigel G"}],"authorYearDisplayFormat":false,"citation-label":"5898170","container-title":"Journal of Proteome Research","container-title-short":"J. Proteome Res.","id":"5898170","invisible":false,"issue":"9","issued":{"date-parts":[["2011","9","2"]]},"journalAbbreviation":"J. Proteome Res.","page":"3880-3890","suppress-author":false,"title":"Quantitative proteomic analysis of the heat stress response in Clostridium difficile strain 630.","type":"article-journal","volume":"10"},{"DOI":"10.1128/JB.00597-09","First":false,"Last":false,"PMCID":"PMC2725610","PMID":"19542279","abstract":"Clostridium difficile, a major cause of antibiotic-associated diarrhea, produces highly resistant spores that contaminate hospital environments and facilitate efficient disease transmission. We purified C. difficile spores using a novel method and show that they exhibit significant resistance to harsh physical or chemical treatments and are also highly infectious, with &lt; 7 environmental spores per cm(2) reproducibly establishing a persistent infection in exposed mice. Mass spectrometric analysis identified approximately 336 spore-associated polypeptides, with a significant proportion linked to translation, sporulation/germination, and protein stabilization/degradation. In addition, proteins from several distinct metabolic pathways associated with energy production were identified. Comparison of the C. difficile spore proteome to those of other clostridial species defined 88 proteins as the clostridial spore \"core\" and 29 proteins as C. difficile spore specific, including proteins that could contribute to spore-host interactions. Thus, our results provide the first molecular definition of C. difficile spores, opening up new opportunities for the development of diagnostic and therapeutic approaches.","author":[{"family":"Lawley","given":"Trevor D"},{"family":"Croucher","given":"Nicholas J"},{"family":"Yu","given":"Lu"},{"family":"Clare","given":"Simon"},{"family":"Sebaihia","given":"Mohammed"},{"family":"Goulding","given":"David"},{"family":"Pickard","given":"Derek J"},{"family":"Parkhill","given":"Julian"},{"family":"Choudhary","given":"Jyoti"},{"family":"Dougan","given":"Gordon"}],"authorYearDisplayFormat":false,"citation-label":"5898205","container-title":"Journal of Bacteriology","container-title-short":"J. Bacteriol.","id":"5898205","invisible":false,"issue":"17","issued":{"date-parts":[["2009","9"]]},"journalAbbreviation":"J. Bacteriol.","page":"5377-5386","suppress-author":false,"title":"Proteomic and genomic characterization of highly infectious Clostridium difficile 630 spores.","type":"article-journal","volume":"191"}]</w:instrText>
      </w:r>
      <w:r>
        <w:fldChar w:fldCharType="separate"/>
      </w:r>
      <w:r w:rsidRPr="00614784">
        <w:rPr>
          <w:noProof/>
          <w:vertAlign w:val="superscript"/>
        </w:rPr>
        <w:t>18,19</w:t>
      </w:r>
      <w:r>
        <w:fldChar w:fldCharType="end"/>
      </w:r>
      <w:r>
        <w:t xml:space="preserve"> On the contrary, a microarray analysis completed by Emerson </w:t>
      </w:r>
      <w:r>
        <w:rPr>
          <w:i/>
        </w:rPr>
        <w:t>et al.</w:t>
      </w:r>
      <w:r>
        <w:t xml:space="preserve"> detected ClpP1 and ClpP2, with ClpP1 being the only isoform upregulated under pH-induced shock, and antibiotic challenge (Amoxicillin, Clindamycin, and Metronidazole).</w:t>
      </w:r>
      <w:r>
        <w:fldChar w:fldCharType="begin"/>
      </w:r>
      <w:r>
        <w:instrText>ADDIN F1000_CSL_CITATION&lt;~#@#~&gt;[{"DOI":"10.1099/jmm.0.47657-0","First":false,"Last":false,"PMID":"18480334","abstract":"Clostridium difficile is a spore-forming anaerobic bacterium that is an emerging nosocomial threat; incidence of infection in hospitals is increasing, both in frequency and severity, resulting in considerable morbidity and mortality. In order to adapt to the intestinal environment, C. difficile must react to the many stresses involved with colonization, including exposure to antibiotics, which represents the most frequent precipitating agent of C. difficile infection. The responses of C. difficile to environmental shocks (heat, pH and oxidative shock) and to growth in the presence of subinhibitory concentrations of antibiotics (amoxicillin, clindamycin and metronidazole) were investigated using the C. difficile 630 microarray developed by the Bacterial Microarray Group at St George's, University of London, UK (BmuG@S). Significantly regulated genes and operons were identified that are unique to or common between different stresses. The transcriptional profiles of C. difficile 630 are similar after growth in the presence of amoxicillin and clindamycin: both increased transcription of ribosomal protein genes and altered transcription of genes encoding surface-associated proteins. In contrast, metronidazole treatment resulted in minor changes in transcription patterns. The general stress response is observed after heat shock and acid shock. Heat shock also affected transcription of several biochemical pathways. Exposure to atmospheric oxygen induced a large number of electron transporters. This study provides a starting point for detailed analyses of numerous genes whose expression is affected by stress and may therefore be involved in adaptation to the host environment.","author":[{"family":"Emerson","given":"Jenny E"},{"family":"Stabler","given":"Richard A"},{"family":"Wren","given":"Brendan W"},{"family":"Fairweather","given":"Neil F"}],"authorYearDisplayFormat":false,"citation-label":"5898276","container-title":"Journal of Medical Microbiology","container-title-short":"J. Med. Microbiol.","id":"5898276","invisible":false,"issue":"Pt 6","issued":{"date-parts":[["2008","6"]]},"journalAbbreviation":"J. Med. Microbiol.","page":"757-764","suppress-author":false,"title":"Microarray analysis of the transcriptional responses of Clostridium difficile to environmental and antibiotic stress.","type":"article-journal","volume":"57"}]</w:instrText>
      </w:r>
      <w:r>
        <w:fldChar w:fldCharType="separate"/>
      </w:r>
      <w:r w:rsidRPr="00614784">
        <w:rPr>
          <w:noProof/>
          <w:vertAlign w:val="superscript"/>
        </w:rPr>
        <w:t>20</w:t>
      </w:r>
      <w:r>
        <w:fldChar w:fldCharType="end"/>
      </w:r>
      <w:r>
        <w:t xml:space="preserve"> </w:t>
      </w:r>
      <w:r>
        <w:rPr>
          <w:i/>
        </w:rPr>
        <w:t xml:space="preserve">clpP2 </w:t>
      </w:r>
      <w:r>
        <w:t>transcripts have also been detected in NAP1</w:t>
      </w:r>
      <w:r>
        <w:fldChar w:fldCharType="begin"/>
      </w:r>
      <w:r>
        <w:instrText>ADDIN F1000_CSL_CITATION&lt;~#@#~&gt;[{"DOI":"10.1371/journal.pone.0082622","First":false,"Last":false,"PMCID":"PMC3882210","PMID":"24400070","abstract":"&lt;strong&gt;BACKGROUND:&lt;/strong&gt; Clostridium difficile is an anaerobic, Gram-positive bacterium that has been implicated as the leading cause of antibiotic-associated diarrhea. Metronidazole is currently the first-line treatment for mild to moderate C. difficile infections. Our laboratory isolated a strain of C. difficile with a stable resistance phenotype to metronidazole. A shotgun proteomics approach was used to compare differences in the proteomes of metronidazole-resistant and -susceptible isolates.&lt;br&gt;&lt;br&gt;&lt;strong&gt;METHODOLOGY/PRINCIPAL FINDINGS:&lt;/strong&gt; NAP1 C. difficile strains CD26A54_R (Met-resistant), CD26A54_S (reduced- susceptibility), and VLOO13 (Met-susceptible) were grown to mid-log phase, and spiked with metronidazole at concentrations 2 doubling dilutions below the MIC. Peptides from each sample were labeled with iTRAQ and subjected to 2D-LC-MS/MS analysis. In the absence of metronidazole, higher expression was observed of some proteins in C. difficile strains CD26A54_S and CD26A54_R that may be involved with reduced susceptibility or resistance to metronidazole, including DNA repair proteins, putative nitroreductases, and the ferric uptake regulator (Fur). After treatment with metronidazole, moderate increases were seen in the expression of stress-related proteins in all strains. A moderate increase was also observed in the expression of the DNA repair protein RecA in CD26A54_R.&lt;br&gt;&lt;br&gt;&lt;strong&gt;CONCLUSIONS/SIGNIFICANCE:&lt;/strong&gt; This study provided an in-depth proteomic analysis of a stable, metronidazole-resistant C. difficile isolate. The results suggested that a multi-factorial response may be associated with high level metronidazole-resistance in C. difficile, including the possible roles of altered iron metabolism and/or DNA repair.","author":[{"family":"Chong","given":"Patrick M"},{"family":"Lynch","given":"Tarah"},{"family":"McCorrister","given":"Stuart"},{"family":"Kibsey","given":"Pamela"},{"family":"Miller","given":"Mark"},{"family":"Gravel","given":"Denise"},{"family":"Westmacott","given":"Garrett R"},{"family":"Mulvey","given":"Michael R"},{"family":"Canadian Nosocomial Infection Surveillance Program (CNISP)"}],"authorYearDisplayFormat":false,"citation-label":"6680938","container-title":"Plos One","container-title-short":"PLoS ONE","id":"6680938","invisible":false,"issue":"1","issued":{"date-parts":[["2014","1","6"]]},"journalAbbreviation":"PLoS ONE","page":"e82622","suppress-author":false,"title":"Proteomic analysis of a NAP1 Clostridium difficile clinical isolate resistant to metronidazole.","type":"article-journal","volume":"9"}]</w:instrText>
      </w:r>
      <w:r>
        <w:fldChar w:fldCharType="separate"/>
      </w:r>
      <w:r w:rsidRPr="00614784">
        <w:rPr>
          <w:noProof/>
          <w:vertAlign w:val="superscript"/>
        </w:rPr>
        <w:t>21</w:t>
      </w:r>
      <w:r>
        <w:fldChar w:fldCharType="end"/>
      </w:r>
      <w:r>
        <w:t xml:space="preserve"> and ϕCD38-2 prophage</w:t>
      </w:r>
      <w:r>
        <w:fldChar w:fldCharType="begin"/>
      </w:r>
      <w:r>
        <w:instrText>ADDIN F1000_CSL_CITATION&lt;~#@#~&gt;[{"DOI":"10.1128/AEM.03656-14","First":false,"Last":false,"PMCID":"PMC4309704","PMID":"25501487","abstract":"Clostridium difficile is one of the most dangerous pathogens in hospital settings. Most strains of C. difficile carry one or more prophages, and some of them, like CD38-2 and CD119, can influence the expression of toxin genes. However, little is known about the global host response in the presence of a given prophage. In order to fill this knowledge gap, we used high-throughput RNA sequencing (RNA-seq) to conduct a genome-wide transcriptomic analysis of the epidemic C. difficile strain R20291 carrying the CD38-2 prophage. A total of 39 bacterial genes were differentially expressed in the R20291 lysogen, 26 of them being downregulated. Several of the regulated genes encode transcriptional regulators and phosphotransferase system (PTS) subunits involved in glucose, fructose, and glucitol/sorbitol uptake and metabolism. CD38-2 also upregulated the expression of a group of regulatory genes located in phi-027, a resident prophage common to most ribotype 027 isolates. The most differentially expressed gene was that encoding the conserved phase-variable cell wall protein CwpV, which was upregulated 20-fold in the lysogen. Quantitative PCR and immunofluorescence showed that the increased cwpV expression results from a greater proportion of cells actively transcribing the gene. Indeed, 95% of f lysogenic cells express cwpV, as opposed to only 5% of wild-type cells. Furthermore, the higher proportion of cells expressing cwpV results from a higher frequency of recombination of the genetic switch controlling phase variation, which we confirmed to be dependent on the host-encoded recombinase RecV. In summary, CD38-2 interferes with phase variation of the surface protein CwpV and the expression of metabolic genes.","author":[{"family":"Sekulovic","given":"Ognjen"},{"family":"Fortier","given":"Louis-Charles"}],"authorYearDisplayFormat":false,"citation-label":"6788085","container-title":"Applied and Environmental Microbiology","container-title-short":"Appl. Environ. Microbiol.","id":"6788085","invisible":false,"issue":"4","issued":{"date-parts":[["2015","2"]]},"journalAbbreviation":"Appl. Environ. Microbiol.","page":"1364-1374","suppress-author":false,"title":"Global transcriptional response of Clostridium difficile carrying the CD38 prophage.","type":"article-journal","volume":"81"}]</w:instrText>
      </w:r>
      <w:r>
        <w:fldChar w:fldCharType="separate"/>
      </w:r>
      <w:r w:rsidRPr="00614784">
        <w:rPr>
          <w:noProof/>
          <w:vertAlign w:val="superscript"/>
        </w:rPr>
        <w:t>22</w:t>
      </w:r>
      <w:r>
        <w:fldChar w:fldCharType="end"/>
      </w:r>
      <w:r>
        <w:t xml:space="preserve"> containing </w:t>
      </w:r>
      <w:r w:rsidR="00AB3480" w:rsidRPr="00AB3480">
        <w:rPr>
          <w:i/>
        </w:rPr>
        <w:t>C. difficile</w:t>
      </w:r>
      <w:r>
        <w:rPr>
          <w:i/>
        </w:rPr>
        <w:t xml:space="preserve"> </w:t>
      </w:r>
      <w:r>
        <w:t xml:space="preserve">variants, suggesting that </w:t>
      </w:r>
      <w:r>
        <w:rPr>
          <w:i/>
        </w:rPr>
        <w:t xml:space="preserve">clpP2 </w:t>
      </w:r>
      <w:r>
        <w:t>may have involvement in hypervirulent and/or resistant phenotypes. Taken together, ClpP1 has been detected in ribotype 630 and hypervirulent strains, while the presence of ClpP2 expression or protein has only been reported in hypervirulent strains. Nevertheless, these results suggest that contrary to other multi-ClpP organisms, which rely on mixtures of ClpP1 and ClpP2 monomers to form the functionally relevant protease (</w:t>
      </w:r>
      <w:r>
        <w:rPr>
          <w:b/>
        </w:rPr>
        <w:t>Figure 2.1</w:t>
      </w:r>
      <w:r>
        <w:t xml:space="preserve">), </w:t>
      </w:r>
      <w:r w:rsidR="00AB3480" w:rsidRPr="00AB3480">
        <w:rPr>
          <w:i/>
        </w:rPr>
        <w:t>C. difficile</w:t>
      </w:r>
      <w:r>
        <w:rPr>
          <w:i/>
        </w:rPr>
        <w:t xml:space="preserve"> </w:t>
      </w:r>
      <w:r>
        <w:t xml:space="preserve">ClpP1 and ClpP2 may operate in an uncoupled fashion and exhibit different biological roles. To evaluate the first portion of this hypothesis and begin to understand the behavior of the </w:t>
      </w:r>
      <w:r w:rsidR="00AB3480" w:rsidRPr="00AB3480">
        <w:rPr>
          <w:i/>
        </w:rPr>
        <w:t>C. difficile</w:t>
      </w:r>
      <w:r>
        <w:rPr>
          <w:i/>
        </w:rPr>
        <w:t xml:space="preserve"> </w:t>
      </w:r>
      <w:r>
        <w:t xml:space="preserve">ClpP system, we overexpressed, purified and reconstituted the homomeric ClpP1 and ClpP2 complexes and assessed the activity of these proteases. </w:t>
      </w:r>
    </w:p>
    <w:p w14:paraId="550B7307" w14:textId="04DB3833" w:rsidR="00DA4CD2" w:rsidRPr="00D767D4" w:rsidRDefault="00DA4CD2" w:rsidP="00DA4CD2">
      <w:pPr>
        <w:ind w:firstLine="720"/>
        <w:jc w:val="both"/>
      </w:pPr>
      <w:r w:rsidRPr="00D767D4">
        <w:t>Caseinolytic protease P (ClpP) has emerged as a promising new target for antibacterial development. While ClpPs from single isoform expressing bacteria have been studied in detail, the function and regulation of systems with more than one ClpP homologue are still poorly understood. Herein, we present fundamental studies toward understanding the ClpP system in </w:t>
      </w:r>
      <w:r w:rsidR="00AB3480" w:rsidRPr="00AB3480">
        <w:rPr>
          <w:i/>
          <w:iCs/>
        </w:rPr>
        <w:t>C. difficile</w:t>
      </w:r>
      <w:r w:rsidRPr="00D767D4">
        <w:t xml:space="preserve">, an anaerobic spore-forming pathogen that contains two chromosomally distant isoforms of ClpP. Examination of proteomic and </w:t>
      </w:r>
      <w:r w:rsidRPr="00D767D4">
        <w:lastRenderedPageBreak/>
        <w:t>genomic data suggest that ClpP1 is the primary isoform responsible for normal growth and virulence, but little is known about the function of ClpP2 or the context required for the formation of functional proteases. For the first time in a pathogenic bacterium, we demonstrate that both isoforms are capable of forming operative proteases. Interestingly, ClpP1 is the only homologue that possesses characteristic response to small molecule acyldepsipeptide</w:t>
      </w:r>
      <w:r w:rsidR="005B655A">
        <w:t xml:space="preserve"> (ADEP)</w:t>
      </w:r>
      <w:r w:rsidRPr="00D767D4">
        <w:t xml:space="preserve"> activation. On the contrary, both ClpP1 and ClpP2 respond to cochaperone activation to degrade an ssrA-tagged substrate. These observations indicate that ClpP2 is less susceptible to </w:t>
      </w:r>
      <w:r w:rsidR="005B655A">
        <w:t>ADEP</w:t>
      </w:r>
      <w:r w:rsidRPr="00D767D4">
        <w:t xml:space="preserve"> activation but retains the ability to interact with a known cochaperone. Homology models reveal no obvious characteristics that would allow one to predict less efficient </w:t>
      </w:r>
      <w:r w:rsidR="005B655A">
        <w:t>ADEP</w:t>
      </w:r>
      <w:r w:rsidRPr="00D767D4">
        <w:t xml:space="preserve"> binding. The reported findings establish the uniqueness of the ClpP system in </w:t>
      </w:r>
      <w:r w:rsidR="00AB3480" w:rsidRPr="00AB3480">
        <w:rPr>
          <w:i/>
          <w:iCs/>
        </w:rPr>
        <w:t>C. difficile</w:t>
      </w:r>
      <w:r w:rsidRPr="00D767D4">
        <w:t>, open new avenues of inquiry, and highlight the importance of more detailed structural, genetic, and biological characterization of the ClpP system in </w:t>
      </w:r>
      <w:r w:rsidR="00AB3480" w:rsidRPr="00AB3480">
        <w:rPr>
          <w:i/>
          <w:iCs/>
        </w:rPr>
        <w:t>C. difficile</w:t>
      </w:r>
      <w:r w:rsidRPr="00D767D4">
        <w:t>.</w:t>
      </w:r>
    </w:p>
    <w:p w14:paraId="3348B9F9" w14:textId="77777777" w:rsidR="00B8478A" w:rsidRPr="006818EE" w:rsidRDefault="00B506AD" w:rsidP="00B506AD">
      <w:pPr>
        <w:spacing w:line="240" w:lineRule="auto"/>
      </w:pPr>
      <w:r>
        <w:br w:type="page"/>
      </w:r>
    </w:p>
    <w:p w14:paraId="0813448D" w14:textId="65BC1354" w:rsidR="00B8478A" w:rsidRPr="0090150D" w:rsidRDefault="00B8478A" w:rsidP="004E7821">
      <w:pPr>
        <w:pStyle w:val="Heading2"/>
      </w:pPr>
      <w:bookmarkStart w:id="27" w:name="_Toc530397215"/>
      <w:bookmarkStart w:id="28" w:name="_Toc8392735"/>
      <w:r w:rsidRPr="0090150D">
        <w:lastRenderedPageBreak/>
        <w:t>2.</w:t>
      </w:r>
      <w:r w:rsidR="00C363D7">
        <w:t>3</w:t>
      </w:r>
      <w:r w:rsidRPr="0090150D">
        <w:t xml:space="preserve"> Results</w:t>
      </w:r>
      <w:bookmarkEnd w:id="27"/>
      <w:bookmarkEnd w:id="28"/>
    </w:p>
    <w:p w14:paraId="66398673" w14:textId="22060B98" w:rsidR="00B8478A" w:rsidRPr="00AE6C6D" w:rsidRDefault="00B8478A" w:rsidP="0012418F">
      <w:pPr>
        <w:pStyle w:val="Heading3"/>
      </w:pPr>
      <w:bookmarkStart w:id="29" w:name="_Toc8392736"/>
      <w:r w:rsidRPr="00AE6C6D">
        <w:t>2.</w:t>
      </w:r>
      <w:r w:rsidR="00C363D7">
        <w:t>3</w:t>
      </w:r>
      <w:r w:rsidRPr="00AE6C6D">
        <w:t>.1 Significantly higher transcript levels of clpP1 are observed in exponential and stationary growth phases.</w:t>
      </w:r>
      <w:bookmarkEnd w:id="29"/>
      <w:r w:rsidRPr="00AE6C6D">
        <w:t xml:space="preserve"> </w:t>
      </w:r>
    </w:p>
    <w:p w14:paraId="47E7D094" w14:textId="24DB9A23" w:rsidR="001F36AF" w:rsidRPr="006818EE" w:rsidRDefault="001F36AF" w:rsidP="00677A23">
      <w:pPr>
        <w:ind w:firstLine="720"/>
        <w:jc w:val="both"/>
      </w:pPr>
      <w:r w:rsidRPr="006818EE">
        <w:t xml:space="preserve">To determine the expression profile of </w:t>
      </w:r>
      <w:r w:rsidRPr="006818EE">
        <w:rPr>
          <w:i/>
        </w:rPr>
        <w:t xml:space="preserve">clpP1 </w:t>
      </w:r>
      <w:r w:rsidRPr="006818EE">
        <w:t xml:space="preserve">and </w:t>
      </w:r>
      <w:r w:rsidRPr="006818EE">
        <w:rPr>
          <w:i/>
        </w:rPr>
        <w:t>clpP2</w:t>
      </w:r>
      <w:r w:rsidRPr="006818EE">
        <w:t xml:space="preserve"> during exponential and stationary growth phases, we quantified transcript levels utilizing quantitative reverse-transcriptase polymerase chain reaction (qRT-PCR). Total RNA extracts were isolated from </w:t>
      </w:r>
      <w:r w:rsidR="00AB3480" w:rsidRPr="00AB3480">
        <w:rPr>
          <w:i/>
          <w:iCs/>
        </w:rPr>
        <w:t>C. difficile</w:t>
      </w:r>
      <w:r w:rsidRPr="006818EE">
        <w:t xml:space="preserve"> 630 cells in biological triplicate from both exponential (OD</w:t>
      </w:r>
      <w:r w:rsidRPr="006818EE">
        <w:rPr>
          <w:vertAlign w:val="subscript"/>
        </w:rPr>
        <w:t xml:space="preserve">600 </w:t>
      </w:r>
      <w:r w:rsidRPr="006818EE">
        <w:t>= 0.6) and stationary (OD</w:t>
      </w:r>
      <w:r w:rsidRPr="006818EE">
        <w:rPr>
          <w:vertAlign w:val="subscript"/>
        </w:rPr>
        <w:t>600</w:t>
      </w:r>
      <w:r w:rsidRPr="006818EE">
        <w:t xml:space="preserve"> = 1.2) growth populations in Brain heart infusion-supplemented (BHIS) media. As shown in </w:t>
      </w:r>
      <w:r w:rsidRPr="006818EE">
        <w:rPr>
          <w:b/>
        </w:rPr>
        <w:t xml:space="preserve">Figure 2.2 </w:t>
      </w:r>
      <w:r w:rsidRPr="006818EE">
        <w:t>(Ct values,</w:t>
      </w:r>
      <w:r w:rsidRPr="006818EE">
        <w:rPr>
          <w:b/>
        </w:rPr>
        <w:t xml:space="preserve"> </w:t>
      </w:r>
      <w:r w:rsidR="00677A23">
        <w:rPr>
          <w:b/>
        </w:rPr>
        <w:t>Table A.2</w:t>
      </w:r>
      <w:r w:rsidRPr="006818EE">
        <w:t xml:space="preserve">), </w:t>
      </w:r>
      <w:r w:rsidRPr="006818EE">
        <w:rPr>
          <w:i/>
          <w:iCs/>
        </w:rPr>
        <w:t>clpP1</w:t>
      </w:r>
      <w:r w:rsidRPr="006818EE">
        <w:t xml:space="preserve"> and </w:t>
      </w:r>
      <w:r w:rsidRPr="006818EE">
        <w:rPr>
          <w:i/>
        </w:rPr>
        <w:t xml:space="preserve">clpP2 </w:t>
      </w:r>
      <w:r w:rsidRPr="006818EE">
        <w:t xml:space="preserve">transcripts were detected during both phases of growth, albeit with </w:t>
      </w:r>
      <w:r w:rsidRPr="006818EE">
        <w:rPr>
          <w:i/>
        </w:rPr>
        <w:t xml:space="preserve">clpP2 </w:t>
      </w:r>
      <w:r w:rsidRPr="006818EE">
        <w:t xml:space="preserve">transcripts significantly less prevalent than </w:t>
      </w:r>
      <w:r w:rsidRPr="006818EE">
        <w:rPr>
          <w:i/>
        </w:rPr>
        <w:t>clpP1</w:t>
      </w:r>
      <w:r w:rsidRPr="006818EE">
        <w:t xml:space="preserve">. </w:t>
      </w:r>
    </w:p>
    <w:p w14:paraId="23399FB3" w14:textId="67316572" w:rsidR="001F36AF" w:rsidRPr="006818EE" w:rsidRDefault="001F36AF" w:rsidP="00677A23">
      <w:pPr>
        <w:ind w:firstLine="720"/>
        <w:jc w:val="both"/>
        <w:rPr>
          <w:i/>
        </w:rPr>
      </w:pPr>
      <w:r w:rsidRPr="006818EE">
        <w:t xml:space="preserve">The observed difference in relative mRNA expression levels, paired with previously reported proteomic and transcriptomic data, suggests that </w:t>
      </w:r>
      <w:r w:rsidRPr="006818EE">
        <w:rPr>
          <w:i/>
        </w:rPr>
        <w:t xml:space="preserve">clpP1 </w:t>
      </w:r>
      <w:r w:rsidRPr="006818EE">
        <w:t xml:space="preserve">is the major contributor to homeostasis in </w:t>
      </w:r>
      <w:r w:rsidR="00AB3480" w:rsidRPr="00AB3480">
        <w:rPr>
          <w:i/>
        </w:rPr>
        <w:t>C. difficile</w:t>
      </w:r>
      <w:r w:rsidRPr="006818EE">
        <w:rPr>
          <w:i/>
        </w:rPr>
        <w:t xml:space="preserve">. </w:t>
      </w:r>
      <w:r w:rsidRPr="006818EE">
        <w:t xml:space="preserve">The detection of </w:t>
      </w:r>
      <w:r w:rsidRPr="006818EE">
        <w:rPr>
          <w:i/>
        </w:rPr>
        <w:t xml:space="preserve">clpP2, </w:t>
      </w:r>
      <w:r w:rsidRPr="006818EE">
        <w:t xml:space="preserve">albeit at a much lower transcript level, indicates that </w:t>
      </w:r>
      <w:r w:rsidRPr="006818EE">
        <w:rPr>
          <w:i/>
        </w:rPr>
        <w:t>clpP2</w:t>
      </w:r>
      <w:r w:rsidRPr="006818EE">
        <w:t xml:space="preserve"> likely carries some function within the organism, but is likely not tied to a large role in general homeostasis. While this speculation is not particularly ground-breaking, it does demonstrate that </w:t>
      </w:r>
      <w:r w:rsidRPr="006818EE">
        <w:rPr>
          <w:i/>
        </w:rPr>
        <w:t>clpP2</w:t>
      </w:r>
      <w:r w:rsidRPr="006818EE">
        <w:t xml:space="preserve"> is transcribed in both phases, a detail that is not obvious from studies described previously. The disparity in transcript levels adds confidence to our original hypothesis that unlike other pathogens investigated to date, ClpP isoforms in </w:t>
      </w:r>
      <w:r w:rsidR="00AB3480" w:rsidRPr="00AB3480">
        <w:rPr>
          <w:i/>
        </w:rPr>
        <w:t>C. difficile</w:t>
      </w:r>
      <w:r w:rsidRPr="006818EE">
        <w:rPr>
          <w:i/>
        </w:rPr>
        <w:t xml:space="preserve"> </w:t>
      </w:r>
      <w:r w:rsidRPr="006818EE">
        <w:t xml:space="preserve">are capable of uncoupled activity and are responsible for disparate biological roles. The </w:t>
      </w:r>
      <w:r w:rsidR="005B655A">
        <w:t>q</w:t>
      </w:r>
      <w:r w:rsidRPr="006818EE">
        <w:t>RT</w:t>
      </w:r>
      <w:r w:rsidR="005B655A">
        <w:t>-</w:t>
      </w:r>
      <w:r w:rsidRPr="006818EE">
        <w:t xml:space="preserve">PCR results compelled us to investigate the oligomerization behavior and catalytic profile of reconstituted ClpP1 and ClpP2. </w:t>
      </w:r>
    </w:p>
    <w:p w14:paraId="74B05903" w14:textId="77777777" w:rsidR="00B8478A" w:rsidRPr="006818EE" w:rsidRDefault="001A3FA6" w:rsidP="003F1CCD">
      <w:pPr>
        <w:jc w:val="center"/>
        <w:rPr>
          <w:b/>
          <w:bCs/>
          <w:szCs w:val="28"/>
        </w:rPr>
      </w:pPr>
      <w:r w:rsidRPr="008D43DB">
        <w:rPr>
          <w:b/>
          <w:noProof/>
          <w:szCs w:val="28"/>
        </w:rPr>
        <w:lastRenderedPageBreak/>
        <w:drawing>
          <wp:inline distT="0" distB="0" distL="0" distR="0" wp14:anchorId="789055F7" wp14:editId="543ED100">
            <wp:extent cx="4528820" cy="2463800"/>
            <wp:effectExtent l="0" t="0" r="0" b="0"/>
            <wp:docPr id="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8820" cy="2463800"/>
                    </a:xfrm>
                    <a:prstGeom prst="rect">
                      <a:avLst/>
                    </a:prstGeom>
                    <a:noFill/>
                    <a:ln>
                      <a:noFill/>
                    </a:ln>
                  </pic:spPr>
                </pic:pic>
              </a:graphicData>
            </a:graphic>
          </wp:inline>
        </w:drawing>
      </w:r>
    </w:p>
    <w:p w14:paraId="2C53B0C4" w14:textId="77777777" w:rsidR="00141BAC" w:rsidRDefault="00B8478A" w:rsidP="00141BAC">
      <w:pPr>
        <w:spacing w:line="240" w:lineRule="auto"/>
        <w:contextualSpacing/>
        <w:jc w:val="both"/>
        <w:rPr>
          <w:color w:val="000000"/>
        </w:rPr>
      </w:pPr>
      <w:r w:rsidRPr="006818EE">
        <w:rPr>
          <w:b/>
        </w:rPr>
        <w:t>Figure 2.</w:t>
      </w:r>
      <w:r w:rsidR="00141BAC">
        <w:rPr>
          <w:b/>
        </w:rPr>
        <w:t>2</w:t>
      </w:r>
      <w:r w:rsidRPr="006818EE">
        <w:rPr>
          <w:b/>
        </w:rPr>
        <w:t xml:space="preserve"> </w:t>
      </w:r>
      <w:r w:rsidRPr="006818EE">
        <w:rPr>
          <w:b/>
          <w:color w:val="000000"/>
        </w:rPr>
        <w:t>Relative quantification of </w:t>
      </w:r>
      <w:r w:rsidRPr="006818EE">
        <w:rPr>
          <w:b/>
          <w:i/>
          <w:iCs/>
          <w:color w:val="000000"/>
        </w:rPr>
        <w:t>clpP1 </w:t>
      </w:r>
      <w:r w:rsidRPr="006818EE">
        <w:rPr>
          <w:b/>
          <w:color w:val="000000"/>
        </w:rPr>
        <w:t>and </w:t>
      </w:r>
      <w:r w:rsidRPr="006818EE">
        <w:rPr>
          <w:b/>
          <w:i/>
          <w:iCs/>
          <w:color w:val="000000"/>
        </w:rPr>
        <w:t>clpP2 </w:t>
      </w:r>
      <w:r w:rsidRPr="006818EE">
        <w:rPr>
          <w:b/>
          <w:iCs/>
          <w:color w:val="000000"/>
        </w:rPr>
        <w:t xml:space="preserve">mRNA expression </w:t>
      </w:r>
      <w:r w:rsidRPr="006818EE">
        <w:rPr>
          <w:b/>
          <w:color w:val="000000"/>
        </w:rPr>
        <w:t>during exponential and stationary growth phases in BHIS broth.</w:t>
      </w:r>
      <w:r w:rsidRPr="006818EE">
        <w:rPr>
          <w:color w:val="000000"/>
        </w:rPr>
        <w:t xml:space="preserve"> </w:t>
      </w:r>
    </w:p>
    <w:p w14:paraId="21B11F9A" w14:textId="77777777" w:rsidR="00B8478A" w:rsidRDefault="00B8478A" w:rsidP="00141BAC">
      <w:pPr>
        <w:spacing w:line="240" w:lineRule="auto"/>
        <w:contextualSpacing/>
        <w:jc w:val="both"/>
        <w:rPr>
          <w:color w:val="000000"/>
        </w:rPr>
      </w:pPr>
      <w:r w:rsidRPr="006818EE">
        <w:rPr>
          <w:color w:val="000000"/>
        </w:rPr>
        <w:t>Transcript levels were normalized to the reference gene </w:t>
      </w:r>
      <w:r w:rsidRPr="006818EE">
        <w:rPr>
          <w:i/>
          <w:iCs/>
          <w:color w:val="000000"/>
        </w:rPr>
        <w:t>rpoB,</w:t>
      </w:r>
      <w:r w:rsidRPr="006818EE">
        <w:rPr>
          <w:color w:val="000000"/>
        </w:rPr>
        <w:t xml:space="preserve"> with </w:t>
      </w:r>
      <w:r w:rsidRPr="006818EE">
        <w:rPr>
          <w:i/>
          <w:iCs/>
          <w:color w:val="000000"/>
        </w:rPr>
        <w:t xml:space="preserve">clpP2 </w:t>
      </w:r>
      <w:r w:rsidRPr="006818EE">
        <w:rPr>
          <w:color w:val="000000"/>
        </w:rPr>
        <w:t>transcript level reported relative to </w:t>
      </w:r>
      <w:r w:rsidRPr="006818EE">
        <w:rPr>
          <w:i/>
          <w:iCs/>
          <w:color w:val="000000"/>
        </w:rPr>
        <w:t>clpP1</w:t>
      </w:r>
      <w:r w:rsidRPr="006818EE">
        <w:rPr>
          <w:color w:val="000000"/>
        </w:rPr>
        <w:t>. The resulting data was analyzed via multiple comparison Two-way ANOVA and corrected by the Sidak method. ****, P ≤ 0.0001</w:t>
      </w:r>
    </w:p>
    <w:p w14:paraId="23162CF7" w14:textId="77777777" w:rsidR="00937009" w:rsidRPr="00937009" w:rsidRDefault="00937009" w:rsidP="00937009">
      <w:pPr>
        <w:spacing w:line="240" w:lineRule="auto"/>
        <w:contextualSpacing/>
        <w:rPr>
          <w:color w:val="000000"/>
        </w:rPr>
      </w:pPr>
    </w:p>
    <w:p w14:paraId="24C7C74A" w14:textId="2034CE9C" w:rsidR="00B8478A" w:rsidRPr="00937009" w:rsidRDefault="00B8478A" w:rsidP="0012418F">
      <w:pPr>
        <w:pStyle w:val="Heading3"/>
      </w:pPr>
      <w:bookmarkStart w:id="30" w:name="_Toc8392737"/>
      <w:r w:rsidRPr="00937009">
        <w:t>2.</w:t>
      </w:r>
      <w:r w:rsidR="00C363D7">
        <w:t>3</w:t>
      </w:r>
      <w:r w:rsidRPr="00937009">
        <w:t>.</w:t>
      </w:r>
      <w:r w:rsidR="00AE6C6D">
        <w:t>2</w:t>
      </w:r>
      <w:r w:rsidRPr="00937009">
        <w:t xml:space="preserve"> ClpP1 and ClpP2 share highly conserved sequence homologies and retain key structural motifs.</w:t>
      </w:r>
      <w:bookmarkEnd w:id="30"/>
    </w:p>
    <w:p w14:paraId="1F352745" w14:textId="38B28DC2" w:rsidR="00B8478A" w:rsidRPr="006818EE" w:rsidRDefault="001F36AF" w:rsidP="00365766">
      <w:pPr>
        <w:ind w:firstLine="720"/>
        <w:jc w:val="both"/>
      </w:pPr>
      <w:r w:rsidRPr="006818EE">
        <w:t>Within the last 5 years, elegant biophysical studies have revealed ClpP operation to be governed by inter- and intramolecular conformational switches that propagate regulation signals through the comple</w:t>
      </w:r>
      <w:r>
        <w:t>x.</w:t>
      </w:r>
      <w:r>
        <w:fldChar w:fldCharType="begin"/>
      </w:r>
      <w:r>
        <w:instrText>ADDIN F1000_CSL_CITATION&lt;~#@#~&gt;[{"DOI":"10.1073/pnas.1219125110","First":false,"Last":false,"PMCID":"PMC3710848","PMID":"23798410","abstract":"Caseinolytic proteases (ClpPs) are large oligomeric protein complexes that contribute to cell homeostasis as well as virulence regulation in bacteria. Although most organisms possess a single ClpP protein, some organisms encode two or more ClpP isoforms. Here, we elucidated the crystal structures of ClpP1 and ClpP2 from pathogenic Listeria monocytogenes and observe an unprecedented regulation principle by the catalytic triad. Whereas L. monocytogenes (Lm)ClpP2 is both structurally and functionally similar to previously studied tetradecameric ClpP proteins from Escherichia coli and Staphylococcus aureus, heptameric LmClpP1 features an asparagine in its catalytic triad. Mutation of this asparagine to aspartate increased the reactivity of the active site and led to the assembly of a tetradecameric complex. We analyzed the heterooligomeric complex of LmClpP1 and LmClpP2 via coexpression and subsequent labeling studies with natural product-derived probes. Notably, the LmClpP1 peptidase activity is stimulated 75-fold in the complex providing insights into heterooligomerization as a regulatory mechanism. Collectively, our data point toward different preferences for substrates and inhibitors of the two ClpP enzymes and highlight their structural and functional characteristics. ","author":[{"family":"Zeiler","given":"Evelyn"},{"family":"List","given":"Anja"},{"family":"Alte","given":"Ferdinand"},{"family":"Gersch","given":"Malte"},{"family":"Wachtel","given":"Rudolf"},{"family":"Poreba","given":"Marcin"},{"family":"Drag","given":"Marcin"},{"family":"Groll","given":"Michael"},{"family":"Sieber","given":"Stephan A"}],"authorYearDisplayFormat":false,"citation-label":"6309271","container-title":"Proceedings of the National Academy of Sciences of the United States of America","container-title-short":"Proc Natl Acad Sci USA","id":"6309271","invisible":false,"issue":"28","issued":{"date-parts":[["2013","7","9"]]},"journalAbbreviation":"Proc Natl Acad Sci USA","page":"11302-11307","suppress-author":false,"title":"Structural and functional insights into caseinolytic proteases reveal an unprecedented regulation principle of their catalytic triad.","type":"article-journal","volume":"110"},{"DOI":"10.1074/jbc.M111.336222","First":false,"Last":false,"PMCID":"PMC3308785","PMID":"22291011","abstract":"The barrel-shaped caseinolytic protease P (ClpP) is a main virulence regulator in the bacterial pathogen Staphylococcus aureus (SaClpP). It consists of two heptameric rings forming a homotetradecamer with an inner chamber that houses the 14 active sites. We recently showed that SaClpP is able to adopt a compressed, inactive conformation. We present here the 2.3 Å resolution structure of SaClpP in its closed, active conformation as well as the structure of the S98A mutant. Comprehensive mutational analysis aiming at destabilizing one or the other or both conformations was able to pinpoint key residues involved in this catalytic switch and in the heptamer-heptamer interaction. By probing the active site serine with a covalently modifying β-lactone probe, we could show that the tetradecameric organization is essential for a proper formation of the active site. Structural data suggest that a highly conserved hydrogen-bonding network links oligomerization to activity. A comparison of ClpP structures from different organisms provides suggestive evidence for the presence of a universal mechanism regulating ClpP activity in which binding of one subunit to the corresponding subunit on the other ring interface is necessary for the functional assembly of the catalytic triad and thus for protease function. This mechanism ensures controlled access to the active sites of a highly unspecific protease.","author":[{"family":"Gersch","given":"Malte"},{"family":"List","given":"Anja"},{"family":"Groll","given":"Michael"},{"family":"Sieber","given":"Stephan A"}],"authorYearDisplayFormat":false,"citation-label":"5898237","container-title":"The Journal of Biological Chemistry","container-title-short":"J. Biol. Chem.","id":"5898237","invisible":false,"issue":"12","issued":{"date-parts":[["2012","3","16"]]},"journalAbbreviation":"J. Biol. Chem.","page":"9484-9494","suppress-author":false,"title":"Insights into structural network responsible for oligomerization and activity of bacterial virulence regulator caseinolytic protease P (ClpP) protein.","type":"article-journal","volume":"287"},{"DOI":"10.1021/acschembio.6b00390","First":false,"Last":false,"PMID":"27171654","abstract":"ATP-dependent Clp protease (ClpP), a highly conserved serine protease in vast bacteria, could be converted into a noncontrollable enzyme capable of degrading mature proteins in the presence of acyldepsipeptides (ADEPs). Here, we design such a gain-of-function mutant of Staphylococcus aureus ClpP (SaClpP) capable of triggering the same level of dysfunctional activity that occurs upon ADEPs treatment. The SaClpPY63A mutant degrades FtsZ in vivo and inhibits staphylococcal growth. The crystal structure of SaClpPY63A indicates that Asn42 would be an important domino to fall for further activation of ClpP. Indeed, the SaClpPN42AY63A mutant demonstrates promoted self-activated proteolysis, which is a result of an enlarged entrance pore as observed in cryo-electron microscopy images. In addition, the expression of the engineered clpP allele phenocopies treatment with ADEPs; inhibition of cell division occurs as does showing sterilizing with rifampicin antibiotics. Collectively, we show that the gain-of-function SaClpPN42AY63A mutant becomes a fairly nonspecific protease and kills persisters by degrading over 500 proteins, thus providing new insights into the structure of the ClpP protease.","author":[{"family":"Ni","given":"Tengfeng"},{"family":"Ye","given":"Fei"},{"family":"Liu","given":"Xing"},{"family":"Zhang","given":"Jie"},{"family":"Liu","given":"Hongchuan"},{"family":"Li","given":"Jiahui"},{"family":"Zhang","given":"Yingyi"},{"family":"Sun","given":"Yinqiang"},{"family":"Wang","given":"Meining"},{"family":"Luo","given":"Cheng"},{"family":"Jiang","given":"Hualiang"},{"family":"Lan","given":"Lefu"},{"family":"Gan","given":"Jianhua"},{"family":"Zhang","given":"Ao"},{"family":"Zhou","given":"Hu"},{"family":"Yang","given":"Cai-Guang"}],"authorYearDisplayFormat":false,"citation-label":"6788086","container-title":"ACS Chemical Biology","container-title-short":"ACS Chem. Biol.","id":"6788086","invisible":false,"issue":"7","issued":{"date-parts":[["2016","7","15"]]},"journalAbbreviation":"ACS Chem. Biol.","page":"1964-1972","suppress-author":false,"title":"Characterization of Gain-of-Function Mutant Provides New Insights into ClpP Structure.","type":"article-journal","volume":"11"},{"DOI":"10.1016/j.cbpa.2017.08.007","First":false,"Last":false,"PMID":"28910721","abstract":"Maintaining the cellular protein homeostasis means managing life on the brink of death. This balance is largely based on precise fine-tuning of enzyme activities. For instance, the ClpP protease possesses several conformational switches which are fundamental to regulating its activity. Efforts have focused on revealing the structural basis of ClpP's conformational control. In the last decade, several amino acid clusters have been identified and functionally linked to specific activation states. Researchers have now begun to couple these hotspots to one another, uncovering a global network of residues that switch in response to internal and external stimuli. For these studies, they used small molecules to mimic intermolecular interactions and point-mutational studies to shortcut regulating amino acid circuits.&lt;br&gt;&lt;br&gt;Copyright © 2017 Elsevier Ltd. All rights reserved.","author":[{"family":"Stahl","given":"Matthias"},{"family":"Sieber","given":"Stephan A"}],"authorYearDisplayFormat":false,"citation-label":"6451401","container-title":"Current Opinion in Chemical Biology","container-title-short":"Curr. Opin. Chem. Biol.","id":"6451401","invisible":false,"issued":{"date-parts":[["2017","10"]]},"journalAbbreviation":"Curr. Opin. Chem. Biol.","page":"102-110","suppress-author":false,"title":"An amino acid domino effect orchestrates ClpP's conformational states.","type":"article-journal","volume":"40"}]</w:instrText>
      </w:r>
      <w:r>
        <w:fldChar w:fldCharType="separate"/>
      </w:r>
      <w:r w:rsidRPr="00614784">
        <w:rPr>
          <w:noProof/>
          <w:vertAlign w:val="superscript"/>
        </w:rPr>
        <w:t>8,23–25</w:t>
      </w:r>
      <w:r>
        <w:fldChar w:fldCharType="end"/>
      </w:r>
      <w:r w:rsidRPr="006818EE">
        <w:t xml:space="preserve"> The presence or absence of these hotspots may provide an indicator for how uncharacterized ClpP isoforms can be expected to function.  Therefore, to determine if critical motifs are conserved, we aligned the primary sequences of </w:t>
      </w:r>
      <w:r w:rsidR="00AB3480" w:rsidRPr="00AB3480">
        <w:rPr>
          <w:i/>
        </w:rPr>
        <w:t>C. difficile</w:t>
      </w:r>
      <w:r w:rsidRPr="006818EE">
        <w:rPr>
          <w:i/>
        </w:rPr>
        <w:t xml:space="preserve"> </w:t>
      </w:r>
      <w:r w:rsidRPr="006818EE">
        <w:t xml:space="preserve">ClpP1 and ClpP2 to </w:t>
      </w:r>
      <w:r w:rsidRPr="006818EE">
        <w:rPr>
          <w:i/>
        </w:rPr>
        <w:t xml:space="preserve">B. subtilis </w:t>
      </w:r>
      <w:r w:rsidRPr="006818EE">
        <w:t>ClpP (</w:t>
      </w:r>
      <w:r w:rsidRPr="006818EE">
        <w:rPr>
          <w:i/>
        </w:rPr>
        <w:t>Bs</w:t>
      </w:r>
      <w:r w:rsidRPr="006818EE">
        <w:t xml:space="preserve">Clp; identity: ClpP1-74% and ClpP2-63%), an evolutionarily related organism with a well-characterized ClpP homolog. As shown in </w:t>
      </w:r>
      <w:r w:rsidRPr="006818EE">
        <w:rPr>
          <w:b/>
        </w:rPr>
        <w:t>Figure 2.3</w:t>
      </w:r>
      <w:r w:rsidRPr="006818EE">
        <w:t xml:space="preserve">, the primary sequence alignment reveals that key hotspot regions, including the Ser-His-Asp catalytic triad, Tyr63 activation trigger, Asp(Glu)/Arg oligomerization sensor domains, and the Gly-rich heptamer dimerization domain, are highly conserved in both </w:t>
      </w:r>
      <w:r w:rsidR="00AB3480" w:rsidRPr="00AB3480">
        <w:rPr>
          <w:i/>
        </w:rPr>
        <w:t>C. difficile</w:t>
      </w:r>
      <w:r w:rsidRPr="006818EE">
        <w:rPr>
          <w:i/>
        </w:rPr>
        <w:t xml:space="preserve"> </w:t>
      </w:r>
      <w:r w:rsidRPr="006818EE">
        <w:t xml:space="preserve">ClpP isoforms. Although there seems to be significant </w:t>
      </w:r>
      <w:r w:rsidRPr="006818EE">
        <w:lastRenderedPageBreak/>
        <w:t>variation in the E-helix domain, a motif involved in heptamer dimerization to form the operative tetradecamer, there is no obvious evidence to suggest that either isoform would have difficulty oligomerizing or exhibiting stability in the tetradecameric form as a homomeric complex.</w:t>
      </w:r>
    </w:p>
    <w:p w14:paraId="55303D2F" w14:textId="77777777" w:rsidR="002F3553" w:rsidRDefault="00152AAE" w:rsidP="002F3553">
      <w:pPr>
        <w:keepNext/>
        <w:spacing w:line="240" w:lineRule="auto"/>
        <w:contextualSpacing/>
        <w:jc w:val="both"/>
      </w:pPr>
      <w:r w:rsidRPr="006818EE">
        <w:rPr>
          <w:noProof/>
        </w:rPr>
        <w:object w:dxaOrig="16039" w:dyaOrig="6031" w14:anchorId="4AEFDC8F">
          <v:shape id="_x0000_i1032" type="#_x0000_t75" alt="" style="width:426pt;height:156.75pt;mso-width-percent:0;mso-height-percent:0;mso-width-percent:0;mso-height-percent:0" o:ole="">
            <v:imagedata r:id="rId30" o:title=""/>
          </v:shape>
          <o:OLEObject Type="Embed" ProgID="ChemDraw.Document.6.0" ShapeID="_x0000_i1032" DrawAspect="Content" ObjectID="_1619005645" r:id="rId31"/>
        </w:object>
      </w:r>
    </w:p>
    <w:p w14:paraId="36A819FA" w14:textId="3B54E9B8" w:rsidR="002F3553" w:rsidRDefault="002F3553" w:rsidP="002F3553">
      <w:pPr>
        <w:pStyle w:val="Caption"/>
        <w:jc w:val="both"/>
      </w:pPr>
      <w:bookmarkStart w:id="31" w:name="_Toc5807399"/>
      <w:r>
        <w:t xml:space="preserve">Figure </w:t>
      </w:r>
      <w:r w:rsidR="00C93A93">
        <w:t>2.3</w:t>
      </w:r>
      <w:r>
        <w:rPr>
          <w:bCs w:val="0"/>
          <w:szCs w:val="24"/>
        </w:rPr>
        <w:t xml:space="preserve"> </w:t>
      </w:r>
      <w:r w:rsidR="00B8478A" w:rsidRPr="006818EE">
        <w:t xml:space="preserve">Primary sequence alignment of </w:t>
      </w:r>
      <w:r w:rsidR="00AB3480" w:rsidRPr="00AB3480">
        <w:rPr>
          <w:i/>
        </w:rPr>
        <w:t>C. difficile</w:t>
      </w:r>
      <w:r w:rsidR="00B8478A" w:rsidRPr="006818EE">
        <w:rPr>
          <w:i/>
        </w:rPr>
        <w:t xml:space="preserve"> </w:t>
      </w:r>
      <w:r w:rsidR="00B8478A" w:rsidRPr="006818EE">
        <w:t>ClpP isoforms (</w:t>
      </w:r>
      <w:r w:rsidR="00B8478A" w:rsidRPr="006818EE">
        <w:rPr>
          <w:i/>
        </w:rPr>
        <w:t>Cd</w:t>
      </w:r>
      <w:r w:rsidR="00B8478A" w:rsidRPr="006818EE">
        <w:t xml:space="preserve">ClpP1 and </w:t>
      </w:r>
      <w:r w:rsidR="00B8478A" w:rsidRPr="006818EE">
        <w:rPr>
          <w:i/>
        </w:rPr>
        <w:t>Cd</w:t>
      </w:r>
      <w:r w:rsidR="00B8478A" w:rsidRPr="006818EE">
        <w:t xml:space="preserve">ClpP2) and </w:t>
      </w:r>
      <w:r w:rsidR="00B8478A" w:rsidRPr="006818EE">
        <w:rPr>
          <w:i/>
        </w:rPr>
        <w:t xml:space="preserve">Bacillus subtilis </w:t>
      </w:r>
      <w:r w:rsidR="00B8478A" w:rsidRPr="006818EE">
        <w:t>ClpP (</w:t>
      </w:r>
      <w:r w:rsidR="00B8478A" w:rsidRPr="006818EE">
        <w:rPr>
          <w:i/>
        </w:rPr>
        <w:t>Bs</w:t>
      </w:r>
      <w:r w:rsidR="00B8478A" w:rsidRPr="006818EE">
        <w:t>ClpP).</w:t>
      </w:r>
      <w:bookmarkEnd w:id="31"/>
      <w:r w:rsidR="00B8478A" w:rsidRPr="006818EE">
        <w:t xml:space="preserve"> </w:t>
      </w:r>
    </w:p>
    <w:p w14:paraId="69F966DB" w14:textId="77777777" w:rsidR="00B8478A" w:rsidRDefault="00B8478A" w:rsidP="00937009">
      <w:pPr>
        <w:spacing w:line="240" w:lineRule="auto"/>
        <w:contextualSpacing/>
        <w:jc w:val="both"/>
      </w:pPr>
      <w:r w:rsidRPr="006818EE">
        <w:t xml:space="preserve">Alignment and graphic generated with Clustal Omega. Green circles indicate amino acids shown to interact with acyldepsipeptides in </w:t>
      </w:r>
      <w:r w:rsidRPr="006818EE">
        <w:rPr>
          <w:i/>
        </w:rPr>
        <w:t>B. subtilis</w:t>
      </w:r>
      <w:r w:rsidRPr="006818EE">
        <w:t>.</w:t>
      </w:r>
    </w:p>
    <w:p w14:paraId="1FEBD400" w14:textId="77777777" w:rsidR="00937009" w:rsidRPr="00937009" w:rsidRDefault="00937009" w:rsidP="00937009">
      <w:pPr>
        <w:spacing w:line="240" w:lineRule="auto"/>
        <w:contextualSpacing/>
        <w:jc w:val="both"/>
      </w:pPr>
    </w:p>
    <w:p w14:paraId="3530C1D1" w14:textId="4C74A5A9" w:rsidR="00B8478A" w:rsidRPr="00937009" w:rsidRDefault="00B8478A" w:rsidP="0012418F">
      <w:pPr>
        <w:pStyle w:val="Heading3"/>
      </w:pPr>
      <w:bookmarkStart w:id="32" w:name="_Toc8392738"/>
      <w:r w:rsidRPr="00937009">
        <w:t>2.</w:t>
      </w:r>
      <w:r w:rsidR="00C363D7">
        <w:t>3</w:t>
      </w:r>
      <w:r w:rsidRPr="00937009">
        <w:t>.</w:t>
      </w:r>
      <w:r w:rsidR="00AE6C6D">
        <w:t>3</w:t>
      </w:r>
      <w:r w:rsidRPr="00937009">
        <w:t xml:space="preserve"> ClpP1 forms a more stable tetradecameric complex.</w:t>
      </w:r>
      <w:bookmarkEnd w:id="32"/>
    </w:p>
    <w:p w14:paraId="2A884326" w14:textId="18F90ED0" w:rsidR="001F36AF" w:rsidRPr="006818EE" w:rsidRDefault="001F36AF" w:rsidP="001F36AF">
      <w:pPr>
        <w:ind w:firstLine="720"/>
        <w:jc w:val="both"/>
      </w:pPr>
      <w:r w:rsidRPr="006818EE">
        <w:t xml:space="preserve">Because ClpP1 and ClpP2 share high sequence identity (~72%) and retain key structural motifs, we hypothesized that both homologs would form active tetradecameric complexes capable of peptide/protein degradation. This however, cannot be assumed, as has been demonstrated by the </w:t>
      </w:r>
      <w:r w:rsidRPr="006818EE">
        <w:rPr>
          <w:i/>
        </w:rPr>
        <w:t>S. elongates, L. monocytogenes</w:t>
      </w:r>
      <w:r w:rsidRPr="006818EE">
        <w:t xml:space="preserve">, </w:t>
      </w:r>
      <w:r w:rsidRPr="006818EE">
        <w:rPr>
          <w:i/>
        </w:rPr>
        <w:t>P. aeruginosa</w:t>
      </w:r>
      <w:r w:rsidRPr="006818EE">
        <w:t xml:space="preserve">, and </w:t>
      </w:r>
      <w:r w:rsidRPr="006818EE">
        <w:rPr>
          <w:i/>
        </w:rPr>
        <w:t>M. tuberculosis</w:t>
      </w:r>
      <w:r w:rsidRPr="006818EE">
        <w:t xml:space="preserve"> studies. To begin the assessment of possible oligomeric configurations of </w:t>
      </w:r>
      <w:r w:rsidR="00AB3480" w:rsidRPr="00AB3480">
        <w:rPr>
          <w:i/>
        </w:rPr>
        <w:t>C. difficile</w:t>
      </w:r>
      <w:r w:rsidRPr="006818EE">
        <w:t xml:space="preserve"> ClpP1 and ClpP2, we separately expressed and purified each isoform to evaluate homogeneous-oligomeric reconstitution. Initially, </w:t>
      </w:r>
      <w:r w:rsidR="00AB3480" w:rsidRPr="00AB3480">
        <w:rPr>
          <w:i/>
        </w:rPr>
        <w:t>C. difficile</w:t>
      </w:r>
      <w:r w:rsidRPr="006818EE">
        <w:rPr>
          <w:i/>
        </w:rPr>
        <w:t xml:space="preserve"> </w:t>
      </w:r>
      <w:r w:rsidRPr="006818EE">
        <w:t xml:space="preserve">ClpP1 and ClpP2 were expressed with C-terminal 6x His-tags in </w:t>
      </w:r>
      <w:r w:rsidRPr="006818EE">
        <w:rPr>
          <w:i/>
          <w:iCs/>
        </w:rPr>
        <w:t xml:space="preserve">E. coli </w:t>
      </w:r>
      <w:r w:rsidRPr="006818EE">
        <w:t>Rosetta cells, and purified via affinity chromatography before size exclusion chromatography (SEC) was performed to buffer exchange and confirm oligomeric status.</w:t>
      </w:r>
    </w:p>
    <w:p w14:paraId="4884C293" w14:textId="7B278E89" w:rsidR="001F36AF" w:rsidRPr="006818EE" w:rsidRDefault="001F36AF" w:rsidP="001F36AF">
      <w:pPr>
        <w:ind w:firstLine="720"/>
        <w:jc w:val="both"/>
      </w:pPr>
      <w:r w:rsidRPr="006818EE">
        <w:lastRenderedPageBreak/>
        <w:t xml:space="preserve">Assessment of purified fractions by SDS-PAGE and SEC suggested pure, completely tetradecameric ClpP complexes Identity of ClpP1 and ClpP2 were confirmed by high-resolution electrospray mass spectrometry (HR-ESIMS) and peptide digest and sequencing experiments. To our surprise, however, </w:t>
      </w:r>
      <w:r w:rsidRPr="006818EE">
        <w:rPr>
          <w:i/>
          <w:iCs/>
        </w:rPr>
        <w:t>E. coli</w:t>
      </w:r>
      <w:r w:rsidRPr="006818EE">
        <w:t xml:space="preserve"> ClpP (</w:t>
      </w:r>
      <w:r w:rsidRPr="006818EE">
        <w:rPr>
          <w:i/>
          <w:iCs/>
        </w:rPr>
        <w:t>Ec</w:t>
      </w:r>
      <w:r w:rsidRPr="006818EE">
        <w:t xml:space="preserve">ClpP) was detected in ~10-30% relative abundance within our purified ClpP1 and ClpP2 preparations. We suspect that endogenous </w:t>
      </w:r>
      <w:r w:rsidRPr="006818EE">
        <w:rPr>
          <w:i/>
          <w:iCs/>
        </w:rPr>
        <w:t>Ec</w:t>
      </w:r>
      <w:r w:rsidRPr="006818EE">
        <w:t xml:space="preserve">ClpP from the expression cell line co-purified with the </w:t>
      </w:r>
      <w:r w:rsidR="00AB3480" w:rsidRPr="00AB3480">
        <w:rPr>
          <w:i/>
        </w:rPr>
        <w:t>C. difficile</w:t>
      </w:r>
      <w:r w:rsidRPr="006818EE">
        <w:t xml:space="preserve"> ClpPs and was incorporated into the isolated tetradecameric complex. Given the high sequence homology of </w:t>
      </w:r>
      <w:r w:rsidRPr="006818EE">
        <w:rPr>
          <w:i/>
        </w:rPr>
        <w:t>Ec</w:t>
      </w:r>
      <w:r w:rsidRPr="006818EE">
        <w:t xml:space="preserve">ClpP and </w:t>
      </w:r>
      <w:r w:rsidR="00AB3480" w:rsidRPr="00AB3480">
        <w:rPr>
          <w:i/>
        </w:rPr>
        <w:t>C. difficile</w:t>
      </w:r>
      <w:r w:rsidRPr="006818EE">
        <w:rPr>
          <w:i/>
        </w:rPr>
        <w:t xml:space="preserve"> </w:t>
      </w:r>
      <w:r w:rsidRPr="006818EE">
        <w:t xml:space="preserve">ClpPs, this seems plausible and should not be overlooked when reconstituting other complexes prepared from recombinant techniques. One might assume that such an impurity would be evident by SDS-PAGE analysis, however, no such contamination was evident in our experiments, probably due to very similar molecular weights and suboptimal protein loading concentrations and/or gel-gradients. Unless one is specifically looking for a host-ClpP band and varying experimental conditions in attempts to reveal this, it will not likely be evident in typical preparations. As such we suggest utilizing a variety of methods to verify a pure and monodisperse preparation. To ensure that subsequent biochemical evaluations of these complexes were not influenced by contaminating </w:t>
      </w:r>
      <w:r w:rsidRPr="006818EE">
        <w:rPr>
          <w:i/>
        </w:rPr>
        <w:t>Ec</w:t>
      </w:r>
      <w:r w:rsidRPr="006818EE">
        <w:t xml:space="preserve">ClpP, each </w:t>
      </w:r>
      <w:r w:rsidR="00AB3480" w:rsidRPr="00AB3480">
        <w:rPr>
          <w:i/>
          <w:iCs/>
        </w:rPr>
        <w:t>C. difficile</w:t>
      </w:r>
      <w:r w:rsidRPr="006818EE">
        <w:rPr>
          <w:i/>
          <w:iCs/>
        </w:rPr>
        <w:t xml:space="preserve"> </w:t>
      </w:r>
      <w:r w:rsidRPr="006818EE">
        <w:t xml:space="preserve">ClpP isoform was overexpressed and purified from cells lacking </w:t>
      </w:r>
      <w:r w:rsidRPr="006818EE">
        <w:rPr>
          <w:i/>
          <w:iCs/>
        </w:rPr>
        <w:t>Ec</w:t>
      </w:r>
      <w:r w:rsidRPr="006818EE">
        <w:t>ClpP (</w:t>
      </w:r>
      <w:r w:rsidRPr="006818EE">
        <w:sym w:font="Symbol" w:char="F044"/>
      </w:r>
      <w:r w:rsidRPr="006818EE">
        <w:rPr>
          <w:i/>
          <w:iCs/>
        </w:rPr>
        <w:t>Ec</w:t>
      </w:r>
      <w:r w:rsidRPr="006818EE">
        <w:t>ClpP, graciously provided by Dr. Robert Sauer’s group, MIT).</w:t>
      </w:r>
      <w:r>
        <w:fldChar w:fldCharType="begin"/>
      </w:r>
      <w:r>
        <w:instrText>ADDIN F1000_CSL_CITATION&lt;~#@#~&gt;[{"First":false,"Last":false,"PMID":"12941278","abstract":"Proteolytic machines powered by ATP hydrolysis bind proteins with specific peptide tags, denature these substrates, and translocate them into a sequestered compartment for degradation. To determine how ATP is used during individual reaction steps, we assayed ClpXP degradation of ssrA-tagged titin variants with different stabilities in native and denatured forms. The rate of ATP turnover was 4-fold slower during denaturation than translocation. Importantly, this reduced turnover rate was constant during denaturation of native variants with different stabilities, but total ATP consumption increased with substrate stability, suggesting an iterative application of a uniform, mechanical unfolding force. Destabilization of substrate structure near the degradation tag accelerated degradation and dramatically reduced ATP consumption, revealing an important role for local protein stability in resisting denaturation. The ability to denature more stable proteins simply by using more ATP endows ClpX with a robust unfolding activity required for its biological roles in degradation and complex disassembly.","author":[{"family":"Kenniston","given":"Jon A"},{"family":"Baker","given":"Tania A"},{"family":"Fernandez","given":"Julio M"},{"family":"Sauer","given":"Robert T"}],"authorYearDisplayFormat":false,"citation-label":"6788090","container-title":"Cell","container-title-short":"Cell","id":"6788090","invisible":false,"issue":"4","issued":{"date-parts":[["2003","8","22"]]},"journalAbbreviation":"Cell","page":"511-520","suppress-author":false,"title":"Linkage between ATP consumption and mechanical unfolding during the protein processing reactions of an AAA+ degradation machine.","type":"article-journal","volume":"114"}]</w:instrText>
      </w:r>
      <w:r>
        <w:fldChar w:fldCharType="separate"/>
      </w:r>
      <w:r w:rsidRPr="00614784">
        <w:rPr>
          <w:noProof/>
          <w:vertAlign w:val="superscript"/>
        </w:rPr>
        <w:t>26</w:t>
      </w:r>
      <w:r>
        <w:fldChar w:fldCharType="end"/>
      </w:r>
      <w:r w:rsidRPr="006818EE">
        <w:t xml:space="preserve"> Unless otherwise noted, all data presented herein utilizes </w:t>
      </w:r>
      <w:r w:rsidR="00AB3480" w:rsidRPr="00AB3480">
        <w:rPr>
          <w:i/>
        </w:rPr>
        <w:t>C. difficile</w:t>
      </w:r>
      <w:r w:rsidRPr="006818EE">
        <w:rPr>
          <w:i/>
        </w:rPr>
        <w:t xml:space="preserve"> </w:t>
      </w:r>
      <w:r w:rsidRPr="006818EE">
        <w:t xml:space="preserve">ClpP prepared from this </w:t>
      </w:r>
      <w:r w:rsidRPr="006818EE">
        <w:sym w:font="Symbol" w:char="F044"/>
      </w:r>
      <w:r w:rsidRPr="006818EE">
        <w:t xml:space="preserve">ClpP </w:t>
      </w:r>
      <w:r w:rsidRPr="006818EE">
        <w:rPr>
          <w:i/>
        </w:rPr>
        <w:t xml:space="preserve">E. coli </w:t>
      </w:r>
      <w:r w:rsidRPr="006818EE">
        <w:t>strain.</w:t>
      </w:r>
    </w:p>
    <w:p w14:paraId="28295CF7" w14:textId="41FD4A16" w:rsidR="001F36AF" w:rsidRPr="006818EE" w:rsidRDefault="001F36AF" w:rsidP="001F36AF">
      <w:pPr>
        <w:ind w:firstLine="720"/>
        <w:jc w:val="both"/>
      </w:pPr>
      <w:r w:rsidRPr="006818EE">
        <w:t>ClpP1 rapidly tetradecamerizes prior to SEC purification, as indicated by the single peak corresponding to the molecular weight of tetradecameric ClpP1. (</w:t>
      </w:r>
      <w:r w:rsidRPr="006818EE">
        <w:rPr>
          <w:b/>
        </w:rPr>
        <w:t>Figure 2.4A</w:t>
      </w:r>
      <w:r w:rsidRPr="006818EE">
        <w:t xml:space="preserve">). The heptameric ClpP1 oligomer was not observed over the course of multiple purifications. ClpP2, however, elutes as a mixture of oligomeric species. If, however, ClpP2 is allowed </w:t>
      </w:r>
      <w:r w:rsidRPr="006818EE">
        <w:lastRenderedPageBreak/>
        <w:t>to equilibrate ≥48 h, nearly complete oligomerization to the tetradecameric complex occurs (</w:t>
      </w:r>
      <w:r w:rsidRPr="006818EE">
        <w:rPr>
          <w:b/>
        </w:rPr>
        <w:t>Figure 2.4B</w:t>
      </w:r>
      <w:r w:rsidRPr="006818EE">
        <w:t>). HR-ESIMS confirmed the identity of both isoforms (</w:t>
      </w:r>
      <w:r>
        <w:rPr>
          <w:b/>
        </w:rPr>
        <w:t>Appendix A</w:t>
      </w:r>
      <w:r w:rsidR="00677A23">
        <w:rPr>
          <w:b/>
        </w:rPr>
        <w:t>.</w:t>
      </w:r>
      <w:r w:rsidR="00107746">
        <w:rPr>
          <w:b/>
        </w:rPr>
        <w:t>1</w:t>
      </w:r>
      <w:r w:rsidRPr="006818EE">
        <w:t xml:space="preserve">) and the absence of any contaminating </w:t>
      </w:r>
      <w:r w:rsidRPr="006818EE">
        <w:rPr>
          <w:i/>
        </w:rPr>
        <w:t>Ec</w:t>
      </w:r>
      <w:r w:rsidRPr="006818EE">
        <w:t>ClpP. Dynamic light scattering (DLS) experiments confirmed tetradecameric assembly for each isoform after purification (</w:t>
      </w:r>
      <w:r>
        <w:rPr>
          <w:b/>
        </w:rPr>
        <w:t>Appendix A</w:t>
      </w:r>
      <w:r w:rsidR="00107746">
        <w:rPr>
          <w:b/>
        </w:rPr>
        <w:t>.2</w:t>
      </w:r>
      <w:r w:rsidR="00431DD1">
        <w:rPr>
          <w:b/>
        </w:rPr>
        <w:t xml:space="preserve"> - </w:t>
      </w:r>
      <w:r w:rsidR="00107746">
        <w:rPr>
          <w:b/>
        </w:rPr>
        <w:t>A.3</w:t>
      </w:r>
      <w:r w:rsidRPr="006818EE">
        <w:t xml:space="preserve">). </w:t>
      </w:r>
      <w:bookmarkStart w:id="33" w:name="_Hlk528354039"/>
    </w:p>
    <w:bookmarkEnd w:id="33"/>
    <w:p w14:paraId="55E04838" w14:textId="0D2C3334" w:rsidR="002F3553" w:rsidRDefault="00152AAE" w:rsidP="002F3553">
      <w:pPr>
        <w:keepNext/>
      </w:pPr>
      <w:r w:rsidRPr="006818EE">
        <w:rPr>
          <w:noProof/>
        </w:rPr>
        <w:object w:dxaOrig="15460" w:dyaOrig="11041" w14:anchorId="73FC4389">
          <v:shape id="_x0000_i1031" type="#_x0000_t75" alt="" style="width:425.25pt;height:300.75pt;mso-width-percent:0;mso-height-percent:0;mso-width-percent:0;mso-height-percent:0" o:ole="">
            <v:imagedata r:id="rId32" o:title=""/>
          </v:shape>
          <o:OLEObject Type="Embed" ProgID="ChemDraw.Document.6.0" ShapeID="_x0000_i1031" DrawAspect="Content" ObjectID="_1619005646" r:id="rId33"/>
        </w:object>
      </w:r>
    </w:p>
    <w:p w14:paraId="183F7A0B" w14:textId="77777777" w:rsidR="002F3553" w:rsidRPr="002F3553" w:rsidRDefault="002F3553" w:rsidP="00246DD9">
      <w:pPr>
        <w:pStyle w:val="Caption"/>
        <w:jc w:val="both"/>
      </w:pPr>
      <w:bookmarkStart w:id="34" w:name="_Toc5807400"/>
      <w:r>
        <w:t xml:space="preserve">Figure </w:t>
      </w:r>
      <w:r w:rsidR="00C93A93">
        <w:t>2.4</w:t>
      </w:r>
      <w:r>
        <w:t xml:space="preserve"> </w:t>
      </w:r>
      <w:r w:rsidR="00B8478A" w:rsidRPr="006818EE">
        <w:t>Tetradecameric assembly and thermal stability of ClpP1 and ClpP2 homomeric complexes.</w:t>
      </w:r>
      <w:bookmarkEnd w:id="34"/>
      <w:r w:rsidR="00B8478A" w:rsidRPr="006818EE">
        <w:t xml:space="preserve"> </w:t>
      </w:r>
    </w:p>
    <w:p w14:paraId="5639A879" w14:textId="63927286" w:rsidR="00B8478A" w:rsidRDefault="00B8478A" w:rsidP="00937009">
      <w:pPr>
        <w:spacing w:line="240" w:lineRule="auto"/>
        <w:contextualSpacing/>
        <w:jc w:val="both"/>
      </w:pPr>
      <w:r w:rsidRPr="006818EE">
        <w:t xml:space="preserve">A) </w:t>
      </w:r>
      <w:r w:rsidR="00431DD1">
        <w:t>S</w:t>
      </w:r>
      <w:r w:rsidRPr="006818EE">
        <w:t xml:space="preserve">ize exclusion chromatograph of purified recombinant ClpP1 and ClpP2 following Ni-affinity purification. </w:t>
      </w:r>
      <w:r w:rsidRPr="006818EE">
        <w:rPr>
          <w:i/>
        </w:rPr>
        <w:t>Bs</w:t>
      </w:r>
      <w:r w:rsidRPr="006818EE">
        <w:t>ClpP is included for comparison. B)</w:t>
      </w:r>
      <w:r w:rsidRPr="006818EE">
        <w:rPr>
          <w:i/>
        </w:rPr>
        <w:t xml:space="preserve"> </w:t>
      </w:r>
      <w:r w:rsidRPr="006818EE">
        <w:t>time-dependent oligomerization of ClpP2. An aliquot of ClpP2 was injected onto a S</w:t>
      </w:r>
      <w:r w:rsidR="0012418F">
        <w:t>-</w:t>
      </w:r>
      <w:r w:rsidRPr="006818EE">
        <w:t>300 SEC (blue, solid), and again 14-days later (blue, dashed). C) and D) SYPRO Orange thermal shift analysis (TSA) of tetradecameric ClpP1 (C) and ClpP2 (D) in the presence and absence of varying concentrations of an ADEP activator.</w:t>
      </w:r>
    </w:p>
    <w:p w14:paraId="7D0117CC" w14:textId="77777777" w:rsidR="00937009" w:rsidRPr="006818EE" w:rsidRDefault="00937009" w:rsidP="00937009">
      <w:pPr>
        <w:spacing w:line="240" w:lineRule="auto"/>
        <w:contextualSpacing/>
        <w:jc w:val="both"/>
      </w:pPr>
    </w:p>
    <w:p w14:paraId="2DFAF841" w14:textId="77777777" w:rsidR="001F36AF" w:rsidRPr="006818EE" w:rsidRDefault="001F36AF" w:rsidP="001F36AF">
      <w:pPr>
        <w:ind w:firstLine="720"/>
        <w:jc w:val="both"/>
      </w:pPr>
      <w:r w:rsidRPr="006818EE">
        <w:t xml:space="preserve">To evaluate the relative stability of ClpP1 and ClpP2, both were exposed to thermal shift analysis (TSA). As shown in </w:t>
      </w:r>
      <w:r w:rsidRPr="006818EE">
        <w:rPr>
          <w:b/>
        </w:rPr>
        <w:t>Figure 2.4C</w:t>
      </w:r>
      <w:r w:rsidRPr="006818EE">
        <w:t>,</w:t>
      </w:r>
      <w:r w:rsidRPr="006818EE">
        <w:rPr>
          <w:b/>
        </w:rPr>
        <w:t xml:space="preserve"> </w:t>
      </w:r>
      <w:r w:rsidRPr="006818EE">
        <w:t>ClpP1 exhibits a T</w:t>
      </w:r>
      <w:r w:rsidRPr="006818EE">
        <w:rPr>
          <w:vertAlign w:val="subscript"/>
        </w:rPr>
        <w:t>m</w:t>
      </w:r>
      <w:r w:rsidRPr="006818EE">
        <w:t xml:space="preserve">=53.2 °C and thus is </w:t>
      </w:r>
      <w:r w:rsidRPr="006818EE">
        <w:lastRenderedPageBreak/>
        <w:t>significantly more stable to thermal denaturation than ClpP2 (T</w:t>
      </w:r>
      <w:r w:rsidRPr="006818EE">
        <w:rPr>
          <w:vertAlign w:val="subscript"/>
        </w:rPr>
        <w:t>m</w:t>
      </w:r>
      <w:r w:rsidRPr="006818EE">
        <w:t xml:space="preserve">=46.5 °C). Additionally, the presence of a synthetic acyldepsipeptide (100 </w:t>
      </w:r>
      <w:r w:rsidRPr="006818EE">
        <w:rPr>
          <w:rFonts w:ascii="Calibri" w:hAnsi="Calibri"/>
        </w:rPr>
        <w:t>µ</w:t>
      </w:r>
      <w:r w:rsidRPr="006818EE">
        <w:t xml:space="preserve">M, ADEP, </w:t>
      </w:r>
      <w:r w:rsidRPr="006818EE">
        <w:rPr>
          <w:b/>
        </w:rPr>
        <w:t>Figure 2.7A</w:t>
      </w:r>
      <w:r w:rsidRPr="006818EE">
        <w:t>) known to stabilize other ClpP homologs, results in stabilization of ClpP1 (ΔT</w:t>
      </w:r>
      <w:r w:rsidRPr="006818EE">
        <w:rPr>
          <w:vertAlign w:val="subscript"/>
        </w:rPr>
        <w:t>m</w:t>
      </w:r>
      <w:r w:rsidRPr="006818EE">
        <w:t xml:space="preserve"> = +11.2 °C, </w:t>
      </w:r>
      <w:r w:rsidRPr="006818EE">
        <w:rPr>
          <w:b/>
        </w:rPr>
        <w:t>Figure 2.4C</w:t>
      </w:r>
      <w:r w:rsidRPr="006818EE">
        <w:t>), but an apparent destabilization of ClpP2 (ΔT</w:t>
      </w:r>
      <w:r w:rsidRPr="006818EE">
        <w:rPr>
          <w:vertAlign w:val="subscript"/>
        </w:rPr>
        <w:t>m</w:t>
      </w:r>
      <w:r w:rsidRPr="006818EE">
        <w:t xml:space="preserve"> = -1.6 °C, </w:t>
      </w:r>
      <w:r w:rsidRPr="006818EE">
        <w:rPr>
          <w:b/>
        </w:rPr>
        <w:t>Figure 2.4D</w:t>
      </w:r>
      <w:r w:rsidRPr="006818EE">
        <w:t>). ADEP destabilization of tetradecameric ClpP complexes has been reported previously,</w:t>
      </w:r>
      <w:r>
        <w:fldChar w:fldCharType="begin"/>
      </w:r>
      <w:r>
        <w:instrText>ADDIN F1000_CSL_CITATION&lt;~#@#~&gt;[{"DOI":"10.1038/ncomms7320","First":false,"Last":false,"PMID":"25695750","abstract":"The Clp protease complex degrades a multitude of substrates, which are engaged by a AAA+ chaperone such as ClpX and subsequently digested by the dynamic, barrel-shaped ClpP protease. Acyldepsipeptides (ADEPs) are natural product-derived antibiotics that activate ClpP for chaperone-independent protein digestion. Here we show that both protein and small-molecule activators of ClpP allosterically control the ClpP barrel conformation. We dissect the catalytic mechanism with chemical probes and show that ADEP in addition to opening the axial pore directly stimulates ClpP activity through cooperative binding. ClpP activation thus reaches beyond active site accessibility and also involves conformational control of the catalytic residues. Moreover, we demonstrate that substoichiometric amounts of ADEP potently prevent binding of ClpX to ClpP and, at the same time, partially inhibit ClpP through conformational perturbance. Collectively, our results establish the hydrophobic binding pocket as a major conformational regulatory site with implications for both ClpXP proteolysis and ADEP-based anti-bacterial activity. ","author":[{"family":"Gersch","given":"Malte"},{"family":"Famulla","given":"Kirsten"},{"family":"Dahmen","given":"Maria"},{"family":"Göbl","given":"Christoph"},{"family":"Malik","given":"Imran"},{"family":"Richter","given":"Klaus"},{"family":"Korotkov","given":"Vadim S"},{"family":"Sass","given":"Peter"},{"family":"Rübsamen-Schaeff","given":"Helga"},{"family":"Madl","given":"Tobias"},{"family":"Brötz-Oesterhelt","given":"Heike"},{"family":"Sieber","given":"Stephan A"}],"authorYearDisplayFormat":false,"citation-label":"5898262","container-title":"Nature Communications","container-title-short":"Nat. Commun.","id":"5898262","invisible":false,"issued":{"date-parts":[["2015","2","19"]]},"journalAbbreviation":"Nat. Commun.","page":"6320","suppress-author":false,"title":"AAA+ chaperones and acyldepsipeptides activate the ClpP protease via conformational control.","type":"article-journal","volume":"6"}]</w:instrText>
      </w:r>
      <w:r>
        <w:fldChar w:fldCharType="separate"/>
      </w:r>
      <w:r w:rsidRPr="00614784">
        <w:rPr>
          <w:noProof/>
          <w:vertAlign w:val="superscript"/>
        </w:rPr>
        <w:t>27</w:t>
      </w:r>
      <w:r>
        <w:fldChar w:fldCharType="end"/>
      </w:r>
      <w:r w:rsidRPr="006818EE">
        <w:t xml:space="preserve"> and is attributed to substoichiometric occupation of ligand binding sites, which leads to disruption of the tetradecameric complex. These results hint at a rather drastic difference in ADEP interactions between the two isoforms. Nonetheless, both isoforms are capable of forming stable homotetradecamers, a feature only observed thus far in </w:t>
      </w:r>
      <w:r w:rsidRPr="006818EE">
        <w:rPr>
          <w:i/>
        </w:rPr>
        <w:t xml:space="preserve">M. tuberculosis </w:t>
      </w:r>
      <w:r w:rsidRPr="006818EE">
        <w:t>but has recently been disputed.</w:t>
      </w:r>
      <w:r>
        <w:fldChar w:fldCharType="begin"/>
      </w:r>
      <w:r>
        <w:instrText>ADDIN F1000_CSL_CITATION&lt;~#@#~&gt;[{"DOI":"10.1371/journal.pone.0125345","First":false,"Last":false,"PMCID":"PMC4416901","PMID":"25933022","abstract":"Clp chaperone-proteases are cylindrical complexes built from ATP-dependent chaperonerings that stack onto a proteolytic ClpP double-ring core to carry out substrate protein degradation.Interaction of the ClpP particle with the chaperone is mediated by an N-terminal loop and a hydrophobic surface patch on the ClpP ring surface. In contrast to E. coli, Myco bacterium tuberculosis harbors not only one but two ClpP protease subunits, ClpP1 and ClpP2,and a homo-heptameric ring of each assembles to form the ClpP1P2 double-ring core. Consequently,this hetero double-ring presents two different potential binding surfaces for the interaction with the chaperones ClpX and ClpC1. To investigate whether ClpX or ClpC1 might preferentially interact with one or the other double-ring face, we mutated the hydrophobicchaperone-interaction patch on either ClpP1 or ClpP2, generating ClpP1P2 particles that are defective in one of the two binding patches and thereby in their ability to interact with their chaperone partners. Using chaperone-mediated degradation of ssrA-tagged model substrates, we show that both Mycobacterium tuberculosis Clp chaperones require the intact interaction face of ClpP2 to support degradation, resulting in an asymmetric complex where chaperones only bind to the ClpP2 side of the proteolytic core. This sets the Clpproteases of Mycobacterium tuberculosis, and probably other Actinobacteria, apart from the well-studied E. coli system, where chaperones bind to both sides of the protease core,and it frees the ClpP1 interaction interface for putative new binding partners [corrected].","author":[{"family":"Leodolter","given":"Julia"},{"family":"Warweg","given":"Jannis"},{"family":"Weber-Ban","given":"Eilika"}],"authorYearDisplayFormat":false,"citation-label":"6788092","container-title":"Plos One","container-title-short":"PLoS ONE","id":"6788092","invisible":false,"issue":"5","issued":{"date-parts":[["2015","5","1"]]},"journalAbbreviation":"PLoS ONE","page":"e0125345","suppress-author":false,"title":"The Mycobacterium tuberculosis ClpP1P2 Protease Interacts Asymmetrically with Its ATPase Partners ClpX and ClpC1.","type":"article-journal","volume":"10"}]</w:instrText>
      </w:r>
      <w:r>
        <w:fldChar w:fldCharType="separate"/>
      </w:r>
      <w:r w:rsidRPr="00614784">
        <w:rPr>
          <w:noProof/>
          <w:vertAlign w:val="superscript"/>
        </w:rPr>
        <w:t>28</w:t>
      </w:r>
      <w:r>
        <w:fldChar w:fldCharType="end"/>
      </w:r>
      <w:r w:rsidRPr="006818EE">
        <w:t xml:space="preserve"> </w:t>
      </w:r>
    </w:p>
    <w:p w14:paraId="101294EE" w14:textId="6EA37898" w:rsidR="00B8478A" w:rsidRPr="00937009" w:rsidRDefault="00B8478A" w:rsidP="0012418F">
      <w:pPr>
        <w:pStyle w:val="Heading3"/>
      </w:pPr>
      <w:bookmarkStart w:id="35" w:name="_Toc8392739"/>
      <w:r w:rsidRPr="00937009">
        <w:t>2.</w:t>
      </w:r>
      <w:r w:rsidR="00C363D7">
        <w:t>3</w:t>
      </w:r>
      <w:r w:rsidRPr="00937009">
        <w:t>.</w:t>
      </w:r>
      <w:r w:rsidR="0012418F">
        <w:t>4</w:t>
      </w:r>
      <w:r w:rsidRPr="00937009">
        <w:t xml:space="preserve"> ClpP1 exhibits prototypical peptidolysis.</w:t>
      </w:r>
      <w:bookmarkEnd w:id="35"/>
      <w:r w:rsidRPr="00937009">
        <w:t xml:space="preserve"> </w:t>
      </w:r>
    </w:p>
    <w:p w14:paraId="33E83498" w14:textId="46F58EAB" w:rsidR="001F36AF" w:rsidRPr="006818EE" w:rsidRDefault="001F36AF" w:rsidP="001F36AF">
      <w:pPr>
        <w:ind w:firstLine="720"/>
        <w:jc w:val="both"/>
      </w:pPr>
      <w:r w:rsidRPr="006818EE">
        <w:t>When in an extended conformation, the catalytic triad of ClpP is aligned and capable of degrading small peptides (&lt;5–6 amino acids) without the requirement of a cochaperone or ATP.</w:t>
      </w:r>
      <w:r>
        <w:fldChar w:fldCharType="begin"/>
      </w:r>
      <w:r>
        <w:instrText>ADDIN F1000_CSL_CITATION&lt;~#@#~&gt;[{"First":false,"Last":false,"PMID":"2644253","abstract":"Protease Ti, a new ATP-dependent protease in Escherichia coli, degrades proteins and ATP in a linked process, but these two hydrolytic functions are catalyzed by distinct components of the enzyme. To clarify the enzyme's specificity and the role of ATP, a variety of fluorogenic peptides were tested as possible substrates for protease Ti or its two components. Protease Ti rapidly hydrolyzed N-succinyl(Suc)-Leu-Tyr-amidomethylcoumarin (AMC) (Km = 1.3 mM) which is not degraded by protease La, the other ATP-dependent protease in E. coli. Protease Ti also hydrolyzed, but slowly, Suc-Ala-Ala-Phe-AMC and Suc-Leu-Leu-Val-Tyr-AMC. However, it showed little or no activity against basic or other hydrophobic peptides, including ones degraded rapidly by protease La. Component P, which contains the serine-active site, by itself rapidly degrades the same peptides as the intact enzyme. Addition of component A, which contains the ATP-hydrolyzing site and is necessary for protein degradation, had little or no effect on peptide hydrolysis. N-Ethylmaleimide, which inactivates the ATPase, did not inhibit peptide hydrolysis. In addition, this peptide did not stimulate the ATPase activity of component A (unlike protein substrates). Thus, although the serine-active site on component P is unable to degrade proteins, it is fully functional against small peptides in the absence of ATP. At high concentrations, Suc-Leu-Tyr-AMC caused a complete inhibition of casein breakdown, and diisopropylfluorophosphate blocked similarly the hydrolysis of both protein and peptide substrates. Thus, both substrates seem to be hydrolyzed at the same active site on component P, and ATP hydrolysis by component A either unmasks or enlarges this proteolytic site such that large proteins can gain access to it.","author":[{"family":"Woo","given":"K M"},{"family":"Chung","given":"W J"},{"family":"Ha","given":"D B"},{"family":"Goldberg","given":"A L"},{"family":"Chung","given":"C H"}],"authorYearDisplayFormat":false,"citation-label":"6788093","container-title":"The Journal of Biological Chemistry","container-title-short":"J. Biol. Chem.","id":"6788093","invisible":false,"issue":"4","issued":{"date-parts":[["1989","2","5"]]},"journalAbbreviation":"J. Biol. Chem.","page":"2088-2091","suppress-author":false,"title":"Protease Ti from Escherichia coli requires ATP hydrolysis for protein breakdown but not for hydrolysis of small peptides.","type":"article-journal","volume":"264"}]</w:instrText>
      </w:r>
      <w:r>
        <w:fldChar w:fldCharType="separate"/>
      </w:r>
      <w:r w:rsidRPr="00614784">
        <w:rPr>
          <w:noProof/>
          <w:vertAlign w:val="superscript"/>
        </w:rPr>
        <w:t>29</w:t>
      </w:r>
      <w:r>
        <w:fldChar w:fldCharType="end"/>
      </w:r>
      <w:r w:rsidRPr="006818EE">
        <w:t xml:space="preserve"> As exemplified by studies on </w:t>
      </w:r>
      <w:r w:rsidRPr="006818EE">
        <w:rPr>
          <w:i/>
        </w:rPr>
        <w:t xml:space="preserve">M. tuberculosis </w:t>
      </w:r>
      <w:r w:rsidRPr="006818EE">
        <w:t>ClpP isoforms, formation of a stable tetradecamer does not signify catalytic competency. To determine whether or not the assembled homo-oligomeric ClpP1 and ClpP2 complexes exist in the extended confirmation and have active (i.e., aligned) catalytic triads, we evaluated the capability of each ClpP tetradecamer to degrade two fluorescently labeled peptides, Suc-Leu-Tyr-aminomethylcoumarin (dipeptide, SLY-AMC)</w:t>
      </w:r>
      <w:r>
        <w:fldChar w:fldCharType="begin"/>
      </w:r>
      <w:r>
        <w:instrText>ADDIN F1000_CSL_CITATION&lt;~#@#~&gt;[{"First":false,"Last":false,"PMID":"2644253","abstract":"Protease Ti, a new ATP-dependent protease in Escherichia coli, degrades proteins and ATP in a linked process, but these two hydrolytic functions are catalyzed by distinct components of the enzyme. To clarify the enzyme's specificity and the role of ATP, a variety of fluorogenic peptides were tested as possible substrates for protease Ti or its two components. Protease Ti rapidly hydrolyzed N-succinyl(Suc)-Leu-Tyr-amidomethylcoumarin (AMC) (Km = 1.3 mM) which is not degraded by protease La, the other ATP-dependent protease in E. coli. Protease Ti also hydrolyzed, but slowly, Suc-Ala-Ala-Phe-AMC and Suc-Leu-Leu-Val-Tyr-AMC. However, it showed little or no activity against basic or other hydrophobic peptides, including ones degraded rapidly by protease La. Component P, which contains the serine-active site, by itself rapidly degrades the same peptides as the intact enzyme. Addition of component A, which contains the ATP-hydrolyzing site and is necessary for protein degradation, had little or no effect on peptide hydrolysis. N-Ethylmaleimide, which inactivates the ATPase, did not inhibit peptide hydrolysis. In addition, this peptide did not stimulate the ATPase activity of component A (unlike protein substrates). Thus, although the serine-active site on component P is unable to degrade proteins, it is fully functional against small peptides in the absence of ATP. At high concentrations, Suc-Leu-Tyr-AMC caused a complete inhibition of casein breakdown, and diisopropylfluorophosphate blocked similarly the hydrolysis of both protein and peptide substrates. Thus, both substrates seem to be hydrolyzed at the same active site on component P, and ATP hydrolysis by component A either unmasks or enlarges this proteolytic site such that large proteins can gain access to it.","author":[{"family":"Woo","given":"K M"},{"family":"Chung","given":"W J"},{"family":"Ha","given":"D B"},{"family":"Goldberg","given":"A L"},{"family":"Chung","given":"C H"}],"authorYearDisplayFormat":false,"citation-label":"6788093","container-title":"The Journal of Biological Chemistry","container-title-short":"J. Biol. Chem.","id":"6788093","invisible":false,"issue":"4","issued":{"date-parts":[["1989","2","5"]]},"journalAbbreviation":"J. Biol. Chem.","page":"2088-2091","suppress-author":false,"title":"Protease Ti from Escherichia coli requires ATP hydrolysis for protein breakdown but not for hydrolysis of small peptides.","type":"article-journal","volume":"264"}]</w:instrText>
      </w:r>
      <w:r>
        <w:fldChar w:fldCharType="separate"/>
      </w:r>
      <w:r w:rsidRPr="00614784">
        <w:rPr>
          <w:noProof/>
          <w:vertAlign w:val="superscript"/>
        </w:rPr>
        <w:t>29</w:t>
      </w:r>
      <w:r>
        <w:fldChar w:fldCharType="end"/>
      </w:r>
      <w:r w:rsidRPr="006818EE">
        <w:t xml:space="preserve"> and Z-Gly-Gly-Leu-AMC (tripeptide, Z-GGL-AMC).</w:t>
      </w:r>
      <w:r>
        <w:fldChar w:fldCharType="begin"/>
      </w:r>
      <w:r>
        <w:instrText>ADDIN F1000_CSL_CITATION&lt;~#@#~&gt;[{"DOI":"10.1038/emboj.2012.5","First":false,"Last":false,"PMCID":"PMC3321190","PMID":"22286948","abstract":"Mycobacterium tuberculosis (Mtb) contains two clpP genes, both of which are essential for viability. We expressed and purified Mtb ClpP1 and ClpP2 separately. Although each formed a tetradecameric structure and was processed, they lacked proteolytic activity. We could, however, reconstitute an active, mixed ClpP1P2 complex after identifying N-blocked dipeptides that stimulate dramatically (&gt;1000-fold) ClpP1P2 activity against certain peptides and proteins. These activators function cooperatively to induce the dissociation of ClpP1 and ClpP2 tetradecamers into heptameric rings, which then re-associate to form the active ClpP1P2 2-ring mixed complex. No analogous small molecule-induced enzyme activation mechanism involving dissociation and re-association of multimeric rings has been described. ClpP1P2 possesses chymotrypsin and caspase-like activities, and ClpP1 and ClpP2 differ in cleavage preferences. The regulatory ATPase ClpC1 was purified and shown to increase hydrolysis of proteins by ClpP1P2, but not peptides. ClpC1 did not activate ClpP1 or ClpP2 homotetradecamers and stimulated ClpP1P2 only when both ATP and a dipeptide activator were present. ClpP1P2 activity, its unusual activation mechanism and ClpC1 ATPase represent attractive drug targets to combat tuberculosis.","author":[{"family":"Akopian","given":"Tatos"},{"family":"Kandror","given":"Olga"},{"family":"Raju","given":"Ravikiran M"},{"family":"Unnikrishnan","given":"Meera"},{"family":"Rubin","given":"Eric J"},{"family":"Goldberg","given":"Alfred L"}],"authorYearDisplayFormat":false,"citation-label":"5898155","container-title":"The EMBO Journal","container-title-short":"EMBO J.","id":"5898155","invisible":false,"issue":"6","issued":{"date-parts":[["2012","3","21"]]},"journalAbbreviation":"EMBO J.","page":"1529-1541","suppress-author":false,"title":"The active ClpP protease from M. tuberculosis is a complex composed of a heptameric ClpP1 and a ClpP2 ring.","type":"article-journal","volume":"31"}]</w:instrText>
      </w:r>
      <w:r>
        <w:fldChar w:fldCharType="separate"/>
      </w:r>
      <w:r w:rsidRPr="00614784">
        <w:rPr>
          <w:noProof/>
          <w:vertAlign w:val="superscript"/>
        </w:rPr>
        <w:t>11</w:t>
      </w:r>
      <w:r>
        <w:fldChar w:fldCharType="end"/>
      </w:r>
      <w:r w:rsidRPr="006818EE">
        <w:t xml:space="preserve"> The small peptides freely diffuse into the proteolytic chamber of ClpP, where, in the presence of an active catalytic Ser-His-Asp triad, the peptides are hydrolyzed, releasing quantifiable fluorescence. As shown in </w:t>
      </w:r>
      <w:r w:rsidRPr="006818EE">
        <w:rPr>
          <w:b/>
        </w:rPr>
        <w:t>Figure 2.5A</w:t>
      </w:r>
      <w:r w:rsidRPr="006818EE">
        <w:t>,</w:t>
      </w:r>
      <w:r w:rsidRPr="006818EE">
        <w:rPr>
          <w:b/>
        </w:rPr>
        <w:t xml:space="preserve"> </w:t>
      </w:r>
      <w:r w:rsidRPr="006818EE">
        <w:t>ClpP1 degrades SLY-AMC in a time dependent manner and exhibits Michaelis-Menten kinetics (</w:t>
      </w:r>
      <w:r w:rsidRPr="006818EE">
        <w:rPr>
          <w:b/>
        </w:rPr>
        <w:t>Figure 2.5B</w:t>
      </w:r>
      <w:r w:rsidRPr="006818EE">
        <w:t xml:space="preserve">), while ClpP2 fails to induce appreciable degradation. In fact, neither increased time </w:t>
      </w:r>
      <w:r w:rsidRPr="006818EE">
        <w:lastRenderedPageBreak/>
        <w:t>(&lt;24 h) nor alterations in substrate concentration produced measurable ClpP2 mediated degradation of this substrate (data not shown). Both ClpP1 and ClpP2 are, however, able to hydrolyze Z-GGL-AMC, although ClpP2 is not nearly as efficient as ClpP1 and</w:t>
      </w:r>
      <w:r w:rsidRPr="006818EE">
        <w:rPr>
          <w:i/>
        </w:rPr>
        <w:t xml:space="preserve"> </w:t>
      </w:r>
      <w:r w:rsidRPr="006818EE">
        <w:t>requires extended co-incubation periods (&gt;30 h) with this substrate to see appreciable hydrolysis (</w:t>
      </w:r>
      <w:r w:rsidRPr="006818EE">
        <w:rPr>
          <w:b/>
        </w:rPr>
        <w:t xml:space="preserve">Figures 2.5C </w:t>
      </w:r>
      <w:r w:rsidRPr="006818EE">
        <w:t xml:space="preserve">and </w:t>
      </w:r>
      <w:r w:rsidRPr="006818EE">
        <w:rPr>
          <w:b/>
        </w:rPr>
        <w:t>2.5D)</w:t>
      </w:r>
      <w:r w:rsidRPr="006818EE">
        <w:t>. Mixing equal concentrations of homomeric ClpP1 and ClpP2 resulted in less peptidolysis for both SLY-AMC and Z-GGL-AMC (</w:t>
      </w:r>
      <w:r>
        <w:rPr>
          <w:b/>
        </w:rPr>
        <w:t>Appendix A</w:t>
      </w:r>
      <w:r w:rsidR="00E229A2">
        <w:rPr>
          <w:b/>
        </w:rPr>
        <w:t>.6</w:t>
      </w:r>
      <w:r w:rsidRPr="006818EE">
        <w:t>) than ClpP1 alone. Native gel assessment of the mixture revealed no evidence of a new heteromeric species (</w:t>
      </w:r>
      <w:r>
        <w:rPr>
          <w:b/>
        </w:rPr>
        <w:t>Appendix A</w:t>
      </w:r>
      <w:r w:rsidR="00E229A2">
        <w:rPr>
          <w:b/>
        </w:rPr>
        <w:t>.7</w:t>
      </w:r>
      <w:r w:rsidRPr="006818EE">
        <w:t>) While this experiment is a rather crude assessment, it provides evidence that disassembly of homomeric complexes and reassembly into more active heteromeric complexes is not thermodynamically favored and does not occur in vitro.</w:t>
      </w:r>
    </w:p>
    <w:p w14:paraId="6E3685A8" w14:textId="497C7D8D" w:rsidR="001F36AF" w:rsidRPr="006818EE" w:rsidRDefault="001F36AF" w:rsidP="001F36AF">
      <w:pPr>
        <w:ind w:firstLine="720"/>
        <w:jc w:val="both"/>
      </w:pPr>
      <w:r w:rsidRPr="006818EE">
        <w:t>The Z-GGL-AMC results suggest, however, that the catalytic triad for ClpP2 is aligned to some extent under the evaluated conditions, but that experimental (e.g. buffer composition) and/or structural nuances dictating substrate specificity may exist for each ClpP isoform. Further evidence supporting that both complexes exhibit an aligned catalytic triad, arises upon incubation of each with ActivX TAMRA-FP, a fluorescent probe that selectively tags active serine hydrolases.</w:t>
      </w:r>
      <w:r>
        <w:fldChar w:fldCharType="begin"/>
      </w:r>
      <w:r>
        <w:instrText>ADDIN F1000_CSL_CITATION&lt;~#@#~&gt;[{"First":false,"Last":false,"PMCID":"PMC24710","PMID":"10611275","abstract":"With the postgenome era rapidly approaching, new strategies for the functional analysis of proteins are needed. To date, proteomics efforts have primarily been confined to recording variations in protein level rather than activity. The ability to profile classes of proteins on the basis of changes in their activity would greatly accelerate both the assignment of protein function and the identification of potential pharmaceutical targets. Here, we describe the chemical synthesis and utility of an active-site directed probe for visualizing dynamics in the expression and function of an entire enzyme family, the serine hydrolases. By reacting this probe, a biotinylated fluorophosphonate referred to as FP-biotin, with crude tissue extracts, we quickly and with high sensitivity detect numerous serine hydrolases, many of which display tissue-restricted patterns of expression. Additionally, we show that FP-biotin labels these proteins in an activity-dependent manner that can be followed kinetically, offering a powerful means to monitor dynamics simultaneously in both protein function and expression.","author":[{"family":"Liu","given":"Y"},{"family":"Patricelli","given":"M P"},{"family":"Cravatt","given":"B F"}],"authorYearDisplayFormat":false,"citation-label":"5055115","container-title":"Proceedings of the National Academy of Sciences of the United States of America","container-title-short":"Proc Natl Acad Sci USA","id":"5055115","invisible":false,"issue":"26","issued":{"date-parts":[["1999","12","21"]]},"journalAbbreviation":"Proc Natl Acad Sci USA","page":"14694-14699","suppress-author":false,"title":"Activity-based protein profiling: the serine hydrolases.","type":"article-journal","volume":"96"}]</w:instrText>
      </w:r>
      <w:r>
        <w:fldChar w:fldCharType="separate"/>
      </w:r>
      <w:r w:rsidRPr="00614784">
        <w:rPr>
          <w:noProof/>
          <w:vertAlign w:val="superscript"/>
        </w:rPr>
        <w:t>30</w:t>
      </w:r>
      <w:r>
        <w:fldChar w:fldCharType="end"/>
      </w:r>
      <w:r w:rsidRPr="006818EE">
        <w:t xml:space="preserve"> As shown in </w:t>
      </w:r>
      <w:r w:rsidRPr="006818EE">
        <w:rPr>
          <w:b/>
        </w:rPr>
        <w:t>Figure 2.5E</w:t>
      </w:r>
      <w:r w:rsidRPr="006818EE">
        <w:t xml:space="preserve">, TAMRA-FP labels ClpP1 efficiently, while reacting to a lower extent with ClpP2. It is worth noting that in all three of these experiments </w:t>
      </w:r>
      <w:r w:rsidR="00AB3480" w:rsidRPr="00AB3480">
        <w:rPr>
          <w:i/>
        </w:rPr>
        <w:t>C. difficile</w:t>
      </w:r>
      <w:r w:rsidRPr="006818EE">
        <w:rPr>
          <w:i/>
        </w:rPr>
        <w:t xml:space="preserve"> </w:t>
      </w:r>
      <w:r w:rsidRPr="006818EE">
        <w:t xml:space="preserve">ClpP samples prepared from Rosetta DE3 cells (contaminated with </w:t>
      </w:r>
      <w:r w:rsidRPr="006818EE">
        <w:rPr>
          <w:i/>
        </w:rPr>
        <w:t>Ec</w:t>
      </w:r>
      <w:r w:rsidRPr="006818EE">
        <w:t>ClpP) were assessed in parallel with samples prepared from the Δ</w:t>
      </w:r>
      <w:r w:rsidRPr="006818EE">
        <w:rPr>
          <w:i/>
        </w:rPr>
        <w:t>Ec</w:t>
      </w:r>
      <w:r w:rsidRPr="006818EE">
        <w:t xml:space="preserve">ClpP strain and no significant differences in behavior were observed. Likewise, we failed to notice any difference in thermal stability of ClpP complexes prepared from either strain. So, while </w:t>
      </w:r>
      <w:r w:rsidRPr="006818EE">
        <w:rPr>
          <w:i/>
        </w:rPr>
        <w:t>Ec</w:t>
      </w:r>
      <w:r w:rsidRPr="006818EE">
        <w:t xml:space="preserve">ClpP contamination exists in the Rosetta DE3 preparations, its presence does not seem to affect the activity of either complex. We imagine this may not be the case </w:t>
      </w:r>
      <w:r w:rsidRPr="006818EE">
        <w:lastRenderedPageBreak/>
        <w:t>for other ClpP homologs, especially those that exhibit lower homology, and caution others utilizing endogenous ClpP expressing cell lines for the characterization of recombinant ClpP complexes.</w:t>
      </w:r>
    </w:p>
    <w:p w14:paraId="3CB26116" w14:textId="77777777" w:rsidR="002F3553" w:rsidRDefault="00152AAE" w:rsidP="002F3553">
      <w:pPr>
        <w:keepNext/>
        <w:jc w:val="center"/>
      </w:pPr>
      <w:r w:rsidRPr="006818EE">
        <w:rPr>
          <w:noProof/>
        </w:rPr>
        <w:object w:dxaOrig="16184" w:dyaOrig="14338" w14:anchorId="3BEB2A97">
          <v:shape id="_x0000_i1030" type="#_x0000_t75" alt="" style="width:444.75pt;height:393pt;mso-width-percent:0;mso-height-percent:0;mso-width-percent:0;mso-height-percent:0" o:ole="">
            <v:imagedata r:id="rId34" o:title=""/>
          </v:shape>
          <o:OLEObject Type="Embed" ProgID="ChemDraw.Document.6.0" ShapeID="_x0000_i1030" DrawAspect="Content" ObjectID="_1619005647" r:id="rId35"/>
        </w:object>
      </w:r>
    </w:p>
    <w:p w14:paraId="224367EE" w14:textId="77777777" w:rsidR="002F3553" w:rsidRPr="002F3553" w:rsidRDefault="002F3553" w:rsidP="002F3553">
      <w:pPr>
        <w:pStyle w:val="Caption"/>
      </w:pPr>
      <w:bookmarkStart w:id="36" w:name="_Toc5807401"/>
      <w:r>
        <w:t xml:space="preserve">Figure </w:t>
      </w:r>
      <w:r w:rsidR="00C93A93">
        <w:t>2.5</w:t>
      </w:r>
      <w:r>
        <w:t xml:space="preserve"> </w:t>
      </w:r>
      <w:r w:rsidR="00B8478A" w:rsidRPr="006818EE">
        <w:t>Peptidolytic activity of ClpP1 and ClpP2</w:t>
      </w:r>
      <w:bookmarkEnd w:id="36"/>
    </w:p>
    <w:p w14:paraId="0EF6CE43" w14:textId="77777777" w:rsidR="00B8478A" w:rsidRDefault="00B8478A" w:rsidP="00937009">
      <w:pPr>
        <w:spacing w:line="240" w:lineRule="auto"/>
        <w:contextualSpacing/>
        <w:jc w:val="both"/>
        <w:rPr>
          <w:bCs/>
        </w:rPr>
      </w:pPr>
      <w:r w:rsidRPr="006818EE">
        <w:rPr>
          <w:bCs/>
        </w:rPr>
        <w:t xml:space="preserve">A) time-dependent degradation of SLY-AMC by ClpP1 expressed from </w:t>
      </w:r>
      <w:r w:rsidRPr="006818EE">
        <w:rPr>
          <w:bCs/>
        </w:rPr>
        <w:sym w:font="Symbol" w:char="F044"/>
      </w:r>
      <w:r w:rsidRPr="006818EE">
        <w:rPr>
          <w:bCs/>
          <w:i/>
          <w:iCs/>
        </w:rPr>
        <w:t>Ec</w:t>
      </w:r>
      <w:r w:rsidRPr="006818EE">
        <w:rPr>
          <w:bCs/>
        </w:rPr>
        <w:t xml:space="preserve">ClpP cells (black, solid, solid triangle), ClpP1 from Rosetta DE3 (black, dashed, hollow triangle), ClpP2 from </w:t>
      </w:r>
      <w:r w:rsidRPr="006818EE">
        <w:rPr>
          <w:bCs/>
        </w:rPr>
        <w:sym w:font="Symbol" w:char="F044"/>
      </w:r>
      <w:r w:rsidRPr="006818EE">
        <w:rPr>
          <w:bCs/>
          <w:i/>
          <w:iCs/>
        </w:rPr>
        <w:t>Ec</w:t>
      </w:r>
      <w:r w:rsidRPr="006818EE">
        <w:rPr>
          <w:bCs/>
        </w:rPr>
        <w:t>ClpP (blue, solid, solid square), ClpP2 from Rosetta DE3 (blue, dashed, hollow square). Experiments conducted with 1 µM ClpP tetradecamer and 0.5 mM SLY-AMC. B) Michaelis-Menten analysis of ClpP1 and ClpP2 degradation of SLY-AMC. ClpP1 (DE3) V</w:t>
      </w:r>
      <w:r w:rsidRPr="006818EE">
        <w:rPr>
          <w:bCs/>
          <w:vertAlign w:val="subscript"/>
        </w:rPr>
        <w:t>max</w:t>
      </w:r>
      <w:r w:rsidRPr="006818EE">
        <w:rPr>
          <w:bCs/>
        </w:rPr>
        <w:t xml:space="preserve"> = 1213 ± 38.0; ClpP1 (</w:t>
      </w:r>
      <w:r w:rsidRPr="006818EE">
        <w:rPr>
          <w:bCs/>
        </w:rPr>
        <w:sym w:font="Symbol" w:char="F044"/>
      </w:r>
      <w:r w:rsidRPr="006818EE">
        <w:rPr>
          <w:bCs/>
          <w:i/>
          <w:iCs/>
        </w:rPr>
        <w:t>Ec</w:t>
      </w:r>
      <w:r w:rsidRPr="006818EE">
        <w:rPr>
          <w:bCs/>
        </w:rPr>
        <w:t>ClpP) V</w:t>
      </w:r>
      <w:r w:rsidRPr="006818EE">
        <w:rPr>
          <w:bCs/>
          <w:vertAlign w:val="subscript"/>
        </w:rPr>
        <w:t>max</w:t>
      </w:r>
      <w:r w:rsidRPr="006818EE">
        <w:rPr>
          <w:bCs/>
        </w:rPr>
        <w:t xml:space="preserve"> = 1357 ± 39.9. ClpP2 V</w:t>
      </w:r>
      <w:r w:rsidRPr="006818EE">
        <w:rPr>
          <w:bCs/>
          <w:vertAlign w:val="subscript"/>
        </w:rPr>
        <w:t>max</w:t>
      </w:r>
      <w:r w:rsidRPr="006818EE">
        <w:rPr>
          <w:bCs/>
        </w:rPr>
        <w:t xml:space="preserve"> values were not determined due to relatively negligible cleavage of the substrate. C) time-dependent (0-30 min) degradation of Z-GGL-AMC by ClpP isoforms. Experiments conducted with 1 µM ClpP tetradecamer and 0.1 mM Z-GGL-AMC. D) degradation of Z-</w:t>
      </w:r>
      <w:r w:rsidRPr="006818EE">
        <w:rPr>
          <w:bCs/>
        </w:rPr>
        <w:lastRenderedPageBreak/>
        <w:t xml:space="preserve">GGL-AMC by ClpP isoforms after extended periods (30 h and 46 h) of incubation. Means of each dataset were compared to the control (Z-GGL-AMC alone) at each time point, for statistical significance within a 95% confidence interval by two-way ANOVA analysis, with Dunnett’s multiple comparison test. (**, P &lt; 0.05). E) serine-protease active site labeling with ActivX TAMRA-FP visualized in an SDS-PAGE gel with Chymotrypsin (CHY) as a positive control. </w:t>
      </w:r>
    </w:p>
    <w:p w14:paraId="2D5387AE" w14:textId="77777777" w:rsidR="00937009" w:rsidRPr="006818EE" w:rsidRDefault="00937009" w:rsidP="00937009">
      <w:pPr>
        <w:spacing w:line="240" w:lineRule="auto"/>
        <w:contextualSpacing/>
        <w:jc w:val="both"/>
        <w:rPr>
          <w:bCs/>
        </w:rPr>
      </w:pPr>
    </w:p>
    <w:p w14:paraId="7888DF8C" w14:textId="2BFFB4BB" w:rsidR="001F36AF" w:rsidRPr="006818EE" w:rsidRDefault="001F36AF" w:rsidP="001F36AF">
      <w:pPr>
        <w:ind w:firstLine="720"/>
        <w:jc w:val="both"/>
        <w:rPr>
          <w:rFonts w:ascii="Times" w:hAnsi="Times"/>
        </w:rPr>
      </w:pPr>
      <w:r w:rsidRPr="006818EE">
        <w:rPr>
          <w:rFonts w:ascii="Times" w:hAnsi="Times"/>
        </w:rPr>
        <w:t xml:space="preserve">While investigating potential reasons for the lack of ClpP2 proteolytic activity, we determined through HR-ESIMS that ClpP2 was capable of forming disulfide bonds (reversible with </w:t>
      </w:r>
      <w:r w:rsidR="00474227">
        <w:rPr>
          <w:rFonts w:ascii="Times" w:hAnsi="Times"/>
        </w:rPr>
        <w:t>dithiothreitol (DTT)</w:t>
      </w:r>
      <w:r w:rsidRPr="006818EE">
        <w:rPr>
          <w:rFonts w:ascii="Times" w:hAnsi="Times"/>
        </w:rPr>
        <w:t xml:space="preserve"> addition) that may affect enzymatic efficiency. DiANNA, a web server developed by Boston College to define cysteine oxidation states and predict disulfide bond partners, identified two potential disulfide bonds (i.e., Cys86-Cys92, and Cys92-Cys113, </w:t>
      </w:r>
      <w:r>
        <w:rPr>
          <w:b/>
        </w:rPr>
        <w:t>Appendix A</w:t>
      </w:r>
      <w:r w:rsidR="00E229A2">
        <w:rPr>
          <w:b/>
        </w:rPr>
        <w:t>.4</w:t>
      </w:r>
      <w:r w:rsidRPr="006818EE">
        <w:rPr>
          <w:rFonts w:ascii="Times" w:hAnsi="Times"/>
        </w:rPr>
        <w:t xml:space="preserve">) for ClpP2. The algorithm reveals disulfide bond formation to be unique to ClpP2, as ClpP1 contains only a single cysteine. Since the two predicted disulfide bonds in ClpP2 are located in proximity to the catalytic triad, we could not discount that disulfide bond formation may dictate proteolytic activity or cleavage specificity by misshaping the topology around serine catalytic site, or locking ClpP2 in an inactive conformation. Therefore, we also evaluated the activity of ClpP2 in the presence of varying concentrations of </w:t>
      </w:r>
      <w:r w:rsidR="00474227">
        <w:rPr>
          <w:rFonts w:ascii="Times" w:hAnsi="Times"/>
        </w:rPr>
        <w:t>DTT</w:t>
      </w:r>
      <w:r w:rsidRPr="006818EE">
        <w:rPr>
          <w:rFonts w:ascii="Times" w:hAnsi="Times"/>
        </w:rPr>
        <w:t>, but found that this failed to stimulate proteolytic activity, even at incubation times exceeding 48 h (</w:t>
      </w:r>
      <w:r>
        <w:rPr>
          <w:b/>
        </w:rPr>
        <w:t>Appendix A</w:t>
      </w:r>
      <w:r w:rsidR="00E229A2">
        <w:rPr>
          <w:b/>
        </w:rPr>
        <w:t>.5</w:t>
      </w:r>
      <w:r w:rsidRPr="006818EE">
        <w:rPr>
          <w:rFonts w:ascii="Times" w:hAnsi="Times"/>
        </w:rPr>
        <w:t>). It is also worth noting that reduced conditions (expected for an anaerobic environment) had no significant effect on the thermal stability of ClpP1 or ClpP2.</w:t>
      </w:r>
    </w:p>
    <w:p w14:paraId="35F4E6AF" w14:textId="5D1E9DFA" w:rsidR="00B8478A" w:rsidRPr="00937009" w:rsidRDefault="00B8478A" w:rsidP="0012418F">
      <w:pPr>
        <w:pStyle w:val="Heading3"/>
      </w:pPr>
      <w:bookmarkStart w:id="37" w:name="_Toc8392740"/>
      <w:r w:rsidRPr="00937009">
        <w:t>2.</w:t>
      </w:r>
      <w:r w:rsidR="00C363D7">
        <w:t>3</w:t>
      </w:r>
      <w:r w:rsidRPr="00937009">
        <w:t>.</w:t>
      </w:r>
      <w:r w:rsidR="0012418F">
        <w:t>5</w:t>
      </w:r>
      <w:r w:rsidRPr="00937009">
        <w:t xml:space="preserve"> ClpP1 and ClpP2 respond to ClpX activation.</w:t>
      </w:r>
      <w:bookmarkEnd w:id="37"/>
    </w:p>
    <w:p w14:paraId="0F42A5EA" w14:textId="454466C2" w:rsidR="001F36AF" w:rsidRPr="006818EE" w:rsidRDefault="001F36AF" w:rsidP="001F36AF">
      <w:pPr>
        <w:ind w:firstLine="720"/>
        <w:jc w:val="both"/>
      </w:pPr>
      <w:r w:rsidRPr="006818EE">
        <w:t>As mentioned previously, ClpP proteolysis of targeted substrates is tightly regulated via coordination between ATP-dependent cochaperones (e.g., ClpX, ClpA, ClpC). These cochaperones recognize degron sequences (e.g., ssrA) that tag proteins for degradation by ClpP.</w:t>
      </w:r>
      <w:r>
        <w:rPr>
          <w:vertAlign w:val="superscript"/>
        </w:rPr>
        <w:t>11</w:t>
      </w:r>
      <w:r w:rsidRPr="006818EE">
        <w:t xml:space="preserve"> Because </w:t>
      </w:r>
      <w:r w:rsidRPr="006818EE">
        <w:rPr>
          <w:i/>
          <w:iCs/>
        </w:rPr>
        <w:t>clpP1</w:t>
      </w:r>
      <w:r w:rsidRPr="006818EE">
        <w:t xml:space="preserve"> and </w:t>
      </w:r>
      <w:r w:rsidRPr="006818EE">
        <w:rPr>
          <w:i/>
          <w:iCs/>
        </w:rPr>
        <w:t>clpX</w:t>
      </w:r>
      <w:r w:rsidRPr="006818EE">
        <w:t xml:space="preserve"> are situated in an apparent operon in </w:t>
      </w:r>
      <w:r w:rsidR="00AB3480" w:rsidRPr="00AB3480">
        <w:rPr>
          <w:i/>
          <w:iCs/>
        </w:rPr>
        <w:t xml:space="preserve">C. </w:t>
      </w:r>
      <w:r w:rsidR="00AB3480" w:rsidRPr="00AB3480">
        <w:rPr>
          <w:i/>
          <w:iCs/>
        </w:rPr>
        <w:lastRenderedPageBreak/>
        <w:t>difficile</w:t>
      </w:r>
      <w:r w:rsidRPr="006818EE">
        <w:rPr>
          <w:i/>
          <w:iCs/>
        </w:rPr>
        <w:t>,</w:t>
      </w:r>
      <w:r w:rsidRPr="006818EE">
        <w:t xml:space="preserve"> we anticipated that ClpP1 and ClpX would readily combine to form an operative heteroprotein complex capable of degrading ssrA-tagged substrates. We however, did not know what to expect with ClpP2, as the lack of proteolytic activity in the SLY-AMC assay is not necessarily indicative of the capability to function with natural co-chaperones.  To determine the ability of each </w:t>
      </w:r>
      <w:r w:rsidR="00AB3480" w:rsidRPr="00AB3480">
        <w:rPr>
          <w:i/>
        </w:rPr>
        <w:t>C. difficile</w:t>
      </w:r>
      <w:r w:rsidRPr="006818EE">
        <w:rPr>
          <w:i/>
        </w:rPr>
        <w:t xml:space="preserve"> </w:t>
      </w:r>
      <w:r w:rsidRPr="006818EE">
        <w:t xml:space="preserve">ClpP homolog to form the ClpP:ClpX proteolytic machinery and degrade protein substrates we expressed and purified </w:t>
      </w:r>
      <w:r w:rsidR="00AB3480" w:rsidRPr="00AB3480">
        <w:rPr>
          <w:i/>
        </w:rPr>
        <w:t>C. difficile</w:t>
      </w:r>
      <w:r w:rsidRPr="006818EE">
        <w:rPr>
          <w:i/>
        </w:rPr>
        <w:t xml:space="preserve"> </w:t>
      </w:r>
      <w:r w:rsidRPr="006818EE">
        <w:t>ClpX and ssrA-tagged green-fluorescent protein (ssrA-GFP) to allow for reconstitution of the “natural” proteolytic machinery.</w:t>
      </w:r>
    </w:p>
    <w:p w14:paraId="0AE3A96C" w14:textId="77777777" w:rsidR="001F36AF" w:rsidRPr="006818EE" w:rsidRDefault="001F36AF" w:rsidP="001F36AF">
      <w:pPr>
        <w:ind w:firstLine="720"/>
        <w:jc w:val="both"/>
      </w:pPr>
      <w:r w:rsidRPr="006818EE">
        <w:t>ClpX and ssrA-GFP were incubated with each ClpP isoform in order to determine if ssrA-GFP degradation could be mediated by ClpX. We observed reductions in GFP gel-band intensity for both ClpP isoforms with ClpX and ATP present (</w:t>
      </w:r>
      <w:r w:rsidRPr="006818EE">
        <w:rPr>
          <w:b/>
        </w:rPr>
        <w:t>Figure 2.6A</w:t>
      </w:r>
      <w:r w:rsidRPr="006818EE">
        <w:t>), with ClpP1 once again outperforming ClpP2. Incubation of ssrA-GFP with each ClpP isoform in the absence of ATP revealed no degradation of the substrate, indicating that the observed degradation is induced by ClpX (</w:t>
      </w:r>
      <w:r w:rsidRPr="006818EE">
        <w:rPr>
          <w:b/>
        </w:rPr>
        <w:t>Figure 2.6B</w:t>
      </w:r>
      <w:r w:rsidRPr="006818EE">
        <w:t>). It is well-known that ClpX ATP hydrolysis is repressed upon engagement with ClpP.</w:t>
      </w:r>
      <w:r>
        <w:rPr>
          <w:vertAlign w:val="superscript"/>
        </w:rPr>
        <w:softHyphen/>
      </w:r>
      <w:r>
        <w:rPr>
          <w:vertAlign w:val="superscript"/>
        </w:rPr>
        <w:fldChar w:fldCharType="begin"/>
      </w:r>
      <w:r>
        <w:rPr>
          <w:vertAlign w:val="superscript"/>
        </w:rPr>
        <w:instrText>ADDIN F1000_CSL_CITATION&lt;~#@#~&gt;[{"DOI":"10.1016/j.molcel.2007.05.024","First":false,"Last":false,"PMCID":"PMC2074893","PMID":"17612489","abstract":"In the ClpXP proteolytic machine, ClpX uses the energy of ATP hydrolysis to unfold protein substrates and translocate them through a central pore and into the degradation chamber of ClpP. Here, we demonstrate a bipartite system of ClpX-ClpP interactions that serves multiple functional roles. High-affinity contacts between six loops near the periphery of the hexameric ClpX ring and a ClpP ring establish correct positioning and increase degradation activity but are insensitive to nucleotide state. These static peripheral interactions maintain a stable ClpXP complex, while other parts of this machine change conformation hundreds of times per minute. By contrast, relatively weak axial contacts between loops at the bottom of the ClpX central channel and N-terminal loops of ClpP vary dynamically with the nucleotide state of individual ClpX subunits, control ATP-hydrolysis rates, and facilitate efficient protein unfolding. Thus, discrete static and dynamic interactions mediate binding and communication between ClpX and ClpP.","author":[{"family":"Martin","given":"Andreas"},{"family":"Baker","given":"Tania A"},{"family":"Sauer","given":"Robert T"}],"authorYearDisplayFormat":false,"citation-label":"5898202","container-title":"Molecular Cell","container-title-short":"Mol. Cell","id":"5898202","invisible":false,"issue":"1","issued":{"date-parts":[["2007","7","6"]]},"journalAbbreviation":"Mol. Cell","page":"41-52","suppress-author":false,"title":"Distinct static and dynamic interactions control ATPase-peptidase communication in a AAA+ protease.","type":"article-journal","volume":"27"},{"DOI":"10.1038/84967","First":false,"Last":false,"PMID":"11224567","abstract":"The Clp/Hsp100 ATPases are hexameric protein machines that catalyze the unfolding, disassembly and disaggregation of specific protein substrates in bacteria, plants and animals. Many family members also interact with peptidases to form ATP-dependent proteases. In Escherichia coli, for instance, the ClpXP protease is assembled from the ClpX ATPase and the ClpP peptidase. Here, we have used multiple sequence alignments to identify a tripeptide 'IGF' in E. coli ClpX that is essential for ClpP recognition. Mutations in this IGF sequence, which appears to be part of a surface loop, disrupt ClpXP complex formation and prevent protease function but have no effect on other ClpX activities. Homologous tripeptides are found only in a subset of Clp/Hsp100 ATPases and are a good predictor of family members that have a ClpP partner. Mapping of the IGF loop onto a homolog of known structure suggests a model for ClpX-ClpP docking.","author":[{"family":"Kim","given":"Y I"},{"family":"Levchenko","given":"I"},{"family":"Fraczkowska","given":"K"},{"family":"Woodruff","given":"R V"},{"family":"Sauer","given":"R T"},{"family":"Baker","given":"T A"}],"authorYearDisplayFormat":false,"citation-label":"5898199","container-title":"Nature Structural Biology","container-title-short":"Nat. Struct. Biol.","id":"5898199","invisible":false,"issue":"3","issued":{"date-parts":[["2001","3"]]},"journalAbbreviation":"Nat. Struct. Biol.","page":"230-233","suppress-author":false,"title":"Molecular determinants of complex formation between Clp/Hsp100 ATPases and the ClpP peptidase.","type":"article-journal","volume":"8"}]</w:instrText>
      </w:r>
      <w:r>
        <w:rPr>
          <w:vertAlign w:val="superscript"/>
        </w:rPr>
        <w:fldChar w:fldCharType="separate"/>
      </w:r>
      <w:r w:rsidRPr="00614784">
        <w:rPr>
          <w:noProof/>
          <w:vertAlign w:val="superscript"/>
        </w:rPr>
        <w:t>31,32</w:t>
      </w:r>
      <w:r>
        <w:rPr>
          <w:vertAlign w:val="superscript"/>
        </w:rPr>
        <w:fldChar w:fldCharType="end"/>
      </w:r>
      <w:r w:rsidRPr="006818EE">
        <w:t xml:space="preserve"> As such, we determined ATP hydrolysis rates for ClpX in the presence of either ClpP1 or ClpP2. As seen in </w:t>
      </w:r>
      <w:r w:rsidRPr="006818EE">
        <w:rPr>
          <w:b/>
        </w:rPr>
        <w:t>Figure 2.6C</w:t>
      </w:r>
      <w:r w:rsidRPr="006818EE">
        <w:t>, ClpX ATPase hydrolysis decreases when incubated with either ClpP1 (~18% rate reduction) or ClpP2 (~7% rate reduction).</w:t>
      </w:r>
    </w:p>
    <w:p w14:paraId="5AE75C8A" w14:textId="77777777" w:rsidR="002F3553" w:rsidRDefault="00152AAE" w:rsidP="002F3553">
      <w:pPr>
        <w:keepNext/>
        <w:jc w:val="both"/>
      </w:pPr>
      <w:r w:rsidRPr="006818EE">
        <w:rPr>
          <w:noProof/>
        </w:rPr>
        <w:object w:dxaOrig="22520" w:dyaOrig="6310" w14:anchorId="1159D8FE">
          <v:shape id="_x0000_i1029" type="#_x0000_t75" alt="" style="width:438pt;height:117.75pt;mso-width-percent:0;mso-height-percent:0;mso-width-percent:0;mso-height-percent:0" o:ole="">
            <v:imagedata r:id="rId36" o:title=""/>
          </v:shape>
          <o:OLEObject Type="Embed" ProgID="ChemDraw.Document.6.0" ShapeID="_x0000_i1029" DrawAspect="Content" ObjectID="_1619005648" r:id="rId37"/>
        </w:object>
      </w:r>
    </w:p>
    <w:p w14:paraId="78D5FED5" w14:textId="77777777" w:rsidR="002F3553" w:rsidRPr="002F3553" w:rsidRDefault="002F3553" w:rsidP="002F3553">
      <w:pPr>
        <w:pStyle w:val="Caption"/>
        <w:jc w:val="both"/>
      </w:pPr>
      <w:bookmarkStart w:id="38" w:name="_Toc5807402"/>
      <w:r>
        <w:t xml:space="preserve">Figure </w:t>
      </w:r>
      <w:r w:rsidR="00C93A93">
        <w:t>2.6</w:t>
      </w:r>
      <w:r>
        <w:t xml:space="preserve"> </w:t>
      </w:r>
      <w:r w:rsidR="00B8478A" w:rsidRPr="006818EE">
        <w:t>ClpXP mediated degradation of ssrA-GFP and ClpP induced reduction in ATP hydrolysis.</w:t>
      </w:r>
      <w:bookmarkEnd w:id="38"/>
      <w:r w:rsidR="00B8478A" w:rsidRPr="006818EE">
        <w:t xml:space="preserve"> </w:t>
      </w:r>
    </w:p>
    <w:p w14:paraId="449E3660" w14:textId="4EF3285F" w:rsidR="00B8478A" w:rsidRDefault="00B8478A" w:rsidP="00C93A93">
      <w:pPr>
        <w:spacing w:line="240" w:lineRule="auto"/>
        <w:contextualSpacing/>
        <w:jc w:val="both"/>
      </w:pPr>
      <w:r w:rsidRPr="006818EE">
        <w:t xml:space="preserve">A) ClpXP1 and ClpXP2 mediated degradation of ssrA-GFP. Experiment was performed in triplicate and SDS-PAGE results were quantified with ImageJ results (graph). B) Fraction of ssrA-GFP remaining when incubated with ClpP variants in the absence of ClpX. C) the rate of </w:t>
      </w:r>
      <w:r w:rsidR="00AB3480" w:rsidRPr="00AB3480">
        <w:rPr>
          <w:i/>
        </w:rPr>
        <w:t>C. difficile</w:t>
      </w:r>
      <w:r w:rsidRPr="006818EE">
        <w:rPr>
          <w:i/>
        </w:rPr>
        <w:t xml:space="preserve"> </w:t>
      </w:r>
      <w:r w:rsidRPr="006818EE">
        <w:t xml:space="preserve">ClpX ATP hydrolysis in the presence or absence of </w:t>
      </w:r>
      <w:r w:rsidR="00AB3480" w:rsidRPr="00AB3480">
        <w:rPr>
          <w:i/>
        </w:rPr>
        <w:t>C. difficile</w:t>
      </w:r>
      <w:r w:rsidRPr="006818EE">
        <w:rPr>
          <w:i/>
        </w:rPr>
        <w:t xml:space="preserve"> </w:t>
      </w:r>
      <w:r w:rsidRPr="006818EE">
        <w:t xml:space="preserve">ClpP1 or ClpP2. </w:t>
      </w:r>
      <w:r w:rsidR="00AB3480" w:rsidRPr="00AB3480">
        <w:rPr>
          <w:i/>
        </w:rPr>
        <w:t>C. difficile</w:t>
      </w:r>
      <w:r w:rsidRPr="006818EE">
        <w:rPr>
          <w:i/>
        </w:rPr>
        <w:t xml:space="preserve"> </w:t>
      </w:r>
      <w:r w:rsidRPr="006818EE">
        <w:t xml:space="preserve">ClpX hydrolyzed ATP at a rate of 149.2 </w:t>
      </w:r>
      <w:r w:rsidRPr="006818EE">
        <w:sym w:font="Symbol" w:char="F0B1"/>
      </w:r>
      <w:r w:rsidRPr="006818EE">
        <w:t xml:space="preserve"> 6.0 min</w:t>
      </w:r>
      <w:r w:rsidRPr="006818EE">
        <w:rPr>
          <w:vertAlign w:val="superscript"/>
        </w:rPr>
        <w:t>-1</w:t>
      </w:r>
      <w:r w:rsidRPr="006818EE">
        <w:t>•ClpX</w:t>
      </w:r>
      <w:r w:rsidRPr="006818EE">
        <w:rPr>
          <w:vertAlign w:val="subscript"/>
        </w:rPr>
        <w:t>6</w:t>
      </w:r>
      <w:r w:rsidRPr="006818EE">
        <w:rPr>
          <w:vertAlign w:val="superscript"/>
        </w:rPr>
        <w:t>-1</w:t>
      </w:r>
      <w:r w:rsidRPr="006818EE">
        <w:t xml:space="preserve">. In the presence of ClpP1 ClpX hydrolyzed ATP at a rate of 122.5 </w:t>
      </w:r>
      <w:r w:rsidRPr="006818EE">
        <w:sym w:font="Symbol" w:char="F0B1"/>
      </w:r>
      <w:r w:rsidRPr="006818EE">
        <w:t xml:space="preserve"> 0.3 min</w:t>
      </w:r>
      <w:r w:rsidRPr="006818EE">
        <w:rPr>
          <w:vertAlign w:val="superscript"/>
        </w:rPr>
        <w:t>-1</w:t>
      </w:r>
      <w:r w:rsidRPr="006818EE">
        <w:t>•ClpX</w:t>
      </w:r>
      <w:r w:rsidRPr="006818EE">
        <w:rPr>
          <w:vertAlign w:val="subscript"/>
        </w:rPr>
        <w:t>6</w:t>
      </w:r>
      <w:r w:rsidRPr="006818EE">
        <w:rPr>
          <w:vertAlign w:val="superscript"/>
        </w:rPr>
        <w:t>-1</w:t>
      </w:r>
      <w:r w:rsidRPr="006818EE">
        <w:t xml:space="preserve">. In the presence of ClpP2 ClpX hydrolyzed ATP at a rate of 138.7 </w:t>
      </w:r>
      <w:r w:rsidRPr="006818EE">
        <w:sym w:font="Symbol" w:char="F0B1"/>
      </w:r>
      <w:r w:rsidRPr="006818EE">
        <w:t xml:space="preserve"> 0.4 min</w:t>
      </w:r>
      <w:r w:rsidRPr="006818EE">
        <w:rPr>
          <w:vertAlign w:val="superscript"/>
        </w:rPr>
        <w:t>-1</w:t>
      </w:r>
      <w:r w:rsidRPr="006818EE">
        <w:t>•ClpX</w:t>
      </w:r>
      <w:r w:rsidRPr="006818EE">
        <w:rPr>
          <w:vertAlign w:val="subscript"/>
        </w:rPr>
        <w:t>6</w:t>
      </w:r>
      <w:r w:rsidRPr="006818EE">
        <w:rPr>
          <w:vertAlign w:val="superscript"/>
        </w:rPr>
        <w:t>-1</w:t>
      </w:r>
      <w:r w:rsidRPr="006818EE">
        <w:t xml:space="preserve">. Km values for ClpX, ClpP1, and ClpP2 are 375.2 </w:t>
      </w:r>
      <w:r w:rsidRPr="006818EE">
        <w:rPr>
          <w:rFonts w:ascii="Calibri" w:hAnsi="Calibri"/>
        </w:rPr>
        <w:t>µ</w:t>
      </w:r>
      <w:r w:rsidRPr="006818EE">
        <w:t xml:space="preserve">M, 318.9 </w:t>
      </w:r>
      <w:r w:rsidRPr="006818EE">
        <w:rPr>
          <w:rFonts w:ascii="Calibri" w:hAnsi="Calibri"/>
        </w:rPr>
        <w:t>µ</w:t>
      </w:r>
      <w:r w:rsidRPr="006818EE">
        <w:t xml:space="preserve">M, and 402.9 </w:t>
      </w:r>
      <w:r w:rsidRPr="006818EE">
        <w:rPr>
          <w:rFonts w:ascii="Calibri" w:hAnsi="Calibri"/>
        </w:rPr>
        <w:t>µ</w:t>
      </w:r>
      <w:r w:rsidRPr="006818EE">
        <w:t>M, respectively.</w:t>
      </w:r>
    </w:p>
    <w:p w14:paraId="0498EA9A" w14:textId="77777777" w:rsidR="00937009" w:rsidRPr="006818EE" w:rsidRDefault="00937009" w:rsidP="00937009">
      <w:pPr>
        <w:spacing w:line="240" w:lineRule="auto"/>
        <w:contextualSpacing/>
      </w:pPr>
    </w:p>
    <w:p w14:paraId="796CD4BB" w14:textId="77777777" w:rsidR="00937009" w:rsidRPr="00937009" w:rsidRDefault="00B8478A" w:rsidP="00246DD9">
      <w:pPr>
        <w:ind w:firstLine="720"/>
        <w:jc w:val="both"/>
        <w:rPr>
          <w:iCs/>
        </w:rPr>
      </w:pPr>
      <w:r w:rsidRPr="006818EE">
        <w:t>In an attempt to elicit ClpP2</w:t>
      </w:r>
      <w:r w:rsidRPr="006818EE">
        <w:rPr>
          <w:i/>
        </w:rPr>
        <w:t xml:space="preserve"> </w:t>
      </w:r>
      <w:r w:rsidRPr="006818EE">
        <w:t>peptidolytic activity, we added SLY-AMC to an aliquot of the ClpX:ClpP2 reaction. The rationale was that perhaps the ClpX interaction may trigger an autocatalytic-processing, or other maturation event, giving rise to peptidolytic activity.</w:t>
      </w:r>
      <w:r w:rsidRPr="006818EE">
        <w:rPr>
          <w:i/>
          <w:iCs/>
        </w:rPr>
        <w:t xml:space="preserve"> </w:t>
      </w:r>
      <w:r w:rsidRPr="006818EE">
        <w:rPr>
          <w:iCs/>
        </w:rPr>
        <w:t>However, no degradation of SLY-AMC was observed.</w:t>
      </w:r>
    </w:p>
    <w:p w14:paraId="5F2A1260" w14:textId="4FFD0605" w:rsidR="00B8478A" w:rsidRPr="00937009" w:rsidRDefault="00B8478A" w:rsidP="0012418F">
      <w:pPr>
        <w:pStyle w:val="Heading3"/>
      </w:pPr>
      <w:bookmarkStart w:id="39" w:name="_Toc8392741"/>
      <w:r w:rsidRPr="00937009">
        <w:t>2.</w:t>
      </w:r>
      <w:r w:rsidR="00C363D7">
        <w:t>3</w:t>
      </w:r>
      <w:r w:rsidRPr="00937009">
        <w:t>.</w:t>
      </w:r>
      <w:r w:rsidR="0012418F">
        <w:t>6</w:t>
      </w:r>
      <w:r w:rsidRPr="00937009">
        <w:t xml:space="preserve"> ClpP1 and ClpP2 exhibit significant differences in susceptibility to chemo-activation.</w:t>
      </w:r>
      <w:bookmarkEnd w:id="39"/>
      <w:r w:rsidRPr="00937009">
        <w:t xml:space="preserve"> </w:t>
      </w:r>
    </w:p>
    <w:p w14:paraId="6C0FE43C" w14:textId="04406EB4" w:rsidR="001F36AF" w:rsidRPr="00614784" w:rsidRDefault="0012418F" w:rsidP="001F36AF">
      <w:pPr>
        <w:ind w:firstLine="720"/>
        <w:jc w:val="both"/>
      </w:pPr>
      <w:r>
        <w:t>ADEPs</w:t>
      </w:r>
      <w:r w:rsidR="001F36AF" w:rsidRPr="006818EE">
        <w:t xml:space="preserve"> (</w:t>
      </w:r>
      <w:r w:rsidR="001F36AF" w:rsidRPr="006818EE">
        <w:rPr>
          <w:b/>
        </w:rPr>
        <w:t>Figure 2</w:t>
      </w:r>
      <w:r w:rsidR="001F36AF">
        <w:rPr>
          <w:b/>
        </w:rPr>
        <w:t>.</w:t>
      </w:r>
      <w:r w:rsidR="001F36AF" w:rsidRPr="006818EE">
        <w:rPr>
          <w:b/>
        </w:rPr>
        <w:t>7A</w:t>
      </w:r>
      <w:r w:rsidR="001F36AF" w:rsidRPr="006818EE">
        <w:t>) bind and activate bacterial ClpP in a cochaperone and ATP-independent manner, resulting in unselective proteolysis and bacterial cell death.</w:t>
      </w:r>
      <w:r w:rsidR="001F36AF">
        <w:fldChar w:fldCharType="begin"/>
      </w:r>
      <w:r w:rsidR="001F36AF">
        <w:instrText>ADDIN F1000_CSL_CITATION&lt;~#@#~&gt;[{"DOI":"10.1038/nm1306","First":false,"Last":false,"PMID":"16200071","abstract":"Here we show that a new class of antibiotics-acyldepsipeptides-has antibacterial activity against Gram-positive bacteria in vitro and in several rodent models of bacterial infection. The acyldepsipeptides are active against isolates that are resistant to antibiotics in clinical application, implying a new target, which we identify as ClpP, the core unit of a major bacterial protease complex. ClpP is usually tightly regulated and strictly requires a member of the family of Clp-ATPases and often further accessory proteins for proteolytic activation. Binding of acyldepsipeptides to ClpP eliminates these safeguards. The acyldepsipeptide-activated ClpP core is capable of proteolytic degradation in the absence of the regulatory Clp-ATPases. Such uncontrolled proteolysis leads to inhibition of bacterial cell division and eventually cell death.","author":[{"family":"Brötz-Oesterhelt","given":"Heike"},{"family":"Beyer","given":"Dieter"},{"family":"Kroll","given":"Hein-Peter"},{"family":"Endermann","given":"Rainer"},{"family":"Ladel","given":"Christoph"},{"family":"Schroeder","given":"Werner"},{"family":"Hinzen","given":"Berthold"},{"family":"Raddatz","given":"Siegfried"},{"family":"Paulsen","given":"Holger"},{"family":"Henninger","given":"Kerstin"},{"family":"Bandow","given":"Julia E"},{"family":"Sahl","given":"Hans-Georg"},{"family":"Labischinski","given":"Harald"}],"authorYearDisplayFormat":false,"citation-label":"6788106","container-title":"Nature Medicine","container-title-short":"Nat. Med.","id":"6788106","invisible":false,"issue":"10","issued":{"date-parts":[["2005","10","2"]]},"journalAbbreviation":"Nat. Med.","page":"1082-1087","suppress-author":false,"title":"Dysregulation of bacterial proteolytic machinery by a new class of antibiotics.","type":"article-journal","volume":"11"}]</w:instrText>
      </w:r>
      <w:r w:rsidR="001F36AF">
        <w:fldChar w:fldCharType="separate"/>
      </w:r>
      <w:r w:rsidR="001F36AF" w:rsidRPr="00614784">
        <w:rPr>
          <w:noProof/>
          <w:vertAlign w:val="superscript"/>
        </w:rPr>
        <w:t>33</w:t>
      </w:r>
      <w:r w:rsidR="001F36AF">
        <w:fldChar w:fldCharType="end"/>
      </w:r>
      <w:r w:rsidR="001F36AF" w:rsidRPr="006818EE">
        <w:t xml:space="preserve"> Similar to the natural cochaperones, ADEP binding results in a large conformational shift and a subsequent widening of the proteolytic chamber.</w:t>
      </w:r>
      <w:r w:rsidR="001F36AF">
        <w:rPr>
          <w:vertAlign w:val="superscript"/>
        </w:rPr>
        <w:t>14</w:t>
      </w:r>
      <w:r w:rsidR="001F36AF" w:rsidRPr="006818EE">
        <w:t xml:space="preserve"> In the case of chemo-activation, however, the proteolysis is uncontrolled and unregulated, and thus detrimental to bacterial survival.</w:t>
      </w:r>
      <w:r w:rsidR="001F36AF">
        <w:fldChar w:fldCharType="begin"/>
      </w:r>
      <w:r w:rsidR="001F36AF">
        <w:instrText>ADDIN F1000_CSL_CITATION&lt;~#@#~&gt;[{"DOI":"10.1038/nsmb.1787","First":false,"Last":false,"PMID":"20305655","abstract":"Clp-family proteins are prototypes for studying the mechanism of ATP-dependent proteases because the proteolytic activity of the ClpP core is tightly regulated by activating Clp-ATPases. Nonetheless, the proteolytic activation mechanism has remained elusive because of the lack of a complex structure. Acyldepsipeptides (ADEPs), a recently discovered class of antibiotics, activate and disregulate ClpP. Here we have elucidated the structural changes underlying the ClpP activation process by ADEPs. We present the structures of Bacillus subtilis ClpP alone and in complex with ADEP1 and ADEP2. The structures show the closed-to-open-gate transition of the ClpP N-terminal segments upon activation as well as conformational changes restricted to the upper portion of ClpP. The direction of the conformational movement and the hydrophobic clustering that stabilizes the closed structure are markedly different from those of other ATP-dependent proteases, providing unprecedented insights into the activation of ClpP.","author":[{"family":"Lee","given":"Byung-Gil"},{"family":"Park","given":"Eun Young"},{"family":"Lee","given":"Kyung-Eun"},{"family":"Jeon","given":"Hyesung"},{"family":"Sung","given":"Kwang Hoon"},{"family":"Paulsen","given":"Holger"},{"family":"Rübsamen-Schaeff","given":"Helga"},{"family":"Brötz-Oesterhelt","given":"Heike"},{"family":"Song","given":"Hyun Kyu"}],"authorYearDisplayFormat":false,"citation-label":"5829011","container-title":"Nature Structural &amp; Molecular Biology","container-title-short":"Nat. Struct. Mol. Biol.","id":"5829011","invisible":false,"issue":"4","issued":{"date-parts":[["2010","4"]]},"journalAbbreviation":"Nat. Struct. Mol. Biol.","page":"471-478","suppress-author":false,"title":"Structures of ClpP in complex with acyldepsipeptide antibiotics reveal its activation mechanism.","type":"article-journal","volume":"17"}]</w:instrText>
      </w:r>
      <w:r w:rsidR="001F36AF">
        <w:fldChar w:fldCharType="separate"/>
      </w:r>
      <w:r w:rsidR="001F36AF" w:rsidRPr="00614784">
        <w:rPr>
          <w:noProof/>
          <w:vertAlign w:val="superscript"/>
        </w:rPr>
        <w:t>34</w:t>
      </w:r>
      <w:r w:rsidR="001F36AF">
        <w:fldChar w:fldCharType="end"/>
      </w:r>
      <w:r w:rsidR="001F36AF" w:rsidRPr="006818EE">
        <w:t xml:space="preserve"> Analysis of co-crystal structures reveals that the ADEPs mimic the natural isoleucine/leucine-glycine-phenylalanine (I/LGF) loop utilized by AAA+ cochaperones for ClpP binding and thus bind competitively to the same pocket.</w:t>
      </w:r>
      <w:r w:rsidR="001F36AF">
        <w:fldChar w:fldCharType="begin"/>
      </w:r>
      <w:r w:rsidR="001F36AF">
        <w:instrText>ADDIN F1000_CSL_CITATION&lt;~#@#~&gt;[{"DOI":"10.1038/nsmb.1787","First":false,"Last":false,"PMID":"20305655","abstract":"Clp-family proteins are prototypes for studying the mechanism of ATP-dependent proteases because the proteolytic activity of the ClpP core is tightly regulated by activating Clp-ATPases. Nonetheless, the proteolytic activation mechanism has remained elusive because of the lack of a complex structure. Acyldepsipeptides (ADEPs), a recently discovered class of antibiotics, activate and disregulate ClpP. Here we have elucidated the structural changes underlying the ClpP activation process by ADEPs. We present the structures of Bacillus subtilis ClpP alone and in complex with ADEP1 and ADEP2. The structures show the closed-to-open-gate transition of the ClpP N-terminal segments upon activation as well as conformational changes restricted to the upper portion of ClpP. The direction of the conformational movement and the hydrophobic clustering that stabilizes the closed structure are markedly different from those of other ATP-dependent proteases, providing unprecedented insights into the activation of ClpP.","author":[{"family":"Lee","given":"Byung-Gil"},{"family":"Park","given":"Eun Young"},{"family":"Lee","given":"Kyung-Eun"},{"family":"Jeon","given":"Hyesung"},{"family":"Sung","given":"Kwang Hoon"},{"family":"Paulsen","given":"Holger"},{"family":"Rübsamen-Schaeff","given":"Helga"},{"family":"Brötz-Oesterhelt","given":"Heike"},{"family":"Song","given":"Hyun Kyu"}],"authorYearDisplayFormat":false,"citation-label":"5829011","container-title":"Nature Structural &amp; Molecular Biology","container-title-short":"Nat. Struct. Mol. Biol.","id":"5829011","invisible":false,"issue":"4","issued":{"date-parts":[["2010","4"]]},"journalAbbreviation":"Nat. Struct. Mol. Biol.","page":"471-478","suppress-author":false,"title":"Structures of ClpP in complex with acyldepsipeptide antibiotics reveal its activation mechanism.","type":"article-journal","volume":"17"},{"DOI":"10.1016/j.chembiol.2010.07.008","First":false,"Last":false,"PMCID":"PMC2955292","PMID":"20851345","abstract":"In ClpXP and ClpAP complexes, ClpA and ClpX use the energy of ATP hydrolysis to unfold proteins and translocate them into the self-compartmentalized ClpP protease. ClpP requires the ATPases to degrade folded or unfolded substrates, but binding of acyldepsipeptide antibiotics (ADEPs) to ClpP bypasses this requirement with unfolded proteins. We present the crystal structure of Escherichia coli ClpP bound to ADEP1 and report the structural changes underlying ClpP activation. ADEP1 binds in the hydrophobic groove that serves as the primary docking site for ClpP ATPases. Binding of ADEP1 locks the N-terminal loops of ClpP in a β-hairpin conformation, generating a stable pore through which extended polypeptides can be threaded. This structure serves as a model for ClpP in the holoenzyme ClpAP and ClpXP complexes and provides critical information to further develop this class of antibiotics.&lt;br&gt;&lt;br&gt;Copyright © 2010 Elsevier Ltd. All rights reserved.","author":[{"family":"Li","given":"Dominic Him Shun"},{"family":"Chung","given":"Yu Seon"},{"family":"Gloyd","given":"Melanie"},{"family":"Joseph","given":"Ebenezer"},{"family":"Ghirlando","given":"Rodolfo"},{"family":"Wright","given":"Gerard D"},{"family":"Cheng","given":"Yi-Qiang"},{"family":"Maurizi","given":"Michael R"},{"family":"Guarné","given":"Alba"},{"family":"Ortega","given":"Joaquin"}],"authorYearDisplayFormat":false,"citation-label":"5898323","container-title":"Chemistry &amp; Biology","container-title-short":"Chem. Biol.","id":"5898323","invisible":false,"issue":"9","issued":{"date-parts":[["2010","9","24"]]},"journalAbbreviation":"Chem. Biol.","page":"959-969","suppress-author":false,"title":"Acyldepsipeptide antibiotics induce the formation of a structured axial channel in ClpP: A model for the ClpX/ClpA-bound state of ClpP.","type":"article-journal","volume":"17"}]</w:instrText>
      </w:r>
      <w:r w:rsidR="001F36AF">
        <w:fldChar w:fldCharType="separate"/>
      </w:r>
      <w:r w:rsidR="001F36AF" w:rsidRPr="00614784">
        <w:rPr>
          <w:noProof/>
          <w:vertAlign w:val="superscript"/>
        </w:rPr>
        <w:t>34,35</w:t>
      </w:r>
      <w:r w:rsidR="001F36AF">
        <w:fldChar w:fldCharType="end"/>
      </w:r>
      <w:r w:rsidR="001F36AF" w:rsidRPr="006818EE">
        <w:t xml:space="preserve"> As such, activators </w:t>
      </w:r>
      <w:r w:rsidR="001F36AF" w:rsidRPr="006818EE">
        <w:lastRenderedPageBreak/>
        <w:t>of ClpP operate via two mechanisms of action: 1) activating the ClpP protease and inducing unselective degradation; and 2) inhibiting the interaction of AAA+ cochaperones with ClpP, thus disrupting the ability of cochaperones to deliver natural substrates for degradation. Therefore, bacterial cells treated with ClpP activators suffer from simultaneous self-digestion and a build-up of toxic substrates, resulting in a dual attack on microbes. Recent interest in pursuing ADEPs for CDI treatment has appeared in literature, but no experimental assessment has followed.</w:t>
      </w:r>
      <w:r w:rsidR="001F36AF">
        <w:fldChar w:fldCharType="begin"/>
      </w:r>
      <w:r w:rsidR="001F36AF">
        <w:instrText>ADDIN F1000_CSL_CITATION&lt;~#@#~&gt;[{"DOI":"10.2217/fmb-2016-0064","First":false,"Last":false,"PMID":"27546386","abstract":"Alternative antimicrobial therapies based on acyldepsipeptides may hold promising results, based on the fact that they have shown to efficiently eradicate persister cells, stationary cells and cell in biofilm structures of several pathogenic bacteria from the infected host. Clostridium difficile infection is considered the result of extensive hospital use of expanded-spectrum antibiotics, which cause dysbiosis of the intestinal microbiota, enhancing susceptibility to infection and persistence. Considering the urgent need for the development of novel and efficient antimicrobial strategies against C. difficile, we review the potential application to treat C. difficile infections of acyldepsipeptides family of antibiotics, its mechanism of action and current developmental stages.","author":[{"family":"Gil","given":"Fernando"},{"family":"Paredes-Sabja","given":"Daniel"}],"authorYearDisplayFormat":false,"citation-label":"6788107","container-title":"Future Microbiology","container-title-short":"Future Microbiol.","id":"6788107","invisible":false,"issued":{"date-parts":[["2016","8","22"]]},"journalAbbreviation":"Future Microbiol.","page":"1179-1189","suppress-author":false,"title":"Acyldepsipeptide antibiotics as a potential therapeutic agent against Clostridium difficile recurrent infections.","type":"article-journal","volume":"11"}]</w:instrText>
      </w:r>
      <w:r w:rsidR="001F36AF">
        <w:fldChar w:fldCharType="separate"/>
      </w:r>
      <w:r w:rsidR="001F36AF" w:rsidRPr="00614784">
        <w:rPr>
          <w:noProof/>
          <w:vertAlign w:val="superscript"/>
        </w:rPr>
        <w:t>36</w:t>
      </w:r>
      <w:r w:rsidR="001F36AF">
        <w:fldChar w:fldCharType="end"/>
      </w:r>
    </w:p>
    <w:p w14:paraId="38B3B933" w14:textId="77777777" w:rsidR="002F3553" w:rsidRDefault="00152AAE" w:rsidP="002F3553">
      <w:pPr>
        <w:keepNext/>
        <w:spacing w:line="240" w:lineRule="auto"/>
        <w:contextualSpacing/>
        <w:jc w:val="both"/>
      </w:pPr>
      <w:r w:rsidRPr="006818EE">
        <w:rPr>
          <w:noProof/>
        </w:rPr>
        <w:object w:dxaOrig="22429" w:dyaOrig="6083" w14:anchorId="41AF7F93">
          <v:shape id="_x0000_i1028" type="#_x0000_t75" alt="" style="width:445.5pt;height:117.75pt;mso-width-percent:0;mso-height-percent:0;mso-width-percent:0;mso-height-percent:0" o:ole="">
            <v:imagedata r:id="rId38" o:title=""/>
          </v:shape>
          <o:OLEObject Type="Embed" ProgID="ChemDraw.Document.6.0" ShapeID="_x0000_i1028" DrawAspect="Content" ObjectID="_1619005649" r:id="rId39"/>
        </w:object>
      </w:r>
    </w:p>
    <w:p w14:paraId="61D4A67A" w14:textId="77777777" w:rsidR="002F3553" w:rsidRPr="002F3553" w:rsidRDefault="002F3553" w:rsidP="002F3553">
      <w:pPr>
        <w:pStyle w:val="Caption"/>
        <w:jc w:val="both"/>
      </w:pPr>
      <w:bookmarkStart w:id="40" w:name="_Toc5807403"/>
      <w:r>
        <w:t xml:space="preserve">Figure </w:t>
      </w:r>
      <w:r w:rsidR="00C93A93">
        <w:t>2.7</w:t>
      </w:r>
      <w:r>
        <w:t xml:space="preserve"> </w:t>
      </w:r>
      <w:r w:rsidR="00B8478A" w:rsidRPr="006818EE">
        <w:t>Susceptibility of ClpP1 and ClpP2 to ADEP activation.</w:t>
      </w:r>
      <w:bookmarkEnd w:id="40"/>
      <w:r w:rsidR="00B8478A" w:rsidRPr="006818EE">
        <w:t xml:space="preserve"> </w:t>
      </w:r>
    </w:p>
    <w:p w14:paraId="36038511" w14:textId="77777777" w:rsidR="00B8478A" w:rsidRDefault="00B8478A" w:rsidP="00937009">
      <w:pPr>
        <w:spacing w:line="240" w:lineRule="auto"/>
        <w:contextualSpacing/>
        <w:jc w:val="both"/>
      </w:pPr>
      <w:r w:rsidRPr="006818EE">
        <w:t>A) Synthetic ADEP utilized in these experiments. B) dose-dependent ADEP-induced degradation of the decapeptide Abz-DFAPKMALVPY</w:t>
      </w:r>
      <w:r w:rsidRPr="006818EE">
        <w:rPr>
          <w:vertAlign w:val="superscript"/>
        </w:rPr>
        <w:t>NO2</w:t>
      </w:r>
      <w:r w:rsidRPr="006818EE">
        <w:t>. C) Time-dependent ADEP (100 µM) induced degradation of FITC β-casein; ClpP1 (black, triangles) and ClpP2 (blue, squares).</w:t>
      </w:r>
    </w:p>
    <w:p w14:paraId="4014A27C" w14:textId="77777777" w:rsidR="00937009" w:rsidRPr="006818EE" w:rsidRDefault="00937009" w:rsidP="00937009">
      <w:pPr>
        <w:spacing w:line="240" w:lineRule="auto"/>
        <w:contextualSpacing/>
        <w:jc w:val="both"/>
      </w:pPr>
    </w:p>
    <w:p w14:paraId="72AA498F" w14:textId="77777777" w:rsidR="00B8478A" w:rsidRPr="006818EE" w:rsidRDefault="00B8478A" w:rsidP="00C00F4F">
      <w:pPr>
        <w:ind w:firstLine="720"/>
        <w:jc w:val="both"/>
      </w:pPr>
      <w:r w:rsidRPr="006818EE">
        <w:t>To determine the susceptibility of homomeric ClpP1 and ClpP2 to ADEP activation, we incubated both isoforms with serially-diluted concentrations of a synthetic ADEP (</w:t>
      </w:r>
      <w:r w:rsidRPr="006818EE">
        <w:rPr>
          <w:b/>
        </w:rPr>
        <w:t>Figure 2.7A</w:t>
      </w:r>
      <w:r w:rsidRPr="006818EE">
        <w:t>) in the presence of a self-quenching decapeptide (Abz-DFAPKMALVPY</w:t>
      </w:r>
      <w:r w:rsidRPr="006818EE">
        <w:rPr>
          <w:vertAlign w:val="superscript"/>
        </w:rPr>
        <w:t>NO2</w:t>
      </w:r>
      <w:r w:rsidRPr="006818EE">
        <w:t>) or FITC-β-casein. Upon ADEP mediated activation, ClpP will degrade the self-quenching substrate and release quantifiable fluorescence.</w:t>
      </w:r>
      <w:r w:rsidRPr="006818EE">
        <w:rPr>
          <w:iCs/>
        </w:rPr>
        <w:t xml:space="preserve"> As shown in </w:t>
      </w:r>
      <w:r w:rsidRPr="006818EE">
        <w:rPr>
          <w:b/>
          <w:iCs/>
        </w:rPr>
        <w:t>Figure 2.7</w:t>
      </w:r>
      <w:r w:rsidRPr="006818EE">
        <w:rPr>
          <w:iCs/>
        </w:rPr>
        <w:t>,</w:t>
      </w:r>
      <w:r w:rsidRPr="006818EE">
        <w:rPr>
          <w:b/>
          <w:iCs/>
        </w:rPr>
        <w:t xml:space="preserve"> </w:t>
      </w:r>
      <w:r w:rsidRPr="006818EE">
        <w:t>ClpP1 displays a prototypical response to ADEP activation, and efficiently degrades both the decapeptide (</w:t>
      </w:r>
      <w:r w:rsidRPr="006818EE">
        <w:rPr>
          <w:b/>
        </w:rPr>
        <w:t>Figure 2.7B</w:t>
      </w:r>
      <w:r w:rsidRPr="006818EE">
        <w:t>) and protein (</w:t>
      </w:r>
      <w:r w:rsidRPr="006818EE">
        <w:rPr>
          <w:b/>
        </w:rPr>
        <w:t>Figure 2.7C</w:t>
      </w:r>
      <w:r w:rsidRPr="006818EE">
        <w:t xml:space="preserve">) substrates. ClpP2 on the other hand, demonstrates a much lower susceptibility to ADEP activation and fails </w:t>
      </w:r>
      <w:r w:rsidRPr="006818EE">
        <w:lastRenderedPageBreak/>
        <w:t>to produce significant levels of peptidolysis or proteolysis, even at ADEP concentrations as high as 1 mM.</w:t>
      </w:r>
    </w:p>
    <w:p w14:paraId="09D4DCFA" w14:textId="0AD87334" w:rsidR="00B8478A" w:rsidRPr="00937009" w:rsidRDefault="00B8478A" w:rsidP="0012418F">
      <w:pPr>
        <w:pStyle w:val="Heading3"/>
      </w:pPr>
      <w:bookmarkStart w:id="41" w:name="_Toc8392742"/>
      <w:r w:rsidRPr="00937009">
        <w:t>2.</w:t>
      </w:r>
      <w:r w:rsidR="00C363D7">
        <w:t>3</w:t>
      </w:r>
      <w:r w:rsidRPr="00937009">
        <w:t>.</w:t>
      </w:r>
      <w:r w:rsidR="0012418F">
        <w:t>7</w:t>
      </w:r>
      <w:r w:rsidRPr="00937009">
        <w:t xml:space="preserve"> Homology Models Reveal No Obvious Preclusions in ClpP2 Activating Pocket</w:t>
      </w:r>
      <w:bookmarkEnd w:id="41"/>
    </w:p>
    <w:p w14:paraId="462E1732" w14:textId="7C08DA85" w:rsidR="00B8478A" w:rsidRPr="006818EE" w:rsidRDefault="00B8478A" w:rsidP="00B8478A">
      <w:pPr>
        <w:ind w:firstLine="720"/>
        <w:jc w:val="both"/>
      </w:pPr>
      <w:r w:rsidRPr="006818EE">
        <w:t xml:space="preserve">Intrigued by the response of ClpP2 to co-chaperone activation while exhibiting significantly less susceptibility to ADEP activation, we generated homology models to aid in visualization of the ADEP binding pocket and elucidate any amino acid substitutions that may preclude ADEP binding. ClpP from </w:t>
      </w:r>
      <w:r w:rsidRPr="006818EE">
        <w:rPr>
          <w:i/>
        </w:rPr>
        <w:t>Bacillus subtilis</w:t>
      </w:r>
      <w:r w:rsidRPr="006818EE">
        <w:t xml:space="preserve"> exhibits 74% and 63% sequence identity to </w:t>
      </w:r>
      <w:r w:rsidR="00AB3480" w:rsidRPr="00AB3480">
        <w:rPr>
          <w:i/>
        </w:rPr>
        <w:t>C. difficile</w:t>
      </w:r>
      <w:r w:rsidRPr="006818EE">
        <w:t xml:space="preserve"> ClpP1 and ClpP2, respectively and was thus utilized to generate the models (SWISS-MODEL). Assessment of the primary sequences (</w:t>
      </w:r>
      <w:r w:rsidRPr="006818EE">
        <w:rPr>
          <w:b/>
        </w:rPr>
        <w:t>Figure 2.3</w:t>
      </w:r>
      <w:r w:rsidRPr="006818EE">
        <w:t>) and models (</w:t>
      </w:r>
      <w:r w:rsidRPr="006818EE">
        <w:rPr>
          <w:b/>
        </w:rPr>
        <w:t>Figure 2.8</w:t>
      </w:r>
      <w:r w:rsidRPr="006818EE">
        <w:t xml:space="preserve">), however, failed to reveal any obvious amino acid substitutions that would allow one to predict less efficient ADEP binding. This leaves us to speculate that alterations in the primary sequence outside of the cochaperone/ADEP binding pocket may lead to subtle perturbations of higher order ClpP structures that result in ADEP insensitivity while maintaining natural function. Adding intrigue to this speculation is an observation that in hypervirulent strains of </w:t>
      </w:r>
      <w:r w:rsidR="00AB3480" w:rsidRPr="00AB3480">
        <w:rPr>
          <w:i/>
        </w:rPr>
        <w:t>C. difficile</w:t>
      </w:r>
      <w:r w:rsidRPr="006818EE">
        <w:t xml:space="preserve">, the primary sequence of ClpP1 and ClpP2 retain complete sequence identity to </w:t>
      </w:r>
      <w:r w:rsidR="00AB3480" w:rsidRPr="00AB3480">
        <w:rPr>
          <w:i/>
        </w:rPr>
        <w:t>C. difficile</w:t>
      </w:r>
      <w:r w:rsidRPr="006818EE">
        <w:t xml:space="preserve"> 630, but include three FT amino acid insertions. Studies are ongoing to determine the effect of those insertions on ClpP1 and ClpP2 functionality. Systematic insertions of this type in other ClpP isoforms has not been previously reported, nor do they occur in characteristic structural motifs relevant to ADEP activation. </w:t>
      </w:r>
    </w:p>
    <w:p w14:paraId="713CB1BA" w14:textId="77777777" w:rsidR="00C00F4F" w:rsidRDefault="00152AAE" w:rsidP="00C00F4F">
      <w:pPr>
        <w:keepNext/>
        <w:spacing w:line="240" w:lineRule="auto"/>
        <w:contextualSpacing/>
      </w:pPr>
      <w:r w:rsidRPr="006818EE">
        <w:rPr>
          <w:noProof/>
        </w:rPr>
        <w:object w:dxaOrig="16925" w:dyaOrig="7095" w14:anchorId="4126D01B">
          <v:shape id="_x0000_i1027" type="#_x0000_t75" alt="" style="width:426pt;height:177pt;mso-width-percent:0;mso-height-percent:0;mso-width-percent:0;mso-height-percent:0" o:ole="">
            <v:imagedata r:id="rId40" o:title=""/>
          </v:shape>
          <o:OLEObject Type="Embed" ProgID="ChemDraw.Document.6.0" ShapeID="_x0000_i1027" DrawAspect="Content" ObjectID="_1619005650" r:id="rId41"/>
        </w:object>
      </w:r>
    </w:p>
    <w:p w14:paraId="407B213C" w14:textId="77777777" w:rsidR="00C00F4F" w:rsidRPr="00C00F4F" w:rsidRDefault="00C00F4F" w:rsidP="00582CF7">
      <w:pPr>
        <w:pStyle w:val="Caption"/>
        <w:jc w:val="both"/>
      </w:pPr>
      <w:bookmarkStart w:id="42" w:name="_Toc5807404"/>
      <w:r>
        <w:t xml:space="preserve">Figure </w:t>
      </w:r>
      <w:r w:rsidR="00C93A93">
        <w:t>2.8</w:t>
      </w:r>
      <w:r>
        <w:t xml:space="preserve"> </w:t>
      </w:r>
      <w:r w:rsidR="00B8478A" w:rsidRPr="006818EE">
        <w:t xml:space="preserve">Depiction of the A) ClpP1 and B) ClpP2 ADEP binding pockets based on homology modeling with </w:t>
      </w:r>
      <w:r w:rsidR="00B8478A" w:rsidRPr="006818EE">
        <w:rPr>
          <w:i/>
        </w:rPr>
        <w:t xml:space="preserve">Bacillus subtilis </w:t>
      </w:r>
      <w:r w:rsidR="00B8478A" w:rsidRPr="006818EE">
        <w:t>ClpP.</w:t>
      </w:r>
      <w:bookmarkEnd w:id="42"/>
      <w:r w:rsidR="00B8478A" w:rsidRPr="006818EE">
        <w:t xml:space="preserve"> </w:t>
      </w:r>
    </w:p>
    <w:p w14:paraId="4EB6CD98" w14:textId="77777777" w:rsidR="00B8478A" w:rsidRPr="006818EE" w:rsidRDefault="00B8478A" w:rsidP="00582CF7">
      <w:pPr>
        <w:spacing w:line="240" w:lineRule="auto"/>
        <w:contextualSpacing/>
        <w:jc w:val="both"/>
      </w:pPr>
      <w:r w:rsidRPr="006818EE">
        <w:t>Prime numbers indicate one ClpP subunit and non-prime numbers another. Gray indicates the culled surface of ClpP with a solvent radius set to 2.0 Å.</w:t>
      </w:r>
    </w:p>
    <w:p w14:paraId="55FA0F0B" w14:textId="77777777" w:rsidR="00B8478A" w:rsidRPr="006818EE" w:rsidRDefault="00B8478A" w:rsidP="00B8478A">
      <w:pPr>
        <w:jc w:val="both"/>
      </w:pPr>
    </w:p>
    <w:p w14:paraId="751FF621" w14:textId="7442E68F" w:rsidR="00B8478A" w:rsidRPr="0090150D" w:rsidRDefault="00B8478A" w:rsidP="004E7821">
      <w:pPr>
        <w:pStyle w:val="Heading2"/>
      </w:pPr>
      <w:bookmarkStart w:id="43" w:name="_Toc530397216"/>
      <w:bookmarkStart w:id="44" w:name="_Toc8392743"/>
      <w:r w:rsidRPr="0090150D">
        <w:t>2.</w:t>
      </w:r>
      <w:r w:rsidR="00C5406D">
        <w:t>3</w:t>
      </w:r>
      <w:r w:rsidRPr="0090150D">
        <w:t xml:space="preserve"> Conclusion</w:t>
      </w:r>
      <w:bookmarkEnd w:id="43"/>
      <w:bookmarkEnd w:id="44"/>
    </w:p>
    <w:p w14:paraId="663247B9" w14:textId="215E787A" w:rsidR="00B8478A" w:rsidRPr="006818EE" w:rsidRDefault="00B8478A" w:rsidP="00B8478A">
      <w:pPr>
        <w:ind w:firstLine="720"/>
        <w:jc w:val="both"/>
        <w:rPr>
          <w:rFonts w:ascii="Times" w:hAnsi="Times"/>
        </w:rPr>
      </w:pPr>
      <w:r w:rsidRPr="006818EE">
        <w:rPr>
          <w:rFonts w:ascii="Times" w:hAnsi="Times"/>
        </w:rPr>
        <w:t xml:space="preserve">Reported mechanisms of evolved resistance to ADEP activation include efflux pump upregulation and point mutations close to the active site (e.g., T182A), resulting in impaired proteolytic activity. Both of these observations were obtained from </w:t>
      </w:r>
      <w:r w:rsidRPr="006818EE">
        <w:rPr>
          <w:rFonts w:ascii="Times" w:hAnsi="Times"/>
          <w:i/>
        </w:rPr>
        <w:t>E. coli</w:t>
      </w:r>
      <w:r w:rsidRPr="006818EE">
        <w:rPr>
          <w:rFonts w:ascii="Times" w:hAnsi="Times"/>
        </w:rPr>
        <w:t>. Unspecified point mutations that eliminate proteolytic activity have also been generated in a laboratory setting at a frequency range of 1</w:t>
      </w:r>
      <w:r w:rsidR="00474227">
        <w:rPr>
          <w:rFonts w:ascii="Times" w:hAnsi="Times"/>
        </w:rPr>
        <w:t>0</w:t>
      </w:r>
      <w:r w:rsidR="00474227" w:rsidRPr="00474227">
        <w:rPr>
          <w:vertAlign w:val="superscript"/>
        </w:rPr>
        <w:t>6</w:t>
      </w:r>
      <w:r w:rsidRPr="006818EE">
        <w:rPr>
          <w:rFonts w:ascii="Times" w:hAnsi="Times"/>
        </w:rPr>
        <w:t xml:space="preserve"> in </w:t>
      </w:r>
      <w:r w:rsidRPr="006818EE">
        <w:rPr>
          <w:rFonts w:ascii="Times" w:hAnsi="Times"/>
          <w:i/>
        </w:rPr>
        <w:t xml:space="preserve">E. faecalis </w:t>
      </w:r>
      <w:r w:rsidRPr="006818EE">
        <w:rPr>
          <w:rFonts w:ascii="Times" w:hAnsi="Times"/>
        </w:rPr>
        <w:t xml:space="preserve">and </w:t>
      </w:r>
      <w:r w:rsidRPr="006818EE">
        <w:rPr>
          <w:rFonts w:ascii="Times" w:hAnsi="Times"/>
          <w:i/>
        </w:rPr>
        <w:t>S. pneumoniae</w:t>
      </w:r>
      <w:r w:rsidRPr="006818EE">
        <w:rPr>
          <w:rFonts w:ascii="Times" w:hAnsi="Times"/>
        </w:rPr>
        <w:t xml:space="preserve">. All of these studies have been conducted in single ClpP gene containing organisms. We believe that more complex resistance or redundancy mechanisms may exist in multi-ClpP organisms and that studying these systems will reveal new insights into ClpP modulation as a therapeutic strategy and possible resistance evolution. Analysis of previous </w:t>
      </w:r>
      <w:r w:rsidR="00AB3480" w:rsidRPr="00AB3480">
        <w:rPr>
          <w:i/>
        </w:rPr>
        <w:t>C. difficile</w:t>
      </w:r>
      <w:r w:rsidRPr="006818EE">
        <w:rPr>
          <w:rFonts w:ascii="Times" w:hAnsi="Times"/>
          <w:i/>
        </w:rPr>
        <w:t xml:space="preserve"> </w:t>
      </w:r>
      <w:r w:rsidRPr="006818EE">
        <w:rPr>
          <w:rFonts w:ascii="Times" w:hAnsi="Times"/>
        </w:rPr>
        <w:t xml:space="preserve">genomic and proteomic studies indicated that the ClpP system in this organism may exhibit a behavior distinct from other multi-ClpP organisms interrogated to date and thus inspired us to begin studying this system in </w:t>
      </w:r>
      <w:r w:rsidR="00AB3480" w:rsidRPr="00AB3480">
        <w:rPr>
          <w:i/>
        </w:rPr>
        <w:t>C. difficile</w:t>
      </w:r>
      <w:r w:rsidRPr="006818EE">
        <w:rPr>
          <w:rFonts w:ascii="Times" w:hAnsi="Times"/>
        </w:rPr>
        <w:t>.</w:t>
      </w:r>
    </w:p>
    <w:p w14:paraId="31F6683D" w14:textId="23C660B5" w:rsidR="00B8478A" w:rsidRPr="006818EE" w:rsidRDefault="00B8478A" w:rsidP="00B8478A">
      <w:pPr>
        <w:ind w:firstLine="720"/>
        <w:jc w:val="both"/>
      </w:pPr>
      <w:r w:rsidRPr="006818EE">
        <w:lastRenderedPageBreak/>
        <w:t xml:space="preserve">The data demonstrate that the proteolytic activity and susceptibility to chemo-activation differ between </w:t>
      </w:r>
      <w:r w:rsidR="00AB3480" w:rsidRPr="00AB3480">
        <w:rPr>
          <w:i/>
        </w:rPr>
        <w:t>C. difficile</w:t>
      </w:r>
      <w:r w:rsidRPr="006818EE">
        <w:rPr>
          <w:i/>
        </w:rPr>
        <w:t xml:space="preserve"> </w:t>
      </w:r>
      <w:r w:rsidRPr="006818EE">
        <w:t>ClpP1 and ClpP2 and that these two isoforms are capable of functioning in an uncoupled fashion. This has yet to be observed in other multi-</w:t>
      </w:r>
      <w:r w:rsidRPr="006818EE">
        <w:rPr>
          <w:i/>
        </w:rPr>
        <w:t>clpP</w:t>
      </w:r>
      <w:r w:rsidRPr="006818EE">
        <w:t xml:space="preserve"> organisms (e.g., </w:t>
      </w:r>
      <w:r w:rsidRPr="006818EE">
        <w:rPr>
          <w:i/>
        </w:rPr>
        <w:t>M. tuberculosis, L. monocytogenes, S. elongatus</w:t>
      </w:r>
      <w:r w:rsidRPr="006818EE">
        <w:t xml:space="preserve">), which require both ClpP1 and ClpP2 to form functionally relevant heterotetradecameric proteolytic complexes. Recently, it was reported that ClpP1 and ClpP2 of </w:t>
      </w:r>
      <w:r w:rsidRPr="006818EE">
        <w:rPr>
          <w:i/>
        </w:rPr>
        <w:t>P. aeruginosa</w:t>
      </w:r>
      <w:r w:rsidRPr="006818EE">
        <w:t xml:space="preserve"> exhibit different expression profiles and disparate biological roles, but reconstitution of an active or fully assembled ClpP2 homomeric complex could not be obtained </w:t>
      </w:r>
      <w:r w:rsidRPr="006818EE">
        <w:rPr>
          <w:i/>
        </w:rPr>
        <w:t>in vitro</w:t>
      </w:r>
      <w:r w:rsidRPr="006818EE">
        <w:t>. Thus, to the best of our knowledge, for the first time in a multi-</w:t>
      </w:r>
      <w:r w:rsidRPr="006818EE">
        <w:rPr>
          <w:i/>
        </w:rPr>
        <w:t xml:space="preserve">clpP </w:t>
      </w:r>
      <w:r w:rsidRPr="006818EE">
        <w:t xml:space="preserve">organism, we demonstrate that both isoforms are capable of forming operative proteases. These results clearly differentiate the ClpP system of </w:t>
      </w:r>
      <w:r w:rsidR="00AB3480" w:rsidRPr="00AB3480">
        <w:rPr>
          <w:i/>
        </w:rPr>
        <w:t>C. difficile</w:t>
      </w:r>
      <w:r w:rsidRPr="006818EE">
        <w:t xml:space="preserve"> and highlight the possibilities of 1) uncoupled function of ClpP isoforms in pathogenic bacteria and 2) selective or specific modulation of one isoform over another.</w:t>
      </w:r>
    </w:p>
    <w:p w14:paraId="5509B271" w14:textId="3EE8FBB3" w:rsidR="00B8478A" w:rsidRPr="006818EE" w:rsidRDefault="00B8478A" w:rsidP="00B8478A">
      <w:pPr>
        <w:ind w:firstLine="720"/>
        <w:jc w:val="both"/>
      </w:pPr>
      <w:r w:rsidRPr="006818EE">
        <w:t xml:space="preserve">The studies presented herein lay a foundation for more detailed characterization of the structure, function, and behavior of the ClpP system in </w:t>
      </w:r>
      <w:r w:rsidR="00AB3480" w:rsidRPr="00AB3480">
        <w:rPr>
          <w:i/>
        </w:rPr>
        <w:t>C. difficile</w:t>
      </w:r>
      <w:r w:rsidRPr="006818EE">
        <w:rPr>
          <w:i/>
        </w:rPr>
        <w:t xml:space="preserve">, </w:t>
      </w:r>
      <w:r w:rsidRPr="006818EE">
        <w:t xml:space="preserve">as many questions remain to be answered. For example, is it possible for ClpP1 and ClpP2 to form operable heterogenous tetradecamers like those exhibited by </w:t>
      </w:r>
      <w:r w:rsidRPr="006818EE">
        <w:rPr>
          <w:i/>
        </w:rPr>
        <w:t>S. elongates</w:t>
      </w:r>
      <w:r w:rsidRPr="006818EE">
        <w:t xml:space="preserve">, </w:t>
      </w:r>
      <w:r w:rsidRPr="006818EE">
        <w:rPr>
          <w:i/>
        </w:rPr>
        <w:t>M. tuberculosis</w:t>
      </w:r>
      <w:r w:rsidRPr="006818EE">
        <w:t xml:space="preserve">, and </w:t>
      </w:r>
      <w:r w:rsidRPr="006818EE">
        <w:rPr>
          <w:i/>
        </w:rPr>
        <w:t>L. monocytogenes</w:t>
      </w:r>
      <w:r w:rsidRPr="006818EE">
        <w:t xml:space="preserve">? If so, how does the activity and susceptibility to chemo-modulation compare to the homogenous complexes? This question is not one that can be answered merely by mixing the two isoforms together. Rather, extensive protein science and analytical work are necessary to assess heteromeric formation and to determine the stoichomeric ratio of each isoform. What are the structural nuances that differentiate operative ClpP complexes and their responses to ADEP activation? This question is particularly interesting because no obvious characteristics emerge during the analysis of </w:t>
      </w:r>
      <w:r w:rsidRPr="006818EE">
        <w:lastRenderedPageBreak/>
        <w:t xml:space="preserve">the primary sequences. Answering this question will likely require structural characterization of these complexes. While continued biochemical and biophysical evaluation of reconstituted </w:t>
      </w:r>
      <w:r w:rsidR="00AB3480" w:rsidRPr="00AB3480">
        <w:rPr>
          <w:i/>
        </w:rPr>
        <w:t>C. difficile</w:t>
      </w:r>
      <w:r w:rsidRPr="006818EE">
        <w:t xml:space="preserve"> ClpP complexes will undoubtedly lead to new insights about enzyme kinetics and structure, genetic manipulation of the ClpP system in </w:t>
      </w:r>
      <w:r w:rsidR="00AB3480" w:rsidRPr="00AB3480">
        <w:rPr>
          <w:i/>
        </w:rPr>
        <w:t>C. difficile</w:t>
      </w:r>
      <w:r w:rsidRPr="006818EE">
        <w:t xml:space="preserve"> is essential to understanding the biological significance and therapeutic potential. These studies are ongoing, and results will be presented in due course. </w:t>
      </w:r>
    </w:p>
    <w:p w14:paraId="700F816C" w14:textId="77777777" w:rsidR="00B8478A" w:rsidRPr="006818EE" w:rsidRDefault="00B8478A" w:rsidP="00B8478A"/>
    <w:p w14:paraId="1DE50D6A" w14:textId="5917D7AB" w:rsidR="00B8478A" w:rsidRPr="0090150D" w:rsidRDefault="00B8478A" w:rsidP="004E7821">
      <w:pPr>
        <w:pStyle w:val="Heading2"/>
      </w:pPr>
      <w:bookmarkStart w:id="45" w:name="_Toc530397217"/>
      <w:bookmarkStart w:id="46" w:name="_Toc8392744"/>
      <w:r w:rsidRPr="0090150D">
        <w:t>2.</w:t>
      </w:r>
      <w:r w:rsidR="00C5406D">
        <w:t>4</w:t>
      </w:r>
      <w:r w:rsidRPr="0090150D">
        <w:t xml:space="preserve"> Materials and Methods</w:t>
      </w:r>
      <w:bookmarkEnd w:id="45"/>
      <w:bookmarkEnd w:id="46"/>
    </w:p>
    <w:p w14:paraId="774054AD" w14:textId="77777777" w:rsidR="00B8478A" w:rsidRPr="006818EE" w:rsidRDefault="00B8478A" w:rsidP="004F08F0">
      <w:pPr>
        <w:ind w:firstLine="720"/>
      </w:pPr>
      <w:r w:rsidRPr="006818EE">
        <w:t>Unless otherwise noted, all ClpP concentrations are expressed as the tetradecameric (ClpP</w:t>
      </w:r>
      <w:r w:rsidRPr="006818EE">
        <w:rPr>
          <w:vertAlign w:val="subscript"/>
        </w:rPr>
        <w:t>14</w:t>
      </w:r>
      <w:r w:rsidRPr="006818EE">
        <w:t xml:space="preserve">) protease. </w:t>
      </w:r>
    </w:p>
    <w:p w14:paraId="79FD6163" w14:textId="586DCC8A" w:rsidR="00B8478A" w:rsidRPr="00937009" w:rsidRDefault="00B8478A" w:rsidP="0012418F">
      <w:pPr>
        <w:pStyle w:val="Heading3"/>
      </w:pPr>
      <w:bookmarkStart w:id="47" w:name="_Toc8392745"/>
      <w:r w:rsidRPr="00937009">
        <w:t>2.</w:t>
      </w:r>
      <w:r w:rsidR="00CE2EFC">
        <w:t>4</w:t>
      </w:r>
      <w:r w:rsidRPr="00937009">
        <w:t>.1 Expression and Purification of ClpP1 and ClpP2.</w:t>
      </w:r>
      <w:bookmarkEnd w:id="47"/>
      <w:r w:rsidRPr="00937009">
        <w:t xml:space="preserve"> </w:t>
      </w:r>
    </w:p>
    <w:p w14:paraId="088E0C94" w14:textId="5359ADEF" w:rsidR="00B8478A" w:rsidRPr="006818EE" w:rsidRDefault="00B8478A" w:rsidP="00B8478A">
      <w:pPr>
        <w:ind w:firstLine="720"/>
        <w:jc w:val="both"/>
      </w:pPr>
      <w:r w:rsidRPr="006818EE">
        <w:rPr>
          <w:i/>
          <w:iCs/>
        </w:rPr>
        <w:t>clpP1</w:t>
      </w:r>
      <w:r w:rsidRPr="006818EE">
        <w:t xml:space="preserve"> (YP_001089821.1) and </w:t>
      </w:r>
      <w:r w:rsidRPr="006818EE">
        <w:rPr>
          <w:i/>
          <w:iCs/>
        </w:rPr>
        <w:t>clp</w:t>
      </w:r>
      <w:r w:rsidR="0012418F">
        <w:rPr>
          <w:i/>
          <w:iCs/>
        </w:rPr>
        <w:t>P</w:t>
      </w:r>
      <w:r w:rsidRPr="006818EE">
        <w:rPr>
          <w:i/>
          <w:iCs/>
        </w:rPr>
        <w:t>2</w:t>
      </w:r>
      <w:r w:rsidRPr="006818EE">
        <w:t xml:space="preserve"> (YP_001089868.1) were synthesized with a Poly-His(6x) C-terminal tag, codon optimized, and cloned into pET28a by Genscript USA (Piscataway, NJ). </w:t>
      </w:r>
      <w:r w:rsidRPr="006818EE">
        <w:rPr>
          <w:i/>
        </w:rPr>
        <w:t xml:space="preserve">clpX </w:t>
      </w:r>
      <w:r w:rsidRPr="006818EE">
        <w:t xml:space="preserve">(YP_001089820.1) with a TEV-cleavable Poly-His(6x) N-terminal tag was also synthesized by Genscript USA, codon optimized, and cloned into pET21a. All plasmids were transformed into Rosetta (DE3) and </w:t>
      </w:r>
      <w:r w:rsidRPr="006818EE">
        <w:sym w:font="Symbol" w:char="F044"/>
      </w:r>
      <w:r w:rsidRPr="006818EE">
        <w:rPr>
          <w:i/>
          <w:iCs/>
        </w:rPr>
        <w:t>Ec</w:t>
      </w:r>
      <w:r w:rsidRPr="006818EE">
        <w:t>ClpP (DE3) cells (a gracious gift from Dr. Robert Sauer’s laboratory) for expression, through standard techniques. M4100 (DE3) cells (</w:t>
      </w:r>
      <w:r w:rsidRPr="006818EE">
        <w:sym w:font="Symbol" w:char="F044"/>
      </w:r>
      <w:r w:rsidRPr="006818EE">
        <w:rPr>
          <w:i/>
          <w:iCs/>
        </w:rPr>
        <w:t>Ec</w:t>
      </w:r>
      <w:r w:rsidRPr="006818EE">
        <w:t>ClpX) possessing ssrA-tagged (LAA)-GFP with a Poly-His(6x) N-terminal tag was provided as a gracious gift from Dr. Tania A. Baker’s laboratory, and was expressed and purified as previously described.</w:t>
      </w:r>
      <w:r>
        <w:rPr>
          <w:vertAlign w:val="superscript"/>
        </w:rPr>
        <w:t>17</w:t>
      </w:r>
      <w:r w:rsidRPr="006818EE">
        <w:t xml:space="preserve"> All purified proteins were flash frozen in liquid N</w:t>
      </w:r>
      <w:r w:rsidRPr="006818EE">
        <w:rPr>
          <w:vertAlign w:val="subscript"/>
        </w:rPr>
        <w:t>2</w:t>
      </w:r>
      <w:r w:rsidRPr="006818EE">
        <w:t xml:space="preserve"> and stored at -80 °C until needed. </w:t>
      </w:r>
    </w:p>
    <w:p w14:paraId="4C8535C0" w14:textId="77777777" w:rsidR="00B8478A" w:rsidRPr="006818EE" w:rsidRDefault="00B8478A" w:rsidP="00B8478A">
      <w:pPr>
        <w:ind w:firstLine="720"/>
        <w:jc w:val="both"/>
      </w:pPr>
      <w:r w:rsidRPr="006818EE">
        <w:t>To express ClpP1, ClpP2, and ClpX, a 4L culture was inoculated with an overnight stock (1:100) and grown to an OD</w:t>
      </w:r>
      <w:r w:rsidRPr="006818EE">
        <w:rPr>
          <w:vertAlign w:val="subscript"/>
        </w:rPr>
        <w:t>600</w:t>
      </w:r>
      <w:r w:rsidRPr="006818EE">
        <w:t xml:space="preserve"> of 0.5 – 0.7, shaking at 250rpm at 37 °C. Prior to induction with 1 mM IPTG, the temperature was decreased to 18 °C and shaking was </w:t>
      </w:r>
      <w:r w:rsidRPr="006818EE">
        <w:lastRenderedPageBreak/>
        <w:t xml:space="preserve">reduced to 180 rpm. Overexpression was carried out over 16-18 h at 18 °C, shaking at 180 rpm. The bacteria were pelleted via centrifugation (5000 </w:t>
      </w:r>
      <w:r w:rsidRPr="006818EE">
        <w:rPr>
          <w:i/>
        </w:rPr>
        <w:t>g</w:t>
      </w:r>
      <w:r w:rsidRPr="006818EE">
        <w:t xml:space="preserve">, 4 °C, 15 min). The pellet was washed with ice-cold lysis buffer, and stored at -80 °C until lysis. For isolation and purification of ClpP1 and ClpP2, the pellet was resuspended in ice-cold lysis buffer (50 mM Tris pH 8.0, 200 mM NaCl, 10% glycerol), before being loaded into an Emulsiflex cell-disruption system, for four-rounds of lysis at ~15000 psi while being cooled on ice. The lysate was clarified via centrifugation (28500 </w:t>
      </w:r>
      <w:r w:rsidRPr="006818EE">
        <w:rPr>
          <w:i/>
        </w:rPr>
        <w:t>g</w:t>
      </w:r>
      <w:r w:rsidRPr="006818EE">
        <w:t>, 4 °C, 45 min) and loaded onto a 5 mL HF His-Trap column (GE Healthcare) via an NGC Explorer FPLC (Bio-Rad) at 4 °C. The column was washed with 5% His-elution buffer (Tris pH 8.0, 200 mM NaCl, 10% glycerol, 500 mM imidazole) for 20 column volumes (CV). His-tagged protein was eluted with a step-wise increase of Elution Buffer (10/15/30/70/100%), in reverse-flow. Highly pure fractions were collected in 5 mL intervals and concentrated to ~5 mL before injection onto a HiPrep 16/60 Sephacryl S-300 HR Size Exclusion Column (GE Life Sciences). ClpP was exchanged into activity buffer (25 mM HEPES, 100 mM KCl, 5 mM MgCl</w:t>
      </w:r>
      <w:r w:rsidRPr="006818EE">
        <w:rPr>
          <w:vertAlign w:val="subscript"/>
        </w:rPr>
        <w:t>2</w:t>
      </w:r>
      <w:r w:rsidRPr="006818EE">
        <w:t xml:space="preserve">, 1 mM DTT, 10% glycerol) with an NGC Explorer FPLC at 4 °C. ClpP </w:t>
      </w:r>
      <w:r w:rsidRPr="006818EE">
        <w:rPr>
          <w:iCs/>
        </w:rPr>
        <w:t>was</w:t>
      </w:r>
      <w:r w:rsidRPr="006818EE">
        <w:t xml:space="preserve"> concentrated with a 50 kDa MW-cutoff concentrator, and flash frozen until needed. All proteins expressed in the Δ</w:t>
      </w:r>
      <w:r w:rsidRPr="006818EE">
        <w:rPr>
          <w:i/>
        </w:rPr>
        <w:t>Ec</w:t>
      </w:r>
      <w:r w:rsidRPr="006818EE">
        <w:t>ClpP cell line were purified identically, except for induction of expression was accomplished with 0.5 mM IPTG.</w:t>
      </w:r>
    </w:p>
    <w:p w14:paraId="2D6BD221" w14:textId="77777777" w:rsidR="00B8478A" w:rsidRPr="006818EE" w:rsidRDefault="00B8478A" w:rsidP="00B8478A">
      <w:pPr>
        <w:ind w:firstLine="720"/>
        <w:jc w:val="both"/>
      </w:pPr>
      <w:r w:rsidRPr="006818EE">
        <w:t xml:space="preserve">Both isoforms express well in </w:t>
      </w:r>
      <w:r w:rsidRPr="006818EE">
        <w:sym w:font="Symbol" w:char="F044"/>
      </w:r>
      <w:r w:rsidRPr="006818EE">
        <w:rPr>
          <w:i/>
          <w:iCs/>
        </w:rPr>
        <w:t>Ec</w:t>
      </w:r>
      <w:r w:rsidRPr="006818EE">
        <w:t>ClpP cells, and are stable at 4 °C for &gt;1-month. Typical ClpP1 and ClpP2 protein expression yields range from 15-25 mg/mL and 7.5-12.5 mg/mL, respectively. ClpP1 can be concentrated to ~60 mg/mL without any sign of precipitation, while ClpP2 exhibits less stability at concentrations exceeding 12.5 mg/mL. Samples were flash frozen in activity buffer (</w:t>
      </w:r>
      <w:bookmarkStart w:id="48" w:name="_Hlk514490536"/>
      <w:r w:rsidRPr="006818EE">
        <w:t>25 mM HEPES, 100 mM KCl, 5 mM MgCl</w:t>
      </w:r>
      <w:r w:rsidRPr="006818EE">
        <w:rPr>
          <w:vertAlign w:val="subscript"/>
        </w:rPr>
        <w:t>2</w:t>
      </w:r>
      <w:r w:rsidRPr="006818EE">
        <w:t>, 1 mM DTT, 10% glycerol</w:t>
      </w:r>
      <w:bookmarkEnd w:id="48"/>
      <w:r w:rsidRPr="006818EE">
        <w:t>) and stored at -80 ˚C until further use.</w:t>
      </w:r>
    </w:p>
    <w:p w14:paraId="1C690B7D" w14:textId="77777777" w:rsidR="00B8478A" w:rsidRPr="006818EE" w:rsidRDefault="00B8478A" w:rsidP="0075068E">
      <w:pPr>
        <w:ind w:firstLine="720"/>
        <w:jc w:val="both"/>
      </w:pPr>
      <w:r w:rsidRPr="006818EE">
        <w:lastRenderedPageBreak/>
        <w:t>For isolation and purification of</w:t>
      </w:r>
      <w:r w:rsidRPr="006818EE">
        <w:rPr>
          <w:i/>
        </w:rPr>
        <w:t xml:space="preserve"> </w:t>
      </w:r>
      <w:r w:rsidRPr="006818EE">
        <w:t>ClpX, the pellet was resuspended in ice-cold ClpX lysis buffer (50 mM Tris-Cl pH 8.8, 200 mM NaCl, 100 mM KCl, 20 mM imidazole, 10% glycerol). Cells were lysed, and the lysate was clarified in an identical manner to ClpP1 and ClpP2. The clarified lysate was then loaded onto a 5 mL HF His-Trap column, and washed/eluted similar to ClpP1 and ClpP2, except the concentration of imidazole in the His-elution buffer was decreased 300 mM. Fractions were pooled and concentrated to ~5 mL, and buffer exchanged via SEC into ClpX activity buffer (50 mM HEPES pH 7.6, 200 mM KCl, 100mM NaCl, 20 mM MgCl</w:t>
      </w:r>
      <w:r w:rsidRPr="006818EE">
        <w:rPr>
          <w:vertAlign w:val="subscript"/>
        </w:rPr>
        <w:t>2</w:t>
      </w:r>
      <w:r w:rsidRPr="006818EE">
        <w:t>, 1 mM DTT, 10% glycerol). ClpX fractions were concentrated with a 10 kDa MW-cutoff Amicon Ultra concentrator. All assay protein concentrations were obtained via A280 nm readings and are reported as tetradecameric concentrations unless otherwise stated.</w:t>
      </w:r>
    </w:p>
    <w:p w14:paraId="04EA898A" w14:textId="21B15F57" w:rsidR="00B8478A" w:rsidRPr="00937009" w:rsidRDefault="00B8478A" w:rsidP="0012418F">
      <w:pPr>
        <w:pStyle w:val="Heading3"/>
      </w:pPr>
      <w:bookmarkStart w:id="49" w:name="_Toc8392746"/>
      <w:r w:rsidRPr="00937009">
        <w:t>2.</w:t>
      </w:r>
      <w:r w:rsidR="00CE2EFC">
        <w:t>4</w:t>
      </w:r>
      <w:r w:rsidRPr="00937009">
        <w:t>.2 RNA extraction, cDNA preparation, Quantitative Reverse-Transcriptase PCR, and Genomic DNA isolation.</w:t>
      </w:r>
      <w:bookmarkEnd w:id="49"/>
      <w:r w:rsidRPr="00937009">
        <w:t> </w:t>
      </w:r>
    </w:p>
    <w:p w14:paraId="34AB1F6B" w14:textId="0436C989" w:rsidR="00B8478A" w:rsidRPr="006818EE" w:rsidRDefault="00B8478A" w:rsidP="00B8478A">
      <w:pPr>
        <w:ind w:firstLine="720"/>
        <w:jc w:val="both"/>
      </w:pPr>
      <w:r w:rsidRPr="006818EE">
        <w:t>Freezer stocks of </w:t>
      </w:r>
      <w:r w:rsidR="00AB3480" w:rsidRPr="00AB3480">
        <w:rPr>
          <w:i/>
          <w:iCs/>
        </w:rPr>
        <w:t>C. difficile</w:t>
      </w:r>
      <w:r w:rsidRPr="006818EE">
        <w:rPr>
          <w:i/>
          <w:iCs/>
        </w:rPr>
        <w:t xml:space="preserve"> 630</w:t>
      </w:r>
      <w:r w:rsidRPr="006818EE">
        <w:t> were struck onto BHIS agar plates and grown at 37 °C in a Coy vinyl anaerobic chamber (85% N</w:t>
      </w:r>
      <w:r w:rsidRPr="006818EE">
        <w:rPr>
          <w:vertAlign w:val="subscript"/>
        </w:rPr>
        <w:t>2</w:t>
      </w:r>
      <w:r w:rsidRPr="006818EE">
        <w:t>, 5% H</w:t>
      </w:r>
      <w:r w:rsidRPr="006818EE">
        <w:rPr>
          <w:vertAlign w:val="subscript"/>
        </w:rPr>
        <w:t>2</w:t>
      </w:r>
      <w:r w:rsidRPr="006818EE">
        <w:t>, and 10% CO</w:t>
      </w:r>
      <w:r w:rsidRPr="006818EE">
        <w:rPr>
          <w:vertAlign w:val="subscript"/>
        </w:rPr>
        <w:t>2</w:t>
      </w:r>
      <w:r w:rsidRPr="006818EE">
        <w:t>). In biological triplicate, single colonies were picked and used to inoculate ~5 mL of BHIS media. When the absorbance reached OD</w:t>
      </w:r>
      <w:r w:rsidRPr="006818EE">
        <w:rPr>
          <w:vertAlign w:val="subscript"/>
        </w:rPr>
        <w:t>600</w:t>
      </w:r>
      <w:r w:rsidRPr="006818EE">
        <w:rPr>
          <w:i/>
          <w:iCs/>
          <w:vertAlign w:val="subscript"/>
        </w:rPr>
        <w:t> </w:t>
      </w:r>
      <w:r w:rsidRPr="006818EE">
        <w:t xml:space="preserve">of ~0.6 (exponential phase) and ~1.2 (stationary phase) the cultures were harvested. Samples were added directly to 2x volume of RNAprotect Bacteria Reagent (Qiagen) centrifuged at 5,000 x G, 25 °C for 10 minutes, decanted then stored at -20°C until further use. RNeasy Mini kit (Qiagen) was used to isolate the total RNA as described by the manufacturer. Contaminating genomic DNA was removed from the total RNA samples by two rounds of treatment using TURBO DNA-free kit (Invitrogen). cDNA was generated with the SuperScript IV VILO cDNA synthesis kit (Thermo) from 1 μg of total RNA, in 20 μL reactions. Appropriate no RT and no template </w:t>
      </w:r>
      <w:r w:rsidRPr="006818EE">
        <w:lastRenderedPageBreak/>
        <w:t xml:space="preserve">control samples were performed alongside each biological replicate. 1 μL of the cDNA reaction mixture was added to 12.5 μL 2X qPCR iTaq Universal SYBR Green Supermix (Bio-Rad), 10 nM of the forward and reverse primers, and DNAse/RNase free water was added to bring the total PCR reaction volume to 25 μL. A 7500 Fast Real-Time PCR System (Applied Biosystems) was used to perform qPCR (See </w:t>
      </w:r>
      <w:r w:rsidRPr="006818EE">
        <w:rPr>
          <w:b/>
        </w:rPr>
        <w:t xml:space="preserve">Table </w:t>
      </w:r>
      <w:r w:rsidR="00E229A2">
        <w:rPr>
          <w:b/>
        </w:rPr>
        <w:t>A.1</w:t>
      </w:r>
      <w:r w:rsidRPr="006818EE">
        <w:t xml:space="preserve"> for primers) for 40 cycles of amplification at 51.5 °C. qRT-PCR primers were designed utilizing the PrimerQuest tool by Integrated DNA Technologies. Each primer was then put into the NCBI BLAST program to confirm no off-target hits. Primer efficiencies were calculated for each set of primers and are as follows </w:t>
      </w:r>
      <w:r w:rsidRPr="006818EE">
        <w:rPr>
          <w:i/>
          <w:iCs/>
        </w:rPr>
        <w:t>rpoB</w:t>
      </w:r>
      <w:r w:rsidRPr="006818EE">
        <w:t xml:space="preserve"> = 99.1%, </w:t>
      </w:r>
      <w:r w:rsidRPr="006818EE">
        <w:rPr>
          <w:i/>
          <w:iCs/>
        </w:rPr>
        <w:t>clpP1 =</w:t>
      </w:r>
      <w:r w:rsidRPr="006818EE">
        <w:t xml:space="preserve"> 97.1%, and </w:t>
      </w:r>
      <w:r w:rsidRPr="006818EE">
        <w:rPr>
          <w:i/>
          <w:iCs/>
        </w:rPr>
        <w:t>clpP2</w:t>
      </w:r>
      <w:r w:rsidRPr="006818EE">
        <w:t xml:space="preserve"> = 97.8%. Expression of </w:t>
      </w:r>
      <w:r w:rsidRPr="006818EE">
        <w:rPr>
          <w:i/>
          <w:iCs/>
        </w:rPr>
        <w:t>clpP1</w:t>
      </w:r>
      <w:r w:rsidRPr="006818EE">
        <w:t xml:space="preserve"> and </w:t>
      </w:r>
      <w:r w:rsidRPr="006818EE">
        <w:rPr>
          <w:i/>
          <w:iCs/>
        </w:rPr>
        <w:t>clpP2</w:t>
      </w:r>
      <w:r w:rsidRPr="006818EE">
        <w:t xml:space="preserve"> was normalized to the reference gene </w:t>
      </w:r>
      <w:r w:rsidRPr="006818EE">
        <w:rPr>
          <w:i/>
          <w:iCs/>
        </w:rPr>
        <w:t xml:space="preserve">rpoB, </w:t>
      </w:r>
      <w:r w:rsidRPr="006818EE">
        <w:t>with the results calculated via the comparative cycle threshold method.</w:t>
      </w:r>
      <w:r w:rsidRPr="006818EE">
        <w:fldChar w:fldCharType="begin"/>
      </w:r>
      <w:r w:rsidRPr="006818EE">
        <w:instrText xml:space="preserve"> ADDIN EN.CITE &lt;EndNote&gt;&lt;Cite&gt;&lt;Author&gt;Pfaffl&lt;/Author&gt;&lt;Year&gt;2001&lt;/Year&gt;&lt;RecNum&gt;311&lt;/RecNum&gt;&lt;DisplayText&gt;&lt;style face="superscript"&gt;43&lt;/style&gt;&lt;/DisplayText&gt;&lt;record&gt;&lt;rec-number&gt;311&lt;/rec-number&gt;&lt;foreign-keys&gt;&lt;key app="EN" db-id="tzvwxsee7de2t3e9at9pppd3z9r0ftwt2ex5" timestamp="1540671676"&gt;311&lt;/key&gt;&lt;key app="ENWeb" db-id=""&gt;0&lt;/key&gt;&lt;/foreign-keys&gt;&lt;ref-type name="Journal Article"&gt;17&lt;/ref-type&gt;&lt;contributors&gt;&lt;authors&gt;&lt;author&gt;Pfaffl, M.W.&lt;/author&gt;&lt;/authors&gt;&lt;/contributors&gt;&lt;titles&gt;&lt;title&gt;A new mathematical model for relative quantification in real-time RT–PCR&lt;/title&gt;&lt;secondary-title&gt;Nuc. Acids Res.&lt;/secondary-title&gt;&lt;/titles&gt;&lt;periodical&gt;&lt;full-title&gt;Nuc. Acids Res.&lt;/full-title&gt;&lt;/periodical&gt;&lt;volume&gt;29&lt;/volume&gt;&lt;dates&gt;&lt;year&gt;2001&lt;/year&gt;&lt;/dates&gt;&lt;urls&gt;&lt;/urls&gt;&lt;/record&gt;&lt;/Cite&gt;&lt;/EndNote&gt;</w:instrText>
      </w:r>
      <w:r w:rsidRPr="006818EE">
        <w:fldChar w:fldCharType="separate"/>
      </w:r>
      <w:r>
        <w:rPr>
          <w:noProof/>
          <w:vertAlign w:val="superscript"/>
        </w:rPr>
        <w:t>18</w:t>
      </w:r>
      <w:r w:rsidRPr="006818EE">
        <w:fldChar w:fldCharType="end"/>
      </w:r>
    </w:p>
    <w:p w14:paraId="23E10CC3" w14:textId="1DB53E2A" w:rsidR="00B8478A" w:rsidRPr="006818EE" w:rsidRDefault="00B8478A" w:rsidP="00937009">
      <w:pPr>
        <w:ind w:firstLine="720"/>
        <w:jc w:val="both"/>
      </w:pPr>
      <w:r w:rsidRPr="006818EE">
        <w:t xml:space="preserve">As previously stated, freezer stocks of </w:t>
      </w:r>
      <w:r w:rsidR="00AB3480" w:rsidRPr="00AB3480">
        <w:rPr>
          <w:i/>
          <w:iCs/>
        </w:rPr>
        <w:t>C. difficile</w:t>
      </w:r>
      <w:r w:rsidRPr="006818EE">
        <w:rPr>
          <w:i/>
          <w:iCs/>
        </w:rPr>
        <w:t> </w:t>
      </w:r>
      <w:r w:rsidRPr="006818EE">
        <w:t>630 were struck onto BHIS agar plates and grown at 37°C in anaerobic chamber. Then a single colony was picked and used to inoculate ~5 mL of BHIS media. Genomic DNA was isolated using GenElute Bacterial Genomic DNA kit and purified using Zymo Genomic DNA Clean and Concentrator kit, following manufacturer’s protocols.</w:t>
      </w:r>
    </w:p>
    <w:p w14:paraId="0BB353DC" w14:textId="0EB2EDBC" w:rsidR="00B8478A" w:rsidRPr="00937009" w:rsidRDefault="00B8478A" w:rsidP="0012418F">
      <w:pPr>
        <w:pStyle w:val="Heading3"/>
      </w:pPr>
      <w:bookmarkStart w:id="50" w:name="_Toc8392747"/>
      <w:r w:rsidRPr="00937009">
        <w:t>2.</w:t>
      </w:r>
      <w:r w:rsidR="00CE2EFC">
        <w:t>4</w:t>
      </w:r>
      <w:r w:rsidRPr="00937009">
        <w:t>.3 FITC-β-Casein Proteolysis Assay.</w:t>
      </w:r>
      <w:bookmarkEnd w:id="50"/>
      <w:r w:rsidRPr="00937009">
        <w:t xml:space="preserve"> </w:t>
      </w:r>
    </w:p>
    <w:p w14:paraId="79A4C92E" w14:textId="77777777" w:rsidR="00B8478A" w:rsidRPr="00937009" w:rsidRDefault="00B8478A" w:rsidP="00937009">
      <w:pPr>
        <w:widowControl w:val="0"/>
        <w:autoSpaceDE w:val="0"/>
        <w:autoSpaceDN w:val="0"/>
        <w:adjustRightInd w:val="0"/>
        <w:ind w:firstLine="720"/>
        <w:jc w:val="both"/>
      </w:pPr>
      <w:r w:rsidRPr="006818EE">
        <w:t xml:space="preserve">260 nM ClpP in activity buffer was incubated with ADEP (serially diluted from 500 µM) at 37 °C for 15 min in flat bottom, nonbinding, nonsterile, white polystyrene 96-well plates (Corning 3990). After the preincubation period 1 μL 100X FITC-β-casein stock was added to each well to give a final concentration of 4.5 μM FITC-β-casein and final well volume of 100 μL. Assay plates were then incubated at 37 °C, and hydrolysis of the fluorogenic substrate was monitored via an i-TECAN Infinite M200 plate reader (excitation: 485 nm; emission: 538 nm). Readings were taken every 30 min for 6 h. </w:t>
      </w:r>
    </w:p>
    <w:p w14:paraId="41C6D4A2" w14:textId="00CC1305" w:rsidR="00B8478A" w:rsidRPr="00937009" w:rsidRDefault="00B8478A" w:rsidP="0012418F">
      <w:pPr>
        <w:pStyle w:val="Heading3"/>
      </w:pPr>
      <w:bookmarkStart w:id="51" w:name="_Toc8392748"/>
      <w:r w:rsidRPr="00937009">
        <w:lastRenderedPageBreak/>
        <w:t>2.</w:t>
      </w:r>
      <w:r w:rsidR="00CE2EFC">
        <w:t>4</w:t>
      </w:r>
      <w:r w:rsidRPr="00937009">
        <w:t>.4 SLY-AMC &amp; Z-GGL-AMC Peptidolysis Assays.</w:t>
      </w:r>
      <w:bookmarkEnd w:id="51"/>
      <w:r w:rsidRPr="00937009">
        <w:t xml:space="preserve"> </w:t>
      </w:r>
    </w:p>
    <w:p w14:paraId="03D82C7D" w14:textId="77777777" w:rsidR="00B8478A" w:rsidRPr="006818EE" w:rsidRDefault="00B8478A" w:rsidP="0075068E">
      <w:pPr>
        <w:ind w:firstLine="720"/>
        <w:jc w:val="both"/>
      </w:pPr>
      <w:r w:rsidRPr="006818EE">
        <w:t>All reactions were performed in activity buffer. Reactions contained 1 uM ClpP and were performed at 30 °C unless otherwise specified. SLY-AMC was dissolved in DMSO at a stock concentration of 5 mM that was aliquoted into a 2x SLY-AMC master mix containing nanopure water and 10% DMSO. 200 μL reactions were assembled in 2x concentrations, and three 50 μL 2x reactions were dispensed into black 96-well plates. Reactions were started by adding 50 μL of 2x SLY-AMC, and a 0 hr reading was taken (excitation: 380nm / emission: 440nm) before incubation at 30 °C. Hydrolysis of the fluorogenic substrate was monitored via an i-TECAN Infinite M200 plate reader and readings were taken at the time points indicated in the reported data</w:t>
      </w:r>
      <w:r w:rsidR="0075068E">
        <w:t>.</w:t>
      </w:r>
    </w:p>
    <w:p w14:paraId="172F5E87" w14:textId="64631705" w:rsidR="00B8478A" w:rsidRPr="00937009" w:rsidRDefault="00B8478A" w:rsidP="0012418F">
      <w:pPr>
        <w:pStyle w:val="Heading3"/>
      </w:pPr>
      <w:bookmarkStart w:id="52" w:name="_Toc8392749"/>
      <w:r w:rsidRPr="00937009">
        <w:t>2.</w:t>
      </w:r>
      <w:r w:rsidR="00CE2EFC">
        <w:t>4</w:t>
      </w:r>
      <w:r w:rsidRPr="00937009">
        <w:t>.5 Decapeptide Degradation Assay.</w:t>
      </w:r>
      <w:bookmarkEnd w:id="52"/>
      <w:r w:rsidRPr="00937009">
        <w:t xml:space="preserve"> </w:t>
      </w:r>
    </w:p>
    <w:p w14:paraId="0F4A0D7B" w14:textId="77777777" w:rsidR="00B8478A" w:rsidRPr="006818EE" w:rsidRDefault="00B8478A" w:rsidP="00937009">
      <w:pPr>
        <w:ind w:firstLine="720"/>
        <w:jc w:val="both"/>
      </w:pPr>
      <w:r w:rsidRPr="006818EE">
        <w:t xml:space="preserve">Assays were performed with 25 nM ClpP in </w:t>
      </w:r>
      <w:r w:rsidRPr="006818EE">
        <w:rPr>
          <w:iCs/>
        </w:rPr>
        <w:t>a</w:t>
      </w:r>
      <w:r w:rsidRPr="006818EE">
        <w:t>ctivity buffer supplemented with 5% DMSO. ADEP was serially diluted and pipetted into the plate at 10X concentration, before a ClpP master mix was added, and both were incubated at 30 °C for 15 min in flat bottom, nonbinding, nonsterile, black polystyrene 96-well plates (Grenier). After the preincubation period 1 μL of 1.5 mM Abz-DFAPKMALVPY</w:t>
      </w:r>
      <w:r w:rsidRPr="006818EE">
        <w:rPr>
          <w:vertAlign w:val="superscript"/>
        </w:rPr>
        <w:t>-NO2</w:t>
      </w:r>
      <w:r w:rsidRPr="006818EE">
        <w:t xml:space="preserve"> (Biomatik) solution was added to each assay well to give a final assay concentration of 15 μM fluorogenic decapeptide and final assay volume of 100 μL. Assay plates were incubated at 30 °C, and hydrolysis of the fluorogenic peptide was monitored via an i-TECAN Infinite M200 plate reader (excitation: 320 nm; emission: 420 nm). Readings were taken at the time points indicated in the reported data. The data was normalized to a 5% DMSO + peptide negative control.</w:t>
      </w:r>
    </w:p>
    <w:p w14:paraId="26F3D026" w14:textId="19E8EC53" w:rsidR="00B8478A" w:rsidRPr="00937009" w:rsidRDefault="00B8478A" w:rsidP="0012418F">
      <w:pPr>
        <w:pStyle w:val="Heading3"/>
      </w:pPr>
      <w:bookmarkStart w:id="53" w:name="_Toc8392750"/>
      <w:r w:rsidRPr="00937009">
        <w:t>2.</w:t>
      </w:r>
      <w:r w:rsidR="00CE2EFC">
        <w:t>4</w:t>
      </w:r>
      <w:r w:rsidRPr="00937009">
        <w:t>.6 ssrA-GFP Degradation Assay.</w:t>
      </w:r>
      <w:bookmarkEnd w:id="53"/>
      <w:r w:rsidRPr="00937009">
        <w:t xml:space="preserve"> </w:t>
      </w:r>
    </w:p>
    <w:p w14:paraId="7284F893" w14:textId="77777777" w:rsidR="00B8478A" w:rsidRPr="00937009" w:rsidRDefault="00B8478A" w:rsidP="00937009">
      <w:pPr>
        <w:ind w:firstLine="720"/>
        <w:jc w:val="both"/>
      </w:pPr>
      <w:r w:rsidRPr="006818EE">
        <w:t xml:space="preserve">ClpP1 and ClpP2 were separately co-incubated with ClpX at 25 °C in ATPase buffer for 1 h prior to the start of the assay. An ATP-regeneration system containing 75 </w:t>
      </w:r>
      <w:r w:rsidRPr="006818EE">
        <w:lastRenderedPageBreak/>
        <w:t>μg/mL creatine kinase and 5 mM creatine phosphate was used. All components were freshly prepared prior to addition to the reaction. The final concentration of ClpP and ClpX were 400 nM, and 100 nM respectively. 2 μM of ssrA-GFP was added prior to the addition of ATP. All controls were incubated for 6 h at 30 °C. The reactions were initiated by addition of ATP in ATPase buffer to a final concentration of 4 mM, into a master reaction mixture which were distributed into 50 uL aliquots, placed onto a 30 °C heat block, and covered in foil. Reactions were then quenched each hour with 95 °C Laemmli buffer. 10 μL of each reaction was loaded into individual wells of a 4-20% SDS-PAGE gel. Experiments were performed in triplicate and intensities were analyzed with ImageJ. The fraction of ssrA-GFP remaining was calculated at each time point by dividing the intensity ssrA-GFP band by the intensity of the ssrA-GFP + ClpP control.</w:t>
      </w:r>
    </w:p>
    <w:p w14:paraId="72411723" w14:textId="10DAF20F" w:rsidR="00B8478A" w:rsidRPr="00937009" w:rsidRDefault="00B8478A" w:rsidP="0012418F">
      <w:pPr>
        <w:pStyle w:val="Heading3"/>
      </w:pPr>
      <w:bookmarkStart w:id="54" w:name="_Toc8392751"/>
      <w:r w:rsidRPr="00937009">
        <w:t>2.</w:t>
      </w:r>
      <w:r w:rsidR="00CE2EFC">
        <w:t>4</w:t>
      </w:r>
      <w:r w:rsidRPr="00937009">
        <w:t>.7 ssrA-GFP ATPase Hydrolysis Assay.</w:t>
      </w:r>
      <w:bookmarkEnd w:id="54"/>
      <w:r w:rsidRPr="00937009">
        <w:t xml:space="preserve"> </w:t>
      </w:r>
    </w:p>
    <w:p w14:paraId="46217DBE" w14:textId="77777777" w:rsidR="00B8478A" w:rsidRPr="006818EE" w:rsidRDefault="00B8478A" w:rsidP="00937009">
      <w:pPr>
        <w:ind w:firstLine="720"/>
        <w:jc w:val="both"/>
      </w:pPr>
      <w:r w:rsidRPr="006818EE">
        <w:t>ClpP1 and ClpP2 were separately co-incubated with ClpX at 25 °C in ATPase buffer (50 mM HEPES pH 7.6, 10 mM Tris pH 7.6, 100 mM KCl, 20 mM MgCl</w:t>
      </w:r>
      <w:r w:rsidRPr="006818EE">
        <w:rPr>
          <w:vertAlign w:val="subscript"/>
        </w:rPr>
        <w:t>2</w:t>
      </w:r>
      <w:r w:rsidRPr="006818EE">
        <w:t>, 1mM DTT, 10% glycerol, 0.032 NP-40, 0.01% Triton X-100) for 1 h prior to the start of the assay. An ATP-regeneration system</w:t>
      </w:r>
      <w:r>
        <w:rPr>
          <w:vertAlign w:val="superscript"/>
        </w:rPr>
        <w:t>19</w:t>
      </w:r>
      <w:r w:rsidRPr="006818EE">
        <w:t xml:space="preserve"> was utilized to monitor ATP-hydrolysis by ClpX via absorbance measurements taken at 340 nm in clear 96-well plates. Final concentrations of the ATP-regeneration assay were: 1 mM NADH, 20U Lactate dehydrogenase/Pyruvate kinase, 7.5 mM phosphoenolpyruvate. All components were freshly prepared prior to addition to the reaction. The final concentration of ClpP and ClpX were 200 nM, and 50 nM, respectively. The reaction was initiated by addition of ATP in ATPase buffer, and measurements were taken every 2 min over the course of 4 h to ensure assay completion. Initial rates were processed in Microsoft Excel, and transferred to GraphPad Prism for Michaelis-Menten and statistical analysis.</w:t>
      </w:r>
    </w:p>
    <w:p w14:paraId="0DE1CEBF" w14:textId="1877E69D" w:rsidR="00B8478A" w:rsidRPr="00937009" w:rsidRDefault="00B8478A" w:rsidP="0012418F">
      <w:pPr>
        <w:pStyle w:val="Heading3"/>
      </w:pPr>
      <w:bookmarkStart w:id="55" w:name="_Toc8392752"/>
      <w:r w:rsidRPr="00937009">
        <w:lastRenderedPageBreak/>
        <w:t>2.</w:t>
      </w:r>
      <w:r w:rsidR="00CE2EFC">
        <w:t>4</w:t>
      </w:r>
      <w:r w:rsidRPr="00937009">
        <w:t>.8 Thermal Shift Assay.</w:t>
      </w:r>
      <w:bookmarkEnd w:id="55"/>
      <w:r w:rsidRPr="00937009">
        <w:t xml:space="preserve"> </w:t>
      </w:r>
    </w:p>
    <w:p w14:paraId="2AC53E5E" w14:textId="3392F071" w:rsidR="00B8478A" w:rsidRPr="006818EE" w:rsidRDefault="00B8478A" w:rsidP="00937009">
      <w:pPr>
        <w:ind w:firstLine="720"/>
        <w:contextualSpacing/>
        <w:jc w:val="both"/>
      </w:pPr>
      <w:r w:rsidRPr="006818EE">
        <w:t>The procedure was performed as previously described</w:t>
      </w:r>
      <w:r>
        <w:rPr>
          <w:vertAlign w:val="superscript"/>
        </w:rPr>
        <w:t>7</w:t>
      </w:r>
      <w:r w:rsidRPr="006818EE">
        <w:t xml:space="preserve"> with slight modifications. 1 μM of ClpP</w:t>
      </w:r>
      <w:r w:rsidRPr="006818EE">
        <w:rPr>
          <w:vertAlign w:val="subscript"/>
        </w:rPr>
        <w:t>1</w:t>
      </w:r>
      <w:r w:rsidRPr="006818EE">
        <w:rPr>
          <w:i/>
          <w:iCs/>
        </w:rPr>
        <w:t xml:space="preserve"> </w:t>
      </w:r>
      <w:r w:rsidRPr="006818EE">
        <w:rPr>
          <w:iCs/>
        </w:rPr>
        <w:t xml:space="preserve">in activity buffer </w:t>
      </w:r>
      <w:r w:rsidRPr="006818EE">
        <w:t>was incubated in the presence or absence of ADEP for 15 min at 37 °C prior to addition of SYPRO Orange (2x final concentration), final reaction volume 200 μL. The reaction was then allowed to equilibrate at room temperature in the dark for 15 min before dispensing 50 μL aliquots into 96-well plates in triplicate, sealed with optically clear microplate tape, and centrifuged briefly to remove bubbles. Thermal shift analysis was carried out on a CFX96 Real-Time System (Bio-Rad), heating from 25</w:t>
      </w:r>
      <w:r w:rsidR="0012418F">
        <w:t xml:space="preserve"> </w:t>
      </w:r>
      <w:r w:rsidRPr="006818EE">
        <w:t>°C to 85</w:t>
      </w:r>
      <w:r w:rsidR="0012418F">
        <w:t xml:space="preserve"> </w:t>
      </w:r>
      <w:r w:rsidRPr="006818EE">
        <w:t>°C in 0.3</w:t>
      </w:r>
      <w:r w:rsidR="0012418F">
        <w:t xml:space="preserve"> </w:t>
      </w:r>
      <w:r w:rsidRPr="006818EE">
        <w:t>°C increments, measuring fluorescence every 1-minute in FRET mode. The data was then processed in GraphPad Prism and fit to a Boltzmann distribution curve after normalization.</w:t>
      </w:r>
    </w:p>
    <w:p w14:paraId="6BF672D7" w14:textId="2F4F7ED0" w:rsidR="00B8478A" w:rsidRPr="00937009" w:rsidRDefault="00B8478A" w:rsidP="0012418F">
      <w:pPr>
        <w:pStyle w:val="Heading3"/>
      </w:pPr>
      <w:bookmarkStart w:id="56" w:name="_Toc8392753"/>
      <w:r w:rsidRPr="00937009">
        <w:t>2.</w:t>
      </w:r>
      <w:r w:rsidR="00CE2EFC">
        <w:t>4</w:t>
      </w:r>
      <w:r w:rsidRPr="00937009">
        <w:t>.</w:t>
      </w:r>
      <w:r w:rsidR="0090150D">
        <w:t>9</w:t>
      </w:r>
      <w:r w:rsidRPr="00937009">
        <w:t xml:space="preserve"> Mass Spectrometry Analysis of Oligomeric Species.</w:t>
      </w:r>
      <w:bookmarkEnd w:id="56"/>
      <w:r w:rsidRPr="00937009">
        <w:t xml:space="preserve"> </w:t>
      </w:r>
    </w:p>
    <w:p w14:paraId="68A08203" w14:textId="77777777" w:rsidR="00B8478A" w:rsidRPr="006818EE" w:rsidRDefault="00B8478A" w:rsidP="00B8478A">
      <w:pPr>
        <w:ind w:firstLine="720"/>
        <w:jc w:val="both"/>
      </w:pPr>
      <w:r w:rsidRPr="006818EE">
        <w:t xml:space="preserve">ClpP proteins in solution were reduced with DTT, alkylated with iodoacetamide and digested with trypsin according to standard protocols. Liquid chromatography tandem mass spectrometry was performed by coupling a nanoAcquity UPLC (Waters Corp., Manchester, UK) to a Q-TOF SYNAPT G2S instrument (Waters Corp., Manchester, UK). Each protein digest (about 100 ng of peptide) was delivered to a trap column (300 μm × 50 mm nanoAcquity UPLC NanoEase Column 5 μm BEH C18, Waters Corp, Manchester, UK) at a flow rate of 2 μL/min in 99.9% solvent A (10 mM ammonium formate, pH 10, in HPLC grade water). After 3 min of loading and washing, peptides were transferred to another trap column (180 μm × 20 nanoAcquity UPLC 2G-V/MTrap 5 μm Symmetry C18, Waters Corp., Manchester, UK) using a gradient from 1% to 60% solvent B (100% acetonitrile). The peptides were then eluted and separated at a flow rate of 200 nL/min using a gradient from 1% to 40% solvent B (0.1% formic acid in acetonitrile) for 60 min </w:t>
      </w:r>
      <w:r w:rsidRPr="006818EE">
        <w:lastRenderedPageBreak/>
        <w:t>on an analytical column (7.5 μm × 150 mm nanoAcquity UPLC 1.8 μm HSST3, Waters Corp, Manchester, UK). The eluent was sprayed via PicoTip Emitters (Waters Corp., Manchester, UK) at a spray voltage of 3.0 kV and a sampling cone voltage of 30 V and a source offset of 60 V. The source temperature was set to 70 °C. The cone gas flow was turned off, the nano flow gas pressure was set at 0.3 bar, and the purge gas flow was set at 750 mL/h. The SYNAPT G2S instrument was operated in data-independent mode with ion mobility (HDMSe). Full scan MS and MS2 spectra (</w:t>
      </w:r>
      <w:r w:rsidRPr="006818EE">
        <w:rPr>
          <w:i/>
          <w:iCs/>
        </w:rPr>
        <w:t>m</w:t>
      </w:r>
      <w:r w:rsidRPr="006818EE">
        <w:t>/</w:t>
      </w:r>
      <w:r w:rsidRPr="006818EE">
        <w:rPr>
          <w:i/>
          <w:iCs/>
        </w:rPr>
        <w:t>z</w:t>
      </w:r>
      <w:r w:rsidRPr="006818EE">
        <w:t xml:space="preserve"> 50–2000) were acquired in resolution mode (20 000 resolution fwhm at </w:t>
      </w:r>
      <w:r w:rsidRPr="006818EE">
        <w:rPr>
          <w:i/>
          <w:iCs/>
        </w:rPr>
        <w:t>m</w:t>
      </w:r>
      <w:r w:rsidRPr="006818EE">
        <w:t>/</w:t>
      </w:r>
      <w:r w:rsidRPr="006818EE">
        <w:rPr>
          <w:i/>
          <w:iCs/>
        </w:rPr>
        <w:t>z</w:t>
      </w:r>
      <w:r w:rsidRPr="006818EE">
        <w:t xml:space="preserve"> 400). Tandem mass spectra were generated in the trapping region of the ion mobility cell by using a collisional energy ramp from 20 V (low mass, start/end) to 35 V (high mass, start/end). A variable IMS wave velocity was used. Wave velocity was ramped from 300 to 600 m/s (start to end), and the ramp was applied over the full IMS cycle. A manual release time of 500 μs was set for the mobility trapping and a trap height of 15 V with an extract height of 0 V. The pusher/ion mobility synchronization for the HDMSe method was performed using MassLynx V4.1 and DriftScope v2.4. LockSpray of glufibrinopeptide-B (</w:t>
      </w:r>
      <w:r w:rsidRPr="006818EE">
        <w:rPr>
          <w:i/>
          <w:iCs/>
        </w:rPr>
        <w:t>m</w:t>
      </w:r>
      <w:r w:rsidRPr="006818EE">
        <w:t>/</w:t>
      </w:r>
      <w:r w:rsidRPr="006818EE">
        <w:rPr>
          <w:i/>
          <w:iCs/>
        </w:rPr>
        <w:t>z</w:t>
      </w:r>
      <w:r w:rsidRPr="006818EE">
        <w:t xml:space="preserve"> 785.8427) was acquired every 60 s and lock mass correction was applied post acquisition.</w:t>
      </w:r>
    </w:p>
    <w:p w14:paraId="70A89A1C" w14:textId="28C55BBA" w:rsidR="00B8478A" w:rsidRDefault="00B8478A" w:rsidP="00B8478A">
      <w:pPr>
        <w:ind w:firstLine="720"/>
        <w:jc w:val="both"/>
      </w:pPr>
      <w:r w:rsidRPr="006818EE">
        <w:t xml:space="preserve">Raw MS data were processed by PLGS (ProteinLynx Global Server, Waters Corp., Manchester, UK) for peptide and protein identification. MS/MS spectra were searched against the Uniprot </w:t>
      </w:r>
      <w:r w:rsidRPr="006818EE">
        <w:rPr>
          <w:i/>
        </w:rPr>
        <w:t>E.Coli</w:t>
      </w:r>
      <w:r w:rsidRPr="006818EE">
        <w:t xml:space="preserve"> database and the </w:t>
      </w:r>
      <w:r w:rsidR="00AB3480" w:rsidRPr="00AB3480">
        <w:rPr>
          <w:i/>
        </w:rPr>
        <w:t>C. difficile</w:t>
      </w:r>
      <w:r w:rsidRPr="006818EE">
        <w:rPr>
          <w:i/>
        </w:rPr>
        <w:t xml:space="preserve"> </w:t>
      </w:r>
      <w:r w:rsidRPr="006818EE">
        <w:t>database (4,322 reviewed proteins and 7,753 unreviewed proteins respectively) and with the following search parameters: full tryptic specificity up to two missed cleavage sites, carbamidomethylation of cysteine residues set as a fixed modification, and N-terminal protein acetylation and methionine oxidation.</w:t>
      </w:r>
    </w:p>
    <w:p w14:paraId="0F2D0907" w14:textId="77777777" w:rsidR="006A428F" w:rsidRPr="006818EE" w:rsidRDefault="006A428F" w:rsidP="000A6885">
      <w:pPr>
        <w:jc w:val="both"/>
      </w:pPr>
    </w:p>
    <w:p w14:paraId="4DC017E6" w14:textId="56936AC4" w:rsidR="00B8478A" w:rsidRPr="006A428F" w:rsidRDefault="006A428F" w:rsidP="004E7821">
      <w:pPr>
        <w:pStyle w:val="Heading2"/>
      </w:pPr>
      <w:bookmarkStart w:id="57" w:name="_Toc8392754"/>
      <w:r>
        <w:lastRenderedPageBreak/>
        <w:t>2.</w:t>
      </w:r>
      <w:r w:rsidR="00CE2EFC">
        <w:t>5</w:t>
      </w:r>
      <w:r>
        <w:t xml:space="preserve"> References</w:t>
      </w:r>
      <w:bookmarkEnd w:id="57"/>
      <w:r w:rsidR="00B8478A" w:rsidRPr="00EC04C8">
        <w:fldChar w:fldCharType="begin"/>
      </w:r>
      <w:r w:rsidR="00B8478A" w:rsidRPr="009C4ECF">
        <w:instrText xml:space="preserve"> ADDIN EN.REFLIST </w:instrText>
      </w:r>
      <w:r w:rsidR="00B8478A" w:rsidRPr="00EC04C8">
        <w:fldChar w:fldCharType="separate"/>
      </w:r>
    </w:p>
    <w:p w14:paraId="5D61C1E6" w14:textId="1AC0B4CF" w:rsidR="00F9037C" w:rsidRPr="00F9037C" w:rsidRDefault="00F9037C" w:rsidP="00D42184">
      <w:pPr>
        <w:widowControl w:val="0"/>
        <w:autoSpaceDE w:val="0"/>
        <w:autoSpaceDN w:val="0"/>
        <w:adjustRightInd w:val="0"/>
        <w:ind w:left="540" w:hanging="540"/>
        <w:jc w:val="both"/>
        <w:rPr>
          <w:noProof/>
        </w:rPr>
      </w:pPr>
      <w:r w:rsidRPr="00F9037C">
        <w:rPr>
          <w:noProof/>
        </w:rPr>
        <w:t>1.</w:t>
      </w:r>
      <w:r w:rsidRPr="00F9037C">
        <w:rPr>
          <w:noProof/>
        </w:rPr>
        <w:tab/>
        <w:t xml:space="preserve">Jarrad, A. M., Karoli, T., Blaskovich, M. A. T., Lyras, D. &amp; Cooper, M. A. </w:t>
      </w:r>
      <w:r w:rsidR="00AB3480" w:rsidRPr="00AB3480">
        <w:rPr>
          <w:i/>
          <w:noProof/>
        </w:rPr>
        <w:t>Clostridium difficile</w:t>
      </w:r>
      <w:r w:rsidRPr="00F9037C">
        <w:rPr>
          <w:noProof/>
        </w:rPr>
        <w:t xml:space="preserve"> drug pipeline: challenges in discovery and development of new agents. </w:t>
      </w:r>
      <w:r w:rsidRPr="00F9037C">
        <w:rPr>
          <w:i/>
          <w:iCs/>
          <w:noProof/>
        </w:rPr>
        <w:t>J. Med. Chem.</w:t>
      </w:r>
      <w:r w:rsidRPr="00F9037C">
        <w:rPr>
          <w:noProof/>
        </w:rPr>
        <w:t xml:space="preserve"> </w:t>
      </w:r>
      <w:r w:rsidRPr="00F9037C">
        <w:rPr>
          <w:b/>
          <w:bCs/>
          <w:noProof/>
        </w:rPr>
        <w:t>58,</w:t>
      </w:r>
      <w:r w:rsidRPr="00F9037C">
        <w:rPr>
          <w:noProof/>
        </w:rPr>
        <w:t xml:space="preserve"> 5164–5185 (2015).</w:t>
      </w:r>
    </w:p>
    <w:p w14:paraId="0A586B40" w14:textId="77777777" w:rsidR="00F9037C" w:rsidRPr="00F9037C" w:rsidRDefault="00F9037C" w:rsidP="00D42184">
      <w:pPr>
        <w:widowControl w:val="0"/>
        <w:autoSpaceDE w:val="0"/>
        <w:autoSpaceDN w:val="0"/>
        <w:adjustRightInd w:val="0"/>
        <w:ind w:left="540" w:hanging="540"/>
        <w:jc w:val="both"/>
        <w:rPr>
          <w:noProof/>
        </w:rPr>
      </w:pPr>
      <w:r w:rsidRPr="00F9037C">
        <w:rPr>
          <w:noProof/>
        </w:rPr>
        <w:t>2.</w:t>
      </w:r>
      <w:r w:rsidRPr="00F9037C">
        <w:rPr>
          <w:noProof/>
        </w:rPr>
        <w:tab/>
        <w:t xml:space="preserve">Yu, A. Y. H. &amp; Houry, W. A. ClpP: a distinctive family of cylindrical energy-dependent serine proteases. </w:t>
      </w:r>
      <w:r w:rsidRPr="00F9037C">
        <w:rPr>
          <w:i/>
          <w:iCs/>
          <w:noProof/>
        </w:rPr>
        <w:t>FEBS Lett.</w:t>
      </w:r>
      <w:r w:rsidRPr="00F9037C">
        <w:rPr>
          <w:noProof/>
        </w:rPr>
        <w:t xml:space="preserve"> </w:t>
      </w:r>
      <w:r w:rsidRPr="00F9037C">
        <w:rPr>
          <w:b/>
          <w:bCs/>
          <w:noProof/>
        </w:rPr>
        <w:t>581,</w:t>
      </w:r>
      <w:r w:rsidRPr="00F9037C">
        <w:rPr>
          <w:noProof/>
        </w:rPr>
        <w:t xml:space="preserve"> 3749–3757 (2007).</w:t>
      </w:r>
    </w:p>
    <w:p w14:paraId="7D172FCB" w14:textId="77777777" w:rsidR="00F9037C" w:rsidRPr="00F9037C" w:rsidRDefault="00F9037C" w:rsidP="00D42184">
      <w:pPr>
        <w:widowControl w:val="0"/>
        <w:autoSpaceDE w:val="0"/>
        <w:autoSpaceDN w:val="0"/>
        <w:adjustRightInd w:val="0"/>
        <w:ind w:left="540" w:hanging="540"/>
        <w:jc w:val="both"/>
        <w:rPr>
          <w:noProof/>
        </w:rPr>
      </w:pPr>
      <w:r w:rsidRPr="00F9037C">
        <w:rPr>
          <w:noProof/>
        </w:rPr>
        <w:t>3.</w:t>
      </w:r>
      <w:r w:rsidRPr="00F9037C">
        <w:rPr>
          <w:noProof/>
        </w:rPr>
        <w:tab/>
        <w:t xml:space="preserve">Mikhailov, V. A., Ståhlberg, F., Clarke, A. K. &amp; Robinson, C. V. Dual stoichiometry and subunit organization in the ClpP1/P2 protease from the cyanobacterium </w:t>
      </w:r>
      <w:r w:rsidRPr="000A6885">
        <w:rPr>
          <w:i/>
          <w:noProof/>
        </w:rPr>
        <w:t>Synechococcus elongatus</w:t>
      </w:r>
      <w:r w:rsidRPr="00F9037C">
        <w:rPr>
          <w:noProof/>
        </w:rPr>
        <w:t xml:space="preserve">. </w:t>
      </w:r>
      <w:r w:rsidRPr="00F9037C">
        <w:rPr>
          <w:i/>
          <w:iCs/>
          <w:noProof/>
        </w:rPr>
        <w:t>J. Struct. Biol.</w:t>
      </w:r>
      <w:r w:rsidRPr="00F9037C">
        <w:rPr>
          <w:noProof/>
        </w:rPr>
        <w:t xml:space="preserve"> </w:t>
      </w:r>
      <w:r w:rsidRPr="00F9037C">
        <w:rPr>
          <w:b/>
          <w:bCs/>
          <w:noProof/>
        </w:rPr>
        <w:t>192,</w:t>
      </w:r>
      <w:r w:rsidRPr="00F9037C">
        <w:rPr>
          <w:noProof/>
        </w:rPr>
        <w:t xml:space="preserve"> 519–527 (2015).</w:t>
      </w:r>
    </w:p>
    <w:p w14:paraId="7D916BC3" w14:textId="77777777" w:rsidR="00F9037C" w:rsidRPr="00F9037C" w:rsidRDefault="00F9037C" w:rsidP="00D42184">
      <w:pPr>
        <w:widowControl w:val="0"/>
        <w:autoSpaceDE w:val="0"/>
        <w:autoSpaceDN w:val="0"/>
        <w:adjustRightInd w:val="0"/>
        <w:ind w:left="540" w:hanging="540"/>
        <w:jc w:val="both"/>
        <w:rPr>
          <w:noProof/>
        </w:rPr>
      </w:pPr>
      <w:r w:rsidRPr="00F9037C">
        <w:rPr>
          <w:noProof/>
        </w:rPr>
        <w:t>4.</w:t>
      </w:r>
      <w:r w:rsidRPr="00F9037C">
        <w:rPr>
          <w:noProof/>
        </w:rPr>
        <w:tab/>
        <w:t xml:space="preserve">Stanne, T. M., Pojidaeva, E., Andersson, F. I. &amp; Clarke, A. K. Distinctive types of ATP-dependent Clp proteases in cyanobacteria. </w:t>
      </w:r>
      <w:r w:rsidRPr="00F9037C">
        <w:rPr>
          <w:i/>
          <w:iCs/>
          <w:noProof/>
        </w:rPr>
        <w:t>J. Biol. Chem.</w:t>
      </w:r>
      <w:r w:rsidRPr="00F9037C">
        <w:rPr>
          <w:noProof/>
        </w:rPr>
        <w:t xml:space="preserve"> </w:t>
      </w:r>
      <w:r w:rsidRPr="00F9037C">
        <w:rPr>
          <w:b/>
          <w:bCs/>
          <w:noProof/>
        </w:rPr>
        <w:t>282,</w:t>
      </w:r>
      <w:r w:rsidRPr="00F9037C">
        <w:rPr>
          <w:noProof/>
        </w:rPr>
        <w:t xml:space="preserve"> 14394–14402 (2007).</w:t>
      </w:r>
    </w:p>
    <w:p w14:paraId="4EE02322" w14:textId="77777777" w:rsidR="00F9037C" w:rsidRPr="00F9037C" w:rsidRDefault="00F9037C" w:rsidP="00D42184">
      <w:pPr>
        <w:widowControl w:val="0"/>
        <w:autoSpaceDE w:val="0"/>
        <w:autoSpaceDN w:val="0"/>
        <w:adjustRightInd w:val="0"/>
        <w:ind w:left="540" w:hanging="540"/>
        <w:jc w:val="both"/>
        <w:rPr>
          <w:noProof/>
        </w:rPr>
      </w:pPr>
      <w:r w:rsidRPr="00F9037C">
        <w:rPr>
          <w:noProof/>
        </w:rPr>
        <w:t>5.</w:t>
      </w:r>
      <w:r w:rsidRPr="00F9037C">
        <w:rPr>
          <w:noProof/>
        </w:rPr>
        <w:tab/>
        <w:t xml:space="preserve">Gaillot, O., Bregenholt, S., Jaubert, F., Di Santo, J. P. &amp; Berche, P. Stress-induced ClpP serine protease of </w:t>
      </w:r>
      <w:r w:rsidRPr="003F1CCD">
        <w:rPr>
          <w:i/>
          <w:noProof/>
        </w:rPr>
        <w:t>Listeria monocytogenes</w:t>
      </w:r>
      <w:r w:rsidRPr="00F9037C">
        <w:rPr>
          <w:noProof/>
        </w:rPr>
        <w:t xml:space="preserve"> is essential for induction of listeriolysin O-dependent protective immunity. </w:t>
      </w:r>
      <w:r w:rsidRPr="00F9037C">
        <w:rPr>
          <w:i/>
          <w:iCs/>
          <w:noProof/>
        </w:rPr>
        <w:t>Infect. Immun.</w:t>
      </w:r>
      <w:r w:rsidRPr="00F9037C">
        <w:rPr>
          <w:noProof/>
        </w:rPr>
        <w:t xml:space="preserve"> </w:t>
      </w:r>
      <w:r w:rsidRPr="00F9037C">
        <w:rPr>
          <w:b/>
          <w:bCs/>
          <w:noProof/>
        </w:rPr>
        <w:t>69,</w:t>
      </w:r>
      <w:r w:rsidRPr="00F9037C">
        <w:rPr>
          <w:noProof/>
        </w:rPr>
        <w:t xml:space="preserve"> 4938–4943 (2001).</w:t>
      </w:r>
    </w:p>
    <w:p w14:paraId="07B09C9B" w14:textId="77777777" w:rsidR="00F9037C" w:rsidRPr="00F9037C" w:rsidRDefault="00F9037C" w:rsidP="00D42184">
      <w:pPr>
        <w:widowControl w:val="0"/>
        <w:autoSpaceDE w:val="0"/>
        <w:autoSpaceDN w:val="0"/>
        <w:adjustRightInd w:val="0"/>
        <w:ind w:left="540" w:hanging="540"/>
        <w:jc w:val="both"/>
        <w:rPr>
          <w:noProof/>
        </w:rPr>
      </w:pPr>
      <w:r w:rsidRPr="00F9037C">
        <w:rPr>
          <w:noProof/>
        </w:rPr>
        <w:t>6.</w:t>
      </w:r>
      <w:r w:rsidRPr="00F9037C">
        <w:rPr>
          <w:noProof/>
        </w:rPr>
        <w:tab/>
        <w:t xml:space="preserve">Gaillot, O., Pellegrini, E., Bregenholt, S., Nair, S. &amp; Berche, P. The ClpP serine protease is essential for the intracellular parasitism and virulence of </w:t>
      </w:r>
      <w:r w:rsidRPr="000A6885">
        <w:rPr>
          <w:i/>
          <w:noProof/>
        </w:rPr>
        <w:t>Listeria monocytogenes</w:t>
      </w:r>
      <w:r w:rsidRPr="00F9037C">
        <w:rPr>
          <w:noProof/>
        </w:rPr>
        <w:t xml:space="preserve">. </w:t>
      </w:r>
      <w:r w:rsidRPr="00F9037C">
        <w:rPr>
          <w:i/>
          <w:iCs/>
          <w:noProof/>
        </w:rPr>
        <w:t>Mol. Microbiol.</w:t>
      </w:r>
      <w:r w:rsidRPr="00F9037C">
        <w:rPr>
          <w:noProof/>
        </w:rPr>
        <w:t xml:space="preserve"> </w:t>
      </w:r>
      <w:r w:rsidRPr="00F9037C">
        <w:rPr>
          <w:b/>
          <w:bCs/>
          <w:noProof/>
        </w:rPr>
        <w:t>35,</w:t>
      </w:r>
      <w:r w:rsidRPr="00F9037C">
        <w:rPr>
          <w:noProof/>
        </w:rPr>
        <w:t xml:space="preserve"> 1286–1294 (2000).</w:t>
      </w:r>
    </w:p>
    <w:p w14:paraId="1D74A434" w14:textId="77777777" w:rsidR="00F9037C" w:rsidRPr="00F9037C" w:rsidRDefault="00F9037C" w:rsidP="00D42184">
      <w:pPr>
        <w:widowControl w:val="0"/>
        <w:autoSpaceDE w:val="0"/>
        <w:autoSpaceDN w:val="0"/>
        <w:adjustRightInd w:val="0"/>
        <w:ind w:left="540" w:hanging="540"/>
        <w:jc w:val="both"/>
        <w:rPr>
          <w:noProof/>
        </w:rPr>
      </w:pPr>
      <w:r w:rsidRPr="00F9037C">
        <w:rPr>
          <w:noProof/>
        </w:rPr>
        <w:t>7.</w:t>
      </w:r>
      <w:r w:rsidRPr="00F9037C">
        <w:rPr>
          <w:noProof/>
        </w:rPr>
        <w:tab/>
        <w:t xml:space="preserve">Zeiler, E. </w:t>
      </w:r>
      <w:r w:rsidRPr="00F9037C">
        <w:rPr>
          <w:i/>
          <w:iCs/>
          <w:noProof/>
        </w:rPr>
        <w:t>et al.</w:t>
      </w:r>
      <w:r w:rsidRPr="00F9037C">
        <w:rPr>
          <w:noProof/>
        </w:rPr>
        <w:t xml:space="preserve"> Vibralactone as a tool to study the activity and structure of the ClpP1P2 complex from </w:t>
      </w:r>
      <w:r w:rsidRPr="000A6885">
        <w:rPr>
          <w:i/>
          <w:noProof/>
        </w:rPr>
        <w:t>Listeria monocytogenes</w:t>
      </w:r>
      <w:r w:rsidRPr="00F9037C">
        <w:rPr>
          <w:noProof/>
        </w:rPr>
        <w:t xml:space="preserve">. </w:t>
      </w:r>
      <w:r w:rsidRPr="00F9037C">
        <w:rPr>
          <w:i/>
          <w:iCs/>
          <w:noProof/>
        </w:rPr>
        <w:t>Angew. Chem. Int. Ed. Engl.</w:t>
      </w:r>
      <w:r w:rsidRPr="00F9037C">
        <w:rPr>
          <w:noProof/>
        </w:rPr>
        <w:t xml:space="preserve"> </w:t>
      </w:r>
      <w:r w:rsidRPr="00F9037C">
        <w:rPr>
          <w:b/>
          <w:bCs/>
          <w:noProof/>
        </w:rPr>
        <w:t>50,</w:t>
      </w:r>
      <w:r w:rsidRPr="00F9037C">
        <w:rPr>
          <w:noProof/>
        </w:rPr>
        <w:t xml:space="preserve"> 11001–11004 (2011).</w:t>
      </w:r>
    </w:p>
    <w:p w14:paraId="1ECC13B8" w14:textId="77777777" w:rsidR="00F9037C" w:rsidRPr="00F9037C" w:rsidRDefault="00F9037C" w:rsidP="00D42184">
      <w:pPr>
        <w:widowControl w:val="0"/>
        <w:autoSpaceDE w:val="0"/>
        <w:autoSpaceDN w:val="0"/>
        <w:adjustRightInd w:val="0"/>
        <w:ind w:left="540" w:hanging="540"/>
        <w:jc w:val="both"/>
        <w:rPr>
          <w:noProof/>
        </w:rPr>
      </w:pPr>
      <w:r w:rsidRPr="00F9037C">
        <w:rPr>
          <w:noProof/>
        </w:rPr>
        <w:t>8.</w:t>
      </w:r>
      <w:r w:rsidRPr="00F9037C">
        <w:rPr>
          <w:noProof/>
        </w:rPr>
        <w:tab/>
        <w:t xml:space="preserve">Zeiler, E. </w:t>
      </w:r>
      <w:r w:rsidRPr="00F9037C">
        <w:rPr>
          <w:i/>
          <w:iCs/>
          <w:noProof/>
        </w:rPr>
        <w:t>et al.</w:t>
      </w:r>
      <w:r w:rsidRPr="00F9037C">
        <w:rPr>
          <w:noProof/>
        </w:rPr>
        <w:t xml:space="preserve"> Structural and functional insights into caseinolytic proteases reveal an unprecedented regulation principle of their catalytic triad. </w:t>
      </w:r>
      <w:r w:rsidRPr="00F9037C">
        <w:rPr>
          <w:i/>
          <w:iCs/>
          <w:noProof/>
        </w:rPr>
        <w:t>Proc. Natl. Acad. Sci. USA</w:t>
      </w:r>
      <w:r w:rsidRPr="00F9037C">
        <w:rPr>
          <w:noProof/>
        </w:rPr>
        <w:t xml:space="preserve"> </w:t>
      </w:r>
      <w:r w:rsidRPr="00F9037C">
        <w:rPr>
          <w:b/>
          <w:bCs/>
          <w:noProof/>
        </w:rPr>
        <w:t>110,</w:t>
      </w:r>
      <w:r w:rsidRPr="00F9037C">
        <w:rPr>
          <w:noProof/>
        </w:rPr>
        <w:t xml:space="preserve"> 11302–11307 (2013).</w:t>
      </w:r>
    </w:p>
    <w:p w14:paraId="161D2F7F" w14:textId="77777777" w:rsidR="00F9037C" w:rsidRPr="00F9037C" w:rsidRDefault="00F9037C" w:rsidP="00D42184">
      <w:pPr>
        <w:widowControl w:val="0"/>
        <w:autoSpaceDE w:val="0"/>
        <w:autoSpaceDN w:val="0"/>
        <w:adjustRightInd w:val="0"/>
        <w:ind w:left="540" w:hanging="540"/>
        <w:jc w:val="both"/>
        <w:rPr>
          <w:noProof/>
        </w:rPr>
      </w:pPr>
      <w:r w:rsidRPr="00F9037C">
        <w:rPr>
          <w:noProof/>
        </w:rPr>
        <w:lastRenderedPageBreak/>
        <w:t>9.</w:t>
      </w:r>
      <w:r w:rsidRPr="00F9037C">
        <w:rPr>
          <w:noProof/>
        </w:rPr>
        <w:tab/>
        <w:t xml:space="preserve">Dahmen, M., Vielberg, M.-T., Groll, M. &amp; Sieber, S. A. Structure and mechanism of the caseinolytic protease ClpP1/2 heterocomplex from </w:t>
      </w:r>
      <w:r w:rsidRPr="000A6885">
        <w:rPr>
          <w:i/>
          <w:noProof/>
        </w:rPr>
        <w:t>Listeria monocytogenes.</w:t>
      </w:r>
      <w:r w:rsidRPr="00F9037C">
        <w:rPr>
          <w:noProof/>
        </w:rPr>
        <w:t xml:space="preserve"> </w:t>
      </w:r>
      <w:r w:rsidRPr="00F9037C">
        <w:rPr>
          <w:i/>
          <w:iCs/>
          <w:noProof/>
        </w:rPr>
        <w:t>Angew. Chem. Int. Ed. Engl.</w:t>
      </w:r>
      <w:r w:rsidRPr="00F9037C">
        <w:rPr>
          <w:noProof/>
        </w:rPr>
        <w:t xml:space="preserve"> </w:t>
      </w:r>
      <w:r w:rsidRPr="00F9037C">
        <w:rPr>
          <w:b/>
          <w:bCs/>
          <w:noProof/>
        </w:rPr>
        <w:t>54,</w:t>
      </w:r>
      <w:r w:rsidRPr="00F9037C">
        <w:rPr>
          <w:noProof/>
        </w:rPr>
        <w:t xml:space="preserve"> 3598–3602 (2015).</w:t>
      </w:r>
    </w:p>
    <w:p w14:paraId="78B3D0B5" w14:textId="77777777" w:rsidR="00F9037C" w:rsidRPr="00F9037C" w:rsidRDefault="00F9037C" w:rsidP="00D42184">
      <w:pPr>
        <w:widowControl w:val="0"/>
        <w:autoSpaceDE w:val="0"/>
        <w:autoSpaceDN w:val="0"/>
        <w:adjustRightInd w:val="0"/>
        <w:ind w:left="540" w:hanging="540"/>
        <w:jc w:val="both"/>
        <w:rPr>
          <w:noProof/>
        </w:rPr>
      </w:pPr>
      <w:r w:rsidRPr="00F9037C">
        <w:rPr>
          <w:noProof/>
        </w:rPr>
        <w:t>10.</w:t>
      </w:r>
      <w:r w:rsidRPr="00F9037C">
        <w:rPr>
          <w:noProof/>
        </w:rPr>
        <w:tab/>
        <w:t xml:space="preserve">Hall, B. M. </w:t>
      </w:r>
      <w:r w:rsidRPr="00F9037C">
        <w:rPr>
          <w:i/>
          <w:iCs/>
          <w:noProof/>
        </w:rPr>
        <w:t>et al.</w:t>
      </w:r>
      <w:r w:rsidRPr="00F9037C">
        <w:rPr>
          <w:noProof/>
        </w:rPr>
        <w:t xml:space="preserve"> Two Isoforms of Clp Peptidase in </w:t>
      </w:r>
      <w:r w:rsidRPr="000A6885">
        <w:rPr>
          <w:i/>
          <w:noProof/>
        </w:rPr>
        <w:t>Pseudomonas aeruginosa</w:t>
      </w:r>
      <w:r w:rsidRPr="00F9037C">
        <w:rPr>
          <w:noProof/>
        </w:rPr>
        <w:t xml:space="preserve"> Control Distinct Aspects of Cellular Physiology. </w:t>
      </w:r>
      <w:r w:rsidRPr="00F9037C">
        <w:rPr>
          <w:i/>
          <w:iCs/>
          <w:noProof/>
        </w:rPr>
        <w:t>J. Bacteriol.</w:t>
      </w:r>
      <w:r w:rsidRPr="00F9037C">
        <w:rPr>
          <w:noProof/>
        </w:rPr>
        <w:t xml:space="preserve"> </w:t>
      </w:r>
      <w:r w:rsidRPr="00F9037C">
        <w:rPr>
          <w:b/>
          <w:bCs/>
          <w:noProof/>
        </w:rPr>
        <w:t>199,</w:t>
      </w:r>
      <w:r w:rsidRPr="00F9037C">
        <w:rPr>
          <w:noProof/>
        </w:rPr>
        <w:t xml:space="preserve"> (2017).</w:t>
      </w:r>
    </w:p>
    <w:p w14:paraId="255AAB16" w14:textId="77777777" w:rsidR="00F9037C" w:rsidRPr="00F9037C" w:rsidRDefault="00F9037C" w:rsidP="00D42184">
      <w:pPr>
        <w:widowControl w:val="0"/>
        <w:autoSpaceDE w:val="0"/>
        <w:autoSpaceDN w:val="0"/>
        <w:adjustRightInd w:val="0"/>
        <w:ind w:left="540" w:hanging="540"/>
        <w:jc w:val="both"/>
        <w:rPr>
          <w:noProof/>
        </w:rPr>
      </w:pPr>
      <w:r w:rsidRPr="00F9037C">
        <w:rPr>
          <w:noProof/>
        </w:rPr>
        <w:t>11.</w:t>
      </w:r>
      <w:r w:rsidRPr="00F9037C">
        <w:rPr>
          <w:noProof/>
        </w:rPr>
        <w:tab/>
        <w:t xml:space="preserve">Akopian, T. </w:t>
      </w:r>
      <w:r w:rsidRPr="00F9037C">
        <w:rPr>
          <w:i/>
          <w:iCs/>
          <w:noProof/>
        </w:rPr>
        <w:t>et al.</w:t>
      </w:r>
      <w:r w:rsidRPr="00F9037C">
        <w:rPr>
          <w:noProof/>
        </w:rPr>
        <w:t xml:space="preserve"> The active ClpP protease from </w:t>
      </w:r>
      <w:r w:rsidRPr="000A6885">
        <w:rPr>
          <w:i/>
          <w:noProof/>
        </w:rPr>
        <w:t>M. tuberculosis</w:t>
      </w:r>
      <w:r w:rsidRPr="00F9037C">
        <w:rPr>
          <w:noProof/>
        </w:rPr>
        <w:t xml:space="preserve"> is a complex composed of a heptameric ClpP1 and a ClpP2 ring. </w:t>
      </w:r>
      <w:r w:rsidRPr="00F9037C">
        <w:rPr>
          <w:i/>
          <w:iCs/>
          <w:noProof/>
        </w:rPr>
        <w:t>EMBO J.</w:t>
      </w:r>
      <w:r w:rsidRPr="00F9037C">
        <w:rPr>
          <w:noProof/>
        </w:rPr>
        <w:t xml:space="preserve"> </w:t>
      </w:r>
      <w:r w:rsidRPr="00F9037C">
        <w:rPr>
          <w:b/>
          <w:bCs/>
          <w:noProof/>
        </w:rPr>
        <w:t>31,</w:t>
      </w:r>
      <w:r w:rsidRPr="00F9037C">
        <w:rPr>
          <w:noProof/>
        </w:rPr>
        <w:t xml:space="preserve"> 1529–1541 (2012).</w:t>
      </w:r>
    </w:p>
    <w:p w14:paraId="2262443C" w14:textId="77777777" w:rsidR="00F9037C" w:rsidRPr="00F9037C" w:rsidRDefault="00F9037C" w:rsidP="00D42184">
      <w:pPr>
        <w:widowControl w:val="0"/>
        <w:autoSpaceDE w:val="0"/>
        <w:autoSpaceDN w:val="0"/>
        <w:adjustRightInd w:val="0"/>
        <w:ind w:left="540" w:hanging="540"/>
        <w:jc w:val="both"/>
        <w:rPr>
          <w:noProof/>
        </w:rPr>
      </w:pPr>
      <w:r w:rsidRPr="00F9037C">
        <w:rPr>
          <w:noProof/>
        </w:rPr>
        <w:t>12.</w:t>
      </w:r>
      <w:r w:rsidRPr="00F9037C">
        <w:rPr>
          <w:noProof/>
        </w:rPr>
        <w:tab/>
        <w:t xml:space="preserve">Famulla, K. </w:t>
      </w:r>
      <w:r w:rsidRPr="00F9037C">
        <w:rPr>
          <w:i/>
          <w:iCs/>
          <w:noProof/>
        </w:rPr>
        <w:t>et al.</w:t>
      </w:r>
      <w:r w:rsidRPr="00F9037C">
        <w:rPr>
          <w:noProof/>
        </w:rPr>
        <w:t xml:space="preserve"> Acyldepsipeptide antibiotics kill mycobacteria by preventing the physiological functions of the ClpP1P2 protease. </w:t>
      </w:r>
      <w:r w:rsidRPr="00F9037C">
        <w:rPr>
          <w:i/>
          <w:iCs/>
          <w:noProof/>
        </w:rPr>
        <w:t>Mol. Microbiol.</w:t>
      </w:r>
      <w:r w:rsidRPr="00F9037C">
        <w:rPr>
          <w:noProof/>
        </w:rPr>
        <w:t xml:space="preserve"> </w:t>
      </w:r>
      <w:r w:rsidRPr="00F9037C">
        <w:rPr>
          <w:b/>
          <w:bCs/>
          <w:noProof/>
        </w:rPr>
        <w:t>101,</w:t>
      </w:r>
      <w:r w:rsidRPr="00F9037C">
        <w:rPr>
          <w:noProof/>
        </w:rPr>
        <w:t xml:space="preserve"> 194–209 (2016).</w:t>
      </w:r>
    </w:p>
    <w:p w14:paraId="2EE07216" w14:textId="77777777" w:rsidR="00F9037C" w:rsidRPr="00F9037C" w:rsidRDefault="00F9037C" w:rsidP="00D42184">
      <w:pPr>
        <w:widowControl w:val="0"/>
        <w:autoSpaceDE w:val="0"/>
        <w:autoSpaceDN w:val="0"/>
        <w:adjustRightInd w:val="0"/>
        <w:ind w:left="540" w:hanging="540"/>
        <w:jc w:val="both"/>
        <w:rPr>
          <w:noProof/>
        </w:rPr>
      </w:pPr>
      <w:r w:rsidRPr="00F9037C">
        <w:rPr>
          <w:noProof/>
        </w:rPr>
        <w:t>13.</w:t>
      </w:r>
      <w:r w:rsidRPr="00F9037C">
        <w:rPr>
          <w:noProof/>
        </w:rPr>
        <w:tab/>
        <w:t xml:space="preserve">Li, M. </w:t>
      </w:r>
      <w:r w:rsidRPr="00F9037C">
        <w:rPr>
          <w:i/>
          <w:iCs/>
          <w:noProof/>
        </w:rPr>
        <w:t>et al.</w:t>
      </w:r>
      <w:r w:rsidRPr="00F9037C">
        <w:rPr>
          <w:noProof/>
        </w:rPr>
        <w:t xml:space="preserve"> Structure and Functional Properties of the Active Form of the Proteolytic Complex, ClpP1P2, from </w:t>
      </w:r>
      <w:r w:rsidRPr="000A6885">
        <w:rPr>
          <w:i/>
          <w:noProof/>
        </w:rPr>
        <w:t>Mycobacterium tuberculosis</w:t>
      </w:r>
      <w:r w:rsidRPr="00F9037C">
        <w:rPr>
          <w:noProof/>
        </w:rPr>
        <w:t xml:space="preserve">. </w:t>
      </w:r>
      <w:r w:rsidRPr="00F9037C">
        <w:rPr>
          <w:i/>
          <w:iCs/>
          <w:noProof/>
        </w:rPr>
        <w:t>J. Biol. Chem.</w:t>
      </w:r>
      <w:r w:rsidRPr="00F9037C">
        <w:rPr>
          <w:noProof/>
        </w:rPr>
        <w:t xml:space="preserve"> </w:t>
      </w:r>
      <w:r w:rsidRPr="00F9037C">
        <w:rPr>
          <w:b/>
          <w:bCs/>
          <w:noProof/>
        </w:rPr>
        <w:t>291,</w:t>
      </w:r>
      <w:r w:rsidRPr="00F9037C">
        <w:rPr>
          <w:noProof/>
        </w:rPr>
        <w:t xml:space="preserve"> 7465–7476 (2016).</w:t>
      </w:r>
    </w:p>
    <w:p w14:paraId="738589FC" w14:textId="77777777" w:rsidR="00F9037C" w:rsidRPr="00F9037C" w:rsidRDefault="00F9037C" w:rsidP="00D42184">
      <w:pPr>
        <w:widowControl w:val="0"/>
        <w:autoSpaceDE w:val="0"/>
        <w:autoSpaceDN w:val="0"/>
        <w:adjustRightInd w:val="0"/>
        <w:ind w:left="540" w:hanging="540"/>
        <w:jc w:val="both"/>
        <w:rPr>
          <w:noProof/>
        </w:rPr>
      </w:pPr>
      <w:r w:rsidRPr="00F9037C">
        <w:rPr>
          <w:noProof/>
        </w:rPr>
        <w:t>14.</w:t>
      </w:r>
      <w:r w:rsidRPr="00F9037C">
        <w:rPr>
          <w:noProof/>
        </w:rPr>
        <w:tab/>
        <w:t xml:space="preserve">Ollinger, J., O’Malley, T., Kesicki, E. A., Odingo, J. &amp; Parish, T. Validation of the essential ClpP protease in </w:t>
      </w:r>
      <w:r w:rsidRPr="000A6885">
        <w:rPr>
          <w:i/>
          <w:noProof/>
        </w:rPr>
        <w:t>Mycobacterium tuberculosis</w:t>
      </w:r>
      <w:r w:rsidRPr="00F9037C">
        <w:rPr>
          <w:noProof/>
        </w:rPr>
        <w:t xml:space="preserve"> as a novel drug target. </w:t>
      </w:r>
      <w:r w:rsidRPr="00F9037C">
        <w:rPr>
          <w:i/>
          <w:iCs/>
          <w:noProof/>
        </w:rPr>
        <w:t>J. Bacteriol.</w:t>
      </w:r>
      <w:r w:rsidRPr="00F9037C">
        <w:rPr>
          <w:noProof/>
        </w:rPr>
        <w:t xml:space="preserve"> </w:t>
      </w:r>
      <w:r w:rsidRPr="00F9037C">
        <w:rPr>
          <w:b/>
          <w:bCs/>
          <w:noProof/>
        </w:rPr>
        <w:t>194,</w:t>
      </w:r>
      <w:r w:rsidRPr="00F9037C">
        <w:rPr>
          <w:noProof/>
        </w:rPr>
        <w:t xml:space="preserve"> 663–668 (2012).</w:t>
      </w:r>
    </w:p>
    <w:p w14:paraId="650B7A23" w14:textId="77777777" w:rsidR="00F9037C" w:rsidRPr="00F9037C" w:rsidRDefault="00F9037C" w:rsidP="00D42184">
      <w:pPr>
        <w:widowControl w:val="0"/>
        <w:autoSpaceDE w:val="0"/>
        <w:autoSpaceDN w:val="0"/>
        <w:adjustRightInd w:val="0"/>
        <w:ind w:left="540" w:hanging="540"/>
        <w:jc w:val="both"/>
        <w:rPr>
          <w:noProof/>
        </w:rPr>
      </w:pPr>
      <w:r w:rsidRPr="00F9037C">
        <w:rPr>
          <w:noProof/>
        </w:rPr>
        <w:t>15.</w:t>
      </w:r>
      <w:r w:rsidRPr="00F9037C">
        <w:rPr>
          <w:noProof/>
        </w:rPr>
        <w:tab/>
        <w:t xml:space="preserve">Raju, R. M. </w:t>
      </w:r>
      <w:r w:rsidRPr="00F9037C">
        <w:rPr>
          <w:i/>
          <w:iCs/>
          <w:noProof/>
        </w:rPr>
        <w:t>et al.</w:t>
      </w:r>
      <w:r w:rsidRPr="00F9037C">
        <w:rPr>
          <w:noProof/>
        </w:rPr>
        <w:t xml:space="preserve"> </w:t>
      </w:r>
      <w:r w:rsidRPr="000A6885">
        <w:rPr>
          <w:i/>
          <w:noProof/>
        </w:rPr>
        <w:t>Mycobacterium tuberculosis</w:t>
      </w:r>
      <w:r w:rsidRPr="00F9037C">
        <w:rPr>
          <w:noProof/>
        </w:rPr>
        <w:t xml:space="preserve"> ClpP1 and ClpP2 function together in protein degradation and are required for viability in vitro and during infection. </w:t>
      </w:r>
      <w:r w:rsidRPr="00F9037C">
        <w:rPr>
          <w:i/>
          <w:iCs/>
          <w:noProof/>
        </w:rPr>
        <w:t>PLoS Pathog.</w:t>
      </w:r>
      <w:r w:rsidRPr="00F9037C">
        <w:rPr>
          <w:noProof/>
        </w:rPr>
        <w:t xml:space="preserve"> </w:t>
      </w:r>
      <w:r w:rsidRPr="00F9037C">
        <w:rPr>
          <w:b/>
          <w:bCs/>
          <w:noProof/>
        </w:rPr>
        <w:t>8,</w:t>
      </w:r>
      <w:r w:rsidRPr="00F9037C">
        <w:rPr>
          <w:noProof/>
        </w:rPr>
        <w:t xml:space="preserve"> e1002511 (2012).</w:t>
      </w:r>
    </w:p>
    <w:p w14:paraId="045978A5" w14:textId="77777777" w:rsidR="00F9037C" w:rsidRPr="00F9037C" w:rsidRDefault="00F9037C" w:rsidP="00D42184">
      <w:pPr>
        <w:widowControl w:val="0"/>
        <w:autoSpaceDE w:val="0"/>
        <w:autoSpaceDN w:val="0"/>
        <w:adjustRightInd w:val="0"/>
        <w:ind w:left="540" w:hanging="540"/>
        <w:jc w:val="both"/>
        <w:rPr>
          <w:noProof/>
        </w:rPr>
      </w:pPr>
      <w:r w:rsidRPr="00F9037C">
        <w:rPr>
          <w:noProof/>
        </w:rPr>
        <w:t>16.</w:t>
      </w:r>
      <w:r w:rsidRPr="00F9037C">
        <w:rPr>
          <w:noProof/>
        </w:rPr>
        <w:tab/>
        <w:t xml:space="preserve">Schmitz, K. R., Carney, D. W., Sello, J. K. &amp; Sauer, R. T. Crystal structure of </w:t>
      </w:r>
      <w:r w:rsidRPr="000A6885">
        <w:rPr>
          <w:i/>
          <w:noProof/>
        </w:rPr>
        <w:t xml:space="preserve">Mycobacterium tuberculosis </w:t>
      </w:r>
      <w:r w:rsidRPr="00F9037C">
        <w:rPr>
          <w:noProof/>
        </w:rPr>
        <w:t xml:space="preserve">ClpP1P2 suggests a model for peptidase activation by AAA+ partner binding and substrate delivery. </w:t>
      </w:r>
      <w:r w:rsidRPr="00F9037C">
        <w:rPr>
          <w:i/>
          <w:iCs/>
          <w:noProof/>
        </w:rPr>
        <w:t>Proc. Natl. Acad. Sci. USA</w:t>
      </w:r>
      <w:r w:rsidRPr="00F9037C">
        <w:rPr>
          <w:noProof/>
        </w:rPr>
        <w:t xml:space="preserve"> </w:t>
      </w:r>
      <w:r w:rsidRPr="00F9037C">
        <w:rPr>
          <w:b/>
          <w:bCs/>
          <w:noProof/>
        </w:rPr>
        <w:t>111,</w:t>
      </w:r>
      <w:r w:rsidRPr="00F9037C">
        <w:rPr>
          <w:noProof/>
        </w:rPr>
        <w:t xml:space="preserve"> E4587-95 (2014).</w:t>
      </w:r>
    </w:p>
    <w:p w14:paraId="777602F1" w14:textId="77777777" w:rsidR="00F9037C" w:rsidRPr="00F9037C" w:rsidRDefault="00F9037C" w:rsidP="00D42184">
      <w:pPr>
        <w:widowControl w:val="0"/>
        <w:autoSpaceDE w:val="0"/>
        <w:autoSpaceDN w:val="0"/>
        <w:adjustRightInd w:val="0"/>
        <w:ind w:left="540" w:hanging="540"/>
        <w:jc w:val="both"/>
        <w:rPr>
          <w:noProof/>
        </w:rPr>
      </w:pPr>
      <w:r w:rsidRPr="00F9037C">
        <w:rPr>
          <w:noProof/>
        </w:rPr>
        <w:t>17.</w:t>
      </w:r>
      <w:r w:rsidRPr="00F9037C">
        <w:rPr>
          <w:noProof/>
        </w:rPr>
        <w:tab/>
        <w:t xml:space="preserve">Personne, Y., Brown, A. C., Schuessler, D. L. &amp; Parish, T. </w:t>
      </w:r>
      <w:r w:rsidRPr="000A6885">
        <w:rPr>
          <w:i/>
          <w:noProof/>
        </w:rPr>
        <w:t xml:space="preserve">Mycobacterium </w:t>
      </w:r>
      <w:r w:rsidRPr="000A6885">
        <w:rPr>
          <w:i/>
          <w:noProof/>
        </w:rPr>
        <w:lastRenderedPageBreak/>
        <w:t>tuberculosis</w:t>
      </w:r>
      <w:r w:rsidRPr="00F9037C">
        <w:rPr>
          <w:noProof/>
        </w:rPr>
        <w:t xml:space="preserve"> ClpP proteases are co-transcribed but exhibit different substrate specificities. </w:t>
      </w:r>
      <w:r w:rsidRPr="00F9037C">
        <w:rPr>
          <w:i/>
          <w:iCs/>
          <w:noProof/>
        </w:rPr>
        <w:t>PLoS One</w:t>
      </w:r>
      <w:r w:rsidRPr="00F9037C">
        <w:rPr>
          <w:noProof/>
        </w:rPr>
        <w:t xml:space="preserve"> </w:t>
      </w:r>
      <w:r w:rsidRPr="00F9037C">
        <w:rPr>
          <w:b/>
          <w:bCs/>
          <w:noProof/>
        </w:rPr>
        <w:t>8,</w:t>
      </w:r>
      <w:r w:rsidRPr="00F9037C">
        <w:rPr>
          <w:noProof/>
        </w:rPr>
        <w:t xml:space="preserve"> e60228 (2013).</w:t>
      </w:r>
    </w:p>
    <w:p w14:paraId="055BCFD1" w14:textId="0A6180D3" w:rsidR="00F9037C" w:rsidRPr="00F9037C" w:rsidRDefault="00F9037C" w:rsidP="00D42184">
      <w:pPr>
        <w:widowControl w:val="0"/>
        <w:autoSpaceDE w:val="0"/>
        <w:autoSpaceDN w:val="0"/>
        <w:adjustRightInd w:val="0"/>
        <w:ind w:left="540" w:hanging="540"/>
        <w:jc w:val="both"/>
        <w:rPr>
          <w:noProof/>
        </w:rPr>
      </w:pPr>
      <w:r w:rsidRPr="00F9037C">
        <w:rPr>
          <w:noProof/>
        </w:rPr>
        <w:t>18.</w:t>
      </w:r>
      <w:r w:rsidRPr="00F9037C">
        <w:rPr>
          <w:noProof/>
        </w:rPr>
        <w:tab/>
        <w:t xml:space="preserve">Jain, S., Graham, C., Graham, R. L. J., McMullan, G. &amp; Ternan, N. G. Quantitative proteomic analysis of the heat stress response in </w:t>
      </w:r>
      <w:r w:rsidR="00AB3480" w:rsidRPr="00AB3480">
        <w:rPr>
          <w:i/>
          <w:noProof/>
        </w:rPr>
        <w:t>Clostridium difficile</w:t>
      </w:r>
      <w:r w:rsidRPr="00F9037C">
        <w:rPr>
          <w:noProof/>
        </w:rPr>
        <w:t xml:space="preserve"> strain 630. </w:t>
      </w:r>
      <w:r w:rsidRPr="00F9037C">
        <w:rPr>
          <w:i/>
          <w:iCs/>
          <w:noProof/>
        </w:rPr>
        <w:t>J. Proteome Res.</w:t>
      </w:r>
      <w:r w:rsidRPr="00F9037C">
        <w:rPr>
          <w:noProof/>
        </w:rPr>
        <w:t xml:space="preserve"> </w:t>
      </w:r>
      <w:r w:rsidRPr="00F9037C">
        <w:rPr>
          <w:b/>
          <w:bCs/>
          <w:noProof/>
        </w:rPr>
        <w:t>10,</w:t>
      </w:r>
      <w:r w:rsidRPr="00F9037C">
        <w:rPr>
          <w:noProof/>
        </w:rPr>
        <w:t xml:space="preserve"> 3880–3890 (2011).</w:t>
      </w:r>
    </w:p>
    <w:p w14:paraId="2E402692" w14:textId="3003520F" w:rsidR="00F9037C" w:rsidRPr="00F9037C" w:rsidRDefault="00F9037C" w:rsidP="00D42184">
      <w:pPr>
        <w:widowControl w:val="0"/>
        <w:autoSpaceDE w:val="0"/>
        <w:autoSpaceDN w:val="0"/>
        <w:adjustRightInd w:val="0"/>
        <w:ind w:left="540" w:hanging="540"/>
        <w:jc w:val="both"/>
        <w:rPr>
          <w:noProof/>
        </w:rPr>
      </w:pPr>
      <w:r w:rsidRPr="00F9037C">
        <w:rPr>
          <w:noProof/>
        </w:rPr>
        <w:t>19.</w:t>
      </w:r>
      <w:r w:rsidRPr="00F9037C">
        <w:rPr>
          <w:noProof/>
        </w:rPr>
        <w:tab/>
        <w:t xml:space="preserve">Lawley, T. D. </w:t>
      </w:r>
      <w:r w:rsidRPr="00F9037C">
        <w:rPr>
          <w:i/>
          <w:iCs/>
          <w:noProof/>
        </w:rPr>
        <w:t>et al.</w:t>
      </w:r>
      <w:r w:rsidRPr="00F9037C">
        <w:rPr>
          <w:noProof/>
        </w:rPr>
        <w:t xml:space="preserve"> Proteomic and genomic characterization of highly infectious </w:t>
      </w:r>
      <w:r w:rsidR="00AB3480" w:rsidRPr="00AB3480">
        <w:rPr>
          <w:i/>
          <w:noProof/>
        </w:rPr>
        <w:t>Clostridium difficile</w:t>
      </w:r>
      <w:r w:rsidRPr="00F9037C">
        <w:rPr>
          <w:noProof/>
        </w:rPr>
        <w:t xml:space="preserve"> 630 spores. </w:t>
      </w:r>
      <w:r w:rsidRPr="00F9037C">
        <w:rPr>
          <w:i/>
          <w:iCs/>
          <w:noProof/>
        </w:rPr>
        <w:t>J. Bacteriol.</w:t>
      </w:r>
      <w:r w:rsidRPr="00F9037C">
        <w:rPr>
          <w:noProof/>
        </w:rPr>
        <w:t xml:space="preserve"> </w:t>
      </w:r>
      <w:r w:rsidRPr="00F9037C">
        <w:rPr>
          <w:b/>
          <w:bCs/>
          <w:noProof/>
        </w:rPr>
        <w:t>191,</w:t>
      </w:r>
      <w:r w:rsidRPr="00F9037C">
        <w:rPr>
          <w:noProof/>
        </w:rPr>
        <w:t xml:space="preserve"> 5377–5386 (2009).</w:t>
      </w:r>
    </w:p>
    <w:p w14:paraId="6E1477DE" w14:textId="7F5E7759" w:rsidR="00F9037C" w:rsidRPr="00F9037C" w:rsidRDefault="00F9037C" w:rsidP="00D42184">
      <w:pPr>
        <w:widowControl w:val="0"/>
        <w:autoSpaceDE w:val="0"/>
        <w:autoSpaceDN w:val="0"/>
        <w:adjustRightInd w:val="0"/>
        <w:ind w:left="540" w:hanging="540"/>
        <w:jc w:val="both"/>
        <w:rPr>
          <w:noProof/>
        </w:rPr>
      </w:pPr>
      <w:r w:rsidRPr="00F9037C">
        <w:rPr>
          <w:noProof/>
        </w:rPr>
        <w:t>20.</w:t>
      </w:r>
      <w:r w:rsidRPr="00F9037C">
        <w:rPr>
          <w:noProof/>
        </w:rPr>
        <w:tab/>
        <w:t xml:space="preserve">Emerson, J. E., Stabler, R. A., Wren, B. W. &amp; Fairweather, N. F. Microarray analysis of the transcriptional responses of </w:t>
      </w:r>
      <w:r w:rsidR="00AB3480" w:rsidRPr="00AB3480">
        <w:rPr>
          <w:i/>
          <w:noProof/>
        </w:rPr>
        <w:t>Clostridium difficile</w:t>
      </w:r>
      <w:r w:rsidRPr="00F9037C">
        <w:rPr>
          <w:noProof/>
        </w:rPr>
        <w:t xml:space="preserve"> to environmental and antibiotic stress. </w:t>
      </w:r>
      <w:r w:rsidRPr="00F9037C">
        <w:rPr>
          <w:i/>
          <w:iCs/>
          <w:noProof/>
        </w:rPr>
        <w:t>J. Med. Microbiol.</w:t>
      </w:r>
      <w:r w:rsidRPr="00F9037C">
        <w:rPr>
          <w:noProof/>
        </w:rPr>
        <w:t xml:space="preserve"> </w:t>
      </w:r>
      <w:r w:rsidRPr="00F9037C">
        <w:rPr>
          <w:b/>
          <w:bCs/>
          <w:noProof/>
        </w:rPr>
        <w:t>57,</w:t>
      </w:r>
      <w:r w:rsidRPr="00F9037C">
        <w:rPr>
          <w:noProof/>
        </w:rPr>
        <w:t xml:space="preserve"> 757–764 (2008).</w:t>
      </w:r>
    </w:p>
    <w:p w14:paraId="22476EC5" w14:textId="6312D6CF" w:rsidR="00F9037C" w:rsidRPr="00F9037C" w:rsidRDefault="00F9037C" w:rsidP="00D42184">
      <w:pPr>
        <w:widowControl w:val="0"/>
        <w:autoSpaceDE w:val="0"/>
        <w:autoSpaceDN w:val="0"/>
        <w:adjustRightInd w:val="0"/>
        <w:ind w:left="540" w:hanging="540"/>
        <w:jc w:val="both"/>
        <w:rPr>
          <w:noProof/>
        </w:rPr>
      </w:pPr>
      <w:r w:rsidRPr="00F9037C">
        <w:rPr>
          <w:noProof/>
        </w:rPr>
        <w:t>21.</w:t>
      </w:r>
      <w:r w:rsidRPr="00F9037C">
        <w:rPr>
          <w:noProof/>
        </w:rPr>
        <w:tab/>
        <w:t xml:space="preserve">Chong, P. M. </w:t>
      </w:r>
      <w:r w:rsidRPr="00F9037C">
        <w:rPr>
          <w:i/>
          <w:iCs/>
          <w:noProof/>
        </w:rPr>
        <w:t>et al.</w:t>
      </w:r>
      <w:r w:rsidRPr="00F9037C">
        <w:rPr>
          <w:noProof/>
        </w:rPr>
        <w:t xml:space="preserve"> Proteomic analysis of a NAP1 </w:t>
      </w:r>
      <w:r w:rsidR="00AB3480" w:rsidRPr="00AB3480">
        <w:rPr>
          <w:i/>
          <w:noProof/>
        </w:rPr>
        <w:t>Clostridium difficile</w:t>
      </w:r>
      <w:r w:rsidRPr="00F9037C">
        <w:rPr>
          <w:noProof/>
        </w:rPr>
        <w:t xml:space="preserve"> clinical isolate resistant to metronidazole. </w:t>
      </w:r>
      <w:r w:rsidRPr="00F9037C">
        <w:rPr>
          <w:i/>
          <w:iCs/>
          <w:noProof/>
        </w:rPr>
        <w:t>PLoS One</w:t>
      </w:r>
      <w:r w:rsidRPr="00F9037C">
        <w:rPr>
          <w:noProof/>
        </w:rPr>
        <w:t xml:space="preserve"> </w:t>
      </w:r>
      <w:r w:rsidRPr="00F9037C">
        <w:rPr>
          <w:b/>
          <w:bCs/>
          <w:noProof/>
        </w:rPr>
        <w:t>9,</w:t>
      </w:r>
      <w:r w:rsidRPr="00F9037C">
        <w:rPr>
          <w:noProof/>
        </w:rPr>
        <w:t xml:space="preserve"> e82622 (2014).</w:t>
      </w:r>
    </w:p>
    <w:p w14:paraId="29713D6E" w14:textId="5CEE0B9E" w:rsidR="00F9037C" w:rsidRPr="00F9037C" w:rsidRDefault="00F9037C" w:rsidP="00D42184">
      <w:pPr>
        <w:widowControl w:val="0"/>
        <w:autoSpaceDE w:val="0"/>
        <w:autoSpaceDN w:val="0"/>
        <w:adjustRightInd w:val="0"/>
        <w:ind w:left="540" w:hanging="540"/>
        <w:jc w:val="both"/>
        <w:rPr>
          <w:noProof/>
        </w:rPr>
      </w:pPr>
      <w:r w:rsidRPr="00F9037C">
        <w:rPr>
          <w:noProof/>
        </w:rPr>
        <w:t>22.</w:t>
      </w:r>
      <w:r w:rsidRPr="00F9037C">
        <w:rPr>
          <w:noProof/>
        </w:rPr>
        <w:tab/>
        <w:t xml:space="preserve">Sekulovic, O. &amp; Fortier, L.-C. Global transcriptional response of </w:t>
      </w:r>
      <w:r w:rsidR="00AB3480" w:rsidRPr="00AB3480">
        <w:rPr>
          <w:i/>
          <w:noProof/>
        </w:rPr>
        <w:t>Clostridium difficile</w:t>
      </w:r>
      <w:r w:rsidRPr="00F9037C">
        <w:rPr>
          <w:noProof/>
        </w:rPr>
        <w:t xml:space="preserve"> carrying the CD38 prophage. </w:t>
      </w:r>
      <w:r w:rsidRPr="00F9037C">
        <w:rPr>
          <w:i/>
          <w:iCs/>
          <w:noProof/>
        </w:rPr>
        <w:t>Appl. Environ. Microbiol.</w:t>
      </w:r>
      <w:r w:rsidRPr="00F9037C">
        <w:rPr>
          <w:noProof/>
        </w:rPr>
        <w:t xml:space="preserve"> </w:t>
      </w:r>
      <w:r w:rsidRPr="00F9037C">
        <w:rPr>
          <w:b/>
          <w:bCs/>
          <w:noProof/>
        </w:rPr>
        <w:t>81,</w:t>
      </w:r>
      <w:r w:rsidRPr="00F9037C">
        <w:rPr>
          <w:noProof/>
        </w:rPr>
        <w:t xml:space="preserve"> 1364–1374 (2015).</w:t>
      </w:r>
    </w:p>
    <w:p w14:paraId="784E71D6" w14:textId="77777777" w:rsidR="00F9037C" w:rsidRPr="00F9037C" w:rsidRDefault="00F9037C" w:rsidP="00D42184">
      <w:pPr>
        <w:widowControl w:val="0"/>
        <w:autoSpaceDE w:val="0"/>
        <w:autoSpaceDN w:val="0"/>
        <w:adjustRightInd w:val="0"/>
        <w:ind w:left="540" w:hanging="540"/>
        <w:jc w:val="both"/>
        <w:rPr>
          <w:noProof/>
        </w:rPr>
      </w:pPr>
      <w:r w:rsidRPr="00F9037C">
        <w:rPr>
          <w:noProof/>
        </w:rPr>
        <w:t>23.</w:t>
      </w:r>
      <w:r w:rsidRPr="00F9037C">
        <w:rPr>
          <w:noProof/>
        </w:rPr>
        <w:tab/>
        <w:t xml:space="preserve">Gersch, M., List, A., Groll, M. &amp; Sieber, S. A. Insights into structural network responsible for oligomerization and activity of bacterial virulence regulator caseinolytic protease P (ClpP) protein. </w:t>
      </w:r>
      <w:r w:rsidRPr="00F9037C">
        <w:rPr>
          <w:i/>
          <w:iCs/>
          <w:noProof/>
        </w:rPr>
        <w:t>J. Biol. Chem.</w:t>
      </w:r>
      <w:r w:rsidRPr="00F9037C">
        <w:rPr>
          <w:noProof/>
        </w:rPr>
        <w:t xml:space="preserve"> </w:t>
      </w:r>
      <w:r w:rsidRPr="00F9037C">
        <w:rPr>
          <w:b/>
          <w:bCs/>
          <w:noProof/>
        </w:rPr>
        <w:t>287,</w:t>
      </w:r>
      <w:r w:rsidRPr="00F9037C">
        <w:rPr>
          <w:noProof/>
        </w:rPr>
        <w:t xml:space="preserve"> 9484–9494 (2012).</w:t>
      </w:r>
    </w:p>
    <w:p w14:paraId="74720684" w14:textId="77777777" w:rsidR="00F9037C" w:rsidRPr="00F9037C" w:rsidRDefault="00F9037C" w:rsidP="00D42184">
      <w:pPr>
        <w:widowControl w:val="0"/>
        <w:autoSpaceDE w:val="0"/>
        <w:autoSpaceDN w:val="0"/>
        <w:adjustRightInd w:val="0"/>
        <w:ind w:left="540" w:hanging="540"/>
        <w:jc w:val="both"/>
        <w:rPr>
          <w:noProof/>
        </w:rPr>
      </w:pPr>
      <w:r w:rsidRPr="00F9037C">
        <w:rPr>
          <w:noProof/>
        </w:rPr>
        <w:t>24.</w:t>
      </w:r>
      <w:r w:rsidRPr="00F9037C">
        <w:rPr>
          <w:noProof/>
        </w:rPr>
        <w:tab/>
        <w:t xml:space="preserve">Ni, T. </w:t>
      </w:r>
      <w:r w:rsidRPr="00F9037C">
        <w:rPr>
          <w:i/>
          <w:iCs/>
          <w:noProof/>
        </w:rPr>
        <w:t>et al.</w:t>
      </w:r>
      <w:r w:rsidRPr="00F9037C">
        <w:rPr>
          <w:noProof/>
        </w:rPr>
        <w:t xml:space="preserve"> Characterization of Gain-of-Function Mutant Provides New Insights into ClpP Structure. </w:t>
      </w:r>
      <w:r w:rsidRPr="00F9037C">
        <w:rPr>
          <w:i/>
          <w:iCs/>
          <w:noProof/>
        </w:rPr>
        <w:t>ACS Chem. Biol.</w:t>
      </w:r>
      <w:r w:rsidRPr="00F9037C">
        <w:rPr>
          <w:noProof/>
        </w:rPr>
        <w:t xml:space="preserve"> </w:t>
      </w:r>
      <w:r w:rsidRPr="00F9037C">
        <w:rPr>
          <w:b/>
          <w:bCs/>
          <w:noProof/>
        </w:rPr>
        <w:t>11,</w:t>
      </w:r>
      <w:r w:rsidRPr="00F9037C">
        <w:rPr>
          <w:noProof/>
        </w:rPr>
        <w:t xml:space="preserve"> 1964–1972 (2016).</w:t>
      </w:r>
    </w:p>
    <w:p w14:paraId="5570E5D2" w14:textId="77777777" w:rsidR="00F9037C" w:rsidRPr="00F9037C" w:rsidRDefault="00F9037C" w:rsidP="00D42184">
      <w:pPr>
        <w:widowControl w:val="0"/>
        <w:autoSpaceDE w:val="0"/>
        <w:autoSpaceDN w:val="0"/>
        <w:adjustRightInd w:val="0"/>
        <w:ind w:left="540" w:hanging="540"/>
        <w:jc w:val="both"/>
        <w:rPr>
          <w:noProof/>
        </w:rPr>
      </w:pPr>
      <w:r w:rsidRPr="00F9037C">
        <w:rPr>
          <w:noProof/>
        </w:rPr>
        <w:t>25.</w:t>
      </w:r>
      <w:r w:rsidRPr="00F9037C">
        <w:rPr>
          <w:noProof/>
        </w:rPr>
        <w:tab/>
        <w:t xml:space="preserve">Stahl, M. &amp; Sieber, S. A. An amino acid domino effect orchestrates ClpP’s conformational states. </w:t>
      </w:r>
      <w:r w:rsidRPr="00F9037C">
        <w:rPr>
          <w:i/>
          <w:iCs/>
          <w:noProof/>
        </w:rPr>
        <w:t>Curr. Opin. Chem. Biol.</w:t>
      </w:r>
      <w:r w:rsidRPr="00F9037C">
        <w:rPr>
          <w:noProof/>
        </w:rPr>
        <w:t xml:space="preserve"> </w:t>
      </w:r>
      <w:r w:rsidRPr="00F9037C">
        <w:rPr>
          <w:b/>
          <w:bCs/>
          <w:noProof/>
        </w:rPr>
        <w:t>40,</w:t>
      </w:r>
      <w:r w:rsidRPr="00F9037C">
        <w:rPr>
          <w:noProof/>
        </w:rPr>
        <w:t xml:space="preserve"> 102–110 (2017).</w:t>
      </w:r>
    </w:p>
    <w:p w14:paraId="672D8A78" w14:textId="77777777" w:rsidR="00F9037C" w:rsidRPr="00F9037C" w:rsidRDefault="00F9037C" w:rsidP="00D42184">
      <w:pPr>
        <w:widowControl w:val="0"/>
        <w:autoSpaceDE w:val="0"/>
        <w:autoSpaceDN w:val="0"/>
        <w:adjustRightInd w:val="0"/>
        <w:ind w:left="540" w:hanging="540"/>
        <w:jc w:val="both"/>
        <w:rPr>
          <w:noProof/>
        </w:rPr>
      </w:pPr>
      <w:r w:rsidRPr="00F9037C">
        <w:rPr>
          <w:noProof/>
        </w:rPr>
        <w:t>26.</w:t>
      </w:r>
      <w:r w:rsidRPr="00F9037C">
        <w:rPr>
          <w:noProof/>
        </w:rPr>
        <w:tab/>
        <w:t xml:space="preserve">Kenniston, J. A., Baker, T. A., Fernandez, J. M. &amp; Sauer, R. T. Linkage between ATP consumption and mechanical unfolding during the protein processing reactions of an AAA+ degradation machine. </w:t>
      </w:r>
      <w:r w:rsidRPr="00F9037C">
        <w:rPr>
          <w:i/>
          <w:iCs/>
          <w:noProof/>
        </w:rPr>
        <w:t>Cell</w:t>
      </w:r>
      <w:r w:rsidRPr="00F9037C">
        <w:rPr>
          <w:noProof/>
        </w:rPr>
        <w:t xml:space="preserve"> </w:t>
      </w:r>
      <w:r w:rsidRPr="00F9037C">
        <w:rPr>
          <w:b/>
          <w:bCs/>
          <w:noProof/>
        </w:rPr>
        <w:t>114,</w:t>
      </w:r>
      <w:r w:rsidRPr="00F9037C">
        <w:rPr>
          <w:noProof/>
        </w:rPr>
        <w:t xml:space="preserve"> 511–520 (2003).</w:t>
      </w:r>
    </w:p>
    <w:p w14:paraId="59260DFC" w14:textId="77777777" w:rsidR="00F9037C" w:rsidRPr="00F9037C" w:rsidRDefault="00F9037C" w:rsidP="00D42184">
      <w:pPr>
        <w:widowControl w:val="0"/>
        <w:autoSpaceDE w:val="0"/>
        <w:autoSpaceDN w:val="0"/>
        <w:adjustRightInd w:val="0"/>
        <w:ind w:left="540" w:hanging="540"/>
        <w:jc w:val="both"/>
        <w:rPr>
          <w:noProof/>
        </w:rPr>
      </w:pPr>
      <w:r w:rsidRPr="00F9037C">
        <w:rPr>
          <w:noProof/>
        </w:rPr>
        <w:lastRenderedPageBreak/>
        <w:t>27.</w:t>
      </w:r>
      <w:r w:rsidRPr="00F9037C">
        <w:rPr>
          <w:noProof/>
        </w:rPr>
        <w:tab/>
        <w:t xml:space="preserve">Gersch, M. </w:t>
      </w:r>
      <w:r w:rsidRPr="00F9037C">
        <w:rPr>
          <w:i/>
          <w:iCs/>
          <w:noProof/>
        </w:rPr>
        <w:t>et al.</w:t>
      </w:r>
      <w:r w:rsidRPr="00F9037C">
        <w:rPr>
          <w:noProof/>
        </w:rPr>
        <w:t xml:space="preserve"> AAA+ chaperones and acyldepsipeptides activate the ClpP protease via conformational control. </w:t>
      </w:r>
      <w:r w:rsidRPr="00F9037C">
        <w:rPr>
          <w:i/>
          <w:iCs/>
          <w:noProof/>
        </w:rPr>
        <w:t>Nat. Commun.</w:t>
      </w:r>
      <w:r w:rsidRPr="00F9037C">
        <w:rPr>
          <w:noProof/>
        </w:rPr>
        <w:t xml:space="preserve"> </w:t>
      </w:r>
      <w:r w:rsidRPr="00F9037C">
        <w:rPr>
          <w:b/>
          <w:bCs/>
          <w:noProof/>
        </w:rPr>
        <w:t>6,</w:t>
      </w:r>
      <w:r w:rsidRPr="00F9037C">
        <w:rPr>
          <w:noProof/>
        </w:rPr>
        <w:t xml:space="preserve"> 6320 (2015).</w:t>
      </w:r>
    </w:p>
    <w:p w14:paraId="23F36812" w14:textId="77777777" w:rsidR="00F9037C" w:rsidRPr="00F9037C" w:rsidRDefault="00F9037C" w:rsidP="00D42184">
      <w:pPr>
        <w:widowControl w:val="0"/>
        <w:autoSpaceDE w:val="0"/>
        <w:autoSpaceDN w:val="0"/>
        <w:adjustRightInd w:val="0"/>
        <w:ind w:left="540" w:hanging="540"/>
        <w:jc w:val="both"/>
        <w:rPr>
          <w:noProof/>
        </w:rPr>
      </w:pPr>
      <w:r w:rsidRPr="00F9037C">
        <w:rPr>
          <w:noProof/>
        </w:rPr>
        <w:t>28.</w:t>
      </w:r>
      <w:r w:rsidRPr="00F9037C">
        <w:rPr>
          <w:noProof/>
        </w:rPr>
        <w:tab/>
        <w:t xml:space="preserve">Leodolter, J., Warweg, J. &amp; Weber-Ban, E. The </w:t>
      </w:r>
      <w:r w:rsidRPr="000A6885">
        <w:rPr>
          <w:i/>
          <w:noProof/>
        </w:rPr>
        <w:t>Mycobacterium tuberculosi</w:t>
      </w:r>
      <w:r w:rsidRPr="00F9037C">
        <w:rPr>
          <w:noProof/>
        </w:rPr>
        <w:t xml:space="preserve">s ClpP1P2 Protease Interacts Asymmetrically with Its ATPase Partners ClpX and ClpC1. </w:t>
      </w:r>
      <w:r w:rsidRPr="00F9037C">
        <w:rPr>
          <w:i/>
          <w:iCs/>
          <w:noProof/>
        </w:rPr>
        <w:t>PLoS One</w:t>
      </w:r>
      <w:r w:rsidRPr="00F9037C">
        <w:rPr>
          <w:noProof/>
        </w:rPr>
        <w:t xml:space="preserve"> </w:t>
      </w:r>
      <w:r w:rsidRPr="00F9037C">
        <w:rPr>
          <w:b/>
          <w:bCs/>
          <w:noProof/>
        </w:rPr>
        <w:t>10,</w:t>
      </w:r>
      <w:r w:rsidRPr="00F9037C">
        <w:rPr>
          <w:noProof/>
        </w:rPr>
        <w:t xml:space="preserve"> e0125345 (2015).</w:t>
      </w:r>
    </w:p>
    <w:p w14:paraId="4BEC471E" w14:textId="77777777" w:rsidR="00F9037C" w:rsidRPr="00F9037C" w:rsidRDefault="00F9037C" w:rsidP="00D42184">
      <w:pPr>
        <w:widowControl w:val="0"/>
        <w:autoSpaceDE w:val="0"/>
        <w:autoSpaceDN w:val="0"/>
        <w:adjustRightInd w:val="0"/>
        <w:ind w:left="540" w:hanging="540"/>
        <w:jc w:val="both"/>
        <w:rPr>
          <w:noProof/>
        </w:rPr>
      </w:pPr>
      <w:r w:rsidRPr="00F9037C">
        <w:rPr>
          <w:noProof/>
        </w:rPr>
        <w:t>29.</w:t>
      </w:r>
      <w:r w:rsidRPr="00F9037C">
        <w:rPr>
          <w:noProof/>
        </w:rPr>
        <w:tab/>
        <w:t xml:space="preserve">Woo, K. M., Chung, W. J., Ha, D. B., Goldberg, A. L. &amp; Chung, C. H. Protease Ti from </w:t>
      </w:r>
      <w:r w:rsidRPr="000A6885">
        <w:rPr>
          <w:i/>
          <w:noProof/>
        </w:rPr>
        <w:t>Escherichia coli</w:t>
      </w:r>
      <w:r w:rsidRPr="00F9037C">
        <w:rPr>
          <w:noProof/>
        </w:rPr>
        <w:t xml:space="preserve"> requires ATP hydrolysis for protein breakdown but not for hydrolysis of small peptides. </w:t>
      </w:r>
      <w:r w:rsidRPr="00F9037C">
        <w:rPr>
          <w:i/>
          <w:iCs/>
          <w:noProof/>
        </w:rPr>
        <w:t>J. Biol. Chem.</w:t>
      </w:r>
      <w:r w:rsidRPr="00F9037C">
        <w:rPr>
          <w:noProof/>
        </w:rPr>
        <w:t xml:space="preserve"> </w:t>
      </w:r>
      <w:r w:rsidRPr="00F9037C">
        <w:rPr>
          <w:b/>
          <w:bCs/>
          <w:noProof/>
        </w:rPr>
        <w:t>264,</w:t>
      </w:r>
      <w:r w:rsidRPr="00F9037C">
        <w:rPr>
          <w:noProof/>
        </w:rPr>
        <w:t xml:space="preserve"> 2088–2091 (1989).</w:t>
      </w:r>
    </w:p>
    <w:p w14:paraId="427115CD" w14:textId="77777777" w:rsidR="00F9037C" w:rsidRPr="00F9037C" w:rsidRDefault="00F9037C" w:rsidP="00D42184">
      <w:pPr>
        <w:widowControl w:val="0"/>
        <w:autoSpaceDE w:val="0"/>
        <w:autoSpaceDN w:val="0"/>
        <w:adjustRightInd w:val="0"/>
        <w:ind w:left="540" w:hanging="540"/>
        <w:jc w:val="both"/>
        <w:rPr>
          <w:noProof/>
        </w:rPr>
      </w:pPr>
      <w:r w:rsidRPr="00F9037C">
        <w:rPr>
          <w:noProof/>
        </w:rPr>
        <w:t>30.</w:t>
      </w:r>
      <w:r w:rsidRPr="00F9037C">
        <w:rPr>
          <w:noProof/>
        </w:rPr>
        <w:tab/>
        <w:t xml:space="preserve">Liu, Y., Patricelli, M. P. &amp; Cravatt, B. F. Activity-based protein profiling: the serine hydrolases. </w:t>
      </w:r>
      <w:r w:rsidRPr="00F9037C">
        <w:rPr>
          <w:i/>
          <w:iCs/>
          <w:noProof/>
        </w:rPr>
        <w:t>Proc. Natl. Acad. Sci. USA</w:t>
      </w:r>
      <w:r w:rsidRPr="00F9037C">
        <w:rPr>
          <w:noProof/>
        </w:rPr>
        <w:t xml:space="preserve"> </w:t>
      </w:r>
      <w:r w:rsidRPr="00F9037C">
        <w:rPr>
          <w:b/>
          <w:bCs/>
          <w:noProof/>
        </w:rPr>
        <w:t>96,</w:t>
      </w:r>
      <w:r w:rsidRPr="00F9037C">
        <w:rPr>
          <w:noProof/>
        </w:rPr>
        <w:t xml:space="preserve"> 14694–14699 (1999).</w:t>
      </w:r>
    </w:p>
    <w:p w14:paraId="075E3364" w14:textId="77777777" w:rsidR="00F9037C" w:rsidRPr="00F9037C" w:rsidRDefault="00F9037C" w:rsidP="00D42184">
      <w:pPr>
        <w:widowControl w:val="0"/>
        <w:autoSpaceDE w:val="0"/>
        <w:autoSpaceDN w:val="0"/>
        <w:adjustRightInd w:val="0"/>
        <w:ind w:left="540" w:hanging="540"/>
        <w:jc w:val="both"/>
        <w:rPr>
          <w:noProof/>
        </w:rPr>
      </w:pPr>
      <w:r w:rsidRPr="00F9037C">
        <w:rPr>
          <w:noProof/>
        </w:rPr>
        <w:t>31.</w:t>
      </w:r>
      <w:r w:rsidRPr="00F9037C">
        <w:rPr>
          <w:noProof/>
        </w:rPr>
        <w:tab/>
        <w:t xml:space="preserve">Martin, A., Baker, T. A. &amp; Sauer, R. T. Distinct static and dynamic interactions control ATPase-peptidase communication in a AAA+ protease. </w:t>
      </w:r>
      <w:r w:rsidRPr="00F9037C">
        <w:rPr>
          <w:i/>
          <w:iCs/>
          <w:noProof/>
        </w:rPr>
        <w:t>Mol. Cell</w:t>
      </w:r>
      <w:r w:rsidRPr="00F9037C">
        <w:rPr>
          <w:noProof/>
        </w:rPr>
        <w:t xml:space="preserve"> </w:t>
      </w:r>
      <w:r w:rsidRPr="00F9037C">
        <w:rPr>
          <w:b/>
          <w:bCs/>
          <w:noProof/>
        </w:rPr>
        <w:t>27,</w:t>
      </w:r>
      <w:r w:rsidRPr="00F9037C">
        <w:rPr>
          <w:noProof/>
        </w:rPr>
        <w:t xml:space="preserve"> 41–52 (2007).</w:t>
      </w:r>
    </w:p>
    <w:p w14:paraId="43E6359B" w14:textId="77777777" w:rsidR="00F9037C" w:rsidRPr="00F9037C" w:rsidRDefault="00F9037C" w:rsidP="00D42184">
      <w:pPr>
        <w:widowControl w:val="0"/>
        <w:autoSpaceDE w:val="0"/>
        <w:autoSpaceDN w:val="0"/>
        <w:adjustRightInd w:val="0"/>
        <w:ind w:left="540" w:hanging="540"/>
        <w:jc w:val="both"/>
        <w:rPr>
          <w:noProof/>
        </w:rPr>
      </w:pPr>
      <w:r w:rsidRPr="00F9037C">
        <w:rPr>
          <w:noProof/>
        </w:rPr>
        <w:t>32.</w:t>
      </w:r>
      <w:r w:rsidRPr="00F9037C">
        <w:rPr>
          <w:noProof/>
        </w:rPr>
        <w:tab/>
        <w:t xml:space="preserve">Kim, Y. I. </w:t>
      </w:r>
      <w:r w:rsidRPr="00F9037C">
        <w:rPr>
          <w:i/>
          <w:iCs/>
          <w:noProof/>
        </w:rPr>
        <w:t>et al.</w:t>
      </w:r>
      <w:r w:rsidRPr="00F9037C">
        <w:rPr>
          <w:noProof/>
        </w:rPr>
        <w:t xml:space="preserve"> Molecular determinants of complex formation between Clp/Hsp100 ATPases and the ClpP peptidase. </w:t>
      </w:r>
      <w:r w:rsidRPr="00F9037C">
        <w:rPr>
          <w:i/>
          <w:iCs/>
          <w:noProof/>
        </w:rPr>
        <w:t>Nat. Struct. Biol.</w:t>
      </w:r>
      <w:r w:rsidRPr="00F9037C">
        <w:rPr>
          <w:noProof/>
        </w:rPr>
        <w:t xml:space="preserve"> </w:t>
      </w:r>
      <w:r w:rsidRPr="00F9037C">
        <w:rPr>
          <w:b/>
          <w:bCs/>
          <w:noProof/>
        </w:rPr>
        <w:t>8,</w:t>
      </w:r>
      <w:r w:rsidRPr="00F9037C">
        <w:rPr>
          <w:noProof/>
        </w:rPr>
        <w:t xml:space="preserve"> 230–233 (2001).</w:t>
      </w:r>
    </w:p>
    <w:p w14:paraId="71A35093" w14:textId="77777777" w:rsidR="00F9037C" w:rsidRPr="00F9037C" w:rsidRDefault="00F9037C" w:rsidP="00D42184">
      <w:pPr>
        <w:widowControl w:val="0"/>
        <w:autoSpaceDE w:val="0"/>
        <w:autoSpaceDN w:val="0"/>
        <w:adjustRightInd w:val="0"/>
        <w:ind w:left="540" w:hanging="540"/>
        <w:jc w:val="both"/>
        <w:rPr>
          <w:noProof/>
        </w:rPr>
      </w:pPr>
      <w:r w:rsidRPr="00F9037C">
        <w:rPr>
          <w:noProof/>
        </w:rPr>
        <w:t>33.</w:t>
      </w:r>
      <w:r w:rsidRPr="00F9037C">
        <w:rPr>
          <w:noProof/>
        </w:rPr>
        <w:tab/>
        <w:t xml:space="preserve">Brötz-Oesterhelt, H. </w:t>
      </w:r>
      <w:r w:rsidRPr="00F9037C">
        <w:rPr>
          <w:i/>
          <w:iCs/>
          <w:noProof/>
        </w:rPr>
        <w:t>et al.</w:t>
      </w:r>
      <w:r w:rsidRPr="00F9037C">
        <w:rPr>
          <w:noProof/>
        </w:rPr>
        <w:t xml:space="preserve"> Dysregulation of bacterial proteolytic machinery by a new class of antibiotics. </w:t>
      </w:r>
      <w:r w:rsidRPr="00F9037C">
        <w:rPr>
          <w:i/>
          <w:iCs/>
          <w:noProof/>
        </w:rPr>
        <w:t>Nat. Med.</w:t>
      </w:r>
      <w:r w:rsidRPr="00F9037C">
        <w:rPr>
          <w:noProof/>
        </w:rPr>
        <w:t xml:space="preserve"> </w:t>
      </w:r>
      <w:r w:rsidRPr="00F9037C">
        <w:rPr>
          <w:b/>
          <w:bCs/>
          <w:noProof/>
        </w:rPr>
        <w:t>11,</w:t>
      </w:r>
      <w:r w:rsidRPr="00F9037C">
        <w:rPr>
          <w:noProof/>
        </w:rPr>
        <w:t xml:space="preserve"> 1082–1087 (2005).</w:t>
      </w:r>
    </w:p>
    <w:p w14:paraId="21570C5E" w14:textId="77777777" w:rsidR="00F9037C" w:rsidRPr="00F9037C" w:rsidRDefault="00F9037C" w:rsidP="00D42184">
      <w:pPr>
        <w:widowControl w:val="0"/>
        <w:autoSpaceDE w:val="0"/>
        <w:autoSpaceDN w:val="0"/>
        <w:adjustRightInd w:val="0"/>
        <w:ind w:left="540" w:hanging="540"/>
        <w:jc w:val="both"/>
        <w:rPr>
          <w:noProof/>
        </w:rPr>
      </w:pPr>
      <w:r w:rsidRPr="00F9037C">
        <w:rPr>
          <w:noProof/>
        </w:rPr>
        <w:t>34.</w:t>
      </w:r>
      <w:r w:rsidRPr="00F9037C">
        <w:rPr>
          <w:noProof/>
        </w:rPr>
        <w:tab/>
        <w:t xml:space="preserve">Lee, B.-G. </w:t>
      </w:r>
      <w:r w:rsidRPr="00F9037C">
        <w:rPr>
          <w:i/>
          <w:iCs/>
          <w:noProof/>
        </w:rPr>
        <w:t>et al.</w:t>
      </w:r>
      <w:r w:rsidRPr="00F9037C">
        <w:rPr>
          <w:noProof/>
        </w:rPr>
        <w:t xml:space="preserve"> Structures of ClpP in complex with acyldepsipeptide antibiotics reveal its activation mechanism. </w:t>
      </w:r>
      <w:r w:rsidRPr="00F9037C">
        <w:rPr>
          <w:i/>
          <w:iCs/>
          <w:noProof/>
        </w:rPr>
        <w:t>Nat. Struct. Mol. Biol.</w:t>
      </w:r>
      <w:r w:rsidRPr="00F9037C">
        <w:rPr>
          <w:noProof/>
        </w:rPr>
        <w:t xml:space="preserve"> </w:t>
      </w:r>
      <w:r w:rsidRPr="00F9037C">
        <w:rPr>
          <w:b/>
          <w:bCs/>
          <w:noProof/>
        </w:rPr>
        <w:t>17,</w:t>
      </w:r>
      <w:r w:rsidRPr="00F9037C">
        <w:rPr>
          <w:noProof/>
        </w:rPr>
        <w:t xml:space="preserve"> 471–478 (2010).</w:t>
      </w:r>
    </w:p>
    <w:p w14:paraId="23823A75" w14:textId="77777777" w:rsidR="00F9037C" w:rsidRPr="00F9037C" w:rsidRDefault="00F9037C" w:rsidP="00D42184">
      <w:pPr>
        <w:widowControl w:val="0"/>
        <w:autoSpaceDE w:val="0"/>
        <w:autoSpaceDN w:val="0"/>
        <w:adjustRightInd w:val="0"/>
        <w:ind w:left="540" w:hanging="540"/>
        <w:jc w:val="both"/>
        <w:rPr>
          <w:noProof/>
        </w:rPr>
      </w:pPr>
      <w:r w:rsidRPr="00F9037C">
        <w:rPr>
          <w:noProof/>
        </w:rPr>
        <w:t>35.</w:t>
      </w:r>
      <w:r w:rsidRPr="00F9037C">
        <w:rPr>
          <w:noProof/>
        </w:rPr>
        <w:tab/>
        <w:t xml:space="preserve">Li, D. H. S. </w:t>
      </w:r>
      <w:r w:rsidRPr="00F9037C">
        <w:rPr>
          <w:i/>
          <w:iCs/>
          <w:noProof/>
        </w:rPr>
        <w:t>et al.</w:t>
      </w:r>
      <w:r w:rsidRPr="00F9037C">
        <w:rPr>
          <w:noProof/>
        </w:rPr>
        <w:t xml:space="preserve"> Acyldepsipeptide antibiotics induce the formation of a structured axial channel in ClpP: A model for the ClpX/ClpA-bound state of ClpP. </w:t>
      </w:r>
      <w:r w:rsidRPr="00F9037C">
        <w:rPr>
          <w:i/>
          <w:iCs/>
          <w:noProof/>
        </w:rPr>
        <w:t>Chem. Biol.</w:t>
      </w:r>
      <w:r w:rsidRPr="00F9037C">
        <w:rPr>
          <w:noProof/>
        </w:rPr>
        <w:t xml:space="preserve"> </w:t>
      </w:r>
      <w:r w:rsidRPr="00F9037C">
        <w:rPr>
          <w:b/>
          <w:bCs/>
          <w:noProof/>
        </w:rPr>
        <w:t>17,</w:t>
      </w:r>
      <w:r w:rsidRPr="00F9037C">
        <w:rPr>
          <w:noProof/>
        </w:rPr>
        <w:t xml:space="preserve"> 959–969 (2010).</w:t>
      </w:r>
    </w:p>
    <w:p w14:paraId="560958D8" w14:textId="4E9E35FE" w:rsidR="00F9037C" w:rsidRPr="00F9037C" w:rsidRDefault="00F9037C" w:rsidP="00D42184">
      <w:pPr>
        <w:widowControl w:val="0"/>
        <w:autoSpaceDE w:val="0"/>
        <w:autoSpaceDN w:val="0"/>
        <w:adjustRightInd w:val="0"/>
        <w:ind w:left="540" w:hanging="540"/>
        <w:jc w:val="both"/>
        <w:rPr>
          <w:noProof/>
        </w:rPr>
      </w:pPr>
      <w:r w:rsidRPr="00F9037C">
        <w:rPr>
          <w:noProof/>
        </w:rPr>
        <w:t>36.</w:t>
      </w:r>
      <w:r w:rsidRPr="00F9037C">
        <w:rPr>
          <w:noProof/>
        </w:rPr>
        <w:tab/>
        <w:t xml:space="preserve">Gil, F. &amp; Paredes-Sabja, D. Acyldepsipeptide antibiotics as a potential therapeutic agent against </w:t>
      </w:r>
      <w:r w:rsidR="00AB3480" w:rsidRPr="00AB3480">
        <w:rPr>
          <w:i/>
          <w:noProof/>
        </w:rPr>
        <w:t>Clostridium difficile</w:t>
      </w:r>
      <w:r w:rsidRPr="00F9037C">
        <w:rPr>
          <w:noProof/>
        </w:rPr>
        <w:t xml:space="preserve"> recurrent infections. </w:t>
      </w:r>
      <w:r w:rsidRPr="00F9037C">
        <w:rPr>
          <w:i/>
          <w:iCs/>
          <w:noProof/>
        </w:rPr>
        <w:t>Future Microbiol</w:t>
      </w:r>
      <w:r w:rsidRPr="00F9037C">
        <w:rPr>
          <w:noProof/>
        </w:rPr>
        <w:t xml:space="preserve"> </w:t>
      </w:r>
      <w:r w:rsidRPr="00F9037C">
        <w:rPr>
          <w:b/>
          <w:bCs/>
          <w:noProof/>
        </w:rPr>
        <w:t>11,</w:t>
      </w:r>
      <w:r w:rsidRPr="00F9037C">
        <w:rPr>
          <w:noProof/>
        </w:rPr>
        <w:t xml:space="preserve"> 1179–</w:t>
      </w:r>
      <w:r w:rsidRPr="00F9037C">
        <w:rPr>
          <w:noProof/>
        </w:rPr>
        <w:lastRenderedPageBreak/>
        <w:t>1189 (2016).</w:t>
      </w:r>
    </w:p>
    <w:p w14:paraId="3FA2351B" w14:textId="77777777" w:rsidR="00F9037C" w:rsidRPr="00F9037C" w:rsidRDefault="00F9037C" w:rsidP="00D42184">
      <w:pPr>
        <w:widowControl w:val="0"/>
        <w:autoSpaceDE w:val="0"/>
        <w:autoSpaceDN w:val="0"/>
        <w:adjustRightInd w:val="0"/>
        <w:ind w:left="540" w:hanging="540"/>
        <w:jc w:val="both"/>
        <w:rPr>
          <w:noProof/>
        </w:rPr>
      </w:pPr>
      <w:r w:rsidRPr="00F9037C">
        <w:rPr>
          <w:noProof/>
        </w:rPr>
        <w:t>37.</w:t>
      </w:r>
      <w:r w:rsidRPr="00F9037C">
        <w:rPr>
          <w:noProof/>
        </w:rPr>
        <w:tab/>
        <w:t xml:space="preserve">Bolon, D. N., Grant, R. A., Baker, T. A. &amp; Sauer, R. T. Nucleotide-dependent substrate handoff from the SspB adaptor to the AAA+ ClpXP protease. </w:t>
      </w:r>
      <w:r w:rsidRPr="00F9037C">
        <w:rPr>
          <w:i/>
          <w:iCs/>
          <w:noProof/>
        </w:rPr>
        <w:t>Mol. Cell</w:t>
      </w:r>
      <w:r w:rsidRPr="00F9037C">
        <w:rPr>
          <w:noProof/>
        </w:rPr>
        <w:t xml:space="preserve"> </w:t>
      </w:r>
      <w:r w:rsidRPr="00F9037C">
        <w:rPr>
          <w:b/>
          <w:bCs/>
          <w:noProof/>
        </w:rPr>
        <w:t>16,</w:t>
      </w:r>
      <w:r w:rsidRPr="00F9037C">
        <w:rPr>
          <w:noProof/>
        </w:rPr>
        <w:t xml:space="preserve"> 343–350 (2004).</w:t>
      </w:r>
    </w:p>
    <w:p w14:paraId="4CDC1018" w14:textId="77777777" w:rsidR="00F9037C" w:rsidRPr="00F9037C" w:rsidRDefault="00F9037C" w:rsidP="00D42184">
      <w:pPr>
        <w:widowControl w:val="0"/>
        <w:autoSpaceDE w:val="0"/>
        <w:autoSpaceDN w:val="0"/>
        <w:adjustRightInd w:val="0"/>
        <w:ind w:left="540" w:hanging="540"/>
        <w:jc w:val="both"/>
        <w:rPr>
          <w:noProof/>
        </w:rPr>
      </w:pPr>
      <w:r w:rsidRPr="00F9037C">
        <w:rPr>
          <w:noProof/>
        </w:rPr>
        <w:t>38.</w:t>
      </w:r>
      <w:r w:rsidRPr="00F9037C">
        <w:rPr>
          <w:noProof/>
        </w:rPr>
        <w:tab/>
        <w:t xml:space="preserve">Pfaffl, M. W. A new mathematical model for relative quantification in real-time RT-PCR. </w:t>
      </w:r>
      <w:r w:rsidRPr="00F9037C">
        <w:rPr>
          <w:i/>
          <w:iCs/>
          <w:noProof/>
        </w:rPr>
        <w:t>Nucleic Acids Res.</w:t>
      </w:r>
      <w:r w:rsidRPr="00F9037C">
        <w:rPr>
          <w:noProof/>
        </w:rPr>
        <w:t xml:space="preserve"> </w:t>
      </w:r>
      <w:r w:rsidRPr="00F9037C">
        <w:rPr>
          <w:b/>
          <w:bCs/>
          <w:noProof/>
        </w:rPr>
        <w:t>29,</w:t>
      </w:r>
      <w:r w:rsidRPr="00F9037C">
        <w:rPr>
          <w:noProof/>
        </w:rPr>
        <w:t xml:space="preserve"> e45 (2001).</w:t>
      </w:r>
    </w:p>
    <w:p w14:paraId="316246E8" w14:textId="77777777" w:rsidR="00F9037C" w:rsidRPr="00F9037C" w:rsidRDefault="00F9037C" w:rsidP="00D42184">
      <w:pPr>
        <w:widowControl w:val="0"/>
        <w:autoSpaceDE w:val="0"/>
        <w:autoSpaceDN w:val="0"/>
        <w:adjustRightInd w:val="0"/>
        <w:ind w:left="540" w:hanging="540"/>
        <w:jc w:val="both"/>
        <w:rPr>
          <w:noProof/>
        </w:rPr>
      </w:pPr>
      <w:r w:rsidRPr="00F9037C">
        <w:rPr>
          <w:noProof/>
        </w:rPr>
        <w:t>39.</w:t>
      </w:r>
      <w:r w:rsidRPr="00F9037C">
        <w:rPr>
          <w:noProof/>
        </w:rPr>
        <w:tab/>
        <w:t xml:space="preserve">Nørby, J. G. in </w:t>
      </w:r>
      <w:r w:rsidRPr="00F9037C">
        <w:rPr>
          <w:i/>
          <w:iCs/>
          <w:noProof/>
        </w:rPr>
        <w:t>Biomembranes Part P: ATP-Driven Pumps and Related Transport: The Na,K-Pump</w:t>
      </w:r>
      <w:r w:rsidRPr="00F9037C">
        <w:rPr>
          <w:noProof/>
        </w:rPr>
        <w:t xml:space="preserve"> </w:t>
      </w:r>
      <w:r w:rsidRPr="00F9037C">
        <w:rPr>
          <w:b/>
          <w:bCs/>
          <w:noProof/>
        </w:rPr>
        <w:t>156,</w:t>
      </w:r>
      <w:r w:rsidRPr="00F9037C">
        <w:rPr>
          <w:noProof/>
        </w:rPr>
        <w:t xml:space="preserve"> 116–119 (Elsevier, 1988).</w:t>
      </w:r>
    </w:p>
    <w:p w14:paraId="2246F21F" w14:textId="77777777" w:rsidR="00B8478A" w:rsidRDefault="00B8478A" w:rsidP="00D42184">
      <w:pPr>
        <w:spacing w:line="360" w:lineRule="auto"/>
        <w:ind w:left="540" w:hanging="540"/>
        <w:jc w:val="both"/>
      </w:pPr>
      <w:r w:rsidRPr="00EC04C8">
        <w:fldChar w:fldCharType="end"/>
      </w:r>
    </w:p>
    <w:p w14:paraId="57E454D0" w14:textId="77777777" w:rsidR="0096243D" w:rsidRDefault="0096243D">
      <w:pPr>
        <w:spacing w:line="240" w:lineRule="auto"/>
        <w:rPr>
          <w:b/>
          <w:bCs/>
          <w:sz w:val="28"/>
          <w:szCs w:val="28"/>
        </w:rPr>
      </w:pPr>
      <w:r>
        <w:br w:type="page"/>
      </w:r>
    </w:p>
    <w:p w14:paraId="16C35FD0" w14:textId="19FB4720" w:rsidR="00937009" w:rsidRDefault="00937009" w:rsidP="007D5BF8">
      <w:pPr>
        <w:pStyle w:val="Heading1"/>
      </w:pPr>
      <w:r>
        <w:lastRenderedPageBreak/>
        <w:br w:type="page"/>
      </w:r>
    </w:p>
    <w:p w14:paraId="0247FC7E" w14:textId="77777777" w:rsidR="000A6885" w:rsidRDefault="00C6592F" w:rsidP="007D5BF8">
      <w:pPr>
        <w:pStyle w:val="Heading1"/>
      </w:pPr>
      <w:bookmarkStart w:id="58" w:name="_Toc8392755"/>
      <w:r w:rsidRPr="00AE6C6D">
        <w:lastRenderedPageBreak/>
        <w:t>Chapter 3</w:t>
      </w:r>
      <w:bookmarkEnd w:id="58"/>
      <w:r w:rsidRPr="00AE6C6D">
        <w:t xml:space="preserve"> </w:t>
      </w:r>
    </w:p>
    <w:p w14:paraId="3D3D8D7E" w14:textId="7134665D" w:rsidR="00AE6C6D" w:rsidRDefault="00C6592F" w:rsidP="007D5BF8">
      <w:pPr>
        <w:pStyle w:val="Heading1"/>
      </w:pPr>
      <w:bookmarkStart w:id="59" w:name="_Toc8392756"/>
      <w:r w:rsidRPr="00AE6C6D">
        <w:t>Phenotypic Response from the</w:t>
      </w:r>
      <w:bookmarkEnd w:id="59"/>
      <w:r w:rsidRPr="00AE6C6D">
        <w:t xml:space="preserve"> </w:t>
      </w:r>
    </w:p>
    <w:p w14:paraId="1FDDBAE7" w14:textId="0657F13A" w:rsidR="00C6592F" w:rsidRPr="00AE6C6D" w:rsidRDefault="00C6592F" w:rsidP="007D5BF8">
      <w:pPr>
        <w:pStyle w:val="Heading1"/>
      </w:pPr>
      <w:bookmarkStart w:id="60" w:name="_Toc8392757"/>
      <w:r w:rsidRPr="00AE6C6D">
        <w:t xml:space="preserve">Loss of ClpP Function in </w:t>
      </w:r>
      <w:r w:rsidR="00AB3480" w:rsidRPr="00AB3480">
        <w:rPr>
          <w:i/>
        </w:rPr>
        <w:t>Clostridium difficile</w:t>
      </w:r>
      <w:r w:rsidR="00C363D7">
        <w:rPr>
          <w:rStyle w:val="FootnoteReference"/>
          <w:i/>
        </w:rPr>
        <w:footnoteReference w:id="3"/>
      </w:r>
      <w:bookmarkEnd w:id="60"/>
    </w:p>
    <w:p w14:paraId="1857FC93" w14:textId="35BFD04A" w:rsidR="00C6592F" w:rsidRPr="004E7821" w:rsidRDefault="00C363D7" w:rsidP="004E7821">
      <w:pPr>
        <w:pStyle w:val="Heading2"/>
      </w:pPr>
      <w:bookmarkStart w:id="61" w:name="_Toc8392758"/>
      <w:r w:rsidRPr="004E7821">
        <w:t xml:space="preserve">3.1 </w:t>
      </w:r>
      <w:r w:rsidR="00D104C9" w:rsidRPr="004E7821">
        <w:t>Abstract</w:t>
      </w:r>
      <w:bookmarkEnd w:id="61"/>
    </w:p>
    <w:p w14:paraId="0D693C5E" w14:textId="763BDA58" w:rsidR="00D104C9" w:rsidRPr="00020CB0" w:rsidRDefault="007A6010" w:rsidP="00C6592F">
      <w:pPr>
        <w:jc w:val="both"/>
      </w:pPr>
      <w:r>
        <w:tab/>
      </w:r>
      <w:r w:rsidR="000B663E">
        <w:t xml:space="preserve">Multiple antibiotic resistant </w:t>
      </w:r>
      <w:r>
        <w:rPr>
          <w:i/>
        </w:rPr>
        <w:t>Clostridium difficile</w:t>
      </w:r>
      <w:r w:rsidR="000B663E">
        <w:rPr>
          <w:i/>
        </w:rPr>
        <w:t xml:space="preserve"> </w:t>
      </w:r>
      <w:r w:rsidR="000B663E">
        <w:t xml:space="preserve">has continued to plague hospitals and long-term care facilities for the last few decades, and represents a </w:t>
      </w:r>
      <w:r w:rsidR="00526EB9">
        <w:t xml:space="preserve">massive burden to the global healthcare community. </w:t>
      </w:r>
      <w:r w:rsidR="00526EB9">
        <w:rPr>
          <w:i/>
        </w:rPr>
        <w:t xml:space="preserve">C. difficile </w:t>
      </w:r>
      <w:r w:rsidR="00526EB9">
        <w:t xml:space="preserve">is an anaerobic pathogen that produces aerotolerant spores, which enables transmission to other hosts. </w:t>
      </w:r>
      <w:r w:rsidR="00020CB0">
        <w:t>Despite this, the process of</w:t>
      </w:r>
      <w:r w:rsidR="00526EB9">
        <w:t xml:space="preserve"> sporulation is not well understood</w:t>
      </w:r>
      <w:r w:rsidR="00020CB0">
        <w:t xml:space="preserve"> in </w:t>
      </w:r>
      <w:r w:rsidR="00020CB0">
        <w:rPr>
          <w:i/>
        </w:rPr>
        <w:t>C. difficile</w:t>
      </w:r>
      <w:r w:rsidR="00020CB0">
        <w:t xml:space="preserve">. However, sporulation has been researched extensively in a similar Gram-positive organism, </w:t>
      </w:r>
      <w:r w:rsidR="00020CB0">
        <w:rPr>
          <w:i/>
        </w:rPr>
        <w:t>Bacillus subtilis</w:t>
      </w:r>
      <w:r w:rsidR="00020CB0">
        <w:t>, where it was shown that loss of caseinolytic protease P (ClpP) function</w:t>
      </w:r>
      <w:r w:rsidR="00020CB0">
        <w:rPr>
          <w:i/>
        </w:rPr>
        <w:t xml:space="preserve"> </w:t>
      </w:r>
      <w:r w:rsidR="00020CB0">
        <w:t>resulted in an asporogenic phenotype. Herein we demonstrate that each ClpP homolog maintains</w:t>
      </w:r>
      <w:r w:rsidR="000A6885">
        <w:t xml:space="preserve"> both</w:t>
      </w:r>
      <w:r w:rsidR="00020CB0">
        <w:t xml:space="preserve"> </w:t>
      </w:r>
      <w:r w:rsidR="000A6885">
        <w:t>distinct and shared</w:t>
      </w:r>
      <w:r w:rsidR="00020CB0">
        <w:t xml:space="preserve"> role</w:t>
      </w:r>
      <w:r w:rsidR="000A6885">
        <w:t>s</w:t>
      </w:r>
      <w:r w:rsidR="00020CB0">
        <w:t xml:space="preserve"> in regulating sporulation</w:t>
      </w:r>
      <w:r w:rsidR="000A6885">
        <w:t xml:space="preserve"> in </w:t>
      </w:r>
      <w:r w:rsidR="000A6885">
        <w:rPr>
          <w:i/>
        </w:rPr>
        <w:t>C. difficile</w:t>
      </w:r>
      <w:r w:rsidR="00020CB0">
        <w:t>.</w:t>
      </w:r>
      <w:r w:rsidR="000A6885">
        <w:t xml:space="preserve"> The loss of ClpP1 function appears to lead to stalled engulfment while loss of ClpP2 function may accelerate the production of small compartments. The total loss of ClpP function abolishes engulfment which precludes sporulation, demonstrating the therapeutic potential for disrupting the ClpP system in </w:t>
      </w:r>
      <w:r w:rsidR="000A6885">
        <w:rPr>
          <w:i/>
        </w:rPr>
        <w:t>C. difficile</w:t>
      </w:r>
      <w:r w:rsidR="000A6885">
        <w:t xml:space="preserve">.  </w:t>
      </w:r>
    </w:p>
    <w:p w14:paraId="02813FEA" w14:textId="7F82B7F0" w:rsidR="00C6592F" w:rsidRPr="00AE6C6D" w:rsidRDefault="00C6592F" w:rsidP="004E7821">
      <w:pPr>
        <w:pStyle w:val="Heading2"/>
      </w:pPr>
      <w:bookmarkStart w:id="62" w:name="_Toc8392759"/>
      <w:r w:rsidRPr="00AE6C6D">
        <w:lastRenderedPageBreak/>
        <w:t>3.</w:t>
      </w:r>
      <w:r w:rsidR="00C363D7">
        <w:t>2</w:t>
      </w:r>
      <w:r w:rsidRPr="00AE6C6D">
        <w:t xml:space="preserve"> Introduction</w:t>
      </w:r>
      <w:bookmarkEnd w:id="62"/>
      <w:r w:rsidRPr="00AE6C6D">
        <w:rPr>
          <w:i/>
          <w:iCs/>
        </w:rPr>
        <w:t xml:space="preserve"> </w:t>
      </w:r>
    </w:p>
    <w:p w14:paraId="337DA370" w14:textId="4493DAF6" w:rsidR="00C6592F" w:rsidRPr="00AF31F4" w:rsidRDefault="00AB3480" w:rsidP="00C6592F">
      <w:pPr>
        <w:ind w:firstLine="720"/>
        <w:jc w:val="both"/>
        <w:rPr>
          <w:iCs/>
        </w:rPr>
      </w:pPr>
      <w:r w:rsidRPr="00AB3480">
        <w:rPr>
          <w:i/>
          <w:iCs/>
        </w:rPr>
        <w:t>C. difficile</w:t>
      </w:r>
      <w:r w:rsidR="00C6592F" w:rsidRPr="00AF31F4">
        <w:rPr>
          <w:i/>
          <w:iCs/>
        </w:rPr>
        <w:t xml:space="preserve"> </w:t>
      </w:r>
      <w:r w:rsidR="00C6592F" w:rsidRPr="00AF31F4">
        <w:t>transmission hinges upon the production of aerotolerant spores, which spread via the fecal-oral route and propagate infection.</w:t>
      </w:r>
      <w:r w:rsidR="00C6592F" w:rsidRPr="00AF31F4">
        <w:fldChar w:fldCharType="begin"/>
      </w:r>
      <w:r w:rsidR="00C6592F">
        <w:instrText>ADDIN F1000_CSL_CITATION&lt;~#@#~&gt;[{"DOI":"10.1128/IAI.00147-12","First":false,"Last":false,"PMCID":"PMC3434595","PMID":"22615253","abstract":"Clostridium difficile is a major cause of chronic antibiotic-associated diarrhea and a significant health care-associated pathogen that forms highly resistant and infectious spores. Spo0A is a highly conserved transcriptional regulator that plays a key role in initiating sporulation in Bacillus and Clostridium species. Here, we use a murine model to study the role of the C. difficile spo0A gene during infection and transmission. We demonstrate that C. difficile spo0A mutant derivatives can cause intestinal disease but are unable to persist within and effectively transmit between mice. Thus, the C. difficile Spo0A protein plays a key role in persistent infection, including recurrence and host-to-host transmission in mice.","author":[{"family":"Deakin","given":"Laura J"},{"family":"Clare","given":"Simon"},{"family":"Fagan","given":"Robert P"},{"family":"Dawson","given":"Lisa F"},{"family":"Pickard","given":"Derek J"},{"family":"West","given":"Michael R"},{"family":"Wren","given":"Brendan W"},{"family":"Fairweather","given":"Neil F"},{"family":"Dougan","given":"Gordon"},{"family":"Lawley","given":"Trevor D"}],"authorYearDisplayFormat":false,"citation-label":"2864206","container-title":"Infection and Immunity","container-title-short":"Infect. Immun.","id":"2864206","invisible":false,"issue":"8","issued":{"date-parts":[["2012","8"]]},"journalAbbreviation":"Infect. Immun.","page":"2704-2711","suppress-author":false,"title":"The Clostridium difficile spo0A gene is a persistence and transmission factor.","type":"article-journal","volume":"80"},{"DOI":"10.1038/nrmicro.2016.108","First":false,"Last":false,"PMCID":"PMC5109054","PMID":"27573580","abstract":"Clostridium difficile is a major cause of intestinal infection and diarrhoea in individuals following antibiotic treatment. Recent studies have begun to elucidate the mechanisms that induce spore formation and germination and have determined the roles of C. difficile toxins in disease pathogenesis. Exciting progress has also been made in defining the role of the microbiome, specific commensal bacterial species and host immunity in defence against infection with C. difficile. This Review will summarize the recent discoveries and developments in our understanding of C. difficile infection and pathogenesis.","author":[{"family":"Abt","given":"Michael C"},{"family":"McKenney","given":"Peter T"},{"family":"Pamer","given":"Eric G"}],"authorYearDisplayFormat":false,"citation-label":"2062428","container-title":"Nature Reviews. Microbiology","container-title-short":"Nat. Rev. Microbiol.","id":"2062428","invisible":false,"issue":"10","issued":{"date-parts":[["2016","8","30"]]},"journalAbbreviation":"Nat. Rev. Microbiol.","page":"609-620","suppress-author":false,"title":"Clostridium difficile colitis: pathogenesis and host defence.","type":"article-journal","volume":"14"},{"DOI":"10.1016/j.anaerobe.2017.02.018","First":false,"Last":false,"PMID":"28254263","abstract":"Clostridium difficile is a Gram-positive, anaerobic spore former, and an important nosocomial pathogenic bacterium. C. difficile spores are the morphotype of transmission and recurrence of the disease. The formation of C. difficile spores and their subsequent germination are essential processes during the infection. Recent in vitro and in vivo work has shed light on how spores are formed and the timing of in vivo sporulation in a mouse model. Advances have also been made in our understanding of the machineries involved in spore germination, and how antibiotic-induced dysbiosis affects the metabolism of bile salts and thus impacts C. difficile germination in vivo. Studies have also attempted to identify how C. difficile spores interact with the host's intestinal mucosa. Spore resistance has also been revisited by several groups highlighting the extreme resistance of this morphotype to traditional food processing regimes and disinfectants used in clinical settings. Therefore, the aim of this review is to summarize recent advances on spore formation/germination in vitro and in vivo, spore-host interactions, and spore resistance that contribute to our knowledge of the role of C. difficile spores in the infectious process.&lt;br&gt;&lt;br&gt;Copyright © 2017. Published by Elsevier Ltd.","author":[{"family":"Gil","given":"Fernando"},{"family":"Lagos-Moraga","given":"Sebastián"},{"family":"Calderón-Romero","given":"Paulina"},{"family":"Pizarro-Guajardo","given":"Marjorie"},{"family":"Paredes-Sabja","given":"Daniel"}],"authorYearDisplayFormat":false,"citation-label":"6771506","container-title":"Anaerobe","container-title-short":"Anaerobe","id":"6771506","invisible":false,"issued":{"date-parts":[["2017","6"]]},"journalAbbreviation":"Anaerobe","page":"3-9","suppress-author":false,"title":"Updates on Clostridium difficile spore biology.","type":"article-journal","volume":"45"},{"DOI":"10.1128/microbiolspec.VMBF-0029-2015","First":false,"Last":false,"PMCID":"PMC5062746","PMID":"27726794","abstract":"To survive adverse conditions, some bacterial species are capable of developing into a cell type, the \"spore,\" which exhibits minimal metabolic activity and remains viable in the presence of multiple environmental challenges. For some pathogenic bacteria, this developmental state serves as a means of survival during transmission from one host to another. Spores are the highly infectious form of these bacteria. Upon entrance into a host, specific signals facilitate germination into metabolically active replicating organisms, resulting in disease pathogenesis. In this article, we will review spore structure and function in well-studied pathogens of two genera, Bacillus and Clostridium, focusing on Bacillus anthracis and Clostridium difficile, and explore current data regarding the lifestyles of these bacteria outside the host and transmission from one host to another.","author":[{"family":"Swick","given":"Michelle C"},{"family":"Koehler","given":"Theresa M"},{"family":"Driks","given":"Adam"}],"authorYearDisplayFormat":false,"citation-label":"4470857","container-title":"Microbiology spectrum","container-title-short":"Microbiol. Spectr.","id":"4470857","invisible":false,"issue":"4","issued":{"date-parts":[["2016","8"]]},"journalAbbreviation":"Microbiol. Spectr.","suppress-author":false,"title":"Surviving between hosts: sporulation and transmission.","type":"article-journal","volume":"4"}]</w:instrText>
      </w:r>
      <w:r w:rsidR="00C6592F" w:rsidRPr="00AF31F4">
        <w:fldChar w:fldCharType="separate"/>
      </w:r>
      <w:r w:rsidR="00C6592F" w:rsidRPr="00C85866">
        <w:rPr>
          <w:noProof/>
          <w:vertAlign w:val="superscript"/>
        </w:rPr>
        <w:t>1–4</w:t>
      </w:r>
      <w:r w:rsidR="00C6592F" w:rsidRPr="00AF31F4">
        <w:fldChar w:fldCharType="end"/>
      </w:r>
      <w:r w:rsidR="00C6592F" w:rsidRPr="00AF31F4">
        <w:t xml:space="preserve"> Despite this knowledge, strategic targeting and inhibition of sporulation to obviate the transmission cycle remains underexplored.</w:t>
      </w:r>
      <w:r w:rsidR="00C6592F" w:rsidRPr="00AF31F4">
        <w:fldChar w:fldCharType="begin"/>
      </w:r>
      <w:r w:rsidR="00C6592F">
        <w:instrText>ADDIN F1000_CSL_CITATION&lt;~#@#~&gt;[{"DOI":"10.1097/MOG.0b013e32834bc9a9","First":false,"Last":false,"PMID":"22134217","abstract":"&lt;strong&gt;PURPOSE OF REVIEW:&lt;/strong&gt; The incidence and severity of Clostridium difficile infection (CDI) around the world has increased over the past 20 years due to the emergence of hypervirulent strains, increased use and misuse of antibiotics, and the increase of susceptible at-risk populations. Treatments currently available for CDI are inadequate to impede the increasing spread and virulence of the infection, avoid recurrence in chronic patients or prevent infection in at-risk populations.&lt;br&gt;&lt;br&gt;&lt;strong&gt;RECENT FINDINGS:&lt;/strong&gt; New and promising evidence has been presented during the past year, focusing on two major points: preservation of gut microflora and optimization of immune response to CDI and toxins.&lt;br&gt;&lt;br&gt;&lt;strong&gt;SUMMARY:&lt;/strong&gt; The review aims to summarize the most recent evidence available on the epidemiology, risk factors and treatment of CDI. New antibiotics with selected action on C. difficile and limited effect on microflora (fidaxomicin) and donor fecal transplantation seem to have a relevant efficacy in treating CDI and reducing its recurrence. The use of selected monoclonal antibodies directed against C. difficile toxins in addition to standard therapy is a new, promising approach for the treatment of recurrent cases. Vaccination could be an additional weapon against CDI. New robust data are needed before recommendations can be made to abandon current treatment based on vancomycin and metronidazole and move toward new frontiers.","author":[{"family":"Lo Vecchio","given":"Andrea"},{"family":"Zacur","given":"George M"}],"authorYearDisplayFormat":false,"citation-label":"6771507","container-title":"Current Opinion in Gastroenterology","container-title-short":"Curr. Opin. Gastroenterol.","id":"6771507","invisible":false,"issue":"1","issued":{"date-parts":[["2012","1"]]},"journalAbbreviation":"Curr. Opin. Gastroenterol.","page":"1-9","suppress-author":false,"title":"Clostridium difficile infection:  an update on epidemiology, risk factors, and therapeutic options.","type":"article-journal","volume":"28"},{"DOI":"10.20524/aog.2016.0006","First":false,"Last":false,"PMCID":"PMC4805733","PMID":"27065726","abstract":"Clostridium difficile (C. difficile) infection (CDI) is the most common cause of -healthcare-associated infections in US hospitals. The epidemic strain NAP1/BI/ribotype 027 accounts for outbreaks worldwide, with increasing mortality and severity. CDI is acquired from an endogenous source or from spores in the environment, most easily acquired during the hospital stay. The use of antimicrobials disrupts the intestinal microflora enabling C. difficile to proliferate in the colon and produce toxins. Clinical diagnosis in symptomatic patients requires toxin detection from stool specimens and rarely in combination with stool culture to increase sensitivity. However, stool culture is essential for epidemiological studies. Oral metronidazole is the recommended therapy for milder cases of CDI and oral vancomycin or fidaxomicin for more severe cases. Treatment of first recurrence involves the use of the same therapy used in the initial CDI. In the event of a second recurrence oral vancomycin often given in a tapered dose or intermittently, or fidaxomicin may be used. Fecal transplantation is playing an immense role in therapy of recurrent CDI with remarkable results. Fulminant colitis and toxic megacolon warrant surgical intervention. Novel approaches including new antibiotics and immunotherapy against CDI or its toxins appear to be of potential value. ","author":[{"family":"Ofosu","given":"Andrew"}],"authorYearDisplayFormat":false,"citation-label":"2444641","container-title":"Annals of gastroenterology : quarterly publication of the Hellenic Society of Gastroenterology","container-title-short":"Ann. Gastroenterol.","id":"2444641","invisible":false,"issue":"2","issued":{"date-parts":[["2016","6"]]},"journalAbbreviation":"Ann. Gastroenterol.","page":"147-154","suppress-author":false,"title":"Clostridium difficile infection: a review of current and emerging therapies.","type":"article-journal","volume":"29"},{"DOI":"10.1021/jm5016846","First":false,"Last":false,"PMCID":"PMC4500462","PMID":"25760275","abstract":"In the past decade Clostridium difficile has become a bacterial pathogen of global significance. Epidemic strains have spread throughout hospitals, while community acquired infections and other sources ensure a constant inoculation of spores into hospitals. In response to the increasing medical burden, a new C. difficile antibiotic, fidaxomicin, was approved in 2011 for the treatment of C. difficile-associated diarrhea. Rudimentary fecal transplants are also being trialed as effective treatments. Despite these advances, therapies that are more effective against C. difficile spores and less damaging to the resident gastrointestinal microbiome and that reduce recurrent disease are still desperately needed. However, bringing a new treatment for C. difficile infection to market involves particular challenges. This review covers the current drug discovery pipeline, including both small molecule and biologic therapies, and highlights the challenges associated with in vitro and in vivo models of C. difficile infection for drug screening and lead optimization. ","author":[{"family":"Jarrad","given":"Angie M"},{"family":"Karoli","given":"Tomislav"},{"family":"Blaskovich","given":"Mark A T"},{"family":"Lyras","given":"Dena"},{"family":"Cooper","given":"Matthew A"}],"authorYearDisplayFormat":false,"citation-label":"2864008","container-title":"Journal of Medicinal Chemistry","container-title-short":"J. Med. Chem.","id":"2864008","invisible":false,"issue":"13","issued":{"date-parts":[["2015","7","9"]]},"journalAbbreviation":"J. Med. Chem.","page":"5164-5185","suppress-author":false,"title":"Clostridium difficile drug pipeline: challenges in discovery and development of new agents.","type":"article-journal","volume":"58"}]</w:instrText>
      </w:r>
      <w:r w:rsidR="00C6592F" w:rsidRPr="00AF31F4">
        <w:fldChar w:fldCharType="separate"/>
      </w:r>
      <w:r w:rsidR="00C6592F" w:rsidRPr="00C85866">
        <w:rPr>
          <w:noProof/>
          <w:vertAlign w:val="superscript"/>
        </w:rPr>
        <w:t>5–7</w:t>
      </w:r>
      <w:r w:rsidR="00C6592F" w:rsidRPr="00AF31F4">
        <w:fldChar w:fldCharType="end"/>
      </w:r>
      <w:r w:rsidR="00C6592F" w:rsidRPr="00AF31F4">
        <w:t xml:space="preserve"> Major reasons for the lack of anti-sporulating approaches are that the regulatory machinery surrounding sporulation in </w:t>
      </w:r>
      <w:r w:rsidRPr="00AB3480">
        <w:rPr>
          <w:i/>
        </w:rPr>
        <w:t>C. difficile</w:t>
      </w:r>
      <w:r w:rsidR="00C6592F" w:rsidRPr="00AF31F4">
        <w:t xml:space="preserve"> remains poorly understood and tractable targets affecting this process are limited.</w:t>
      </w:r>
      <w:r w:rsidR="00C6592F" w:rsidRPr="00AF31F4">
        <w:fldChar w:fldCharType="begin"/>
      </w:r>
      <w:r w:rsidR="00C6592F">
        <w:instrText>ADDIN F1000_CSL_CITATION&lt;~#@#~&gt;[{"DOI":"10.3389/fcimb.2018.00029","First":false,"Last":false,"PMCID":"PMC5809512","PMID":"29473021","abstract":"Clostridioides difficile is a Gram-positive, spore-forming, toxin-producing anaerobe, and an important nosocomial pathogen. Due to the strictly anaerobic nature of the vegetative form, spores are the main morphotype of infection and transmission of the disease. Spore formation and their subsequent germination play critical roles in C. difficile infection (CDI) progress. Under suitable conditions, C. difficile spores will germinate and outgrow to produce the pathogenic vegetative form. During CDI, C. difficile produces toxins (TcdA and TcdB) that are required to initiate the disease. Meanwhile, it also produces spores that are responsible for the persistence and recurrence of C. difficile in patients. Recent studies have shed light on the regulatory mechanisms of C. difficile sporulation and germination. This review is to summarize recent advances on the regulation of sporulation/germination in C. difficile and the corresponding therapeutic strategies that are aimed at these important processes.","author":[{"family":"Zhu","given":"Duolong"},{"family":"Sorg","given":"Joseph A"},{"family":"Sun","given":"Xingmin"}],"authorYearDisplayFormat":false,"citation-label":"6289405","container-title":"Frontiers in cellular and infection microbiology","container-title-short":"Front. Cell. Infect. Microbiol.","id":"6289405","invisible":false,"issued":{"date-parts":[["2018","2","8"]]},"journalAbbreviation":"Front. Cell. Infect. Microbiol.","page":"29","suppress-author":false,"title":"Clostridioides difficile Biology: Sporulation, Germination, and Corresponding Therapies for C. difficile Infection.","type":"article-journal","volume":"8"}]</w:instrText>
      </w:r>
      <w:r w:rsidR="00C6592F" w:rsidRPr="00AF31F4">
        <w:fldChar w:fldCharType="separate"/>
      </w:r>
      <w:r w:rsidR="00C6592F" w:rsidRPr="00C85866">
        <w:rPr>
          <w:noProof/>
          <w:vertAlign w:val="superscript"/>
        </w:rPr>
        <w:t>8</w:t>
      </w:r>
      <w:r w:rsidR="00C6592F" w:rsidRPr="00AF31F4">
        <w:fldChar w:fldCharType="end"/>
      </w:r>
      <w:r w:rsidR="00C6592F" w:rsidRPr="00AF31F4">
        <w:t xml:space="preserve"> Recently, several drugs have entered clinical trials aiming to reduce transmission through the disruption of sporulation or germination; however, none of these leads demonstrate a unique mode of action, or directly interfere with known sporulation mechanisms.</w:t>
      </w:r>
      <w:r w:rsidR="00C6592F" w:rsidRPr="00AF31F4">
        <w:fldChar w:fldCharType="begin"/>
      </w:r>
      <w:r w:rsidR="00C6592F">
        <w:instrText>ADDIN F1000_CSL_CITATION&lt;~#@#~&gt;[{"DOI":"10.3389/fcimb.2018.00029","First":false,"Last":false,"PMCID":"PMC5809512","PMID":"29473021","abstract":"Clostridioides difficile is a Gram-positive, spore-forming, toxin-producing anaerobe, and an important nosocomial pathogen. Due to the strictly anaerobic nature of the vegetative form, spores are the main morphotype of infection and transmission of the disease. Spore formation and their subsequent germination play critical roles in C. difficile infection (CDI) progress. Under suitable conditions, C. difficile spores will germinate and outgrow to produce the pathogenic vegetative form. During CDI, C. difficile produces toxins (TcdA and TcdB) that are required to initiate the disease. Meanwhile, it also produces spores that are responsible for the persistence and recurrence of C. difficile in patients. Recent studies have shed light on the regulatory mechanisms of C. difficile sporulation and germination. This review is to summarize recent advances on the regulation of sporulation/germination in C. difficile and the corresponding therapeutic strategies that are aimed at these important processes.","author":[{"family":"Zhu","given":"Duolong"},{"family":"Sorg","given":"Joseph A"},{"family":"Sun","given":"Xingmin"}],"authorYearDisplayFormat":false,"citation-label":"6289405","container-title":"Frontiers in cellular and infection microbiology","container-title-short":"Front. Cell. Infect. Microbiol.","id":"6289405","invisible":false,"issued":{"date-parts":[["2018","2","8"]]},"journalAbbreviation":"Front. Cell. Infect. Microbiol.","page":"29","suppress-author":false,"title":"Clostridioides difficile Biology: Sporulation, Germination, and Corresponding Therapies for C. difficile Infection.","type":"article-journal","volume":"8"}]</w:instrText>
      </w:r>
      <w:r w:rsidR="00C6592F" w:rsidRPr="00AF31F4">
        <w:fldChar w:fldCharType="separate"/>
      </w:r>
      <w:r w:rsidR="00C6592F" w:rsidRPr="00C85866">
        <w:rPr>
          <w:noProof/>
          <w:vertAlign w:val="superscript"/>
        </w:rPr>
        <w:t>8</w:t>
      </w:r>
      <w:r w:rsidR="00C6592F" w:rsidRPr="00AF31F4">
        <w:fldChar w:fldCharType="end"/>
      </w:r>
      <w:r w:rsidR="00C6592F" w:rsidRPr="00AF31F4">
        <w:t xml:space="preserve"> Vancomycin, metronidazole, and fidaxomicin are the most commonly prescribed drugs for CDI, however, their use promotes microfloral imbalance and predisposes patients to infection and/or recurrence.</w:t>
      </w:r>
      <w:r w:rsidR="00C6592F" w:rsidRPr="00AF31F4">
        <w:fldChar w:fldCharType="begin"/>
      </w:r>
      <w:r w:rsidR="00C6592F">
        <w:instrText>ADDIN F1000_CSL_CITATION&lt;~#@#~&gt;[{"DOI":"10.1093/cid/cis355","First":false,"Last":false,"PMCID":"PMC3388023","PMID":"22752868","abstract":"Recent reports of reduced response to standard therapies for Clostridium difficile infection (CDI) and the risk for recurrent CDI that is common with all currently available treatment agents have posed a significant challenge to clinicians. Current recommendations include metronidazole for treatment of mild to moderate CDI and vancomycin for severe CDI. Results from small clinical trials suggest that nitazoxanide and teicoplanin may be alternative options to standard therapies, whereas rifaximin has demonstrated success in uncontrolled trials for the management of multiple recurrences. Anecdotal reports have also suggested that tigecycline might be useful as an adjunctive agent for the treatment of severe complicated CDI. Reports of resistance will likely limit the clinical use of fusidic acid and bacitracin and, possibly, rifaximin if resistance to this agent becomes widespread. Treatment of patients with multiple CDI recurrences and those with severe complicated CDI is based on limited clinical evidence, and new treatments or strategies are needed.","author":[{"family":"Venugopal","given":"Anilrudh A"},{"family":"Johnson","given":"Stuart"}],"authorYearDisplayFormat":false,"citation-label":"1006909","container-title":"Clinical Infectious Diseases","container-title-short":"Clin. Infect. Dis.","id":"1006909","invisible":false,"issued":{"date-parts":[["2012","8"]]},"journalAbbreviation":"Clin. Infect. Dis.","page":"S71-6","suppress-author":false,"title":"Current state of Clostridium difficile treatment options.","type":"article-journal","volume":"55 Suppl 2"},{"DOI":"10.1021/jm5016846","First":false,"Last":false,"PMCID":"PMC4500462","PMID":"25760275","abstract":"In the past decade Clostridium difficile has become a bacterial pathogen of global significance. Epidemic strains have spread throughout hospitals, while community acquired infections and other sources ensure a constant inoculation of spores into hospitals. In response to the increasing medical burden, a new C. difficile antibiotic, fidaxomicin, was approved in 2011 for the treatment of C. difficile-associated diarrhea. Rudimentary fecal transplants are also being trialed as effective treatments. Despite these advances, therapies that are more effective against C. difficile spores and less damaging to the resident gastrointestinal microbiome and that reduce recurrent disease are still desperately needed. However, bringing a new treatment for C. difficile infection to market involves particular challenges. This review covers the current drug discovery pipeline, including both small molecule and biologic therapies, and highlights the challenges associated with in vitro and in vivo models of C. difficile infection for drug screening and lead optimization. ","author":[{"family":"Jarrad","given":"Angie M"},{"family":"Karoli","given":"Tomislav"},{"family":"Blaskovich","given":"Mark A T"},{"family":"Lyras","given":"Dena"},{"family":"Cooper","given":"Matthew A"}],"authorYearDisplayFormat":false,"citation-label":"2864008","container-title":"Journal of Medicinal Chemistry","container-title-short":"J. Med. Chem.","id":"2864008","invisible":false,"issue":"13","issued":{"date-parts":[["2015","7","9"]]},"journalAbbreviation":"J. Med. Chem.","page":"5164-5185","suppress-author":false,"title":"Clostridium difficile drug pipeline: challenges in discovery and development of new agents.","type":"article-journal","volume":"58"}]</w:instrText>
      </w:r>
      <w:r w:rsidR="00C6592F" w:rsidRPr="00AF31F4">
        <w:fldChar w:fldCharType="separate"/>
      </w:r>
      <w:r w:rsidR="00C6592F" w:rsidRPr="00C85866">
        <w:rPr>
          <w:noProof/>
          <w:vertAlign w:val="superscript"/>
        </w:rPr>
        <w:t>7,9</w:t>
      </w:r>
      <w:r w:rsidR="00C6592F" w:rsidRPr="00AF31F4">
        <w:fldChar w:fldCharType="end"/>
      </w:r>
      <w:r w:rsidR="00C6592F" w:rsidRPr="00AF31F4">
        <w:t xml:space="preserve"> Identifying new drug targets involved with sporulation is important and successful drugging of these targets would be transformative to CDI treatment, as halting sporulation would break the transmission cycle and thus simultaneously address the pathological and transmissive features of CDI.</w:t>
      </w:r>
    </w:p>
    <w:p w14:paraId="75F3D8B4" w14:textId="00EF439B" w:rsidR="00C6592F" w:rsidRPr="00AF31F4" w:rsidRDefault="00C6592F" w:rsidP="00C6592F">
      <w:pPr>
        <w:ind w:firstLine="720"/>
        <w:jc w:val="both"/>
      </w:pPr>
      <w:r w:rsidRPr="00AF31F4">
        <w:t>Caseinolytic protease P (ClpP) has emerged as an attractive antibacterial target due to its global regulatory roles in cell developmental and stress response.</w:t>
      </w:r>
      <w:r w:rsidRPr="00AF31F4">
        <w:fldChar w:fldCharType="begin"/>
      </w:r>
      <w:r>
        <w:instrText>ADDIN F1000_CSL_CITATION&lt;~#@#~&gt;[{"DOI":"10.1016/j.ijmm.2013.09.001","First":false,"Last":false,"PMID":"24119566","abstract":"Bacterial Clp proteases are important for protein turnover and homeostasis in order to maintain vital cellular functions particularly under stress conditions. Apart from their crucial role in general protein quality control by degrading abnormally folded or otherwise aberrant or malfunctioning proteins, their temporally and spatially precise proteolysis of key regulatory proteins additionally guides several developmental processes like cell motility, genetic competence, cell differentiation, sporulation as well as important aspects of virulence. Due to their apparent relevance for many physiological processes and their conservation among diverse bacterial species including human pathogens, Clp proteases have attracted considerable attention as targets for antibacterial action in recent years. Particularly a novel class of potent acyldepsipeptide antibiotics unleashes ClpP, the uniform proteolytic core unit of the degradative Clp complexes, to bring about bacterial death via uncontrolled proteolysis of proteins that are essential for bacterial viability. In addition, covalent inhibition of the catalytic center of ClpP by another class of small molecule inhibitors is investigated in the context of virulence inhibition. Both antibacterial mechanisms constitute innovative approaches with the potential to control infections caused by multi-resistant bacterial pathogens due to the lack of cross-resistance to established antibiotic classes. &lt;br&gt;&lt;br&gt;Copyright © 2013 Elsevier GmbH. All rights reserved.","author":[{"family":"Brötz-Oesterhelt","given":"Heike"},{"family":"Sass","given":"Peter"}],"authorYearDisplayFormat":false,"citation-label":"6771640","container-title":"International Journal of Medical Microbiology","container-title-short":"Int. J. Med. Microbiol.","id":"6771640","invisible":false,"issue":"1","issued":{"date-parts":[["2014","1"]]},"journalAbbreviation":"Int. J. Med. Microbiol.","page":"23-30","suppress-author":false,"title":"Bacterial caseinolytic proteases as novel targets for antibacterial treatment.","type":"article-journal","volume":"304"},{"DOI":"10.1021/acschembio.8b00124","First":false,"Last":false,"PMID":"29775273","abstract":"In prokaryotic cells and eukaryotic organelles, the ClpP protease plays an important role in proteostasis. The disruption of the ClpP function has been shown to influence the infectivity and virulence of a number of bacterial pathogens. More recently, ClpP has been found to be involved in various forms of carcinomas and in Perrault syndrome, which is an inherited condition characterized by hearing loss in males and females and by ovarian abnormalities in females. Hence, targeting ClpP is a potentially viable, attractive option for the treatment of different ailments. Herein, the biochemical and cellular activities of ClpP are discussed along with the mechanisms by which ClpP affects bacterial pathogenesis and various human diseases. In addition, a comprehensive overview is given of the new classes of compounds in development that target ClpP. Many of these compounds are currently primarily aimed at treating bacterial infections. Some of these compounds inhibit ClpP activity, while others activate the protease and lead to its dysregulation. The ClpP activators are remarkable examples of small molecules that inhibit protein-protein interactions but also result in a gain of function.","author":[{"family":"Bhandari","given":"Vaibhav"},{"family":"Wong","given":"Keith S"},{"family":"Zhou","given":"Jin Lin"},{"family":"Mabanglo","given":"Mark F"},{"family":"Batey","given":"Robert A"},{"family":"Houry","given":"Walid A"}],"authorYearDisplayFormat":false,"citation-label":"5898152","container-title":"ACS Chemical Biology","container-title-short":"ACS Chem. Biol.","id":"5898152","invisible":false,"issue":"6","issued":{"date-parts":[["2018","6","15"]]},"journalAbbreviation":"ACS Chem. Biol.","page":"1413-1425","suppress-author":false,"title":"The role of clpp protease in bacterial pathogenesis and human diseases.","type":"article-journal","volume":"13"}]</w:instrText>
      </w:r>
      <w:r w:rsidRPr="00AF31F4">
        <w:fldChar w:fldCharType="separate"/>
      </w:r>
      <w:r w:rsidRPr="00C85866">
        <w:rPr>
          <w:noProof/>
          <w:vertAlign w:val="superscript"/>
        </w:rPr>
        <w:t>10,11</w:t>
      </w:r>
      <w:r w:rsidRPr="00AF31F4">
        <w:fldChar w:fldCharType="end"/>
      </w:r>
      <w:r w:rsidRPr="00AF31F4">
        <w:t xml:space="preserve"> Although the general roles of ClpP in bacterial virulence are evolutionarily conserved, the distinct attributes regulated by ClpP are organism dependent and have not been defined in </w:t>
      </w:r>
      <w:r w:rsidRPr="00AF31F4">
        <w:rPr>
          <w:i/>
        </w:rPr>
        <w:t>C difficile</w:t>
      </w:r>
      <w:r w:rsidRPr="00AF31F4">
        <w:t xml:space="preserve">. In the closely related Gram-positive organism </w:t>
      </w:r>
      <w:r w:rsidRPr="00AF31F4">
        <w:rPr>
          <w:i/>
        </w:rPr>
        <w:t>Bacillus subtilis</w:t>
      </w:r>
      <w:r w:rsidRPr="00AF31F4">
        <w:t>, ClpP and its cognate chaperones (e.g., ClpX and ClpC) regulate key pathways that influence sporulation and virulence. For example, ClpXP regulates early-stage sporulation by degrading the checkpoint polypeptide Sda, which inhibits sporulation in response to DNA damage.</w:t>
      </w:r>
      <w:r w:rsidRPr="00AF31F4">
        <w:fldChar w:fldCharType="begin"/>
      </w:r>
      <w:r>
        <w:instrText>ADDIN F1000_CSL_CITATION&lt;~#@#~&gt;[{"DOI":"10.1111/j.1365-2958.2006.05167.x","First":false,"Last":false,"PMID":"16796683","abstract":"Cells of Bacillus subtilis actively co-ordinate the initiation of sporulation with DNA replication and repair. Conditions that perturb replication initiation or replication elongation induce expression of a small protein, Sda, that specifically inhibits the histidine kinases required to initiate spore development. Previously, the role of Sda has been studied during chronic blocks to DNA replication. Here we show that induction of Sda is required to delay the initiation of sporulation when replication elongation is transiently blocked or after UV irradiation. During the recovery phase, cells efficiently sporulated, but this required the proteolysis of Sda. The rapid proteolysis of Sda required the ClpXP protease and the uncharged C-terminal sequence of Sda. Replacing the last two residues of Sda, both serines, with aspartic acids markedly stabilized Sda. Strains expressing sdaDD from the endogenous sda locus were unable to efficiently initiate sporulation after transient replication stress. We conclude that the Sda replication checkpoint is required to delay the initiation of sporulation when DNA replication is transiently perturbed, and that the intrinsic instability of Sda contributes to shutting off the pathway. The Sda checkpoint thus co-ordinates early events of spore development, including the polar cell division, with successful completion of chromosome replication.","author":[{"family":"Ruvolo","given":"Michael V"},{"family":"Mach","given":"Kathleen E"},{"family":"Burkholder","given":"William F"}],"authorYearDisplayFormat":false,"citation-label":"3708083","container-title":"Molecular Microbiology","container-title-short":"Mol. Microbiol.","id":"3708083","invisible":false,"issue":"6","issued":{"date-parts":[["2006","6"]]},"journalAbbreviation":"Mol. Microbiol.","page":"1490-1508","suppress-author":false,"title":"Proteolysis of the replication checkpoint protein Sda is necessary for the efficient initiation of sporulation after transient replication stress in Bacillus subtilis.","type":"article-journal","volume":"60"},{"First":false,"Last":false,"abstract":"… Table 1: Deletion ofsda modestly increases the sporulation efficiencies of clpX and clpP mutants but has … in clpX mutants, but results in the overexpression of Spoll E in clip\" mutants … Figure 3: The -17kD proteins YtoQ and YjoA were identified as potential Sda interacting proteins …","author":[{"family":"Ruvolo","given":"M V"}],"authorYearDisplayFormat":false,"citation-label":"6771642","id":"6771642","invisible":false,"issued":{"date-parts":[["2008"]]},"suppress-author":false,"title":"The role and regulation of a checkpoint pathway that coordinatesspore development with chromosome replication in Bacillus subtilis","type":"article-journal"}]</w:instrText>
      </w:r>
      <w:r w:rsidRPr="00AF31F4">
        <w:fldChar w:fldCharType="separate"/>
      </w:r>
      <w:r w:rsidRPr="00C85866">
        <w:rPr>
          <w:noProof/>
          <w:vertAlign w:val="superscript"/>
        </w:rPr>
        <w:t>12,13</w:t>
      </w:r>
      <w:r w:rsidRPr="00AF31F4">
        <w:fldChar w:fldCharType="end"/>
      </w:r>
      <w:r w:rsidRPr="00AF31F4">
        <w:t xml:space="preserve"> </w:t>
      </w:r>
      <w:r w:rsidRPr="00AF31F4">
        <w:lastRenderedPageBreak/>
        <w:t xml:space="preserve">On the other hand, ClpCP initiates early forespore maturation by indirectly activating </w:t>
      </w:r>
      <w:r w:rsidRPr="00AF31F4">
        <w:sym w:font="Symbol" w:char="F073"/>
      </w:r>
      <w:r w:rsidRPr="00AF31F4">
        <w:rPr>
          <w:vertAlign w:val="superscript"/>
        </w:rPr>
        <w:t>F</w:t>
      </w:r>
      <w:r w:rsidRPr="00AF31F4">
        <w:t xml:space="preserve"> through the degradation of SpoIIAB.</w:t>
      </w:r>
      <w:r w:rsidRPr="00AF31F4">
        <w:fldChar w:fldCharType="begin"/>
      </w:r>
      <w:r>
        <w:instrText>ADDIN F1000_CSL_CITATION&lt;~#@#~&gt;[{"First":false,"Last":false,"PMCID":"PMC181016","PMID":"12923101","abstract":"Regulation of the cell-specific transcription factor sigma(F) in the spore-forming bacterium Bacillus subtilis involves the antisigma factor SpoIIAB. Contributing to the activation of sigma(F) is the degradation of SpoIIAB in a manner that depends on the protease ClpCP. Here we show that the three residues (LCN) located at the extreme C terminus of SpoIIAB are both necessary and sufficient for this degradation. We also report that the use of the LCN extension as a degradation signal for ClpCP is unique to SpoIIAB.","author":[{"family":"Pan","given":"Qi"},{"family":"Losick","given":"Richard"}],"authorYearDisplayFormat":false,"citation-label":"6771643","container-title":"Journal of Bacteriology","container-title-short":"J. Bacteriol.","id":"6771643","invisible":false,"issue":"17","issued":{"date-parts":[["2003","9"]]},"journalAbbreviation":"J. Bacteriol.","page":"5275-5278","suppress-author":false,"title":"Unique degradation signal for ClpCP in Bacillus subtilis.","type":"article-journal","volume":"185"},{"DOI":"10.1016/S1097-2765(01)00362-8","First":false,"Last":false,"author":[{"family":"Pan","given":"Qi"},{"family":"Garsin","given":"Danielle A."},{"family":"Losick","given":"Richard"}],"authorYearDisplayFormat":false,"citation-label":"6771644","container-title":"Molecular cell","container-title-short":"Molecular cell","id":"6771644","invisible":false,"issue":"4","issued":{"date-parts":[["2001","10"]]},"journalAbbreviation":"Molecular cell","page":"873-883","suppress-author":false,"title":"Self-Reinforcing Activation of a Cell-Specific Transcription Factor by Proteolysis of an Anti-σ Factor in B. subtilis","type":"article-journal","volume":"8"}]</w:instrText>
      </w:r>
      <w:r w:rsidRPr="00AF31F4">
        <w:fldChar w:fldCharType="separate"/>
      </w:r>
      <w:r w:rsidRPr="00C85866">
        <w:rPr>
          <w:noProof/>
          <w:vertAlign w:val="superscript"/>
        </w:rPr>
        <w:t>14,15</w:t>
      </w:r>
      <w:r w:rsidRPr="00AF31F4">
        <w:fldChar w:fldCharType="end"/>
      </w:r>
      <w:r w:rsidRPr="00AF31F4">
        <w:t xml:space="preserve"> No ortholog of Sda is present in </w:t>
      </w:r>
      <w:r w:rsidR="00AB3480" w:rsidRPr="00AB3480">
        <w:rPr>
          <w:i/>
        </w:rPr>
        <w:t>C. difficile</w:t>
      </w:r>
      <w:r w:rsidRPr="00AF31F4">
        <w:t xml:space="preserve"> but the RNA polymerase sigma factors (σ) and sporulation regulatory proteins (Spo-) are highly conserved.</w:t>
      </w:r>
      <w:r w:rsidRPr="00AF31F4">
        <w:fldChar w:fldCharType="begin"/>
      </w:r>
      <w:r>
        <w:instrText>ADDIN F1000_CSL_CITATION&lt;~#@#~&gt;[{"DOI":"10.1111/1574-6968.12499","First":false,"Last":false,"PMCID":"PMC4189817","PMID":"24910370","abstract":"The formation of dormant endospores is a complex morphological process that permits long-term survival in inhospitable environments for many Gram-positive bacteria. Sporulation for the anaerobic gastrointestinal pathogen Clostridium difficile is necessary for survival outside of the gastrointestinal tract of its host. While the developmental stages of spore formation are largely conserved among endospore-forming bacteria, the genus Clostridium appears to be missing a number of conserved regulators required for efficient sporulation in other spore-forming bacteria. Several recent studies have discovered novel mechanisms and distinct regulatory pathways that control the initiation of sporulation and early-sporulation-specific gene expression. These differences in regulating the decision to undergo sporulation reflects the unique ecological niche and environmental conditions that C. difficile inhabits and encounters within the mammalian host. &lt;br&gt;&lt;br&gt;© 2014 Federation of European Microbiological Societies. Published by John Wiley &amp; Sons Ltd. All rights reserved.","author":[{"family":"Edwards","given":"Adrianne N"},{"family":"McBride","given":"Shonna M"}],"authorYearDisplayFormat":false,"citation-label":"3168867","container-title":"FEMS Microbiology Letters","container-title-short":"FEMS Microbiol. Lett.","id":"3168867","invisible":false,"issue":"2","issued":{"date-parts":[["2014","9"]]},"journalAbbreviation":"FEMS Microbiol. Lett.","page":"110-118","suppress-author":false,"title":"Initiation of sporulation in Clostridium difficile: a twist on the classic model.","type":"article-journal","volume":"358"}]</w:instrText>
      </w:r>
      <w:r w:rsidRPr="00AF31F4">
        <w:fldChar w:fldCharType="separate"/>
      </w:r>
      <w:r w:rsidRPr="00C85866">
        <w:rPr>
          <w:noProof/>
          <w:vertAlign w:val="superscript"/>
        </w:rPr>
        <w:t>16</w:t>
      </w:r>
      <w:r w:rsidRPr="00AF31F4">
        <w:fldChar w:fldCharType="end"/>
      </w:r>
    </w:p>
    <w:p w14:paraId="26CD5A24" w14:textId="2AE41855" w:rsidR="00C6592F" w:rsidRPr="00AF31F4" w:rsidRDefault="00C6592F" w:rsidP="00C6592F">
      <w:pPr>
        <w:ind w:firstLine="720"/>
        <w:jc w:val="both"/>
        <w:rPr>
          <w:i/>
        </w:rPr>
      </w:pPr>
      <w:r w:rsidRPr="00AF31F4">
        <w:rPr>
          <w:iCs/>
        </w:rPr>
        <w:t xml:space="preserve">The ClpP system in </w:t>
      </w:r>
      <w:r w:rsidR="00AB3480" w:rsidRPr="00AB3480">
        <w:rPr>
          <w:i/>
          <w:iCs/>
        </w:rPr>
        <w:t>C. difficile</w:t>
      </w:r>
      <w:r w:rsidRPr="00AF31F4">
        <w:t xml:space="preserve"> expresses two ClpP isoforms, ClpP1 and ClpP2, while </w:t>
      </w:r>
      <w:r w:rsidRPr="00AF31F4">
        <w:rPr>
          <w:i/>
        </w:rPr>
        <w:t xml:space="preserve">B. subtilis </w:t>
      </w:r>
      <w:r w:rsidRPr="00AF31F4">
        <w:t xml:space="preserve">expresses a single isoform. Sustained expression of both isoforms during vegetative and stationary growth suggests that both maintain active roles over the life cycle of </w:t>
      </w:r>
      <w:r w:rsidR="00AB3480" w:rsidRPr="00AB3480">
        <w:rPr>
          <w:i/>
        </w:rPr>
        <w:t>C. difficile</w:t>
      </w:r>
      <w:r w:rsidRPr="00AF31F4">
        <w:t xml:space="preserve">. Similar to </w:t>
      </w:r>
      <w:r w:rsidRPr="00AF31F4">
        <w:rPr>
          <w:i/>
        </w:rPr>
        <w:t>B. subtilis</w:t>
      </w:r>
      <w:r w:rsidRPr="00AF31F4">
        <w:t xml:space="preserve">, </w:t>
      </w:r>
      <w:r w:rsidR="00AB3480" w:rsidRPr="00AB3480">
        <w:rPr>
          <w:i/>
        </w:rPr>
        <w:t>C. difficile</w:t>
      </w:r>
      <w:r w:rsidRPr="00AF31F4">
        <w:rPr>
          <w:i/>
        </w:rPr>
        <w:t xml:space="preserve"> </w:t>
      </w:r>
      <w:r w:rsidRPr="00AF31F4">
        <w:t xml:space="preserve">expresses the ClpX and ClpC cochaperones, both of which exhibit high sequence identity to the </w:t>
      </w:r>
      <w:r w:rsidRPr="00AF31F4">
        <w:rPr>
          <w:i/>
        </w:rPr>
        <w:t>B. subtilis</w:t>
      </w:r>
      <w:r w:rsidRPr="00AF31F4">
        <w:t xml:space="preserve"> variants (ClpX: 72% and ClpC: 60%). Comparatively, both ClpP1 and ClpP2 are highly similar to </w:t>
      </w:r>
      <w:r w:rsidRPr="00AF31F4">
        <w:rPr>
          <w:i/>
        </w:rPr>
        <w:t xml:space="preserve">B. subtilis </w:t>
      </w:r>
      <w:r w:rsidRPr="00AF31F4">
        <w:t xml:space="preserve">ClpP and there are no obvious differences between known regulatory domains (ClpP1: 74% and ClpP2: 63%). Interestingly, proteomic and transcriptomic studies suggest ClpP1, ClpX, and ClpC are present in purified </w:t>
      </w:r>
      <w:r w:rsidR="00AB3480" w:rsidRPr="00AB3480">
        <w:rPr>
          <w:i/>
          <w:iCs/>
        </w:rPr>
        <w:t>C. difficile</w:t>
      </w:r>
      <w:r w:rsidRPr="00AF31F4">
        <w:t xml:space="preserve"> spores, while ClpP2 is absent. This suggests that ClpP1 plays an essential role in sporulation or germination and may interact with ClpX or ClpC. Given the parallels between sporulation in both organisms, we hypothesized that ClpP1 and ClpP2 influence sporulation in </w:t>
      </w:r>
      <w:r w:rsidR="00AB3480" w:rsidRPr="00AB3480">
        <w:rPr>
          <w:i/>
        </w:rPr>
        <w:t>C. difficile</w:t>
      </w:r>
      <w:r w:rsidRPr="00AF31F4">
        <w:t>, but that each isoform exhibits disparate roles</w:t>
      </w:r>
      <w:r w:rsidRPr="00AF31F4">
        <w:rPr>
          <w:i/>
        </w:rPr>
        <w:t>.</w:t>
      </w:r>
    </w:p>
    <w:p w14:paraId="2F07EE85" w14:textId="35F4CF27" w:rsidR="00C6592F" w:rsidRPr="00AF31F4" w:rsidRDefault="00C6592F" w:rsidP="00C6592F">
      <w:pPr>
        <w:ind w:firstLine="720"/>
        <w:jc w:val="both"/>
        <w:rPr>
          <w:i/>
        </w:rPr>
      </w:pPr>
      <w:r w:rsidRPr="00AF31F4">
        <w:t xml:space="preserve">This chapter describes our initial phenotypic studies with </w:t>
      </w:r>
      <w:r w:rsidRPr="00AF31F4">
        <w:rPr>
          <w:i/>
          <w:iCs/>
        </w:rPr>
        <w:t>clpP1</w:t>
      </w:r>
      <w:r w:rsidRPr="00AF31F4">
        <w:t xml:space="preserve">, </w:t>
      </w:r>
      <w:r w:rsidRPr="00AF31F4">
        <w:rPr>
          <w:i/>
          <w:iCs/>
        </w:rPr>
        <w:t>clpP2</w:t>
      </w:r>
      <w:r w:rsidRPr="00AF31F4">
        <w:t xml:space="preserve">, and </w:t>
      </w:r>
      <w:r w:rsidRPr="00AF31F4">
        <w:rPr>
          <w:i/>
          <w:iCs/>
        </w:rPr>
        <w:t xml:space="preserve">clpP1/clpP2 </w:t>
      </w:r>
      <w:r w:rsidRPr="00AF31F4">
        <w:rPr>
          <w:iCs/>
        </w:rPr>
        <w:t>knockout mutants produced in collaboration with Dr. Jim Ballard’s laboratory</w:t>
      </w:r>
      <w:r w:rsidRPr="00AF31F4">
        <w:t xml:space="preserve">. These mutants were generated using a novel CRISPR-Cas9 nickase system, and these results represent the first application of this methodology. Each </w:t>
      </w:r>
      <w:r w:rsidRPr="00AF31F4">
        <w:rPr>
          <w:i/>
        </w:rPr>
        <w:t xml:space="preserve">clpP </w:t>
      </w:r>
      <w:r w:rsidRPr="00AF31F4">
        <w:t xml:space="preserve">mutant has been genomically sequenced to ensure no off-target mutations occurred, and that no significant mutations exist in laboratory-maintained strain of </w:t>
      </w:r>
      <w:r w:rsidR="00AB3480" w:rsidRPr="00AB3480">
        <w:rPr>
          <w:i/>
        </w:rPr>
        <w:t>C. difficile</w:t>
      </w:r>
      <w:r w:rsidRPr="00AF31F4">
        <w:rPr>
          <w:i/>
        </w:rPr>
        <w:t xml:space="preserve"> </w:t>
      </w:r>
      <w:r w:rsidRPr="00AF31F4">
        <w:t xml:space="preserve">630.  The data presented herein demonstrate that 1) </w:t>
      </w:r>
      <w:r w:rsidRPr="00AF31F4">
        <w:sym w:font="Symbol" w:char="F044"/>
      </w:r>
      <w:r w:rsidRPr="00AF31F4">
        <w:t xml:space="preserve">P1 mutants have lower sporulation efficiency, and severe </w:t>
      </w:r>
      <w:r w:rsidRPr="00AF31F4">
        <w:lastRenderedPageBreak/>
        <w:t xml:space="preserve">morphological abnormalities during forespore engulfment; 2) </w:t>
      </w:r>
      <w:r w:rsidRPr="00AF31F4">
        <w:sym w:font="Symbol" w:char="F044"/>
      </w:r>
      <w:r w:rsidRPr="00AF31F4">
        <w:t xml:space="preserve">P2 mutants hypersporulate but have little morphological differences overall; 3) </w:t>
      </w:r>
      <w:r w:rsidRPr="00AF31F4">
        <w:sym w:font="Symbol" w:char="F044"/>
      </w:r>
      <w:r w:rsidRPr="00AF31F4">
        <w:t xml:space="preserve">P1P2 mutants fail to sporulate; and 4) all three mutants exhibit decreased levels of cytotoxicity. Bright-field, fluorescence, and transmission electron microscopy reveals the </w:t>
      </w:r>
      <w:r w:rsidRPr="00AF31F4">
        <w:sym w:font="Symbol" w:char="F044"/>
      </w:r>
      <w:r w:rsidRPr="00AF31F4">
        <w:t>P1P2 mutant to form multiple small-compartments that are engulfed to begin the forespore lifecycle, yet fail to mature or become viable. Lastly, we propose a working model of sporulation that incorporates overlapping and distinctive roles for ClpP1 and ClpP2 in regulating sporulation.</w:t>
      </w:r>
    </w:p>
    <w:p w14:paraId="5E563D2E" w14:textId="77777777" w:rsidR="00C6592F" w:rsidRPr="00AF31F4" w:rsidRDefault="00C6592F" w:rsidP="00C6592F">
      <w:pPr>
        <w:jc w:val="both"/>
      </w:pPr>
      <w:r w:rsidRPr="00AF31F4">
        <w:br w:type="page"/>
      </w:r>
    </w:p>
    <w:p w14:paraId="2D75F7E3" w14:textId="675DA2BB" w:rsidR="00C6592F" w:rsidRPr="00AE6C6D" w:rsidRDefault="00C6592F" w:rsidP="004E7821">
      <w:pPr>
        <w:pStyle w:val="Heading2"/>
      </w:pPr>
      <w:bookmarkStart w:id="63" w:name="_Toc8392760"/>
      <w:r w:rsidRPr="00AE6C6D">
        <w:lastRenderedPageBreak/>
        <w:t>3.</w:t>
      </w:r>
      <w:r w:rsidR="00C363D7">
        <w:t>3</w:t>
      </w:r>
      <w:r w:rsidRPr="00AE6C6D">
        <w:t xml:space="preserve"> Results</w:t>
      </w:r>
      <w:bookmarkEnd w:id="63"/>
    </w:p>
    <w:p w14:paraId="21B381B4" w14:textId="366E96B9" w:rsidR="00C6592F" w:rsidRPr="00AE6C6D" w:rsidRDefault="00C6592F" w:rsidP="0012418F">
      <w:pPr>
        <w:pStyle w:val="Heading3"/>
      </w:pPr>
      <w:bookmarkStart w:id="64" w:name="_Toc8392761"/>
      <w:r w:rsidRPr="00AE6C6D">
        <w:t>3.</w:t>
      </w:r>
      <w:r w:rsidR="00C363D7">
        <w:t>3</w:t>
      </w:r>
      <w:r w:rsidRPr="00AE6C6D">
        <w:t xml:space="preserve">.1 clpP mutants are less cytotoxic, </w:t>
      </w:r>
      <w:r w:rsidRPr="00AE6C6D">
        <w:sym w:font="Symbol" w:char="F044"/>
      </w:r>
      <w:r w:rsidRPr="00AE6C6D">
        <w:t>P1 is sensitive to heat-shock</w:t>
      </w:r>
      <w:bookmarkEnd w:id="64"/>
    </w:p>
    <w:p w14:paraId="7E839FBE" w14:textId="77777777" w:rsidR="00C6592F" w:rsidRPr="00AF31F4" w:rsidRDefault="00C6592F" w:rsidP="00C6592F">
      <w:pPr>
        <w:keepNext/>
        <w:jc w:val="center"/>
      </w:pPr>
      <w:r w:rsidRPr="00AF31F4">
        <w:rPr>
          <w:b/>
          <w:noProof/>
        </w:rPr>
        <w:drawing>
          <wp:inline distT="0" distB="0" distL="0" distR="0" wp14:anchorId="40515A3F" wp14:editId="0C0000DA">
            <wp:extent cx="5486400" cy="2893695"/>
            <wp:effectExtent l="0" t="0" r="0" b="0"/>
            <wp:docPr id="15"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86400" cy="2893695"/>
                    </a:xfrm>
                    <a:prstGeom prst="rect">
                      <a:avLst/>
                    </a:prstGeom>
                    <a:noFill/>
                    <a:ln>
                      <a:noFill/>
                    </a:ln>
                  </pic:spPr>
                </pic:pic>
              </a:graphicData>
            </a:graphic>
          </wp:inline>
        </w:drawing>
      </w:r>
    </w:p>
    <w:p w14:paraId="1A94358F" w14:textId="77777777" w:rsidR="00C6592F" w:rsidRPr="00AF31F4" w:rsidRDefault="00C6592F" w:rsidP="00C6592F">
      <w:pPr>
        <w:spacing w:line="240" w:lineRule="auto"/>
        <w:rPr>
          <w:szCs w:val="18"/>
        </w:rPr>
      </w:pPr>
      <w:bookmarkStart w:id="65" w:name="_Toc5807405"/>
      <w:r w:rsidRPr="00AF31F4">
        <w:rPr>
          <w:b/>
          <w:bCs/>
          <w:szCs w:val="18"/>
        </w:rPr>
        <w:t xml:space="preserve">Figure 3.1 Growth profiles for </w:t>
      </w:r>
      <w:r w:rsidRPr="00AF31F4">
        <w:rPr>
          <w:b/>
          <w:bCs/>
          <w:i/>
          <w:szCs w:val="18"/>
        </w:rPr>
        <w:t xml:space="preserve">clpP </w:t>
      </w:r>
      <w:r w:rsidRPr="00AF31F4">
        <w:rPr>
          <w:b/>
          <w:bCs/>
          <w:szCs w:val="18"/>
        </w:rPr>
        <w:t>mutants and cytotoxicity TcdB titer assay</w:t>
      </w:r>
      <w:bookmarkEnd w:id="65"/>
      <w:r w:rsidRPr="00AF31F4">
        <w:rPr>
          <w:b/>
          <w:bCs/>
          <w:szCs w:val="18"/>
        </w:rPr>
        <w:t xml:space="preserve"> </w:t>
      </w:r>
    </w:p>
    <w:p w14:paraId="5F7F97E2" w14:textId="48FD966D" w:rsidR="00C6592F" w:rsidRDefault="00C6592F" w:rsidP="00B70AB5">
      <w:pPr>
        <w:spacing w:line="240" w:lineRule="auto"/>
        <w:jc w:val="both"/>
        <w:rPr>
          <w:bCs/>
        </w:rPr>
      </w:pPr>
      <w:r w:rsidRPr="00AF31F4">
        <w:rPr>
          <w:bCs/>
        </w:rPr>
        <w:t xml:space="preserve">(A) </w:t>
      </w:r>
      <w:r w:rsidR="00AB3480" w:rsidRPr="00AB3480">
        <w:rPr>
          <w:bCs/>
          <w:i/>
        </w:rPr>
        <w:t>C. difficile</w:t>
      </w:r>
      <w:r w:rsidRPr="00AF31F4">
        <w:rPr>
          <w:bCs/>
          <w:i/>
        </w:rPr>
        <w:t xml:space="preserve"> </w:t>
      </w:r>
      <w:r w:rsidRPr="00AF31F4">
        <w:rPr>
          <w:bCs/>
        </w:rPr>
        <w:t xml:space="preserve">were grown anaerobically at 37 °C (top) and 42 °C (bottom) and OD600 was continually monitored over 36h. (B) Natively purified TcdB from </w:t>
      </w:r>
      <w:r w:rsidR="00AB3480" w:rsidRPr="00AB3480">
        <w:rPr>
          <w:bCs/>
          <w:i/>
        </w:rPr>
        <w:t>C. difficile</w:t>
      </w:r>
      <w:r w:rsidRPr="00AF31F4">
        <w:rPr>
          <w:bCs/>
          <w:i/>
        </w:rPr>
        <w:t xml:space="preserve"> </w:t>
      </w:r>
      <w:r w:rsidRPr="00AF31F4">
        <w:rPr>
          <w:bCs/>
        </w:rPr>
        <w:t xml:space="preserve">630 was used to titer relative TcdB toxin levels against CHO (top) and Caco-2 (bottom) mammalian cells (WT </w:t>
      </w:r>
      <w:r w:rsidRPr="00AF31F4">
        <w:rPr>
          <w:bCs/>
          <w:i/>
        </w:rPr>
        <w:t>red</w:t>
      </w:r>
      <w:r w:rsidRPr="00AF31F4">
        <w:rPr>
          <w:bCs/>
        </w:rPr>
        <w:t xml:space="preserve">, </w:t>
      </w:r>
      <w:r w:rsidRPr="00AF31F4">
        <w:rPr>
          <w:bCs/>
        </w:rPr>
        <w:sym w:font="Symbol" w:char="F044"/>
      </w:r>
      <w:r w:rsidRPr="00AF31F4">
        <w:rPr>
          <w:bCs/>
        </w:rPr>
        <w:t xml:space="preserve">P1 </w:t>
      </w:r>
      <w:r w:rsidRPr="00AF31F4">
        <w:rPr>
          <w:bCs/>
          <w:i/>
        </w:rPr>
        <w:t>green</w:t>
      </w:r>
      <w:r w:rsidRPr="00AF31F4">
        <w:rPr>
          <w:bCs/>
        </w:rPr>
        <w:t xml:space="preserve">, </w:t>
      </w:r>
      <w:r w:rsidRPr="00AF31F4">
        <w:rPr>
          <w:bCs/>
        </w:rPr>
        <w:sym w:font="Symbol" w:char="F044"/>
      </w:r>
      <w:r w:rsidRPr="00AF31F4">
        <w:rPr>
          <w:bCs/>
        </w:rPr>
        <w:t xml:space="preserve">P2 </w:t>
      </w:r>
      <w:r w:rsidRPr="00AF31F4">
        <w:rPr>
          <w:bCs/>
          <w:i/>
        </w:rPr>
        <w:t>blue</w:t>
      </w:r>
      <w:r w:rsidRPr="00AF31F4">
        <w:rPr>
          <w:bCs/>
        </w:rPr>
        <w:t xml:space="preserve">, </w:t>
      </w:r>
      <w:r w:rsidRPr="00AF31F4">
        <w:rPr>
          <w:bCs/>
        </w:rPr>
        <w:sym w:font="Symbol" w:char="F044"/>
      </w:r>
      <w:r w:rsidRPr="00AF31F4">
        <w:rPr>
          <w:bCs/>
        </w:rPr>
        <w:t xml:space="preserve">P1P2 </w:t>
      </w:r>
      <w:r w:rsidRPr="00AF31F4">
        <w:rPr>
          <w:bCs/>
          <w:i/>
        </w:rPr>
        <w:t>orange</w:t>
      </w:r>
      <w:r w:rsidRPr="00AF31F4">
        <w:rPr>
          <w:bCs/>
        </w:rPr>
        <w:t>, for all figures).</w:t>
      </w:r>
    </w:p>
    <w:p w14:paraId="348320D9" w14:textId="77777777" w:rsidR="00B70AB5" w:rsidRPr="00AF31F4" w:rsidRDefault="00B70AB5" w:rsidP="00B70AB5">
      <w:pPr>
        <w:spacing w:line="240" w:lineRule="auto"/>
        <w:jc w:val="both"/>
        <w:rPr>
          <w:bCs/>
        </w:rPr>
      </w:pPr>
    </w:p>
    <w:p w14:paraId="3CF2AA78" w14:textId="47EAC7DD" w:rsidR="00C6592F" w:rsidRPr="00AF31F4" w:rsidRDefault="00C6592F" w:rsidP="00C6592F">
      <w:pPr>
        <w:ind w:firstLine="720"/>
        <w:jc w:val="both"/>
        <w:rPr>
          <w:bCs/>
        </w:rPr>
      </w:pPr>
      <w:r w:rsidRPr="00AF31F4">
        <w:rPr>
          <w:bCs/>
        </w:rPr>
        <w:t xml:space="preserve">WT and mutant </w:t>
      </w:r>
      <w:r w:rsidRPr="00AF31F4">
        <w:rPr>
          <w:bCs/>
          <w:i/>
        </w:rPr>
        <w:t>clpP</w:t>
      </w:r>
      <w:r w:rsidRPr="00AF31F4">
        <w:rPr>
          <w:bCs/>
        </w:rPr>
        <w:t xml:space="preserve"> strains exhibit similar growth profiles in supplemented Brain Heart Infusion (BHIS) media at 37 °C (</w:t>
      </w:r>
      <w:r w:rsidRPr="00AF31F4">
        <w:rPr>
          <w:b/>
          <w:bCs/>
        </w:rPr>
        <w:t>Figure 3.1A</w:t>
      </w:r>
      <w:r w:rsidRPr="00AF31F4">
        <w:rPr>
          <w:bCs/>
        </w:rPr>
        <w:t xml:space="preserve">, top). The </w:t>
      </w:r>
      <w:r w:rsidRPr="00AF31F4">
        <w:rPr>
          <w:bCs/>
        </w:rPr>
        <w:sym w:font="Symbol" w:char="F044"/>
      </w:r>
      <w:r w:rsidRPr="00AF31F4">
        <w:rPr>
          <w:bCs/>
        </w:rPr>
        <w:t>P1</w:t>
      </w:r>
      <w:r w:rsidRPr="00AF31F4">
        <w:rPr>
          <w:b/>
          <w:bCs/>
        </w:rPr>
        <w:t xml:space="preserve"> </w:t>
      </w:r>
      <w:r w:rsidRPr="00AF31F4">
        <w:rPr>
          <w:bCs/>
        </w:rPr>
        <w:t>mutant was unable</w:t>
      </w:r>
      <w:r w:rsidRPr="00AF31F4">
        <w:rPr>
          <w:b/>
          <w:bCs/>
        </w:rPr>
        <w:t xml:space="preserve"> </w:t>
      </w:r>
      <w:r w:rsidRPr="00AF31F4">
        <w:rPr>
          <w:bCs/>
        </w:rPr>
        <w:t xml:space="preserve">to replicate under heat-shock conditions at 42 °C, while </w:t>
      </w:r>
      <w:r w:rsidRPr="00AF31F4">
        <w:rPr>
          <w:bCs/>
        </w:rPr>
        <w:sym w:font="Symbol" w:char="F044"/>
      </w:r>
      <w:r w:rsidRPr="00AF31F4">
        <w:rPr>
          <w:bCs/>
        </w:rPr>
        <w:t>P2 grew similarly to the WT (</w:t>
      </w:r>
      <w:r w:rsidRPr="00AF31F4">
        <w:rPr>
          <w:b/>
          <w:bCs/>
        </w:rPr>
        <w:t>Figure 3.1A</w:t>
      </w:r>
      <w:r w:rsidRPr="00AF31F4">
        <w:rPr>
          <w:bCs/>
        </w:rPr>
        <w:t>,</w:t>
      </w:r>
      <w:r w:rsidRPr="00AF31F4">
        <w:rPr>
          <w:b/>
          <w:bCs/>
        </w:rPr>
        <w:t xml:space="preserve"> </w:t>
      </w:r>
      <w:r w:rsidRPr="00AF31F4">
        <w:rPr>
          <w:bCs/>
        </w:rPr>
        <w:t xml:space="preserve">below). Despite </w:t>
      </w:r>
      <w:r w:rsidRPr="00AF31F4">
        <w:rPr>
          <w:bCs/>
        </w:rPr>
        <w:sym w:font="Symbol" w:char="F044"/>
      </w:r>
      <w:r w:rsidRPr="00AF31F4">
        <w:rPr>
          <w:bCs/>
        </w:rPr>
        <w:t>P1</w:t>
      </w:r>
      <w:r w:rsidRPr="00AF31F4">
        <w:rPr>
          <w:b/>
          <w:bCs/>
        </w:rPr>
        <w:t xml:space="preserve"> </w:t>
      </w:r>
      <w:r w:rsidRPr="00AF31F4">
        <w:rPr>
          <w:bCs/>
        </w:rPr>
        <w:t xml:space="preserve">growth inhibition at the elevated temperature, the </w:t>
      </w:r>
      <w:r w:rsidRPr="00AF31F4">
        <w:rPr>
          <w:bCs/>
        </w:rPr>
        <w:sym w:font="Symbol" w:char="F044"/>
      </w:r>
      <w:r w:rsidRPr="00AF31F4">
        <w:rPr>
          <w:bCs/>
        </w:rPr>
        <w:t>P1P2 mutant was able to replicate under heat-shock conditions, albeit at a substantially slower growth-rate. In minimal-defined media, all mutants deviated from WT growth under heat-shock conditions (</w:t>
      </w:r>
      <w:r w:rsidRPr="00AF31F4">
        <w:rPr>
          <w:b/>
          <w:bCs/>
        </w:rPr>
        <w:t>Appendix B.1</w:t>
      </w:r>
      <w:r w:rsidRPr="00AF31F4">
        <w:rPr>
          <w:bCs/>
        </w:rPr>
        <w:t xml:space="preserve">). </w:t>
      </w:r>
      <w:r w:rsidRPr="00AF31F4">
        <w:rPr>
          <w:bCs/>
        </w:rPr>
        <w:sym w:font="Symbol" w:char="F044"/>
      </w:r>
      <w:r w:rsidRPr="00AF31F4">
        <w:rPr>
          <w:bCs/>
        </w:rPr>
        <w:t xml:space="preserve">P1 replicates minimally before entering stationary growth, while </w:t>
      </w:r>
      <w:r w:rsidRPr="00AF31F4">
        <w:rPr>
          <w:bCs/>
        </w:rPr>
        <w:sym w:font="Symbol" w:char="F044"/>
      </w:r>
      <w:r w:rsidRPr="00AF31F4">
        <w:rPr>
          <w:bCs/>
        </w:rPr>
        <w:t xml:space="preserve">P2 and </w:t>
      </w:r>
      <w:r w:rsidRPr="00AF31F4">
        <w:rPr>
          <w:bCs/>
        </w:rPr>
        <w:sym w:font="Symbol" w:char="F044"/>
      </w:r>
      <w:r w:rsidRPr="00AF31F4">
        <w:rPr>
          <w:bCs/>
        </w:rPr>
        <w:t xml:space="preserve">P1P2 grow exponentially before shifting to the </w:t>
      </w:r>
      <w:r w:rsidRPr="00AF31F4">
        <w:rPr>
          <w:bCs/>
        </w:rPr>
        <w:lastRenderedPageBreak/>
        <w:t>stationary phase at different time points. None of the mutants significantly differed in motility (</w:t>
      </w:r>
      <w:r w:rsidRPr="00AF31F4">
        <w:rPr>
          <w:b/>
          <w:bCs/>
        </w:rPr>
        <w:t>Appendix B.2</w:t>
      </w:r>
      <w:r w:rsidRPr="00AF31F4">
        <w:rPr>
          <w:bCs/>
        </w:rPr>
        <w:t>).</w:t>
      </w:r>
    </w:p>
    <w:p w14:paraId="4482909D" w14:textId="3C565EAB" w:rsidR="00C6592F" w:rsidRPr="00AF31F4" w:rsidRDefault="00C6592F" w:rsidP="00C6592F">
      <w:pPr>
        <w:ind w:firstLine="720"/>
        <w:jc w:val="both"/>
        <w:rPr>
          <w:bCs/>
        </w:rPr>
      </w:pPr>
      <w:r w:rsidRPr="00AF31F4">
        <w:rPr>
          <w:bCs/>
        </w:rPr>
        <w:t xml:space="preserve">The uncoupled activity of ClpP1 and ClpP2 described in Chapter 2 led us to anticipate disparate roles in biology, manifesting phenotypes linked to their respective regulatory function. In a recent study, Baker </w:t>
      </w:r>
      <w:r w:rsidRPr="00AF31F4">
        <w:rPr>
          <w:bCs/>
          <w:i/>
        </w:rPr>
        <w:t>et al.</w:t>
      </w:r>
      <w:r w:rsidRPr="00AF31F4">
        <w:rPr>
          <w:bCs/>
        </w:rPr>
        <w:t xml:space="preserve"> suggest </w:t>
      </w:r>
      <w:r w:rsidRPr="00AF31F4">
        <w:rPr>
          <w:bCs/>
          <w:i/>
        </w:rPr>
        <w:t xml:space="preserve">Pseudomonas aeruginosa </w:t>
      </w:r>
      <w:r w:rsidRPr="00AF31F4">
        <w:rPr>
          <w:bCs/>
        </w:rPr>
        <w:t>ClpP1 and ClpP2 exhibit separate roles in virulence.</w:t>
      </w:r>
      <w:r w:rsidRPr="00AF31F4">
        <w:rPr>
          <w:bCs/>
        </w:rPr>
        <w:fldChar w:fldCharType="begin"/>
      </w:r>
      <w:r>
        <w:rPr>
          <w:bCs/>
        </w:rPr>
        <w:instrText>ADDIN F1000_CSL_CITATION&lt;~#@#~&gt;[{"DOI":"10.1128/JB.00568-16","First":false,"Last":false,"PMCID":"PMC5237113","PMID":"27849175","abstract":"Caseinolytic peptidases (ClpPs) regulate diverse aspects of cellular physiology in bacteria. Some species have multiple ClpPs, including the opportunistic pathogen Pseudomonas aeruginosa, in which there is an archetypical isoform, ClpP1, and a second isoform, ClpP2, about which little is known. Here, we use phenotypic assays to investigate the biological roles of ClpP1 and ClpP2 and biochemical assays to characterize purified ClpP1, ClpP2, ClpX, and ClpA. Interestingly, ClpP1 and ClpP2 have distinct intracellular roles for motility, pigment production, iron scavenging, and biofilm formation. Of particular interest, ClpP2, but not ClpP1, is required for microcolony organization, where multicellular organized structures first form on the pathway to biofilm production. We found that purified ClpP1 with ClpX or ClpA was enzymatically active, yet to our surprise, ClpP2 was inactive and not fully assembled in vitro; attempts to assist ClpP2 assembly and activation by mixing with the other Clp components failed to turn on ClpP2, as did solution conditions that have helped activate other ClpPs in vitro We postulate that the active form of ClpP2 has yet to be discovered, and we present several potential models to explain its activation as well as the unique role ClpP2 plays in the development of the clinically important biofilms in P. aeruginosaIMPORTANCEPseudomonas aeruginosa is responsible for severe infections of immunocompromised patients. Our work demonstrates that two different isoforms of the Clp peptidase, ClpP1 and ClpP2, control distinct aspects of cellular physiology for this organism. In particular, we identify ClpP2 as being necessary for microcolony organization. Pure active forms of ClpP1 and either ClpX or ClpA were characterized as assembled and active, and ClpP2 was incompletely assembled and inactive. By establishing both the unique biological roles of ClpP1 and ClpP2 and their initial biochemical assemblies, we have set the stage for important future work on the structure, function, and biological targets of Clp proteolytic enzymes in this important opportunistic pathogen.&lt;br&gt;&lt;br&gt;Copyright © 2017 American Society for Microbiology.","author":[{"family":"Hall","given":"Branwen M"},{"family":"Breidenstein","given":"Elena B M"},{"family":"de la Fuente-Núñez","given":"César"},{"family":"Reffuveille","given":"Fany"},{"family":"Mawla","given":"Gina D"},{"family":"Hancock","given":"Robert E W"},{"family":"Baker","given":"Tania A"}],"authorYearDisplayFormat":false,"citation-label":"5898157","container-title":"Journal of Bacteriology","container-title-short":"J. Bacteriol.","id":"5898157","invisible":false,"issue":"3","issued":{"date-parts":[["2017","2","1"]]},"journalAbbreviation":"J. Bacteriol.","suppress-author":false,"title":"Two Isoforms of Clp Peptidase in Pseudomonas aeruginosa Control Distinct Aspects of Cellular Physiology.","type":"article-journal","volume":"199"}]</w:instrText>
      </w:r>
      <w:r w:rsidRPr="00AF31F4">
        <w:rPr>
          <w:bCs/>
        </w:rPr>
        <w:fldChar w:fldCharType="separate"/>
      </w:r>
      <w:r w:rsidRPr="00C85866">
        <w:rPr>
          <w:bCs/>
          <w:noProof/>
          <w:vertAlign w:val="superscript"/>
        </w:rPr>
        <w:t>17</w:t>
      </w:r>
      <w:r w:rsidRPr="00AF31F4">
        <w:rPr>
          <w:bCs/>
        </w:rPr>
        <w:fldChar w:fldCharType="end"/>
      </w:r>
      <w:r w:rsidRPr="00AF31F4">
        <w:rPr>
          <w:bCs/>
        </w:rPr>
        <w:t xml:space="preserve"> Though a Gram-negative organism, the results demonstrate that each ClpP isoform maintains specialized functionality and are differentially expressed between exponential and stationary growth. ClpP1 plays an important role in toxin production, while ClpP2 influences late-stage adhesion and microcolony formation. We anticipated a similar outcome in </w:t>
      </w:r>
      <w:r w:rsidR="00AB3480" w:rsidRPr="00AB3480">
        <w:rPr>
          <w:bCs/>
          <w:i/>
        </w:rPr>
        <w:t>C. difficile</w:t>
      </w:r>
      <w:r w:rsidRPr="00AF31F4">
        <w:rPr>
          <w:bCs/>
        </w:rPr>
        <w:t xml:space="preserve"> and began by examining cytotoxicity in the </w:t>
      </w:r>
      <w:r w:rsidRPr="00AF31F4">
        <w:rPr>
          <w:bCs/>
          <w:i/>
        </w:rPr>
        <w:t>clpP</w:t>
      </w:r>
      <w:r w:rsidRPr="00AF31F4">
        <w:rPr>
          <w:bCs/>
        </w:rPr>
        <w:t xml:space="preserve"> mutants. In a TcdB toxin titer assay using Chinese Hampster Ovarian (CHO) (</w:t>
      </w:r>
      <w:r w:rsidRPr="00AF31F4">
        <w:rPr>
          <w:b/>
          <w:bCs/>
        </w:rPr>
        <w:t>Figure</w:t>
      </w:r>
      <w:r w:rsidRPr="00AF31F4">
        <w:rPr>
          <w:bCs/>
        </w:rPr>
        <w:t xml:space="preserve"> </w:t>
      </w:r>
      <w:r w:rsidRPr="00AF31F4">
        <w:rPr>
          <w:b/>
          <w:bCs/>
        </w:rPr>
        <w:t>3.1A</w:t>
      </w:r>
      <w:r w:rsidRPr="00AF31F4">
        <w:rPr>
          <w:bCs/>
        </w:rPr>
        <w:t>, top) and Caco-2 endothelial cells (</w:t>
      </w:r>
      <w:r w:rsidRPr="00AF31F4">
        <w:rPr>
          <w:b/>
          <w:bCs/>
        </w:rPr>
        <w:t>Figure</w:t>
      </w:r>
      <w:r w:rsidRPr="00AF31F4">
        <w:rPr>
          <w:bCs/>
        </w:rPr>
        <w:t xml:space="preserve"> </w:t>
      </w:r>
      <w:r w:rsidRPr="00AF31F4">
        <w:rPr>
          <w:b/>
          <w:bCs/>
        </w:rPr>
        <w:t>3.1A</w:t>
      </w:r>
      <w:r w:rsidRPr="00AF31F4">
        <w:rPr>
          <w:bCs/>
        </w:rPr>
        <w:t xml:space="preserve">, bottom), all mutants exhibited one to two-fold lower cytotoxicity in comparison to the WT. </w:t>
      </w:r>
      <w:r w:rsidRPr="00AF31F4">
        <w:rPr>
          <w:bCs/>
        </w:rPr>
        <w:sym w:font="Symbol" w:char="F044"/>
      </w:r>
      <w:r w:rsidRPr="00AF31F4">
        <w:rPr>
          <w:bCs/>
        </w:rPr>
        <w:t xml:space="preserve">P1 and </w:t>
      </w:r>
      <w:r w:rsidRPr="00AF31F4">
        <w:rPr>
          <w:bCs/>
        </w:rPr>
        <w:sym w:font="Symbol" w:char="F044"/>
      </w:r>
      <w:r w:rsidRPr="00AF31F4">
        <w:rPr>
          <w:bCs/>
        </w:rPr>
        <w:t xml:space="preserve">P2 exhibit similarly reduced cytotoxicity levels, while </w:t>
      </w:r>
      <w:r w:rsidRPr="00AF31F4">
        <w:rPr>
          <w:bCs/>
        </w:rPr>
        <w:sym w:font="Symbol" w:char="F044"/>
      </w:r>
      <w:r w:rsidRPr="00AF31F4">
        <w:rPr>
          <w:bCs/>
        </w:rPr>
        <w:t xml:space="preserve">P1P2 is the least toxic mutant. Here we observed equal contributions to cytotoxicity from each isoform deletion, with an additive effect being observed in the </w:t>
      </w:r>
      <w:r w:rsidRPr="00AF31F4">
        <w:rPr>
          <w:bCs/>
        </w:rPr>
        <w:sym w:font="Symbol" w:char="F044"/>
      </w:r>
      <w:r w:rsidRPr="00AF31F4">
        <w:rPr>
          <w:bCs/>
        </w:rPr>
        <w:t xml:space="preserve">P1P2 mutant. Therefore, either ClpP isoform is likely sufficient to rescue toxin production and/or secretion. </w:t>
      </w:r>
    </w:p>
    <w:p w14:paraId="5FF2BAC3" w14:textId="4BA29A59" w:rsidR="00C6592F" w:rsidRPr="00AE6C6D" w:rsidRDefault="00C6592F" w:rsidP="0012418F">
      <w:pPr>
        <w:pStyle w:val="Heading3"/>
      </w:pPr>
      <w:bookmarkStart w:id="66" w:name="_Toc8392762"/>
      <w:r w:rsidRPr="00AE6C6D">
        <w:lastRenderedPageBreak/>
        <w:t>3.</w:t>
      </w:r>
      <w:r w:rsidR="00C363D7">
        <w:t>3</w:t>
      </w:r>
      <w:r w:rsidRPr="00AE6C6D">
        <w:t>.2 Sporulation phenotypes differ significantly between mutants</w:t>
      </w:r>
      <w:bookmarkEnd w:id="66"/>
    </w:p>
    <w:p w14:paraId="7DF3C1F9" w14:textId="77777777" w:rsidR="00C6592F" w:rsidRPr="00AF31F4" w:rsidRDefault="00C6592F" w:rsidP="00C6592F">
      <w:pPr>
        <w:keepNext/>
      </w:pPr>
      <w:r w:rsidRPr="00AF31F4">
        <w:rPr>
          <w:noProof/>
        </w:rPr>
        <w:drawing>
          <wp:inline distT="0" distB="0" distL="0" distR="0" wp14:anchorId="772D5620" wp14:editId="214E0CE7">
            <wp:extent cx="5658485" cy="3442335"/>
            <wp:effectExtent l="0" t="0" r="0" b="0"/>
            <wp:docPr id="16" name="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58485" cy="3442335"/>
                    </a:xfrm>
                    <a:prstGeom prst="rect">
                      <a:avLst/>
                    </a:prstGeom>
                    <a:noFill/>
                    <a:ln>
                      <a:noFill/>
                    </a:ln>
                  </pic:spPr>
                </pic:pic>
              </a:graphicData>
            </a:graphic>
          </wp:inline>
        </w:drawing>
      </w:r>
    </w:p>
    <w:p w14:paraId="0B656652" w14:textId="77777777" w:rsidR="00C6592F" w:rsidRPr="00AF31F4" w:rsidRDefault="00C6592F" w:rsidP="00C6592F">
      <w:pPr>
        <w:spacing w:line="240" w:lineRule="auto"/>
        <w:jc w:val="both"/>
        <w:rPr>
          <w:b/>
          <w:bCs/>
          <w:szCs w:val="18"/>
        </w:rPr>
      </w:pPr>
      <w:bookmarkStart w:id="67" w:name="_Toc5807406"/>
      <w:r w:rsidRPr="00AF31F4">
        <w:rPr>
          <w:b/>
          <w:bCs/>
          <w:szCs w:val="18"/>
        </w:rPr>
        <w:t xml:space="preserve">Figure 3.2 Bright field microscopy and semi-quantitative analysis shows varied sporulation in </w:t>
      </w:r>
      <w:r w:rsidRPr="00AF31F4">
        <w:rPr>
          <w:b/>
          <w:bCs/>
          <w:szCs w:val="18"/>
        </w:rPr>
        <w:sym w:font="Symbol" w:char="F044"/>
      </w:r>
      <w:r w:rsidRPr="00AF31F4">
        <w:rPr>
          <w:b/>
          <w:bCs/>
          <w:szCs w:val="18"/>
        </w:rPr>
        <w:t xml:space="preserve">P1 and </w:t>
      </w:r>
      <w:r w:rsidRPr="00AF31F4">
        <w:rPr>
          <w:b/>
          <w:bCs/>
          <w:szCs w:val="18"/>
        </w:rPr>
        <w:sym w:font="Symbol" w:char="F044"/>
      </w:r>
      <w:r w:rsidRPr="00AF31F4">
        <w:rPr>
          <w:b/>
          <w:bCs/>
          <w:szCs w:val="18"/>
        </w:rPr>
        <w:t>P2</w:t>
      </w:r>
      <w:bookmarkEnd w:id="67"/>
    </w:p>
    <w:p w14:paraId="1192C227" w14:textId="72323F3A" w:rsidR="00C6592F" w:rsidRDefault="00C6592F" w:rsidP="00B70AB5">
      <w:pPr>
        <w:spacing w:line="240" w:lineRule="auto"/>
        <w:contextualSpacing/>
        <w:jc w:val="both"/>
      </w:pPr>
      <w:r w:rsidRPr="00AF31F4">
        <w:rPr>
          <w:bCs/>
        </w:rPr>
        <w:t xml:space="preserve">(A) Bright field microscopy images were taken with a DP8 Olympus Camera (Ph3, 100x), of each strain after 20-23 h of growth on 70:30 plate media. Cells were embedded into 1% agarose and sealed with a coverslip surrounded in vacuum grease. Vegetative </w:t>
      </w:r>
      <w:r w:rsidR="00AB3480" w:rsidRPr="00AB3480">
        <w:rPr>
          <w:bCs/>
          <w:i/>
        </w:rPr>
        <w:t>C. difficile</w:t>
      </w:r>
      <w:r w:rsidRPr="00AF31F4">
        <w:rPr>
          <w:bCs/>
          <w:i/>
        </w:rPr>
        <w:t xml:space="preserve"> </w:t>
      </w:r>
      <w:r w:rsidRPr="00AF31F4">
        <w:rPr>
          <w:bCs/>
        </w:rPr>
        <w:t xml:space="preserve">are phase-dark rods, while spores appear phase-bright. Scale bar = 5 µm. (B) Areas of significantly high cell density were counted under high phase-contrast, which show vegetative cells as phase-dark rods, and spores as small phase-bright ovals. Apparent sporulation efficiency was calculated by (# phase-bright spores / # vegetative cell) x 100%. </w:t>
      </w:r>
    </w:p>
    <w:p w14:paraId="5E601B16" w14:textId="77777777" w:rsidR="00B70AB5" w:rsidRPr="00AF31F4" w:rsidRDefault="00B70AB5" w:rsidP="00B70AB5">
      <w:pPr>
        <w:spacing w:line="240" w:lineRule="auto"/>
        <w:contextualSpacing/>
        <w:jc w:val="both"/>
      </w:pPr>
    </w:p>
    <w:p w14:paraId="462F1DEC" w14:textId="6CE496CC" w:rsidR="00C6592F" w:rsidRPr="00AF31F4" w:rsidRDefault="00C6592F" w:rsidP="00C6592F">
      <w:pPr>
        <w:ind w:firstLine="720"/>
        <w:contextualSpacing/>
        <w:jc w:val="both"/>
        <w:rPr>
          <w:bCs/>
        </w:rPr>
      </w:pPr>
      <w:r w:rsidRPr="00AF31F4">
        <w:rPr>
          <w:bCs/>
        </w:rPr>
        <w:t xml:space="preserve">Cultures of each mutant entering exponential growth were plated on 70:30 (70% BHIS and 30% sporulation media culture (SMC)) media and incubated for ~20 h prior to examination via phase microscopy. 70:30 plate media is generally believed to enhance </w:t>
      </w:r>
      <w:r w:rsidR="00AB3480" w:rsidRPr="00AB3480">
        <w:rPr>
          <w:bCs/>
          <w:i/>
        </w:rPr>
        <w:t>C. difficile</w:t>
      </w:r>
      <w:r w:rsidRPr="00AF31F4">
        <w:rPr>
          <w:bCs/>
          <w:i/>
        </w:rPr>
        <w:t xml:space="preserve"> </w:t>
      </w:r>
      <w:r w:rsidRPr="00AF31F4">
        <w:rPr>
          <w:bCs/>
        </w:rPr>
        <w:t>sporulation, and yields more reproducible spore counts.</w:t>
      </w:r>
      <w:r w:rsidRPr="00AF31F4">
        <w:rPr>
          <w:bCs/>
        </w:rPr>
        <w:fldChar w:fldCharType="begin"/>
      </w:r>
      <w:r>
        <w:rPr>
          <w:bCs/>
        </w:rPr>
        <w:instrText>ADDIN F1000_CSL_CITATION&lt;~#@#~&gt;[{"DOI":"10.1007/978-1-4939-6361-4_9","First":false,"Last":false,"PMCID":"PMC5017156","PMID":"27507337","abstract":"The ability for the obligate anaerobe, Clostridium difficile to form a metabolically dormant spore is critical for the survival of this organism outside of the host. This spore form is resistant to a myriad of environmental stresses, including heat, desiccation, and exposure to disinfectants and antimicrobials. These intrinsic properties of spores allow C. difficile to survive long-term in an oxygenated environment, to be easily transmitted from host-to-host, and to persist within the host following antibiotic treatment. Because of the importance of the spore form to the C. difficile life cycle and treatment and prevention of C. difficile infection (CDI), the isolation and purification of spores are necessary to study the mechanisms of sporulation and germination, investigate spore properties and resistances, and for use in animal models of CDI. Here we provide basic protocols, in vitro growth conditions, and additional considerations for purifying C. difficile spores for a variety of downstream applications.","author":[{"family":"Edwards","given":"Adrianne N"},{"family":"McBride","given":"Shonna M"}],"authorYearDisplayFormat":false,"citation-label":"6773623","container-title":"Methods in Molecular Biology","container-title-short":"Methods Mol. Biol.","id":"6773623","invisible":false,"issued":{"date-parts":[["2016"]]},"journalAbbreviation":"Methods Mol. Biol.","page":"117-128","suppress-author":false,"title":"Isolating and Purifying Clostridium difficile Spores.","type":"article-journal","volume":"1476"}]</w:instrText>
      </w:r>
      <w:r w:rsidRPr="00AF31F4">
        <w:rPr>
          <w:bCs/>
        </w:rPr>
        <w:fldChar w:fldCharType="separate"/>
      </w:r>
      <w:r w:rsidRPr="00C85866">
        <w:rPr>
          <w:bCs/>
          <w:noProof/>
          <w:vertAlign w:val="superscript"/>
        </w:rPr>
        <w:t>18</w:t>
      </w:r>
      <w:r w:rsidRPr="00AF31F4">
        <w:rPr>
          <w:bCs/>
        </w:rPr>
        <w:fldChar w:fldCharType="end"/>
      </w:r>
      <w:r w:rsidRPr="00AF31F4">
        <w:rPr>
          <w:bCs/>
        </w:rPr>
        <w:t xml:space="preserve"> Samples were examined via bright field microscopy to assess apparent sporulation efficiencies (ASE) for each mutant, calculated by dividing the total number of phase-bright spores by the total number of vegetative cells (</w:t>
      </w:r>
      <w:r w:rsidRPr="00AF31F4">
        <w:rPr>
          <w:b/>
          <w:bCs/>
        </w:rPr>
        <w:t>Figure 3.2A and B</w:t>
      </w:r>
      <w:r w:rsidRPr="00AF31F4">
        <w:rPr>
          <w:bCs/>
        </w:rPr>
        <w:t xml:space="preserve">). This is a qualitative method, which makes broad </w:t>
      </w:r>
      <w:r w:rsidRPr="00AF31F4">
        <w:rPr>
          <w:bCs/>
        </w:rPr>
        <w:lastRenderedPageBreak/>
        <w:t xml:space="preserve">conclusions about the sporulation efficiency being observed and is simply suggestive as entities other than spores can appear phase-bright. </w:t>
      </w:r>
      <w:r w:rsidRPr="00AF31F4">
        <w:rPr>
          <w:bCs/>
        </w:rPr>
        <w:sym w:font="Symbol" w:char="F044"/>
      </w:r>
      <w:r w:rsidRPr="00AF31F4">
        <w:rPr>
          <w:bCs/>
        </w:rPr>
        <w:t xml:space="preserve">P1 produced phase-bright spores with approximately 2.0% ASE, while </w:t>
      </w:r>
      <w:r w:rsidRPr="00AF31F4">
        <w:rPr>
          <w:bCs/>
        </w:rPr>
        <w:sym w:font="Symbol" w:char="F044"/>
      </w:r>
      <w:r w:rsidRPr="00AF31F4">
        <w:rPr>
          <w:bCs/>
        </w:rPr>
        <w:t xml:space="preserve">P2 exhibited hypersporulation, and was 10.3% more efficient than the WT. Surprisingly, we found the ASE for </w:t>
      </w:r>
      <w:r w:rsidRPr="00AF31F4">
        <w:rPr>
          <w:bCs/>
        </w:rPr>
        <w:sym w:font="Symbol" w:char="F044"/>
      </w:r>
      <w:r w:rsidRPr="00AF31F4">
        <w:rPr>
          <w:bCs/>
        </w:rPr>
        <w:t>P1P2 was &lt;0.10%, significantly lower than the WT (</w:t>
      </w:r>
      <w:r w:rsidRPr="00AF31F4">
        <w:rPr>
          <w:b/>
          <w:bCs/>
        </w:rPr>
        <w:t>Figure 3.2C</w:t>
      </w:r>
      <w:r w:rsidRPr="00AF31F4">
        <w:rPr>
          <w:bCs/>
        </w:rPr>
        <w:t>).</w:t>
      </w:r>
    </w:p>
    <w:p w14:paraId="189BB2B7" w14:textId="4EDF5D97" w:rsidR="00C6592F" w:rsidRPr="00AF31F4" w:rsidRDefault="00C6592F" w:rsidP="00C6592F">
      <w:pPr>
        <w:ind w:firstLine="720"/>
        <w:jc w:val="both"/>
        <w:rPr>
          <w:bCs/>
        </w:rPr>
      </w:pPr>
      <w:r w:rsidRPr="00AF31F4">
        <w:rPr>
          <w:bCs/>
        </w:rPr>
        <w:t xml:space="preserve">To qualitatively measure </w:t>
      </w:r>
      <w:r w:rsidRPr="00AF31F4">
        <w:rPr>
          <w:bCs/>
          <w:i/>
        </w:rPr>
        <w:t>clpP</w:t>
      </w:r>
      <w:r w:rsidRPr="00AF31F4">
        <w:rPr>
          <w:bCs/>
        </w:rPr>
        <w:t xml:space="preserve"> mutant sporulation, samples were taken after ~22 h incubation from 70:30 plates. Half of the sample is initially struck out on BHIS media supplemented with taurocholate to enumerate vegetative cells and spores</w:t>
      </w:r>
      <w:r w:rsidRPr="00AF31F4">
        <w:rPr>
          <w:bCs/>
        </w:rPr>
        <w:fldChar w:fldCharType="begin"/>
      </w:r>
      <w:r>
        <w:rPr>
          <w:bCs/>
        </w:rPr>
        <w:instrText>ADDIN F1000_CSL_CITATION&lt;~#@#~&gt;[{"First":false,"Last":false,"PMCID":"PMC272115","PMID":"7076817","abstract":"Isolation of Clostridium difficile from fecal specimens has been facilitated by the development of a selective and differential medium, cefoxitin-cycloserinefructose agar (CCFA). We substituted 0.1% sodium taurocholate for the 2.5% egg yolk in CCFA and compared the growth of 15 isolates of C. difficile on the resulting medium with growth on conventional CCFA. The taurocholate-containing medium (TCCFA) quantitatively recovered vegetative forms of C. difficile in the same numbers as CCFA medium. Recovery of spores was a mean 1.7 log(10) higher on TCCFA than on CCFA. Thirty-six of 60 patient stool specimens growing C. difficile gave a heavier growth on TCCFA than on CCFA, and 9 failed to yield C. difficile on CCFA. TCCFA detected spores of 75 colony-forming units per ml from artificially inoculated fecal specimens when conventional stool culturing techniques were used. Fluorescence of colonies of C. difficile was more intense on TCCFA than on CCFA. TCCFA was simpler to prepare and, overall, was more sensitive than CCFA.","author":[{"family":"Wilson","given":"K H"},{"family":"Kennedy","given":"M J"},{"family":"Fekety","given":"F R"}],"authorYearDisplayFormat":false,"citation-label":"2864154","container-title":"Journal of Clinical Microbiology","container-title-short":"J. Clin. Microbiol.","id":"2864154","invisible":false,"issue":"3","issued":{"date-parts":[["1982","3"]]},"journalAbbreviation":"J. Clin. Microbiol.","page":"443-446","suppress-author":false,"title":"Use of sodium taurocholate to enhance spore recovery on a medium selective for Clostridium difficile.","type":"article-journal","volume":"15"},{"First":false,"Last":false,"PMCID":"PMC270959","PMID":"6630458","abstract":"Taurocholate, desoxycholate, and cholate stimulated germination of Clostridium difficile spores in broth medium and enhanced recovery of C. difficile spores on a selective agar medium. Desoxycholate and some crude taurocholate preparations also inhibited multiplication of vegetative cells. At a concentration of 1.2 X 10(-2) M, sodium cholate inhibited multiplication of vegetative cells, but at concentrations of 1.2 X 10(-3) to 2.4 X 10(-3) M, it stimulated germination without inhibiting cell multiplication. Thus, pure sodium taurocholate and sodium cholate may effectively be incorporated in cefoxitin-cycloserine-fructose agar, whereas some crude preparations of sodium taurocholate decrease recovery on this medium.","author":[{"family":"Wilson","given":"K H"}],"authorYearDisplayFormat":false,"citation-label":"3625801","container-title":"Journal of Clinical Microbiology","container-title-short":"J. Clin. Microbiol.","id":"3625801","invisible":false,"issue":"4","issued":{"date-parts":[["1983","10"]]},"journalAbbreviation":"J. Clin. Microbiol.","page":"1017-1019","suppress-author":false,"title":"Efficiency of various bile salt preparations for stimulation of Clostridium difficile spore germination.","type":"article-journal","volume":"18"},{"DOI":"10.1007/978-1-4939-6361-4_9","First":false,"Last":false,"PMCID":"PMC5017156","PMID":"27507337","abstract":"The ability for the obligate anaerobe, Clostridium difficile to form a metabolically dormant spore is critical for the survival of this organism outside of the host. This spore form is resistant to a myriad of environmental stresses, including heat, desiccation, and exposure to disinfectants and antimicrobials. These intrinsic properties of spores allow C. difficile to survive long-term in an oxygenated environment, to be easily transmitted from host-to-host, and to persist within the host following antibiotic treatment. Because of the importance of the spore form to the C. difficile life cycle and treatment and prevention of C. difficile infection (CDI), the isolation and purification of spores are necessary to study the mechanisms of sporulation and germination, investigate spore properties and resistances, and for use in animal models of CDI. Here we provide basic protocols, in vitro growth conditions, and additional considerations for purifying C. difficile spores for a variety of downstream applications.","author":[{"family":"Edwards","given":"Adrianne N"},{"family":"McBride","given":"Shonna M"}],"authorYearDisplayFormat":false,"citation-label":"6773621","container-title":"Methods in Molecular Biology","container-title-short":"Methods Mol. Biol.","id":"6773621","invisible":false,"issued":{"date-parts":[["2016"]]},"journalAbbreviation":"Methods Mol. Biol.","page":"117-128","suppress-author":false,"title":"Isolating and Purifying Clostridium difficile Spores.","type":"article-journal","volume":"1476"}]</w:instrText>
      </w:r>
      <w:r w:rsidRPr="00AF31F4">
        <w:rPr>
          <w:bCs/>
        </w:rPr>
        <w:fldChar w:fldCharType="separate"/>
      </w:r>
      <w:r w:rsidRPr="00C85866">
        <w:rPr>
          <w:bCs/>
          <w:noProof/>
          <w:vertAlign w:val="superscript"/>
        </w:rPr>
        <w:t>19–21</w:t>
      </w:r>
      <w:r w:rsidRPr="00AF31F4">
        <w:rPr>
          <w:bCs/>
        </w:rPr>
        <w:fldChar w:fldCharType="end"/>
      </w:r>
      <w:r w:rsidRPr="00AF31F4">
        <w:rPr>
          <w:bCs/>
        </w:rPr>
        <w:t xml:space="preserve"> to get a total cell count. The other half is heat-treated to kill vegetative cells, while retaining mature spores that are heat-tolerant. Dividing the number of spores enumerated by the total number of cells provides the sporulation efficiency. This method provides more robust results that are highly repeatable, as it excludes counting immature spores that also appear phase-bright. After heat-treatment, </w:t>
      </w:r>
      <w:r w:rsidRPr="00AF31F4">
        <w:rPr>
          <w:bCs/>
        </w:rPr>
        <w:sym w:font="Symbol" w:char="F044"/>
      </w:r>
      <w:r w:rsidRPr="00AF31F4">
        <w:rPr>
          <w:bCs/>
        </w:rPr>
        <w:t xml:space="preserve">P1 sporulation efficiency was found to be 69% lower than the WT, suggesting that spores produced in </w:t>
      </w:r>
      <w:r w:rsidRPr="00AF31F4">
        <w:rPr>
          <w:bCs/>
        </w:rPr>
        <w:sym w:font="Symbol" w:char="F044"/>
      </w:r>
      <w:r w:rsidRPr="00AF31F4">
        <w:rPr>
          <w:bCs/>
        </w:rPr>
        <w:t>P1 are more susceptible to heat-inactivation (</w:t>
      </w:r>
      <w:r w:rsidRPr="00AF31F4">
        <w:rPr>
          <w:b/>
          <w:bCs/>
        </w:rPr>
        <w:t>Figure 3.3A</w:t>
      </w:r>
      <w:r w:rsidRPr="00AF31F4">
        <w:rPr>
          <w:bCs/>
        </w:rPr>
        <w:t xml:space="preserve">). </w:t>
      </w:r>
      <w:r w:rsidRPr="00AF31F4">
        <w:rPr>
          <w:bCs/>
        </w:rPr>
        <w:sym w:font="Symbol" w:char="F044"/>
      </w:r>
      <w:r w:rsidRPr="00AF31F4">
        <w:rPr>
          <w:bCs/>
        </w:rPr>
        <w:t>P2 sporulation efficiency did not significantly differ from WT (</w:t>
      </w:r>
      <w:r w:rsidRPr="00AF31F4">
        <w:rPr>
          <w:b/>
          <w:bCs/>
        </w:rPr>
        <w:t>Figure 3.3A</w:t>
      </w:r>
      <w:r w:rsidRPr="00AF31F4">
        <w:rPr>
          <w:bCs/>
        </w:rPr>
        <w:t xml:space="preserve">), despite apparent hypersporulation when quantified via bright field microscopy. Spores were not observed in </w:t>
      </w:r>
      <w:r w:rsidRPr="00AF31F4">
        <w:rPr>
          <w:bCs/>
        </w:rPr>
        <w:sym w:font="Symbol" w:char="F044"/>
      </w:r>
      <w:r w:rsidRPr="00AF31F4">
        <w:rPr>
          <w:bCs/>
        </w:rPr>
        <w:t xml:space="preserve">P1P2 after heat-treatment, which suggests any spores observed via bright field microscopy were immature. From these results, we determined that sporulation was severely inhibited in </w:t>
      </w:r>
      <w:r w:rsidRPr="00AF31F4">
        <w:rPr>
          <w:bCs/>
        </w:rPr>
        <w:sym w:font="Symbol" w:char="F044"/>
      </w:r>
      <w:r w:rsidRPr="00AF31F4">
        <w:rPr>
          <w:bCs/>
        </w:rPr>
        <w:t xml:space="preserve">P1 and </w:t>
      </w:r>
      <w:r w:rsidRPr="00AF31F4">
        <w:rPr>
          <w:bCs/>
        </w:rPr>
        <w:sym w:font="Symbol" w:char="F044"/>
      </w:r>
      <w:r w:rsidRPr="00AF31F4">
        <w:rPr>
          <w:bCs/>
        </w:rPr>
        <w:t xml:space="preserve">P1P2, while the </w:t>
      </w:r>
      <w:r w:rsidRPr="00AF31F4">
        <w:rPr>
          <w:bCs/>
        </w:rPr>
        <w:sym w:font="Symbol" w:char="F044"/>
      </w:r>
      <w:r w:rsidRPr="00AF31F4">
        <w:rPr>
          <w:bCs/>
        </w:rPr>
        <w:t xml:space="preserve">P2 mutant produced approximately the same quantity of heat-tolerant spores as the WT. </w:t>
      </w:r>
    </w:p>
    <w:p w14:paraId="2823D100" w14:textId="19167555" w:rsidR="00C6592F" w:rsidRPr="00AF31F4" w:rsidRDefault="00C6592F" w:rsidP="00C6592F">
      <w:pPr>
        <w:ind w:firstLine="720"/>
        <w:jc w:val="both"/>
        <w:rPr>
          <w:bCs/>
        </w:rPr>
      </w:pPr>
      <w:r w:rsidRPr="00AF31F4">
        <w:rPr>
          <w:bCs/>
        </w:rPr>
        <w:t xml:space="preserve">Interestingly, if sporulation efficiency was assessed in BHIS broth rather than 70:30 plate media, </w:t>
      </w:r>
      <w:r w:rsidRPr="00AF31F4">
        <w:rPr>
          <w:bCs/>
        </w:rPr>
        <w:sym w:font="Symbol" w:char="F044"/>
      </w:r>
      <w:r w:rsidRPr="00AF31F4">
        <w:rPr>
          <w:bCs/>
        </w:rPr>
        <w:t xml:space="preserve">P1 and </w:t>
      </w:r>
      <w:r w:rsidRPr="00AF31F4">
        <w:rPr>
          <w:bCs/>
        </w:rPr>
        <w:sym w:font="Symbol" w:char="F044"/>
      </w:r>
      <w:r w:rsidRPr="00AF31F4">
        <w:rPr>
          <w:bCs/>
        </w:rPr>
        <w:t>P2 fail to produce spores above the limit of detection (1 x 10</w:t>
      </w:r>
      <w:r w:rsidRPr="00AF31F4">
        <w:rPr>
          <w:bCs/>
          <w:vertAlign w:val="superscript"/>
        </w:rPr>
        <w:t xml:space="preserve">2 </w:t>
      </w:r>
      <w:r w:rsidRPr="00AF31F4">
        <w:rPr>
          <w:bCs/>
        </w:rPr>
        <w:t xml:space="preserve">CFU) after 24 h of incubation. As such, </w:t>
      </w:r>
      <w:r w:rsidRPr="00AF31F4">
        <w:rPr>
          <w:bCs/>
        </w:rPr>
        <w:sym w:font="Symbol" w:char="F044"/>
      </w:r>
      <w:r w:rsidRPr="00AF31F4">
        <w:rPr>
          <w:bCs/>
        </w:rPr>
        <w:t xml:space="preserve">P1 and </w:t>
      </w:r>
      <w:r w:rsidRPr="00AF31F4">
        <w:rPr>
          <w:bCs/>
        </w:rPr>
        <w:sym w:font="Symbol" w:char="F044"/>
      </w:r>
      <w:r w:rsidRPr="00AF31F4">
        <w:rPr>
          <w:bCs/>
        </w:rPr>
        <w:t xml:space="preserve">P2 initially produce less spores than the WT </w:t>
      </w:r>
      <w:r w:rsidRPr="00AF31F4">
        <w:rPr>
          <w:bCs/>
        </w:rPr>
        <w:lastRenderedPageBreak/>
        <w:t>in BHIS broth (</w:t>
      </w:r>
      <w:r w:rsidRPr="00AF31F4">
        <w:rPr>
          <w:b/>
          <w:bCs/>
        </w:rPr>
        <w:t>Figure 3.3B</w:t>
      </w:r>
      <w:r w:rsidRPr="00AF31F4">
        <w:rPr>
          <w:bCs/>
        </w:rPr>
        <w:t xml:space="preserve">). However, both mutants will produce similar quantities of mature spores as the WT, given &gt;72 h incubation, which suggests the rate of sporulation lags in </w:t>
      </w:r>
      <w:r w:rsidRPr="00AF31F4">
        <w:rPr>
          <w:bCs/>
          <w:i/>
        </w:rPr>
        <w:t xml:space="preserve">clpP </w:t>
      </w:r>
      <w:r w:rsidRPr="00AF31F4">
        <w:rPr>
          <w:bCs/>
        </w:rPr>
        <w:t xml:space="preserve">mutants. </w:t>
      </w:r>
      <w:r w:rsidRPr="00AF31F4">
        <w:rPr>
          <w:bCs/>
        </w:rPr>
        <w:sym w:font="Symbol" w:char="F044"/>
      </w:r>
      <w:r w:rsidRPr="00AF31F4">
        <w:rPr>
          <w:bCs/>
        </w:rPr>
        <w:t xml:space="preserve">P1P2 was not found to sporulate in BHIS broth, despite incubation to endpoint sporulation at 6 d. It is generally believed that </w:t>
      </w:r>
      <w:r w:rsidR="00AB3480" w:rsidRPr="00AB3480">
        <w:rPr>
          <w:bCs/>
          <w:i/>
        </w:rPr>
        <w:t>C. difficile</w:t>
      </w:r>
      <w:r w:rsidRPr="00AF31F4">
        <w:rPr>
          <w:bCs/>
        </w:rPr>
        <w:t xml:space="preserve"> sporulation is complete at the 6 d timepoint (&gt;144 h).</w:t>
      </w:r>
      <w:r w:rsidRPr="00AF31F4">
        <w:rPr>
          <w:bCs/>
        </w:rPr>
        <w:fldChar w:fldCharType="begin"/>
      </w:r>
      <w:r>
        <w:rPr>
          <w:bCs/>
        </w:rPr>
        <w:instrText>ADDIN F1000_CSL_CITATION&lt;~#@#~&gt;[{"DOI":"10.1016/j.mimet.2011.07.017","First":false,"Last":false,"PMID":"21864584","abstract":"Clostridium difficile is a leading cause of healthcare-associated diarrhoea. In recent years, certain C. difficile types have become highly represented among clinical isolates and are associated with outbreaks of increased disease severity, higher relapse rates and an expanded repertoire of antibiotic resistance. Endospores, produced during sporulation, play a pivotal role in infection and disease transmission and it has been suggested in the literature that these so-called 'hypervirulent' C. difficile types are more prolific in terms of sporulation in vitro. However, work in our laboratory has provided evidence to the contrary suggesting that although there is significant strain-to-strain variation in C. difficile sporulation characteristics this variation does not appear to be type-associated. On analysis of the literature, it is apparent that the methods used to quantify sporulation in previous studies have varied greatly and sample sizes have remained small. The conflicting data in the literature may, therefore, not necessarily be generally representative of C. difficile sporulation. Instead, these inconsistencies may reflect differences in the experimental design of each study. In this review, the need for further investigations of C. difficile sporulation rates is highlighted. Specifically, the advantages and disadvantages of the different experimental approaches previously used are discussed and a standard set of principles for measuring C. difficile sporulation in the future is proposed.&lt;br&gt;&lt;br&gt;Copyright © 2011 Elsevier B.V. All rights reserved.","author":[{"family":"Burns","given":"David A"},{"family":"Minton","given":"Nigel P"}],"authorYearDisplayFormat":false,"citation-label":"6773634","container-title":"Journal of Microbiological Methods","container-title-short":"J. Microbiol. Methods","id":"6773634","invisible":false,"issue":"2","issued":{"date-parts":[["2011","11"]]},"journalAbbreviation":"J. Microbiol. Methods","page":"133-138","suppress-author":false,"title":"Sporulation studies in Clostridium difficile.","type":"article-journal","volume":"87"}]</w:instrText>
      </w:r>
      <w:r w:rsidRPr="00AF31F4">
        <w:rPr>
          <w:bCs/>
        </w:rPr>
        <w:fldChar w:fldCharType="separate"/>
      </w:r>
      <w:r w:rsidRPr="00C85866">
        <w:rPr>
          <w:bCs/>
          <w:noProof/>
          <w:vertAlign w:val="superscript"/>
        </w:rPr>
        <w:t>22</w:t>
      </w:r>
      <w:r w:rsidRPr="00AF31F4">
        <w:rPr>
          <w:bCs/>
        </w:rPr>
        <w:fldChar w:fldCharType="end"/>
      </w:r>
      <w:r w:rsidRPr="00AF31F4">
        <w:rPr>
          <w:bCs/>
        </w:rPr>
        <w:t xml:space="preserve"> </w:t>
      </w:r>
      <w:r w:rsidRPr="00AF31F4">
        <w:rPr>
          <w:bCs/>
        </w:rPr>
        <w:sym w:font="Symbol" w:char="F044"/>
      </w:r>
      <w:r w:rsidRPr="00AF31F4">
        <w:rPr>
          <w:bCs/>
        </w:rPr>
        <w:t xml:space="preserve">P1P2 spore enumeration at 6 d was performed via </w:t>
      </w:r>
      <w:r w:rsidR="00474227">
        <w:rPr>
          <w:bCs/>
        </w:rPr>
        <w:t>heat-treatment</w:t>
      </w:r>
      <w:r w:rsidRPr="00AF31F4">
        <w:rPr>
          <w:bCs/>
        </w:rPr>
        <w:t xml:space="preserve"> and ethanol treatment to differentiate between heat and ethanol susceptibility. Spore outgrowth was not observed in either method at endpoint incubation for </w:t>
      </w:r>
      <w:r w:rsidRPr="00AF31F4">
        <w:rPr>
          <w:bCs/>
        </w:rPr>
        <w:sym w:font="Symbol" w:char="F044"/>
      </w:r>
      <w:r w:rsidRPr="00AF31F4">
        <w:rPr>
          <w:bCs/>
        </w:rPr>
        <w:t>P1P2.</w:t>
      </w:r>
    </w:p>
    <w:p w14:paraId="0115C186" w14:textId="77777777" w:rsidR="00C6592F" w:rsidRPr="00AF31F4" w:rsidRDefault="00C6592F" w:rsidP="00C6592F">
      <w:pPr>
        <w:keepNext/>
        <w:jc w:val="both"/>
      </w:pPr>
      <w:r w:rsidRPr="00AF31F4">
        <w:rPr>
          <w:noProof/>
        </w:rPr>
        <w:drawing>
          <wp:inline distT="0" distB="0" distL="0" distR="0" wp14:anchorId="4A51B663" wp14:editId="3BCEBDD8">
            <wp:extent cx="5389880" cy="3808095"/>
            <wp:effectExtent l="0" t="0" r="0" b="0"/>
            <wp:docPr id="1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9880" cy="3808095"/>
                    </a:xfrm>
                    <a:prstGeom prst="rect">
                      <a:avLst/>
                    </a:prstGeom>
                    <a:noFill/>
                    <a:ln>
                      <a:noFill/>
                    </a:ln>
                  </pic:spPr>
                </pic:pic>
              </a:graphicData>
            </a:graphic>
          </wp:inline>
        </w:drawing>
      </w:r>
    </w:p>
    <w:p w14:paraId="3AADE0F6" w14:textId="77777777" w:rsidR="00C6592F" w:rsidRPr="00AF31F4" w:rsidRDefault="00C6592F" w:rsidP="00C6592F">
      <w:pPr>
        <w:spacing w:line="240" w:lineRule="auto"/>
        <w:jc w:val="both"/>
        <w:rPr>
          <w:b/>
          <w:bCs/>
          <w:szCs w:val="18"/>
        </w:rPr>
      </w:pPr>
      <w:bookmarkStart w:id="68" w:name="_Toc5807407"/>
      <w:r w:rsidRPr="00AF31F4">
        <w:rPr>
          <w:b/>
          <w:bCs/>
          <w:szCs w:val="18"/>
        </w:rPr>
        <w:t xml:space="preserve">Figure 3.3 Sporulation efficiency and rate aberrations in </w:t>
      </w:r>
      <w:r w:rsidRPr="00AF31F4">
        <w:rPr>
          <w:b/>
          <w:bCs/>
          <w:i/>
          <w:szCs w:val="18"/>
        </w:rPr>
        <w:t xml:space="preserve">clpP </w:t>
      </w:r>
      <w:r w:rsidRPr="00AF31F4">
        <w:rPr>
          <w:b/>
          <w:bCs/>
          <w:szCs w:val="18"/>
        </w:rPr>
        <w:t>mutants</w:t>
      </w:r>
      <w:bookmarkEnd w:id="68"/>
      <w:r w:rsidRPr="00AF31F4">
        <w:rPr>
          <w:b/>
          <w:bCs/>
          <w:szCs w:val="18"/>
        </w:rPr>
        <w:t xml:space="preserve"> </w:t>
      </w:r>
    </w:p>
    <w:p w14:paraId="6BFCE2DD" w14:textId="644B1297" w:rsidR="00C6592F" w:rsidRDefault="00C6592F" w:rsidP="00853A08">
      <w:pPr>
        <w:spacing w:line="240" w:lineRule="auto"/>
        <w:jc w:val="both"/>
        <w:rPr>
          <w:szCs w:val="18"/>
        </w:rPr>
      </w:pPr>
      <w:r w:rsidRPr="00AF31F4">
        <w:rPr>
          <w:bCs/>
          <w:szCs w:val="18"/>
        </w:rPr>
        <w:t xml:space="preserve">(A) Sporulation efficiency was measured after sporangia heat-inactivation on 70:30 plate media. (B) Rates of sporulation in BHIS broth for WT and </w:t>
      </w:r>
      <w:r w:rsidRPr="00AF31F4">
        <w:rPr>
          <w:bCs/>
          <w:i/>
          <w:szCs w:val="18"/>
        </w:rPr>
        <w:t xml:space="preserve">clpP </w:t>
      </w:r>
      <w:r w:rsidRPr="00AF31F4">
        <w:rPr>
          <w:bCs/>
          <w:szCs w:val="18"/>
        </w:rPr>
        <w:t>mutants. (L.O.D. Limit of detection, 1 x 10</w:t>
      </w:r>
      <w:r w:rsidRPr="00AF31F4">
        <w:rPr>
          <w:bCs/>
          <w:szCs w:val="18"/>
          <w:vertAlign w:val="superscript"/>
        </w:rPr>
        <w:t xml:space="preserve">2 </w:t>
      </w:r>
      <w:r w:rsidRPr="00AF31F4">
        <w:rPr>
          <w:bCs/>
          <w:szCs w:val="18"/>
        </w:rPr>
        <w:t>CFU) (C) Table of sporulation efficiency experimental results. (n.d. not determined)</w:t>
      </w:r>
    </w:p>
    <w:p w14:paraId="2F150BE4" w14:textId="77777777" w:rsidR="00853A08" w:rsidRPr="00853A08" w:rsidRDefault="00853A08" w:rsidP="00853A08">
      <w:pPr>
        <w:spacing w:line="240" w:lineRule="auto"/>
        <w:jc w:val="both"/>
        <w:rPr>
          <w:szCs w:val="18"/>
        </w:rPr>
      </w:pPr>
    </w:p>
    <w:p w14:paraId="5F98363D" w14:textId="4F4AFB94" w:rsidR="00C6592F" w:rsidRPr="00AF31F4" w:rsidRDefault="00C6592F" w:rsidP="00C6592F">
      <w:pPr>
        <w:ind w:firstLine="720"/>
        <w:jc w:val="both"/>
        <w:rPr>
          <w:bCs/>
        </w:rPr>
      </w:pPr>
      <w:r w:rsidRPr="00AF31F4">
        <w:rPr>
          <w:bCs/>
        </w:rPr>
        <w:lastRenderedPageBreak/>
        <w:t xml:space="preserve">Notably, bright field microscopy analysis of </w:t>
      </w:r>
      <w:r w:rsidRPr="00AF31F4">
        <w:rPr>
          <w:bCs/>
        </w:rPr>
        <w:sym w:font="Symbol" w:char="F044"/>
      </w:r>
      <w:r w:rsidRPr="00AF31F4">
        <w:rPr>
          <w:bCs/>
        </w:rPr>
        <w:t>P1P2 revealed frequent elongated cell phenotypes, with multiple phase-bright spore-like structures populating the length of the cell (</w:t>
      </w:r>
      <w:r w:rsidRPr="00AF31F4">
        <w:rPr>
          <w:b/>
          <w:bCs/>
        </w:rPr>
        <w:t>Appendix B.3</w:t>
      </w:r>
      <w:r w:rsidRPr="00AF31F4">
        <w:rPr>
          <w:bCs/>
        </w:rPr>
        <w:t xml:space="preserve">). These elongated cells were significantly longer, averaging approximately 521 µm while normal vegetative </w:t>
      </w:r>
      <w:r w:rsidR="00AB3480" w:rsidRPr="00AB3480">
        <w:rPr>
          <w:bCs/>
          <w:i/>
        </w:rPr>
        <w:t>C. difficile</w:t>
      </w:r>
      <w:r w:rsidRPr="00AF31F4">
        <w:rPr>
          <w:bCs/>
          <w:i/>
        </w:rPr>
        <w:t xml:space="preserve"> </w:t>
      </w:r>
      <w:r w:rsidRPr="00AF31F4">
        <w:rPr>
          <w:bCs/>
        </w:rPr>
        <w:t xml:space="preserve">cells are 4-5 µm. It should be noted that while elongated cells were observed frequently, not all exhibited multiple phase bright regions. Of those that did, phase-bright spore-like structures were present asymmetrically, and stochastically spaced. These observations indicate that </w:t>
      </w:r>
      <w:r w:rsidRPr="00AF31F4">
        <w:rPr>
          <w:bCs/>
        </w:rPr>
        <w:sym w:font="Symbol" w:char="F044"/>
      </w:r>
      <w:r w:rsidRPr="00AF31F4">
        <w:rPr>
          <w:bCs/>
        </w:rPr>
        <w:t>P1P2 may be able to initiate sporulation but fails to coordinate the initial forespore development or engulfment.</w:t>
      </w:r>
    </w:p>
    <w:p w14:paraId="6D65A909" w14:textId="0022184C" w:rsidR="00C6592F" w:rsidRDefault="00C6592F" w:rsidP="00C6592F">
      <w:pPr>
        <w:ind w:firstLine="720"/>
        <w:jc w:val="both"/>
        <w:rPr>
          <w:bCs/>
        </w:rPr>
      </w:pPr>
      <w:r w:rsidRPr="00AF31F4">
        <w:rPr>
          <w:bCs/>
        </w:rPr>
        <w:t>To vividly illustrate differences in forespore development and sporulation, we performed fluorescence microscopy with samples of sporulating cultures. Samples were propagated in SMC media for ~23 h to sufficiently induce sporulation prior to harvesting.</w:t>
      </w:r>
      <w:r w:rsidRPr="00AF31F4">
        <w:rPr>
          <w:bCs/>
        </w:rPr>
        <w:fldChar w:fldCharType="begin"/>
      </w:r>
      <w:r>
        <w:rPr>
          <w:bCs/>
        </w:rPr>
        <w:instrText>ADDIN F1000_CSL_CITATION&lt;~#@#~&gt;[{"DOI":"10.1128/JB.05182-11","First":false,"Last":false,"PMCID":"PMC3232898","PMID":"21949071","abstract":"Clostridium difficile is an important human pathogen and one where the primary cause of disease is due to the transmission of spores. We have investigated the proteins found in the outer coat layers of C. difficile spores of pathogenic strain 630 (CD630). Five coat proteins, CotA, CotB, CotCB, CotD, and CotE, were shown to be expressed on the outer coat layers of the spore. We demonstrate that purified spores carry catalase, peroxiredoxin, and chitinase activity and that this activity correlates with the predicted functions of three spore coat proteins identified here, CotCB, CotD, and CotE. CotCB and CotD are putative manganese catalases, and CotE is a novel bifunctional protein with peroxiredoxin activity at its amino terminus and chitinase activity at its carboxy terminus. These enzymes could play an important role in coat assembly by polymerizing protein monomers in the coat. CotE, in addition to a role in macromolecular degradation, could play an important role in inflammation, and this may be of direct relevance to the development of the gastrointestinal symptoms that accompany C. difficile infection. Although specific enzyme activity has not yet been assigned to the proteins identified here, this work provides the first detailed study of the C. difficile spore coat.","author":[{"family":"Permpoonpattana","given":"Patima"},{"family":"Tolls","given":"Elisabeth H"},{"family":"Nadem","given":"Ramez"},{"family":"Tan","given":"Sisareuth"},{"family":"Brisson","given":"Alain"},{"family":"Cutting","given":"Simon M"}],"authorYearDisplayFormat":false,"citation-label":"6773643","container-title":"Journal of Bacteriology","container-title-short":"J. Bacteriol.","id":"6773643","invisible":false,"issue":"23","issued":{"date-parts":[["2011","12"]]},"journalAbbreviation":"J. Bacteriol.","page":"6461-6470","suppress-author":false,"title":"Surface layers of Clostridium difficile endospores.","type":"article-journal","volume":"193"}]</w:instrText>
      </w:r>
      <w:r w:rsidRPr="00AF31F4">
        <w:rPr>
          <w:bCs/>
        </w:rPr>
        <w:fldChar w:fldCharType="separate"/>
      </w:r>
      <w:r w:rsidRPr="00C85866">
        <w:rPr>
          <w:bCs/>
          <w:noProof/>
          <w:vertAlign w:val="superscript"/>
        </w:rPr>
        <w:t>23</w:t>
      </w:r>
      <w:r w:rsidRPr="00AF31F4">
        <w:rPr>
          <w:bCs/>
        </w:rPr>
        <w:fldChar w:fldCharType="end"/>
      </w:r>
      <w:r w:rsidRPr="00AF31F4">
        <w:rPr>
          <w:bCs/>
        </w:rPr>
        <w:t xml:space="preserve"> Hoescht 33342 (referred to hereafter as Hoescht), which penetrates vegetative cells and immature spores, was used to stain nuclear DNA (blue). Samples were harvested and immobilized on 1% agarose pads on glass slides mixed with the lipophilic dye FM 4-64 (red), which stains bacterial cell walls and spore coats bright red. Mature spores are expected to appear red, as they exclude Hoescht and only retain FM 4-64, providing significant contrast between forespores and mature spores.</w:t>
      </w:r>
      <w:r w:rsidRPr="00AF31F4">
        <w:rPr>
          <w:bCs/>
        </w:rPr>
        <w:fldChar w:fldCharType="begin"/>
      </w:r>
      <w:r>
        <w:rPr>
          <w:bCs/>
        </w:rPr>
        <w:instrText>ADDIN F1000_CSL_CITATION&lt;~#@#~&gt;[{"DOI":"10.1111/mmi.12856","First":false,"Last":false,"PMCID":"PMC4377281","PMID":"25393584","abstract":"The spore-forming bacterial pathogen Clostridium difficile is a leading cause of health-care-associated diarrhea worldwide. Although C. difficile spore formation is essential for disease transmission, the regulatory pathways that control this developmental process have only been partially characterized. In the well-studied spore-former Bacillus subtilis, the highly conserved σ(E) , SpoIIID and σ(K) regulatory proteins control gene expression in the mother cell to ensure proper spore formation. To define the precise requirement for SpoIIID and σ(K) during C. difficile sporulation, we analyzed spoIIID and sigK mutants using heterologous expression systems and RNA-Seq transcriptional profiling. These analyses revealed that expression of sigK from a SpoIIID-independent promoter largely bypasses the need for SpoIIID to produce heat-resistant spores. We also observed that σ(K) is active upon translation, suggesting that SpoIIID primarily functions to activate sigK. SpoIIID nevertheless plays auxiliary roles during sporulation, as it enhances levels of the exosporium morphogenetic protein CdeC in a σ(K) -dependent manner. Analyses of purified spores further revealed that SpoIIID and σ(K) control the adherence of the CotB coat protein to C. difficile spores, indicating that these proteins regulate multiple stages of spore formation. Collectively, these results highlight that diverse mechanisms control spore formation in the Firmicutes.&lt;br&gt;&lt;br&gt;© 2014 John Wiley &amp; Sons Ltd.","author":[{"family":"Pishdadian","given":"Keyan"},{"family":"Fimlaid","given":"Kelly A"},{"family":"Shen","given":"Aimee"}],"authorYearDisplayFormat":false,"citation-label":"6776534","container-title":"Molecular Microbiology","container-title-short":"Mol. Microbiol.","id":"6776534","invisible":false,"issue":"2","issued":{"date-parts":[["2015","1"]]},"journalAbbreviation":"Mol. Microbiol.","page":"189-208","suppress-author":false,"title":"SpoIIID-mediated regulation of σK function during Clostridium difficile sporulation.","type":"article-journal","volume":"95"}]</w:instrText>
      </w:r>
      <w:r w:rsidRPr="00AF31F4">
        <w:rPr>
          <w:bCs/>
        </w:rPr>
        <w:fldChar w:fldCharType="separate"/>
      </w:r>
      <w:r w:rsidRPr="00C85866">
        <w:rPr>
          <w:bCs/>
          <w:noProof/>
          <w:vertAlign w:val="superscript"/>
        </w:rPr>
        <w:t>24</w:t>
      </w:r>
      <w:r w:rsidRPr="00AF31F4">
        <w:rPr>
          <w:bCs/>
        </w:rPr>
        <w:fldChar w:fldCharType="end"/>
      </w:r>
      <w:r w:rsidRPr="00AF31F4">
        <w:rPr>
          <w:bCs/>
        </w:rPr>
        <w:t xml:space="preserve"> </w:t>
      </w:r>
    </w:p>
    <w:p w14:paraId="370AC186" w14:textId="77777777" w:rsidR="00DA676D" w:rsidRPr="00AF31F4" w:rsidRDefault="00DA676D" w:rsidP="00C6592F">
      <w:pPr>
        <w:ind w:firstLine="720"/>
        <w:jc w:val="both"/>
        <w:rPr>
          <w:bCs/>
        </w:rPr>
      </w:pPr>
    </w:p>
    <w:p w14:paraId="16A401DA" w14:textId="42964BEE" w:rsidR="00C6592F" w:rsidRPr="005E441D" w:rsidRDefault="00C6592F" w:rsidP="005E441D">
      <w:pPr>
        <w:jc w:val="both"/>
        <w:rPr>
          <w:b/>
          <w:bCs/>
          <w:szCs w:val="18"/>
        </w:rPr>
      </w:pPr>
      <w:bookmarkStart w:id="69" w:name="_Toc5807408"/>
      <w:r w:rsidRPr="00AF31F4">
        <w:rPr>
          <w:b/>
          <w:bCs/>
          <w:noProof/>
          <w:szCs w:val="18"/>
        </w:rPr>
        <w:lastRenderedPageBreak/>
        <w:drawing>
          <wp:inline distT="0" distB="0" distL="0" distR="0" wp14:anchorId="0555E50F" wp14:editId="4B411EE8">
            <wp:extent cx="5394960" cy="2613025"/>
            <wp:effectExtent l="0" t="0" r="0" b="3175"/>
            <wp:docPr id="71" name="Picture 71" descr="A picture containing gaug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porulationNumbered.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94960" cy="2613025"/>
                    </a:xfrm>
                    <a:prstGeom prst="rect">
                      <a:avLst/>
                    </a:prstGeom>
                  </pic:spPr>
                </pic:pic>
              </a:graphicData>
            </a:graphic>
          </wp:inline>
        </w:drawing>
      </w:r>
    </w:p>
    <w:p w14:paraId="2CE7CAF5" w14:textId="0DCD7632" w:rsidR="00C6592F" w:rsidRPr="00AF31F4" w:rsidRDefault="00C6592F" w:rsidP="00C6592F">
      <w:pPr>
        <w:spacing w:line="240" w:lineRule="auto"/>
        <w:contextualSpacing/>
        <w:jc w:val="both"/>
        <w:rPr>
          <w:b/>
          <w:szCs w:val="18"/>
        </w:rPr>
      </w:pPr>
      <w:r w:rsidRPr="00AF31F4">
        <w:rPr>
          <w:b/>
          <w:bCs/>
          <w:szCs w:val="18"/>
        </w:rPr>
        <w:t xml:space="preserve">Figure 3.4 Sporulation in </w:t>
      </w:r>
      <w:r w:rsidR="00AB3480" w:rsidRPr="00AB3480">
        <w:rPr>
          <w:b/>
          <w:bCs/>
          <w:i/>
          <w:szCs w:val="18"/>
        </w:rPr>
        <w:t>C. difficile</w:t>
      </w:r>
      <w:bookmarkEnd w:id="69"/>
      <w:r w:rsidRPr="00AF31F4">
        <w:rPr>
          <w:b/>
          <w:bCs/>
          <w:szCs w:val="18"/>
        </w:rPr>
        <w:t xml:space="preserve"> </w:t>
      </w:r>
    </w:p>
    <w:p w14:paraId="6EC5449D" w14:textId="2D0EB293" w:rsidR="00C6592F" w:rsidRDefault="00C6592F" w:rsidP="00B70AB5">
      <w:pPr>
        <w:spacing w:line="240" w:lineRule="auto"/>
        <w:contextualSpacing/>
        <w:jc w:val="both"/>
        <w:rPr>
          <w:b/>
          <w:bCs/>
        </w:rPr>
      </w:pPr>
      <w:r w:rsidRPr="00AF31F4">
        <w:rPr>
          <w:bCs/>
        </w:rPr>
        <w:t xml:space="preserve">Sporulation in </w:t>
      </w:r>
      <w:r w:rsidR="00AB3480" w:rsidRPr="00AB3480">
        <w:rPr>
          <w:bCs/>
          <w:i/>
        </w:rPr>
        <w:t>C. difficile</w:t>
      </w:r>
      <w:r w:rsidRPr="00AF31F4">
        <w:rPr>
          <w:bCs/>
        </w:rPr>
        <w:t xml:space="preserve"> occurs via a highly conserved process across spore-forming bacteria, that generally begins with the activation of Spo0A to initiate asymmetric division and begin sporulation. A small compartment containing compacted genomic material will be shed, then rapidly engulfed in a phagocytic-like mechanism. Activation of Spo0A will inhibit SpoIIAB (anti-</w:t>
      </w:r>
      <w:r w:rsidRPr="00AF31F4">
        <w:rPr>
          <w:rFonts w:eastAsia="SimSun"/>
          <w:bCs/>
        </w:rPr>
        <w:t>σ</w:t>
      </w:r>
      <w:r w:rsidRPr="00AF31F4">
        <w:rPr>
          <w:rFonts w:eastAsia="SimSun"/>
          <w:bCs/>
          <w:vertAlign w:val="superscript"/>
        </w:rPr>
        <w:t>F</w:t>
      </w:r>
      <w:r w:rsidRPr="00AF31F4">
        <w:rPr>
          <w:bCs/>
        </w:rPr>
        <w:t xml:space="preserve">), leading to </w:t>
      </w:r>
      <w:r w:rsidRPr="00AF31F4">
        <w:rPr>
          <w:rFonts w:eastAsia="SimSun"/>
          <w:bCs/>
        </w:rPr>
        <w:t>σ</w:t>
      </w:r>
      <w:r w:rsidRPr="00AF31F4">
        <w:rPr>
          <w:rFonts w:eastAsia="SimSun"/>
          <w:bCs/>
          <w:vertAlign w:val="superscript"/>
        </w:rPr>
        <w:t>F</w:t>
      </w:r>
      <w:r w:rsidRPr="00AF31F4">
        <w:rPr>
          <w:bCs/>
        </w:rPr>
        <w:t xml:space="preserve"> activation that localizes to the pre-forespore prior to engulfment completion. </w:t>
      </w:r>
      <w:r w:rsidRPr="00AF31F4">
        <w:rPr>
          <w:rFonts w:eastAsia="SimSun"/>
          <w:bCs/>
        </w:rPr>
        <w:t>σ</w:t>
      </w:r>
      <w:r w:rsidRPr="00AF31F4">
        <w:rPr>
          <w:rFonts w:eastAsia="SimSun"/>
          <w:bCs/>
          <w:vertAlign w:val="superscript"/>
        </w:rPr>
        <w:t>F</w:t>
      </w:r>
      <w:r w:rsidRPr="00AF31F4">
        <w:rPr>
          <w:bCs/>
        </w:rPr>
        <w:t xml:space="preserve"> coordinates initial forespore development, which will then activate </w:t>
      </w:r>
      <w:r w:rsidRPr="00AF31F4">
        <w:rPr>
          <w:rFonts w:eastAsia="SimSun"/>
          <w:bCs/>
        </w:rPr>
        <w:t>σ</w:t>
      </w:r>
      <w:r w:rsidRPr="00AF31F4">
        <w:rPr>
          <w:bCs/>
          <w:vertAlign w:val="superscript"/>
        </w:rPr>
        <w:t>E</w:t>
      </w:r>
      <w:r w:rsidRPr="00AF31F4">
        <w:rPr>
          <w:bCs/>
        </w:rPr>
        <w:t xml:space="preserve"> upon engulfment to begin forespore development and activate </w:t>
      </w:r>
      <w:r w:rsidRPr="00AF31F4">
        <w:rPr>
          <w:rFonts w:eastAsia="SimSun"/>
          <w:bCs/>
        </w:rPr>
        <w:t>σ</w:t>
      </w:r>
      <w:r w:rsidRPr="00AF31F4">
        <w:rPr>
          <w:bCs/>
          <w:vertAlign w:val="superscript"/>
        </w:rPr>
        <w:t xml:space="preserve">G </w:t>
      </w:r>
      <w:r w:rsidRPr="00AF31F4">
        <w:rPr>
          <w:bCs/>
        </w:rPr>
        <w:t>when the forespore has been fully engulfed. Image adapted and modified with permission.</w:t>
      </w:r>
    </w:p>
    <w:p w14:paraId="2195C9EF" w14:textId="77777777" w:rsidR="00B70AB5" w:rsidRPr="00AF31F4" w:rsidRDefault="00B70AB5" w:rsidP="00B70AB5">
      <w:pPr>
        <w:spacing w:line="240" w:lineRule="auto"/>
        <w:contextualSpacing/>
        <w:jc w:val="both"/>
        <w:rPr>
          <w:b/>
          <w:bCs/>
        </w:rPr>
      </w:pPr>
    </w:p>
    <w:p w14:paraId="20E62F53" w14:textId="06F93F3F" w:rsidR="00C6592F" w:rsidRPr="00AF31F4" w:rsidRDefault="00C6592F" w:rsidP="00C6592F">
      <w:pPr>
        <w:ind w:firstLine="720"/>
        <w:jc w:val="both"/>
        <w:rPr>
          <w:bCs/>
        </w:rPr>
      </w:pPr>
      <w:r w:rsidRPr="00AF31F4">
        <w:rPr>
          <w:bCs/>
        </w:rPr>
        <w:t xml:space="preserve">In WT cells, the mature forespore is localized to one pole and brightly fluoresces with FM 4-64 stain. </w:t>
      </w:r>
      <w:r w:rsidRPr="00AF31F4">
        <w:rPr>
          <w:bCs/>
        </w:rPr>
        <w:sym w:font="Symbol" w:char="F044"/>
      </w:r>
      <w:r w:rsidRPr="00AF31F4">
        <w:rPr>
          <w:bCs/>
        </w:rPr>
        <w:t>P1 forespore engulfment is delocalized and overlaps the outer membrane, which may indicate defective or delayed engulfment (</w:t>
      </w:r>
      <w:r w:rsidRPr="00AF31F4">
        <w:rPr>
          <w:b/>
          <w:bCs/>
        </w:rPr>
        <w:t>Figure 3.5</w:t>
      </w:r>
      <w:r w:rsidRPr="00AF31F4">
        <w:rPr>
          <w:bCs/>
        </w:rPr>
        <w:t xml:space="preserve">, </w:t>
      </w:r>
      <w:r w:rsidRPr="00AF31F4">
        <w:rPr>
          <w:bCs/>
        </w:rPr>
        <w:sym w:font="Symbol" w:char="F044"/>
      </w:r>
      <w:r w:rsidRPr="00AF31F4">
        <w:rPr>
          <w:bCs/>
        </w:rPr>
        <w:t xml:space="preserve">P1). The intracellular location of </w:t>
      </w:r>
      <w:r w:rsidRPr="00AF31F4">
        <w:rPr>
          <w:bCs/>
        </w:rPr>
        <w:sym w:font="Symbol" w:char="F044"/>
      </w:r>
      <w:r w:rsidRPr="00AF31F4">
        <w:rPr>
          <w:bCs/>
        </w:rPr>
        <w:t>P2 forespores are varied, which may result in premature spore release (</w:t>
      </w:r>
      <w:r w:rsidRPr="00AF31F4">
        <w:rPr>
          <w:b/>
          <w:bCs/>
        </w:rPr>
        <w:t>Figure 3.5</w:t>
      </w:r>
      <w:r w:rsidRPr="00AF31F4">
        <w:rPr>
          <w:bCs/>
        </w:rPr>
        <w:t xml:space="preserve">, </w:t>
      </w:r>
      <w:r w:rsidRPr="00AF31F4">
        <w:rPr>
          <w:bCs/>
        </w:rPr>
        <w:sym w:font="Symbol" w:char="F044"/>
      </w:r>
      <w:r w:rsidRPr="00AF31F4">
        <w:rPr>
          <w:bCs/>
        </w:rPr>
        <w:t xml:space="preserve">P2). Elongated </w:t>
      </w:r>
      <w:r w:rsidRPr="00AF31F4">
        <w:rPr>
          <w:bCs/>
        </w:rPr>
        <w:sym w:font="Symbol" w:char="F044"/>
      </w:r>
      <w:r w:rsidRPr="00AF31F4">
        <w:rPr>
          <w:bCs/>
        </w:rPr>
        <w:t>P1P2 mutants formed multiple lipid-dense particles throughout the length of the cell which appeared spore-like (</w:t>
      </w:r>
      <w:r w:rsidRPr="00AF31F4">
        <w:rPr>
          <w:b/>
          <w:bCs/>
        </w:rPr>
        <w:t xml:space="preserve">Figure 3.5, </w:t>
      </w:r>
      <w:r w:rsidRPr="00AF31F4">
        <w:rPr>
          <w:bCs/>
        </w:rPr>
        <w:t xml:space="preserve">merged </w:t>
      </w:r>
      <w:r w:rsidRPr="00AF31F4">
        <w:rPr>
          <w:bCs/>
        </w:rPr>
        <w:sym w:font="Symbol" w:char="F044"/>
      </w:r>
      <w:r w:rsidRPr="00AF31F4">
        <w:rPr>
          <w:bCs/>
        </w:rPr>
        <w:t xml:space="preserve">P1P2). The abnormal forespores in </w:t>
      </w:r>
      <w:r w:rsidRPr="00AF31F4">
        <w:rPr>
          <w:bCs/>
        </w:rPr>
        <w:sym w:font="Symbol" w:char="F044"/>
      </w:r>
      <w:r w:rsidRPr="00AF31F4">
        <w:rPr>
          <w:bCs/>
        </w:rPr>
        <w:t xml:space="preserve">P1P2 were also found to delocalize across the cell wall, suggesting deficient or stalled engulfment. Overall, </w:t>
      </w:r>
      <w:r w:rsidRPr="00AF31F4">
        <w:rPr>
          <w:bCs/>
        </w:rPr>
        <w:sym w:font="Symbol" w:char="F044"/>
      </w:r>
      <w:r w:rsidRPr="00AF31F4">
        <w:rPr>
          <w:bCs/>
        </w:rPr>
        <w:t>P1P2 appear</w:t>
      </w:r>
      <w:r w:rsidR="00B70AB5">
        <w:rPr>
          <w:bCs/>
        </w:rPr>
        <w:t>s</w:t>
      </w:r>
      <w:r w:rsidRPr="00AF31F4">
        <w:rPr>
          <w:bCs/>
        </w:rPr>
        <w:t xml:space="preserve"> to lack coordinated asymmetric division during the initial stages of sporulation, resulting in: 1) abnormal septation, 2) multiple apparent forespores throughout the elongated cell, 3) unsuccessful </w:t>
      </w:r>
      <w:r w:rsidRPr="00AF31F4">
        <w:rPr>
          <w:bCs/>
        </w:rPr>
        <w:lastRenderedPageBreak/>
        <w:t>engulfment. To structurally interrogate sporulation and the spores themselves, we decided to perform transmission electron microscopy (TEM) on sporulated cultures</w:t>
      </w:r>
      <w:r w:rsidR="005E441D">
        <w:rPr>
          <w:bCs/>
        </w:rPr>
        <w:t>.</w:t>
      </w:r>
    </w:p>
    <w:p w14:paraId="0A1C5428" w14:textId="306725CE" w:rsidR="00C6592F" w:rsidRPr="00AF31F4" w:rsidRDefault="00C6592F" w:rsidP="00C6592F">
      <w:pPr>
        <w:keepNext/>
        <w:contextualSpacing/>
      </w:pPr>
      <w:r w:rsidRPr="00AF31F4">
        <w:rPr>
          <w:noProof/>
        </w:rPr>
        <w:drawing>
          <wp:inline distT="0" distB="0" distL="0" distR="0" wp14:anchorId="1C4B7570" wp14:editId="15E50449">
            <wp:extent cx="5394960" cy="4227830"/>
            <wp:effectExtent l="0" t="0" r="2540" b="1270"/>
            <wp:docPr id="72" name="Picture 72"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Flourescence.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94960" cy="4227830"/>
                    </a:xfrm>
                    <a:prstGeom prst="rect">
                      <a:avLst/>
                    </a:prstGeom>
                  </pic:spPr>
                </pic:pic>
              </a:graphicData>
            </a:graphic>
          </wp:inline>
        </w:drawing>
      </w:r>
    </w:p>
    <w:p w14:paraId="7BD53B8C" w14:textId="77777777" w:rsidR="00C6592F" w:rsidRPr="00AF31F4" w:rsidRDefault="00C6592F" w:rsidP="00C6592F">
      <w:pPr>
        <w:spacing w:line="240" w:lineRule="auto"/>
        <w:contextualSpacing/>
        <w:rPr>
          <w:szCs w:val="18"/>
        </w:rPr>
      </w:pPr>
      <w:bookmarkStart w:id="70" w:name="_Toc5807409"/>
      <w:r w:rsidRPr="00AF31F4">
        <w:rPr>
          <w:b/>
          <w:bCs/>
          <w:szCs w:val="18"/>
        </w:rPr>
        <w:t>Figure 3.5 Forespore development in sporulating cultures imaged with fluorescent microscopy</w:t>
      </w:r>
      <w:bookmarkEnd w:id="70"/>
      <w:r w:rsidRPr="00AF31F4">
        <w:rPr>
          <w:b/>
          <w:bCs/>
          <w:szCs w:val="18"/>
        </w:rPr>
        <w:t xml:space="preserve"> </w:t>
      </w:r>
    </w:p>
    <w:p w14:paraId="2EF40A5B" w14:textId="70D0BEA1" w:rsidR="00C6592F" w:rsidRDefault="00C6592F" w:rsidP="00853A08">
      <w:pPr>
        <w:spacing w:line="240" w:lineRule="auto"/>
        <w:contextualSpacing/>
        <w:jc w:val="both"/>
        <w:rPr>
          <w:bCs/>
        </w:rPr>
      </w:pPr>
      <w:r w:rsidRPr="00AF31F4">
        <w:rPr>
          <w:bCs/>
        </w:rPr>
        <w:t xml:space="preserve">Sporulating cultures of </w:t>
      </w:r>
      <w:r w:rsidR="00AB3480" w:rsidRPr="00AB3480">
        <w:rPr>
          <w:bCs/>
          <w:i/>
        </w:rPr>
        <w:t>C. difficile</w:t>
      </w:r>
      <w:r w:rsidRPr="00AF31F4">
        <w:rPr>
          <w:bCs/>
          <w:i/>
        </w:rPr>
        <w:t xml:space="preserve"> </w:t>
      </w:r>
      <w:r w:rsidRPr="00AF31F4">
        <w:rPr>
          <w:bCs/>
        </w:rPr>
        <w:t xml:space="preserve">and </w:t>
      </w:r>
      <w:r w:rsidRPr="00AF31F4">
        <w:rPr>
          <w:bCs/>
          <w:i/>
        </w:rPr>
        <w:t xml:space="preserve">clpP </w:t>
      </w:r>
      <w:r w:rsidRPr="00AF31F4">
        <w:rPr>
          <w:bCs/>
        </w:rPr>
        <w:t>mutants were obtained with a Zeiss Axiovert 200m at 63x magnification under oil-immersion. A differential contrast filter was used to obtain phased bright-field images. Cells were stained with Hoescht (blue channel) and FM 4-64 (red channel) to differentiate between DNA and bacterial cell wall, respectively. 0.1 µm Z-stacked images were obtained in red and blue channels to aid focusing and reduce the background noise. Individual color channels were merged into a composite and normalized with ImageJ.</w:t>
      </w:r>
      <w:r w:rsidRPr="00AF31F4">
        <w:rPr>
          <w:bCs/>
        </w:rPr>
        <w:fldChar w:fldCharType="begin"/>
      </w:r>
      <w:r>
        <w:rPr>
          <w:bCs/>
        </w:rPr>
        <w:instrText>ADDIN F1000_CSL_CITATION&lt;~#@#~&gt;[{"DOI":"10.2144/000112517","First":false,"Last":false,"PMID":"17936939","abstract":"ImageJ is an essential tool for us that fulfills most of our routine image processing and analysis requirements. The near-comprehensive range of import filters that allow easy access to image and meta-data, a broad suite processing and analysis routine, and enthusiastic support from a friendly mailing list are invaluable for all microscopy labs and facilities-not just those on a budget.","author":[{"family":"Collins","given":"Tony J"}],"authorYearDisplayFormat":false,"citation-label":"463939","container-title":"Biotechniques","container-title-short":"BioTechniques","id":"463939","invisible":false,"issue":"1 Suppl","issued":{"date-parts":[["2007","7"]]},"journalAbbreviation":"BioTechniques","page":"25-30","suppress-author":false,"title":"ImageJ for microscopy.","type":"article-journal","volume":"43"}]</w:instrText>
      </w:r>
      <w:r w:rsidRPr="00AF31F4">
        <w:rPr>
          <w:bCs/>
        </w:rPr>
        <w:fldChar w:fldCharType="separate"/>
      </w:r>
      <w:r w:rsidRPr="00C85866">
        <w:rPr>
          <w:bCs/>
          <w:noProof/>
          <w:vertAlign w:val="superscript"/>
        </w:rPr>
        <w:t>25</w:t>
      </w:r>
      <w:r w:rsidRPr="00AF31F4">
        <w:rPr>
          <w:bCs/>
        </w:rPr>
        <w:fldChar w:fldCharType="end"/>
      </w:r>
      <w:r w:rsidRPr="00AF31F4">
        <w:rPr>
          <w:bCs/>
        </w:rPr>
        <w:t xml:space="preserve"> Scale bar represents 1 µm.</w:t>
      </w:r>
    </w:p>
    <w:p w14:paraId="132E2BB7" w14:textId="77777777" w:rsidR="00853A08" w:rsidRPr="00AF31F4" w:rsidRDefault="00853A08" w:rsidP="00853A08">
      <w:pPr>
        <w:spacing w:line="240" w:lineRule="auto"/>
        <w:contextualSpacing/>
        <w:jc w:val="both"/>
        <w:rPr>
          <w:bCs/>
        </w:rPr>
      </w:pPr>
    </w:p>
    <w:p w14:paraId="633E08A4" w14:textId="2BD45AFE" w:rsidR="00C6592F" w:rsidRPr="00AE6C6D" w:rsidRDefault="00C6592F" w:rsidP="0012418F">
      <w:pPr>
        <w:pStyle w:val="Heading3"/>
      </w:pPr>
      <w:bookmarkStart w:id="71" w:name="_Toc8392763"/>
      <w:r w:rsidRPr="00AE6C6D">
        <w:t>3.</w:t>
      </w:r>
      <w:r w:rsidR="00C363D7">
        <w:t>3</w:t>
      </w:r>
      <w:r w:rsidRPr="00AE6C6D">
        <w:t>.3 Loss of ClpP function results in morphological distortions during spore development</w:t>
      </w:r>
      <w:bookmarkEnd w:id="71"/>
    </w:p>
    <w:p w14:paraId="5DDE75A3" w14:textId="32AF0813" w:rsidR="00C6592F" w:rsidRDefault="00C6592F" w:rsidP="00C6592F">
      <w:pPr>
        <w:ind w:firstLine="720"/>
        <w:jc w:val="both"/>
        <w:rPr>
          <w:bCs/>
        </w:rPr>
      </w:pPr>
      <w:r w:rsidRPr="00AF31F4">
        <w:rPr>
          <w:bCs/>
        </w:rPr>
        <w:t xml:space="preserve">Successfully engulfed forespores were observed in the </w:t>
      </w:r>
      <w:r w:rsidRPr="00AF31F4">
        <w:rPr>
          <w:bCs/>
        </w:rPr>
        <w:sym w:font="Symbol" w:char="F044"/>
      </w:r>
      <w:r w:rsidRPr="00AF31F4">
        <w:rPr>
          <w:bCs/>
        </w:rPr>
        <w:t>P1 mutant that were morphologically similar to WT and absent of obvious structural abnormalities (</w:t>
      </w:r>
      <w:r w:rsidRPr="00AF31F4">
        <w:rPr>
          <w:b/>
          <w:bCs/>
        </w:rPr>
        <w:t>Figure 3.6</w:t>
      </w:r>
      <w:r w:rsidRPr="00AF31F4">
        <w:rPr>
          <w:bCs/>
        </w:rPr>
        <w:t xml:space="preserve">). However, </w:t>
      </w:r>
      <w:r w:rsidRPr="00AF31F4">
        <w:rPr>
          <w:bCs/>
        </w:rPr>
        <w:sym w:font="Symbol" w:char="F044"/>
      </w:r>
      <w:r w:rsidRPr="00AF31F4">
        <w:rPr>
          <w:bCs/>
        </w:rPr>
        <w:t xml:space="preserve">P1 also exhibited severe morphological abnormalities during what appears to </w:t>
      </w:r>
      <w:r w:rsidRPr="00AF31F4">
        <w:rPr>
          <w:bCs/>
        </w:rPr>
        <w:lastRenderedPageBreak/>
        <w:t>be forespore engulfment (</w:t>
      </w:r>
      <w:r w:rsidRPr="00AF31F4">
        <w:rPr>
          <w:b/>
          <w:bCs/>
        </w:rPr>
        <w:t>Figure 3.7A</w:t>
      </w:r>
      <w:r w:rsidRPr="00AF31F4">
        <w:rPr>
          <w:bCs/>
        </w:rPr>
        <w:t>). Nearly half (47.9%) of sporulating cells appeared to have stalled during forespore engulfment, and of those that were successfully engulfed 30.9% displayed distorted phenotypes (</w:t>
      </w:r>
      <w:r w:rsidRPr="00AF31F4">
        <w:rPr>
          <w:b/>
          <w:bCs/>
        </w:rPr>
        <w:t>Figure 3.7B</w:t>
      </w:r>
      <w:r w:rsidRPr="00AF31F4">
        <w:rPr>
          <w:bCs/>
        </w:rPr>
        <w:t>). Though we cannot state this definitively in thin-section TEM without Z-stack analysis, as cells are oriented over one another. Interestingly, some possessed phase-dark spots flanking the forespore (</w:t>
      </w:r>
      <w:r w:rsidRPr="00AF31F4">
        <w:rPr>
          <w:b/>
          <w:bCs/>
        </w:rPr>
        <w:t>Figure 3.7A</w:t>
      </w:r>
      <w:r w:rsidRPr="00AF31F4">
        <w:rPr>
          <w:bCs/>
        </w:rPr>
        <w:t xml:space="preserve">). Perhaps this is compressed outer cell membrane or an aggregation of the engulfment machinery, but this is purely speculative. Together, these results hint towards </w:t>
      </w:r>
      <w:r w:rsidRPr="00AF31F4">
        <w:rPr>
          <w:bCs/>
        </w:rPr>
        <w:sym w:font="Symbol" w:char="F044"/>
      </w:r>
      <w:r w:rsidRPr="00AF31F4">
        <w:rPr>
          <w:bCs/>
        </w:rPr>
        <w:t xml:space="preserve">P1 possibly generating a stalled engulfment phenotype, but this evidence alone is not enough to conclusively suggest so. </w:t>
      </w:r>
    </w:p>
    <w:p w14:paraId="7FD59352" w14:textId="02A9EF1D" w:rsidR="00DA676D" w:rsidRDefault="00DA676D" w:rsidP="00C6592F">
      <w:pPr>
        <w:ind w:firstLine="720"/>
        <w:jc w:val="both"/>
        <w:rPr>
          <w:bCs/>
        </w:rPr>
      </w:pPr>
    </w:p>
    <w:p w14:paraId="4C46E0A9" w14:textId="77777777" w:rsidR="00DA676D" w:rsidRPr="00AF31F4" w:rsidRDefault="00DA676D" w:rsidP="00C6592F">
      <w:pPr>
        <w:ind w:firstLine="720"/>
        <w:jc w:val="both"/>
        <w:rPr>
          <w:bCs/>
        </w:rPr>
      </w:pPr>
    </w:p>
    <w:p w14:paraId="3A53C3EF" w14:textId="77777777" w:rsidR="00C6592F" w:rsidRPr="00AF31F4" w:rsidRDefault="00C6592F" w:rsidP="00C6592F">
      <w:pPr>
        <w:keepNext/>
      </w:pPr>
      <w:r w:rsidRPr="00AF31F4">
        <w:rPr>
          <w:noProof/>
        </w:rPr>
        <w:lastRenderedPageBreak/>
        <w:drawing>
          <wp:inline distT="0" distB="0" distL="0" distR="0" wp14:anchorId="0DE219A6" wp14:editId="35FEA077">
            <wp:extent cx="5486400" cy="3947795"/>
            <wp:effectExtent l="0" t="0" r="0" b="0"/>
            <wp:docPr id="20" name="Picture 106" descr="A picture containing weap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descr="A picture containing weapon&#10;&#10;Description automatically generated"/>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86400" cy="3947795"/>
                    </a:xfrm>
                    <a:prstGeom prst="rect">
                      <a:avLst/>
                    </a:prstGeom>
                    <a:noFill/>
                    <a:ln>
                      <a:noFill/>
                    </a:ln>
                  </pic:spPr>
                </pic:pic>
              </a:graphicData>
            </a:graphic>
          </wp:inline>
        </w:drawing>
      </w:r>
    </w:p>
    <w:p w14:paraId="3A9079DF" w14:textId="77777777" w:rsidR="00C6592F" w:rsidRPr="00AF31F4" w:rsidRDefault="00C6592F" w:rsidP="00C6592F">
      <w:pPr>
        <w:spacing w:line="240" w:lineRule="auto"/>
        <w:rPr>
          <w:b/>
          <w:szCs w:val="18"/>
        </w:rPr>
      </w:pPr>
      <w:bookmarkStart w:id="72" w:name="_Toc5807410"/>
      <w:r w:rsidRPr="00AF31F4">
        <w:rPr>
          <w:b/>
          <w:bCs/>
          <w:szCs w:val="18"/>
        </w:rPr>
        <w:t>Figure 3.6 Typical cellular morphology of each strain in sporulating cultures</w:t>
      </w:r>
      <w:bookmarkEnd w:id="72"/>
      <w:r w:rsidRPr="00AF31F4">
        <w:rPr>
          <w:b/>
          <w:bCs/>
          <w:szCs w:val="18"/>
        </w:rPr>
        <w:t xml:space="preserve"> </w:t>
      </w:r>
    </w:p>
    <w:p w14:paraId="443FD8B9" w14:textId="17F0D489" w:rsidR="00C6592F" w:rsidRDefault="00C6592F" w:rsidP="00853A08">
      <w:pPr>
        <w:spacing w:line="240" w:lineRule="auto"/>
        <w:jc w:val="both"/>
        <w:rPr>
          <w:bCs/>
        </w:rPr>
      </w:pPr>
      <w:r w:rsidRPr="00AF31F4">
        <w:rPr>
          <w:bCs/>
        </w:rPr>
        <w:sym w:font="Symbol" w:char="F044"/>
      </w:r>
      <w:r w:rsidRPr="00AF31F4">
        <w:rPr>
          <w:bCs/>
        </w:rPr>
        <w:t xml:space="preserve">P1 and </w:t>
      </w:r>
      <w:r w:rsidRPr="00AF31F4">
        <w:rPr>
          <w:bCs/>
        </w:rPr>
        <w:sym w:font="Symbol" w:char="F044"/>
      </w:r>
      <w:r w:rsidRPr="00AF31F4">
        <w:rPr>
          <w:bCs/>
        </w:rPr>
        <w:t xml:space="preserve">P2 produced characteristic forespore morphologies, while no spores were observed in </w:t>
      </w:r>
      <w:r w:rsidRPr="00AF31F4">
        <w:rPr>
          <w:bCs/>
        </w:rPr>
        <w:sym w:font="Symbol" w:char="F044"/>
      </w:r>
      <w:r w:rsidRPr="00AF31F4">
        <w:rPr>
          <w:bCs/>
        </w:rPr>
        <w:t xml:space="preserve">P1P2 cells. White arrows denote light-colored areas between the spore coats, which appear to be the cortex. Black triangles indicate forespore coat proteins. Scale bars represent 1 µm. See </w:t>
      </w:r>
      <w:r w:rsidRPr="00AF31F4">
        <w:rPr>
          <w:b/>
          <w:bCs/>
        </w:rPr>
        <w:t xml:space="preserve">Appendix B.4-B.11 </w:t>
      </w:r>
      <w:r w:rsidRPr="00AF31F4">
        <w:rPr>
          <w:bCs/>
        </w:rPr>
        <w:t>for overview TEM images.</w:t>
      </w:r>
    </w:p>
    <w:p w14:paraId="0D165401" w14:textId="77777777" w:rsidR="00853A08" w:rsidRPr="00AF31F4" w:rsidRDefault="00853A08" w:rsidP="00853A08">
      <w:pPr>
        <w:spacing w:line="240" w:lineRule="auto"/>
        <w:jc w:val="both"/>
        <w:rPr>
          <w:bCs/>
        </w:rPr>
      </w:pPr>
    </w:p>
    <w:p w14:paraId="6069FED5" w14:textId="2F342D7D" w:rsidR="00C6592F" w:rsidRPr="00AF31F4" w:rsidRDefault="00C6592F" w:rsidP="00C6592F">
      <w:pPr>
        <w:ind w:firstLine="720"/>
        <w:jc w:val="both"/>
        <w:rPr>
          <w:bCs/>
        </w:rPr>
      </w:pPr>
      <w:r w:rsidRPr="00AF31F4">
        <w:rPr>
          <w:bCs/>
        </w:rPr>
        <w:t>Loss of ClpP2 function did not correlate with an increased frequency of apparent sporulation errors when compared to the WT (</w:t>
      </w:r>
      <w:r w:rsidRPr="00AF31F4">
        <w:rPr>
          <w:b/>
          <w:bCs/>
        </w:rPr>
        <w:t>Figure 3.6</w:t>
      </w:r>
      <w:r w:rsidRPr="00AF31F4">
        <w:rPr>
          <w:bCs/>
        </w:rPr>
        <w:t xml:space="preserve">). However, </w:t>
      </w:r>
      <w:r w:rsidRPr="00AF31F4">
        <w:rPr>
          <w:bCs/>
        </w:rPr>
        <w:sym w:font="Symbol" w:char="F044"/>
      </w:r>
      <w:r w:rsidRPr="00AF31F4">
        <w:rPr>
          <w:bCs/>
        </w:rPr>
        <w:t>P2 mutants produced an abundance of small vesicles that are regularly dispersed throughout each thin section sample that was analyzed (</w:t>
      </w:r>
      <w:r w:rsidRPr="00AF31F4">
        <w:rPr>
          <w:b/>
          <w:bCs/>
        </w:rPr>
        <w:t>Appendix B.</w:t>
      </w:r>
      <w:r w:rsidR="00DA676D">
        <w:rPr>
          <w:b/>
          <w:bCs/>
        </w:rPr>
        <w:t>8</w:t>
      </w:r>
      <w:r w:rsidRPr="00AF31F4">
        <w:rPr>
          <w:bCs/>
        </w:rPr>
        <w:t xml:space="preserve">). These appear to be small compartments that are released coinciding with the initiation of sporulation, which are subsequently engulfed to form the forespore. Similarly, an abundance of small compartments was observed throughout </w:t>
      </w:r>
      <w:r w:rsidRPr="00AF31F4">
        <w:rPr>
          <w:bCs/>
        </w:rPr>
        <w:sym w:font="Symbol" w:char="F044"/>
      </w:r>
      <w:r w:rsidRPr="00AF31F4">
        <w:rPr>
          <w:bCs/>
        </w:rPr>
        <w:t xml:space="preserve">P1P2 in TEM analysis. </w:t>
      </w:r>
      <w:r w:rsidRPr="00AF31F4">
        <w:rPr>
          <w:bCs/>
        </w:rPr>
        <w:sym w:font="Symbol" w:char="F044"/>
      </w:r>
      <w:r w:rsidRPr="00AF31F4">
        <w:rPr>
          <w:bCs/>
        </w:rPr>
        <w:t xml:space="preserve">P1P2 mutants attempted engulfment though no spores or intracellular structures containing a forespore were observed, </w:t>
      </w:r>
      <w:r w:rsidRPr="00AF31F4">
        <w:rPr>
          <w:bCs/>
        </w:rPr>
        <w:lastRenderedPageBreak/>
        <w:t xml:space="preserve">suggesting loss of both ClpP1 and ClpP2 function renders </w:t>
      </w:r>
      <w:r w:rsidR="00AB3480" w:rsidRPr="00AB3480">
        <w:rPr>
          <w:bCs/>
          <w:i/>
        </w:rPr>
        <w:t>C. difficile</w:t>
      </w:r>
      <w:r w:rsidRPr="00AF31F4">
        <w:rPr>
          <w:bCs/>
          <w:i/>
        </w:rPr>
        <w:t xml:space="preserve"> </w:t>
      </w:r>
      <w:r w:rsidRPr="00AF31F4">
        <w:rPr>
          <w:bCs/>
        </w:rPr>
        <w:t xml:space="preserve">unable to complete engulfment. </w:t>
      </w:r>
    </w:p>
    <w:p w14:paraId="5D62121C" w14:textId="77777777" w:rsidR="00C6592F" w:rsidRPr="00AF31F4" w:rsidRDefault="00C6592F" w:rsidP="00C6592F">
      <w:pPr>
        <w:keepNext/>
      </w:pPr>
      <w:r w:rsidRPr="00AF31F4">
        <w:rPr>
          <w:noProof/>
        </w:rPr>
        <w:drawing>
          <wp:inline distT="0" distB="0" distL="0" distR="0" wp14:anchorId="045EC0B0" wp14:editId="4212D00B">
            <wp:extent cx="5486400" cy="1850390"/>
            <wp:effectExtent l="0" t="0" r="0" b="0"/>
            <wp:docPr id="21"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0"/>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86400" cy="1850390"/>
                    </a:xfrm>
                    <a:prstGeom prst="rect">
                      <a:avLst/>
                    </a:prstGeom>
                    <a:noFill/>
                    <a:ln>
                      <a:noFill/>
                    </a:ln>
                  </pic:spPr>
                </pic:pic>
              </a:graphicData>
            </a:graphic>
          </wp:inline>
        </w:drawing>
      </w:r>
    </w:p>
    <w:p w14:paraId="165DA91F" w14:textId="77777777" w:rsidR="00C6592F" w:rsidRPr="00AF31F4" w:rsidRDefault="00C6592F" w:rsidP="00C6592F">
      <w:pPr>
        <w:spacing w:line="240" w:lineRule="auto"/>
        <w:jc w:val="both"/>
        <w:rPr>
          <w:b/>
          <w:szCs w:val="18"/>
        </w:rPr>
      </w:pPr>
      <w:bookmarkStart w:id="73" w:name="_Toc5807411"/>
      <w:r w:rsidRPr="00AF31F4">
        <w:rPr>
          <w:b/>
          <w:bCs/>
          <w:szCs w:val="18"/>
        </w:rPr>
        <w:t xml:space="preserve">Figure 3.7 Representative TEM images of apparent </w:t>
      </w:r>
      <w:r w:rsidRPr="00AF31F4">
        <w:rPr>
          <w:b/>
          <w:bCs/>
          <w:szCs w:val="18"/>
        </w:rPr>
        <w:sym w:font="Symbol" w:char="F044"/>
      </w:r>
      <w:r w:rsidRPr="00AF31F4">
        <w:rPr>
          <w:b/>
          <w:bCs/>
          <w:szCs w:val="18"/>
        </w:rPr>
        <w:t>P1 morphological abnormalities</w:t>
      </w:r>
      <w:bookmarkEnd w:id="73"/>
      <w:r w:rsidRPr="00AF31F4">
        <w:rPr>
          <w:b/>
          <w:bCs/>
          <w:szCs w:val="18"/>
        </w:rPr>
        <w:t xml:space="preserve"> </w:t>
      </w:r>
    </w:p>
    <w:p w14:paraId="50700659" w14:textId="5E595357" w:rsidR="00C6592F" w:rsidRDefault="00C6592F" w:rsidP="00853A08">
      <w:pPr>
        <w:spacing w:line="240" w:lineRule="auto"/>
        <w:jc w:val="both"/>
        <w:rPr>
          <w:bCs/>
        </w:rPr>
      </w:pPr>
      <w:r w:rsidRPr="00AF31F4">
        <w:rPr>
          <w:bCs/>
        </w:rPr>
        <w:t xml:space="preserve">(A) TEM images of </w:t>
      </w:r>
      <w:r w:rsidRPr="00AF31F4">
        <w:rPr>
          <w:bCs/>
        </w:rPr>
        <w:sym w:font="Symbol" w:char="F044"/>
      </w:r>
      <w:r w:rsidRPr="00AF31F4">
        <w:rPr>
          <w:bCs/>
        </w:rPr>
        <w:t>P1</w:t>
      </w:r>
      <w:r w:rsidRPr="00AF31F4">
        <w:rPr>
          <w:b/>
          <w:bCs/>
        </w:rPr>
        <w:t xml:space="preserve"> </w:t>
      </w:r>
      <w:r w:rsidRPr="00AF31F4">
        <w:rPr>
          <w:bCs/>
        </w:rPr>
        <w:t xml:space="preserve">depict irregular morphologies related to sporulation. Scale bars represent 1 µm (B) Morphological abnormalities were quantified by counting at least 100 cells per biological replicate. </w:t>
      </w:r>
    </w:p>
    <w:p w14:paraId="23DF2B6A" w14:textId="77777777" w:rsidR="00853A08" w:rsidRPr="00AF31F4" w:rsidRDefault="00853A08" w:rsidP="00853A08">
      <w:pPr>
        <w:spacing w:line="240" w:lineRule="auto"/>
        <w:jc w:val="both"/>
        <w:rPr>
          <w:bCs/>
        </w:rPr>
      </w:pPr>
    </w:p>
    <w:p w14:paraId="74B0655C" w14:textId="4DC40016" w:rsidR="00C6592F" w:rsidRPr="00AF31F4" w:rsidRDefault="00C6592F" w:rsidP="00C6592F">
      <w:pPr>
        <w:ind w:firstLine="720"/>
        <w:jc w:val="both"/>
        <w:rPr>
          <w:bCs/>
        </w:rPr>
      </w:pPr>
      <w:r w:rsidRPr="00AF31F4">
        <w:rPr>
          <w:bCs/>
        </w:rPr>
        <w:t>In order to determine whether the spore ultrastructure was impacted by loss of ClpP function, spores were isolated and purified from sporulating cultures.</w:t>
      </w:r>
      <w:r w:rsidRPr="00AF31F4">
        <w:rPr>
          <w:bCs/>
        </w:rPr>
        <w:fldChar w:fldCharType="begin"/>
      </w:r>
      <w:r>
        <w:rPr>
          <w:bCs/>
        </w:rPr>
        <w:instrText>ADDIN F1000_CSL_CITATION&lt;~#@#~&gt;[{"DOI":"10.1007/978-1-4939-6361-4_9","First":false,"Last":false,"PMCID":"PMC5017156","PMID":"27507337","abstract":"The ability for the obligate anaerobe, Clostridium difficile to form a metabolically dormant spore is critical for the survival of this organism outside of the host. This spore form is resistant to a myriad of environmental stresses, including heat, desiccation, and exposure to disinfectants and antimicrobials. These intrinsic properties of spores allow C. difficile to survive long-term in an oxygenated environment, to be easily transmitted from host-to-host, and to persist within the host following antibiotic treatment. Because of the importance of the spore form to the C. difficile life cycle and treatment and prevention of C. difficile infection (CDI), the isolation and purification of spores are necessary to study the mechanisms of sporulation and germination, investigate spore properties and resistances, and for use in animal models of CDI. Here we provide basic protocols, in vitro growth conditions, and additional considerations for purifying C. difficile spores for a variety of downstream applications.","author":[{"family":"Edwards","given":"Adrianne N"},{"family":"McBride","given":"Shonna M"}],"authorYearDisplayFormat":false,"citation-label":"6768934","container-title":"Methods in Molecular Biology","container-title-short":"Methods Mol. Biol.","id":"6768934","invisible":false,"issued":{"date-parts":[["2016"]]},"journalAbbreviation":"Methods Mol. Biol.","page":"117-128","suppress-author":false,"title":"Isolating and Purifying Clostridium difficile Spores.","type":"article-journal","volume":"1476"}]</w:instrText>
      </w:r>
      <w:r w:rsidRPr="00AF31F4">
        <w:rPr>
          <w:bCs/>
        </w:rPr>
        <w:fldChar w:fldCharType="separate"/>
      </w:r>
      <w:r w:rsidRPr="00C85866">
        <w:rPr>
          <w:bCs/>
          <w:noProof/>
          <w:vertAlign w:val="superscript"/>
        </w:rPr>
        <w:t>26</w:t>
      </w:r>
      <w:r w:rsidRPr="00AF31F4">
        <w:rPr>
          <w:bCs/>
        </w:rPr>
        <w:fldChar w:fldCharType="end"/>
      </w:r>
      <w:r w:rsidRPr="00AF31F4">
        <w:rPr>
          <w:bCs/>
        </w:rPr>
        <w:t xml:space="preserve"> Mature </w:t>
      </w:r>
      <w:r w:rsidR="00AB3480" w:rsidRPr="00AB3480">
        <w:rPr>
          <w:bCs/>
          <w:i/>
        </w:rPr>
        <w:t>C. difficile</w:t>
      </w:r>
      <w:r w:rsidRPr="00AF31F4">
        <w:rPr>
          <w:bCs/>
          <w:i/>
        </w:rPr>
        <w:t xml:space="preserve"> </w:t>
      </w:r>
      <w:r w:rsidRPr="00AF31F4">
        <w:rPr>
          <w:bCs/>
        </w:rPr>
        <w:t xml:space="preserve">spores are composed of several distinct layers as shown in </w:t>
      </w:r>
      <w:r w:rsidRPr="00AF31F4">
        <w:rPr>
          <w:b/>
          <w:bCs/>
        </w:rPr>
        <w:t>Figure 3.8A</w:t>
      </w:r>
      <w:r w:rsidRPr="00AF31F4">
        <w:rPr>
          <w:bCs/>
        </w:rPr>
        <w:t xml:space="preserve">. No attached exosporium was observed in </w:t>
      </w:r>
      <w:r w:rsidRPr="00AF31F4">
        <w:rPr>
          <w:bCs/>
        </w:rPr>
        <w:sym w:font="Symbol" w:char="F044"/>
      </w:r>
      <w:r w:rsidRPr="00AF31F4">
        <w:rPr>
          <w:bCs/>
        </w:rPr>
        <w:t xml:space="preserve">P1 and </w:t>
      </w:r>
      <w:r w:rsidRPr="00AF31F4">
        <w:rPr>
          <w:bCs/>
        </w:rPr>
        <w:sym w:font="Symbol" w:char="F044"/>
      </w:r>
      <w:r w:rsidRPr="00AF31F4">
        <w:rPr>
          <w:bCs/>
        </w:rPr>
        <w:t>P2 spores, which rarely remain intact during spore purification and TEM preparation.</w:t>
      </w:r>
      <w:r w:rsidRPr="00AF31F4">
        <w:rPr>
          <w:bCs/>
        </w:rPr>
        <w:fldChar w:fldCharType="begin"/>
      </w:r>
      <w:r>
        <w:rPr>
          <w:bCs/>
        </w:rPr>
        <w:instrText>ADDIN F1000_CSL_CITATION&lt;~#@#~&gt;[{"DOI":"10.1128/AEM.01463-16","First":false,"Last":false,"PMCID":"PMC5038037","PMID":"27474709","abstract":"&lt;strong&gt;UNLABELLED:&lt;/strong&gt; The anaerobic sporeformer Clostridium difficile is the leading cause of nosocomial antibiotic-associated diarrhea in developed and developing countries. The metabolically dormant spore form is considered the morphotype responsible for transmission, infection, and persistence, and the outermost exosporium layer is likely to play a major role in spore-host interactions during recurrent infections, contributing to the persistence of the spore in the host. A recent study (M. Pizarro-Guajardo, P. Calderón-Romero, P. Castro-Córdova, P. Mora-Uribe, and D. Paredes-Sabja, Appl Environ Microbiol 82:2202-2209, 2016, http://dx.doi.org/10.1128/AEM.03410-15) demonstrated by transmission electron microscopy the presence of two ultrastructural morphotypes of the exosporium layer in spores formed from the same sporulating culture. However, whether these distinct morphotypes appeared due to purification techniques and whether they appeared during biofilm development remain unclear. In this communication, we demonstrate through transmission electron microscopy that these two exosporium morphotypes are formed under sporulation conditions and are also present in spores formed during biofilm development. In summary, this work provides definitive evidence that in a population of sporulating cells, spores with a thick outermost exosporium layer and spores with a thin outermost exosporium layer are formed.&lt;br&gt;&lt;br&gt;&lt;strong&gt;IMPORTANCE:&lt;/strong&gt; Clostridium difficile spores are recognized as the morphotype of persistence and transmission of C. difficile infections. Spores of C. difficile are intrinsically resistant to all known antibiotic therapies. Development of spore-based removal strategies requires a detailed knowledge of the spore surface for proper antigen selection. In this context, in this work we provide definitive evidence that two types of spores, those with a thick outermost exosporium layer and those with a thin outermost exosporium layer, are formed in the same C. difficile sporulating culture or during biofilm development.&lt;br&gt;&lt;br&gt;Copyright © 2016, American Society for Microbiology. All Rights Reserved.","author":[{"family":"Pizarro-Guajardo","given":"Marjorie"},{"family":"Calderón-Romero","given":"Paulina"},{"family":"Paredes-Sabja","given":"Daniel"}],"authorYearDisplayFormat":false,"citation-label":"6768933","container-title":"Applied and Environmental Microbiology","container-title-short":"Appl. Environ. Microbiol.","id":"6768933","invisible":false,"issue":"19","issued":{"date-parts":[["2016","10","1"]]},"journalAbbreviation":"Appl. Environ. Microbiol.","page":"5892-5898","suppress-author":false,"title":"Ultrastructure Variability of the Exosporium Layer of Clostridium difficile Spores from Sporulating Cultures and Biofilms.","type":"article-journal","volume":"82"}]</w:instrText>
      </w:r>
      <w:r w:rsidRPr="00AF31F4">
        <w:rPr>
          <w:bCs/>
        </w:rPr>
        <w:fldChar w:fldCharType="separate"/>
      </w:r>
      <w:r w:rsidRPr="00C85866">
        <w:rPr>
          <w:bCs/>
          <w:noProof/>
          <w:vertAlign w:val="superscript"/>
        </w:rPr>
        <w:t>27</w:t>
      </w:r>
      <w:r w:rsidRPr="00AF31F4">
        <w:rPr>
          <w:bCs/>
        </w:rPr>
        <w:fldChar w:fldCharType="end"/>
      </w:r>
      <w:r w:rsidRPr="00AF31F4">
        <w:rPr>
          <w:bCs/>
        </w:rPr>
        <w:t xml:space="preserve"> </w:t>
      </w:r>
      <w:r w:rsidRPr="00AF31F4">
        <w:rPr>
          <w:bCs/>
        </w:rPr>
        <w:sym w:font="Symbol" w:char="F044"/>
      </w:r>
      <w:r w:rsidRPr="00AF31F4">
        <w:rPr>
          <w:bCs/>
        </w:rPr>
        <w:t xml:space="preserve">P1 and </w:t>
      </w:r>
      <w:r w:rsidRPr="00AF31F4">
        <w:rPr>
          <w:bCs/>
        </w:rPr>
        <w:sym w:font="Symbol" w:char="F044"/>
      </w:r>
      <w:r w:rsidRPr="00AF31F4">
        <w:rPr>
          <w:bCs/>
        </w:rPr>
        <w:t>P2 spores were not found to significantly differ in overall spore ultrastructure, forming characteristic spore coat layers and dense cortex (</w:t>
      </w:r>
      <w:r w:rsidRPr="00AF31F4">
        <w:rPr>
          <w:b/>
          <w:bCs/>
        </w:rPr>
        <w:t>Figure 3.8B</w:t>
      </w:r>
      <w:r w:rsidRPr="00AF31F4">
        <w:rPr>
          <w:bCs/>
        </w:rPr>
        <w:t xml:space="preserve">). </w:t>
      </w:r>
      <w:r w:rsidRPr="00AF31F4">
        <w:rPr>
          <w:bCs/>
        </w:rPr>
        <w:sym w:font="Symbol" w:char="F044"/>
      </w:r>
      <w:r w:rsidRPr="00AF31F4">
        <w:rPr>
          <w:bCs/>
        </w:rPr>
        <w:t>P1P2 formed circular structures similar in shape and size to spores isolated in the WT but lacked any structural features of a typical spore (</w:t>
      </w:r>
      <w:r w:rsidRPr="00AF31F4">
        <w:rPr>
          <w:b/>
          <w:bCs/>
        </w:rPr>
        <w:t xml:space="preserve">Figure 3.8A </w:t>
      </w:r>
      <w:r w:rsidRPr="00AF31F4">
        <w:rPr>
          <w:bCs/>
        </w:rPr>
        <w:t xml:space="preserve">and </w:t>
      </w:r>
      <w:r w:rsidRPr="00AF31F4">
        <w:rPr>
          <w:b/>
          <w:bCs/>
        </w:rPr>
        <w:t>B</w:t>
      </w:r>
      <w:r w:rsidRPr="00AF31F4">
        <w:rPr>
          <w:bCs/>
        </w:rPr>
        <w:t xml:space="preserve">). </w:t>
      </w:r>
    </w:p>
    <w:p w14:paraId="2E2D833E" w14:textId="77777777" w:rsidR="00C6592F" w:rsidRPr="00AF31F4" w:rsidRDefault="00C6592F" w:rsidP="00C6592F">
      <w:pPr>
        <w:keepNext/>
        <w:jc w:val="center"/>
      </w:pPr>
      <w:r w:rsidRPr="00AF31F4">
        <w:rPr>
          <w:noProof/>
        </w:rPr>
        <w:lastRenderedPageBreak/>
        <w:drawing>
          <wp:inline distT="0" distB="0" distL="0" distR="0" wp14:anchorId="66C400FF" wp14:editId="0C44CBEB">
            <wp:extent cx="5215738" cy="7110863"/>
            <wp:effectExtent l="0" t="0" r="0" b="1270"/>
            <wp:docPr id="73" name="Picture 73"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porePic.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226873" cy="7126044"/>
                    </a:xfrm>
                    <a:prstGeom prst="rect">
                      <a:avLst/>
                    </a:prstGeom>
                  </pic:spPr>
                </pic:pic>
              </a:graphicData>
            </a:graphic>
          </wp:inline>
        </w:drawing>
      </w:r>
    </w:p>
    <w:p w14:paraId="2310AF14" w14:textId="77777777" w:rsidR="00C6592F" w:rsidRPr="00AF31F4" w:rsidRDefault="00C6592F" w:rsidP="00C6592F">
      <w:pPr>
        <w:spacing w:line="240" w:lineRule="auto"/>
        <w:jc w:val="both"/>
        <w:rPr>
          <w:b/>
          <w:szCs w:val="18"/>
        </w:rPr>
      </w:pPr>
      <w:bookmarkStart w:id="74" w:name="_Toc5807412"/>
      <w:r w:rsidRPr="00AF31F4">
        <w:rPr>
          <w:b/>
          <w:bCs/>
          <w:szCs w:val="18"/>
        </w:rPr>
        <w:t xml:space="preserve">Figure 3.8 </w:t>
      </w:r>
      <w:r w:rsidRPr="00AF31F4">
        <w:rPr>
          <w:b/>
          <w:bCs/>
          <w:szCs w:val="18"/>
        </w:rPr>
        <w:sym w:font="Symbol" w:char="F044"/>
      </w:r>
      <w:r w:rsidRPr="00AF31F4">
        <w:rPr>
          <w:b/>
          <w:bCs/>
          <w:szCs w:val="18"/>
        </w:rPr>
        <w:t xml:space="preserve">P1 and </w:t>
      </w:r>
      <w:r w:rsidRPr="00AF31F4">
        <w:rPr>
          <w:b/>
          <w:bCs/>
          <w:szCs w:val="18"/>
        </w:rPr>
        <w:sym w:font="Symbol" w:char="F044"/>
      </w:r>
      <w:r w:rsidRPr="00AF31F4">
        <w:rPr>
          <w:b/>
          <w:bCs/>
          <w:szCs w:val="18"/>
        </w:rPr>
        <w:t xml:space="preserve">P2 produce mature spores, </w:t>
      </w:r>
      <w:r w:rsidRPr="00AF31F4">
        <w:rPr>
          <w:b/>
          <w:bCs/>
          <w:szCs w:val="18"/>
        </w:rPr>
        <w:sym w:font="Symbol" w:char="F044"/>
      </w:r>
      <w:r w:rsidRPr="00AF31F4">
        <w:rPr>
          <w:b/>
          <w:bCs/>
          <w:szCs w:val="18"/>
        </w:rPr>
        <w:t>P1P2 spores are immature</w:t>
      </w:r>
      <w:bookmarkEnd w:id="74"/>
      <w:r w:rsidRPr="00AF31F4">
        <w:rPr>
          <w:b/>
          <w:bCs/>
          <w:szCs w:val="18"/>
        </w:rPr>
        <w:t xml:space="preserve"> </w:t>
      </w:r>
    </w:p>
    <w:p w14:paraId="521945AA" w14:textId="77777777" w:rsidR="00C6592F" w:rsidRPr="00AF31F4" w:rsidRDefault="00C6592F" w:rsidP="00C6592F">
      <w:pPr>
        <w:spacing w:line="240" w:lineRule="auto"/>
        <w:jc w:val="both"/>
        <w:rPr>
          <w:bCs/>
        </w:rPr>
      </w:pPr>
      <w:r w:rsidRPr="00AF31F4">
        <w:rPr>
          <w:bCs/>
        </w:rPr>
        <w:t xml:space="preserve">(A) Mature spore structure (B) TEM analysis of purified spores from each strain. The coat proteins and denseness of the core itself in mature spores will often prohibit total resin </w:t>
      </w:r>
      <w:r w:rsidRPr="00AF31F4">
        <w:rPr>
          <w:bCs/>
        </w:rPr>
        <w:lastRenderedPageBreak/>
        <w:t xml:space="preserve">penetration, causing the core to appear hollow. </w:t>
      </w:r>
      <w:r w:rsidRPr="00AF31F4">
        <w:rPr>
          <w:bCs/>
        </w:rPr>
        <w:sym w:font="Symbol" w:char="F044"/>
      </w:r>
      <w:r w:rsidRPr="00AF31F4">
        <w:rPr>
          <w:bCs/>
        </w:rPr>
        <w:t xml:space="preserve">P1 and </w:t>
      </w:r>
      <w:r w:rsidRPr="00AF31F4">
        <w:rPr>
          <w:bCs/>
        </w:rPr>
        <w:sym w:font="Symbol" w:char="F044"/>
      </w:r>
      <w:r w:rsidRPr="00AF31F4">
        <w:rPr>
          <w:bCs/>
        </w:rPr>
        <w:t xml:space="preserve">P2 are able to produce mature spores, while </w:t>
      </w:r>
      <w:r w:rsidRPr="00AF31F4">
        <w:rPr>
          <w:bCs/>
        </w:rPr>
        <w:sym w:font="Symbol" w:char="F044"/>
      </w:r>
      <w:r w:rsidRPr="00AF31F4">
        <w:rPr>
          <w:bCs/>
        </w:rPr>
        <w:t>P1P2 produces porous vesicles. Scale bar represents 100 nm.</w:t>
      </w:r>
    </w:p>
    <w:p w14:paraId="2E927BD3" w14:textId="77777777" w:rsidR="00C6592F" w:rsidRPr="00AF31F4" w:rsidRDefault="00C6592F" w:rsidP="00C6592F">
      <w:pPr>
        <w:rPr>
          <w:b/>
          <w:bCs/>
        </w:rPr>
      </w:pPr>
    </w:p>
    <w:p w14:paraId="44A52B2A" w14:textId="36107C4D" w:rsidR="00C6592F" w:rsidRPr="00AF31F4" w:rsidRDefault="00C6592F" w:rsidP="00C6592F">
      <w:pPr>
        <w:jc w:val="both"/>
        <w:rPr>
          <w:bCs/>
        </w:rPr>
      </w:pPr>
      <w:r w:rsidRPr="00AF31F4">
        <w:rPr>
          <w:bCs/>
        </w:rPr>
        <w:tab/>
      </w:r>
      <w:r w:rsidRPr="00AF31F4">
        <w:rPr>
          <w:bCs/>
        </w:rPr>
        <w:sym w:font="Symbol" w:char="F044"/>
      </w:r>
      <w:r w:rsidRPr="00AF31F4">
        <w:rPr>
          <w:bCs/>
        </w:rPr>
        <w:t xml:space="preserve">P1P2 appears to be unable to complete engulfment to produce a forespore, which precludes spore formation. </w:t>
      </w:r>
      <w:r w:rsidRPr="00AF31F4">
        <w:rPr>
          <w:bCs/>
        </w:rPr>
        <w:sym w:font="Symbol" w:char="F044"/>
      </w:r>
      <w:r w:rsidRPr="00AF31F4">
        <w:rPr>
          <w:bCs/>
        </w:rPr>
        <w:t xml:space="preserve">P1P2 sporulation efficiency at endpoint sporulation was 0%, failing to produce mature spores which could be enumerated after heat-treatment. Taken together with the results from our TEM analysis, it appears total loss of ClpP function in </w:t>
      </w:r>
      <w:r w:rsidR="00AB3480" w:rsidRPr="00AB3480">
        <w:rPr>
          <w:bCs/>
          <w:i/>
        </w:rPr>
        <w:t>C. difficile</w:t>
      </w:r>
      <w:r w:rsidRPr="00AF31F4">
        <w:rPr>
          <w:bCs/>
        </w:rPr>
        <w:t xml:space="preserve"> generates an asporogenic phenotype. </w:t>
      </w:r>
      <w:r w:rsidRPr="00AF31F4">
        <w:rPr>
          <w:bCs/>
        </w:rPr>
        <w:sym w:font="Symbol" w:char="F044"/>
      </w:r>
      <w:r w:rsidRPr="00AF31F4">
        <w:rPr>
          <w:bCs/>
        </w:rPr>
        <w:t xml:space="preserve">P1 also struggles to complete engulfment, while </w:t>
      </w:r>
      <w:r w:rsidRPr="00AF31F4">
        <w:rPr>
          <w:bCs/>
        </w:rPr>
        <w:sym w:font="Symbol" w:char="F044"/>
      </w:r>
      <w:r w:rsidRPr="00AF31F4">
        <w:rPr>
          <w:bCs/>
        </w:rPr>
        <w:t xml:space="preserve">P2 appears to produce mature spores similarly to WT. Although </w:t>
      </w:r>
      <w:r w:rsidRPr="00AF31F4">
        <w:rPr>
          <w:bCs/>
        </w:rPr>
        <w:sym w:font="Symbol" w:char="F044"/>
      </w:r>
      <w:r w:rsidRPr="00AF31F4">
        <w:rPr>
          <w:bCs/>
        </w:rPr>
        <w:t xml:space="preserve">P1 can eventually complete engulfment, </w:t>
      </w:r>
      <w:r w:rsidRPr="00AF31F4">
        <w:rPr>
          <w:bCs/>
        </w:rPr>
        <w:sym w:font="Symbol" w:char="F044"/>
      </w:r>
      <w:r w:rsidRPr="00AF31F4">
        <w:rPr>
          <w:bCs/>
        </w:rPr>
        <w:t xml:space="preserve">P1P2 is unable to do so. Taken together this suggests that ClpP2 may regulate engulfment directly or indirectly through an unknown mechanism. </w:t>
      </w:r>
      <w:r w:rsidRPr="00AF31F4">
        <w:rPr>
          <w:bCs/>
        </w:rPr>
        <w:sym w:font="Symbol" w:char="F044"/>
      </w:r>
      <w:r w:rsidRPr="00AF31F4">
        <w:rPr>
          <w:bCs/>
        </w:rPr>
        <w:t xml:space="preserve">P2 mutants produce an abundance of small vesicles similar to </w:t>
      </w:r>
      <w:r w:rsidRPr="00AF31F4">
        <w:rPr>
          <w:bCs/>
        </w:rPr>
        <w:sym w:font="Symbol" w:char="F044"/>
      </w:r>
      <w:r w:rsidRPr="00AF31F4">
        <w:rPr>
          <w:bCs/>
        </w:rPr>
        <w:t xml:space="preserve">P1P2, otherwise they are phenotypically similar to WT. This suggests differentiated roles for each ClpP isoform at the initiation of engulfment, which overlaps with engulfment completion. To determine a possible reason for the errors during engulfment we examined the relative expression of known sporulation regulators in </w:t>
      </w:r>
      <w:r w:rsidR="00AB3480" w:rsidRPr="00AB3480">
        <w:rPr>
          <w:bCs/>
          <w:i/>
        </w:rPr>
        <w:t>C. difficile</w:t>
      </w:r>
      <w:r w:rsidRPr="00AF31F4">
        <w:rPr>
          <w:bCs/>
        </w:rPr>
        <w:t>.</w:t>
      </w:r>
    </w:p>
    <w:p w14:paraId="0F75B81D" w14:textId="77777777" w:rsidR="00C6592F" w:rsidRPr="00AF31F4" w:rsidRDefault="00C6592F" w:rsidP="00C6592F">
      <w:pPr>
        <w:jc w:val="both"/>
        <w:rPr>
          <w:bCs/>
        </w:rPr>
      </w:pPr>
    </w:p>
    <w:p w14:paraId="3224D972" w14:textId="77777777" w:rsidR="00C6592F" w:rsidRPr="00AF31F4" w:rsidRDefault="00C6592F" w:rsidP="00C6592F">
      <w:pPr>
        <w:jc w:val="both"/>
        <w:rPr>
          <w:bCs/>
        </w:rPr>
      </w:pPr>
    </w:p>
    <w:p w14:paraId="4AB6CAFF" w14:textId="77777777" w:rsidR="00C6592F" w:rsidRPr="00AF31F4" w:rsidRDefault="00C6592F" w:rsidP="00C6592F">
      <w:pPr>
        <w:jc w:val="both"/>
        <w:rPr>
          <w:bCs/>
        </w:rPr>
      </w:pPr>
    </w:p>
    <w:p w14:paraId="619677A5" w14:textId="77777777" w:rsidR="00C6592F" w:rsidRPr="00AF31F4" w:rsidRDefault="00C6592F" w:rsidP="00C6592F">
      <w:pPr>
        <w:jc w:val="both"/>
        <w:rPr>
          <w:bCs/>
        </w:rPr>
      </w:pPr>
    </w:p>
    <w:p w14:paraId="6478DB11" w14:textId="77777777" w:rsidR="00C6592F" w:rsidRPr="00AF31F4" w:rsidRDefault="00C6592F" w:rsidP="00C6592F">
      <w:pPr>
        <w:jc w:val="both"/>
        <w:rPr>
          <w:bCs/>
        </w:rPr>
      </w:pPr>
    </w:p>
    <w:p w14:paraId="0B790B1F" w14:textId="77777777" w:rsidR="00C6592F" w:rsidRPr="00AF31F4" w:rsidRDefault="00C6592F" w:rsidP="00C6592F">
      <w:pPr>
        <w:jc w:val="both"/>
        <w:rPr>
          <w:bCs/>
        </w:rPr>
      </w:pPr>
    </w:p>
    <w:p w14:paraId="3DAC65F9" w14:textId="77777777" w:rsidR="00C6592F" w:rsidRPr="00AF31F4" w:rsidRDefault="00C6592F" w:rsidP="00C6592F">
      <w:pPr>
        <w:jc w:val="both"/>
        <w:rPr>
          <w:bCs/>
        </w:rPr>
      </w:pPr>
    </w:p>
    <w:p w14:paraId="19D0E6C3" w14:textId="77777777" w:rsidR="00C6592F" w:rsidRPr="00AF31F4" w:rsidRDefault="00C6592F" w:rsidP="00C6592F">
      <w:pPr>
        <w:jc w:val="both"/>
        <w:rPr>
          <w:bCs/>
        </w:rPr>
      </w:pPr>
    </w:p>
    <w:p w14:paraId="7E31907E" w14:textId="6045440B" w:rsidR="00C6592F" w:rsidRPr="00AE6C6D" w:rsidRDefault="00C6592F" w:rsidP="0012418F">
      <w:pPr>
        <w:pStyle w:val="Heading3"/>
        <w:rPr>
          <w:bCs/>
        </w:rPr>
      </w:pPr>
      <w:bookmarkStart w:id="75" w:name="_Toc8392764"/>
      <w:r w:rsidRPr="00AE6C6D">
        <w:lastRenderedPageBreak/>
        <w:t>3.</w:t>
      </w:r>
      <w:r w:rsidR="00C363D7">
        <w:t>3</w:t>
      </w:r>
      <w:r w:rsidRPr="00AE6C6D">
        <w:t xml:space="preserve">.4 Sigma factor expression is dramatically reduced in </w:t>
      </w:r>
      <w:r w:rsidRPr="00AE6C6D">
        <w:sym w:font="Symbol" w:char="F044"/>
      </w:r>
      <w:r w:rsidRPr="00AE6C6D">
        <w:t>P1P2</w:t>
      </w:r>
      <w:bookmarkEnd w:id="75"/>
    </w:p>
    <w:p w14:paraId="4E8120D1" w14:textId="77777777" w:rsidR="00C6592F" w:rsidRPr="00AF31F4" w:rsidRDefault="00C6592F" w:rsidP="00C6592F">
      <w:pPr>
        <w:keepNext/>
      </w:pPr>
      <w:r w:rsidRPr="00AF31F4">
        <w:rPr>
          <w:noProof/>
        </w:rPr>
        <w:drawing>
          <wp:inline distT="0" distB="0" distL="0" distR="0" wp14:anchorId="79AA138B" wp14:editId="0CBCB2A3">
            <wp:extent cx="5486400" cy="2807970"/>
            <wp:effectExtent l="0" t="0" r="0" b="0"/>
            <wp:docPr id="23"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86400" cy="2807970"/>
                    </a:xfrm>
                    <a:prstGeom prst="rect">
                      <a:avLst/>
                    </a:prstGeom>
                    <a:noFill/>
                    <a:ln>
                      <a:noFill/>
                    </a:ln>
                  </pic:spPr>
                </pic:pic>
              </a:graphicData>
            </a:graphic>
          </wp:inline>
        </w:drawing>
      </w:r>
    </w:p>
    <w:p w14:paraId="4AD4D342" w14:textId="3237A741" w:rsidR="00C6592F" w:rsidRPr="00AF31F4" w:rsidRDefault="00C6592F" w:rsidP="00C6592F">
      <w:pPr>
        <w:spacing w:line="240" w:lineRule="auto"/>
        <w:jc w:val="both"/>
        <w:rPr>
          <w:b/>
          <w:bCs/>
          <w:szCs w:val="18"/>
        </w:rPr>
      </w:pPr>
      <w:bookmarkStart w:id="76" w:name="_Toc5807413"/>
      <w:r w:rsidRPr="00AF31F4">
        <w:rPr>
          <w:b/>
          <w:bCs/>
          <w:szCs w:val="18"/>
        </w:rPr>
        <w:t xml:space="preserve">Figure 3.9 Western blot analysis of sigma-factors that control sporulation in </w:t>
      </w:r>
      <w:r w:rsidR="00AB3480" w:rsidRPr="00AB3480">
        <w:rPr>
          <w:b/>
          <w:bCs/>
          <w:i/>
          <w:szCs w:val="18"/>
        </w:rPr>
        <w:t>C. difficile</w:t>
      </w:r>
      <w:bookmarkEnd w:id="76"/>
      <w:r w:rsidRPr="00AF31F4">
        <w:rPr>
          <w:b/>
          <w:bCs/>
          <w:szCs w:val="18"/>
        </w:rPr>
        <w:t xml:space="preserve"> </w:t>
      </w:r>
    </w:p>
    <w:p w14:paraId="20159AD5" w14:textId="3563BA3A" w:rsidR="00C6592F" w:rsidRDefault="00C6592F" w:rsidP="00C6592F">
      <w:pPr>
        <w:spacing w:line="240" w:lineRule="auto"/>
        <w:jc w:val="both"/>
      </w:pPr>
      <w:r w:rsidRPr="00AF31F4">
        <w:t>(A) Samples at exponential phase were plated onto 70:30 media to induce sporulation over 44 h. Molecular weights (MW) are shown to the left (kDa) while each corresponding sporulation factor is to the right. Asterisk indicates an off-target band which has previously been observed</w:t>
      </w:r>
      <w:r w:rsidR="00082AA0">
        <w:t>.</w:t>
      </w:r>
      <w:r w:rsidRPr="00AF31F4">
        <w:fldChar w:fldCharType="begin"/>
      </w:r>
      <w:r>
        <w:instrText>ADDIN F1000_CSL_CITATION&lt;~#@#~&gt;[{"DOI":"10.1371/journal.pgen.1003660","First":false,"Last":false,"PMCID":"PMC3738446","PMID":"23950727","abstract":"The Gram-positive, spore-forming pathogen Clostridium difficile is the leading definable cause of healthcare-associated diarrhea worldwide. C. difficile infections are difficult to treat because of their frequent recurrence, which can cause life-threatening complications such as pseudomembranous colitis. The spores of C. difficile are responsible for these high rates of recurrence, since they are the major transmissive form of the organism and resistant to antibiotics and many disinfectants. Despite the importance of spores to the pathogenesis of C. difficile, little is known about their composition or formation. Based on studies in Bacillus subtilis and other Clostridium spp., the sigma factors σ(F), σ(E), σ(G), and σ(K) are predicted to control the transcription of genes required for sporulation, although their specific functions vary depending on the organism. In order to determine the roles of σ(F), σ(E), σ(G), and σ(K) in regulating C. difficile sporulation, we generated loss-of-function mutations in genes encoding these sporulation sigma factors and performed RNA-Sequencing to identify specific sigma factor-dependent genes. This analysis identified 224 genes whose expression was collectively activated by sporulation sigma factors: 183 were σ(F)-dependent, 169 were σ(E)-dependent, 34 were σ(G)-dependent, and 31 were σ(K)-dependent. In contrast with B. subtilis, C. difficile σ(E) was dispensable for σ(G) activation, σ(G) was dispensable for σ(K) activation, and σ(F) was required for post-translationally activating σ(G). Collectively, these results provide the first genome-wide transcriptional analysis of genes induced by specific sporulation sigma factors in the Clostridia and highlight that diverse mechanisms regulate sporulation sigma factor activity in the Firmicutes.","author":[{"family":"Fimlaid","given":"Kelly A"},{"family":"Bond","given":"Jeffrey P"},{"family":"Schutz","given":"Kristin C"},{"family":"Putnam","given":"Emily E"},{"family":"Leung","given":"Jacqueline M"},{"family":"Lawley","given":"Trevor D"},{"family":"Shen","given":"Aimee"}],"authorYearDisplayFormat":false,"citation-label":"6516900","container-title":"PLoS Genetics","container-title-short":"PLoS Genet.","id":"6516900","invisible":false,"issue":"8","issued":{"date-parts":[["2013","8","8"]]},"journalAbbreviation":"PLoS Genet.","page":"e1003660","suppress-author":false,"title":"Global analysis of the sporulation pathway of Clostridium difficile.","type":"article-journal","volume":"9"}]</w:instrText>
      </w:r>
      <w:r w:rsidRPr="00AF31F4">
        <w:fldChar w:fldCharType="separate"/>
      </w:r>
      <w:r w:rsidRPr="00C85866">
        <w:rPr>
          <w:noProof/>
          <w:vertAlign w:val="superscript"/>
        </w:rPr>
        <w:t>28</w:t>
      </w:r>
      <w:r w:rsidRPr="00AF31F4">
        <w:fldChar w:fldCharType="end"/>
      </w:r>
      <w:r w:rsidRPr="00AF31F4">
        <w:t xml:space="preserve"> (B) Relative intensities of individual bands when compared against WT.</w:t>
      </w:r>
    </w:p>
    <w:p w14:paraId="648B0899" w14:textId="77777777" w:rsidR="00C6592F" w:rsidRPr="00AF31F4" w:rsidRDefault="00C6592F" w:rsidP="00C6592F">
      <w:pPr>
        <w:spacing w:line="240" w:lineRule="auto"/>
        <w:jc w:val="both"/>
      </w:pPr>
    </w:p>
    <w:p w14:paraId="77E1AAB4" w14:textId="752E92B5" w:rsidR="00C6592F" w:rsidRDefault="00C6592F" w:rsidP="00C6592F">
      <w:pPr>
        <w:ind w:firstLine="720"/>
        <w:jc w:val="both"/>
      </w:pPr>
      <w:r w:rsidRPr="00AF31F4">
        <w:t xml:space="preserve">Spo0A is the master sporulation regulator in </w:t>
      </w:r>
      <w:r w:rsidR="00AB3480" w:rsidRPr="00AB3480">
        <w:rPr>
          <w:i/>
          <w:iCs/>
        </w:rPr>
        <w:t>C. difficile</w:t>
      </w:r>
      <w:r w:rsidRPr="00AF31F4">
        <w:t xml:space="preserve"> and is highly conserved across spore-forming Gram-positive organisms.</w:t>
      </w:r>
      <w:r w:rsidRPr="00AF31F4">
        <w:fldChar w:fldCharType="begin"/>
      </w:r>
      <w:r>
        <w:instrText>ADDIN F1000_CSL_CITATION&lt;~#@#~&gt;[{"DOI":"10.1128/IAI.00147-12","First":false,"Last":false,"PMCID":"PMC3434595","PMID":"22615253","abstract":"Clostridium difficile is a major cause of chronic antibiotic-associated diarrhea and a significant health care-associated pathogen that forms highly resistant and infectious spores. Spo0A is a highly conserved transcriptional regulator that plays a key role in initiating sporulation in Bacillus and Clostridium species. Here, we use a murine model to study the role of the C. difficile spo0A gene during infection and transmission. We demonstrate that C. difficile spo0A mutant derivatives can cause intestinal disease but are unable to persist within and effectively transmit between mice. Thus, the C. difficile Spo0A protein plays a key role in persistent infection, including recurrence and host-to-host transmission in mice.","author":[{"family":"Deakin","given":"Laura J"},{"family":"Clare","given":"Simon"},{"family":"Fagan","given":"Robert P"},{"family":"Dawson","given":"Lisa F"},{"family":"Pickard","given":"Derek J"},{"family":"West","given":"Michael R"},{"family":"Wren","given":"Brendan W"},{"family":"Fairweather","given":"Neil F"},{"family":"Dougan","given":"Gordon"},{"family":"Lawley","given":"Trevor D"}],"authorYearDisplayFormat":false,"citation-label":"2864206","container-title":"Infection and Immunity","container-title-short":"Infect. Immun.","id":"2864206","invisible":false,"issue":"8","issued":{"date-parts":[["2012","8"]]},"journalAbbreviation":"Infect. Immun.","page":"2704-2711","suppress-author":false,"title":"The Clostridium difficile spo0A gene is a persistence and transmission factor.","type":"article-journal","volume":"80"},{"DOI":"10.1186/1471-2164-15-160","First":false,"Last":false,"PMCID":"PMC4028888","PMID":"24568651","abstract":"&lt;strong&gt;BACKGROUND:&lt;/strong&gt; Clostridium difficile is an anaerobic, Gram-positive bacterium that can reside as a commensal within the intestinal microbiota of healthy individuals or cause life-threatening antibiotic-associated diarrhea in immunocompromised hosts. C. difficile can also form highly resistant spores that are excreted facilitating host-to-host transmission. The C. difficile spo0A gene encodes a highly conserved transcriptional regulator of sporulation that is required for relapsing disease and transmission in mice.&lt;br&gt;&lt;br&gt;&lt;strong&gt;RESULTS:&lt;/strong&gt; Here we describe a genome-wide approach using a combined transcriptomic and proteomic analysis to identify Spo0A regulated genes. Our results validate Spo0A as a positive regulator of putative and novel sporulation genes as well as components of the mature spore proteome. We also show that Spo0A regulates a number of virulence-associated factors such as flagella and metabolic pathways including glucose fermentation leading to butyrate production.&lt;br&gt;&lt;br&gt;&lt;strong&gt;CONCLUSIONS:&lt;/strong&gt; The C. difficile spo0A gene is a global transcriptional regulator that controls diverse sporulation, virulence and metabolic phenotypes coordinating pathogen adaptation to a wide range of host interactions. Additionally, the rich breadth of functional data allowed us to significantly update the annotation of the C. difficile 630 reference genome which will facilitate basic and applied research on this emerging pathogen.","author":[{"family":"Pettit","given":"Laura J"},{"family":"Browne","given":"Hilary P"},{"family":"Yu","given":"Lu"},{"family":"Smits","given":"Wiep Klaas"},{"family":"Fagan","given":"Robert P"},{"family":"Barquist","given":"Lars"},{"family":"Martin","given":"Melissa J"},{"family":"Goulding","given":"David"},{"family":"Duncan","given":"Sylvia H"},{"family":"Flint","given":"Harry J"},{"family":"Dougan","given":"Gordon"},{"family":"Choudhary","given":"Jyoti S"},{"family":"Lawley","given":"Trevor D"}],"authorYearDisplayFormat":false,"citation-label":"1434283","container-title":"BMC Genomics","container-title-short":"BMC Genomics","id":"1434283","invisible":false,"issued":{"date-parts":[["2014","2","25"]]},"journalAbbreviation":"BMC Genomics","page":"160","suppress-author":false,"title":"Functional genomics reveals that Clostridium difficile Spo0A coordinates sporulation, virulence and metabolism.","type":"article-journal","volume":"15"},{"First":false,"Last":false,"PMID":"7885226","abstract":"Spo0A is a phosphorylation-activated transcription factor of Bacillus subtilis. It is a member of the response regulator superfamily of bacterial signal transduction proteins and controls many of the changes in gene expression that occur during the transition into stationary phase and during the initiation of sporulation. To identify the domains of Spo0A most critical for determining its structural and functional features, presumptive homologues of the spo0A gene were characterized in a collection of eight Bacillus species and six Clostridium species representing phylogenetically diverse members of these genera. An alignment of the partial or complete DNA sequences of these homologues revealed three regions of especially high conservation in the effector domain. We speculate that the most highly conserved of these corresponds to the recognition helix of a putative helix-turn-helix motif, and, therefore, represents the actual DNA-containing surface of the protein. In the case of homologues identified in Bacillus anthracis and Clostridium acetobutylicum and retrieved by polymerase chain reaction amplification, we confirmed by gene-disruption analysis that the homologue actually is required for initiation of sporulation. Apparent homologues of the B. subtilis spoIVB gene were also discovered immediately upstream from the spo0A homologues in all Bacillus and Clostridium species examined. The discovery of homologues of B. subtilis sporulation genes in these diverse species implies that the gene products required for specifying pathways of sporulation-specific gene activation and for determining key morphogenetic changes may be highly conserved and suggests that an approach similar to that undertaken here might be used as a general strategy to retrieve and compare their gene sequences. Exhaustive efforts to detect a spo0A-like gene in non-endospore formers, including close relatives of Bacillus such as Listeria and Staphylococcus, were uniformly unsuccessful, suggesting that regulation of gene activity during the transition into stationary phase mediated by Spo0A-like proteins may be exclusive to the endospore-forming bacteria.","author":[{"family":"Brown","given":"D P"},{"family":"Ganova-Raeva","given":"L"},{"family":"Green","given":"B D"},{"family":"Wilkinson","given":"S R"},{"family":"Young","given":"M"},{"family":"Youngman","given":"P"}],"authorYearDisplayFormat":false,"citation-label":"1674969","container-title":"Molecular Microbiology","container-title-short":"Mol. Microbiol.","id":"1674969","invisible":false,"issue":"3","issued":{"date-parts":[["1994","11"]]},"journalAbbreviation":"Mol. Microbiol.","page":"411-426","suppress-author":false,"title":"Characterization of spo0A homologues in diverse Bacillus and Clostridium species identifies a probable DNA-binding domain.","type":"article-journal","volume":"14"},{"First":false,"Last":false,"PMID":"8600030","abstract":"Entry into sporulation by the Gram-positive bacterium Bacillus subtilis is governed by two transcription factors, Spo0A and sigma H, and involves a switch in the site of division from a medial to a polar location. We report that at the onset of sporulation, assembly of the cell division protein FtsZ shifts from midcell to potential division sites near both poles. The switch to a bipolar pattern of FtsZ localization is dependent on Spo0A. Additionally, synthesis of an activated form of Spo0A during growth artificially activates the switch in FtsZ localization and results in the formation of polar septa. The sigma H factor, on the other hand, is dispensable for the switch in the position of the FtsZ assembly site, although it is required for formation of the polar septum. Our results suggest that during the transition from growth to sporulation, Spo0A induces the expression of genes that suppress FtsZ assembly at the midcell site and activate sites at both poles, whereas sigma H induces genes required for a subsequent step in cytokinesis.","author":[{"family":"Levin","given":"P A"},{"family":"Losick","given":"R"}],"authorYearDisplayFormat":false,"citation-label":"4591792","container-title":"Genes &amp; Development","container-title-short":"Genes Dev.","id":"4591792","invisible":false,"issue":"4","issued":{"date-parts":[["1996","2","15"]]},"journalAbbreviation":"Genes Dev.","page":"478-488","suppress-author":false,"title":"Transcription factor Spo0A switches the localization of the cell division protein FtsZ from a medial to a bipolar pattern in Bacillus subtilis.","type":"article-journal","volume":"10"}]</w:instrText>
      </w:r>
      <w:r w:rsidRPr="00AF31F4">
        <w:fldChar w:fldCharType="separate"/>
      </w:r>
      <w:r w:rsidRPr="00C85866">
        <w:rPr>
          <w:noProof/>
          <w:vertAlign w:val="superscript"/>
        </w:rPr>
        <w:t>1,29–31</w:t>
      </w:r>
      <w:r w:rsidRPr="00AF31F4">
        <w:fldChar w:fldCharType="end"/>
      </w:r>
      <w:r w:rsidRPr="00AF31F4">
        <w:t xml:space="preserve"> Spo0A regulates ~75% of the sporulation-related genes in </w:t>
      </w:r>
      <w:r w:rsidR="00AB3480" w:rsidRPr="00AB3480">
        <w:rPr>
          <w:i/>
          <w:iCs/>
        </w:rPr>
        <w:t>C. difficile</w:t>
      </w:r>
      <w:r w:rsidRPr="00AF31F4">
        <w:t>, and ultimately controls the initiation of the sporulation cascade.</w:t>
      </w:r>
      <w:r w:rsidRPr="00AF31F4">
        <w:fldChar w:fldCharType="begin"/>
      </w:r>
      <w:r>
        <w:instrText>ADDIN F1000_CSL_CITATION&lt;~#@#~&gt;[{"DOI":"10.3389/fcimb.2018.00029","First":false,"Last":false,"PMCID":"PMC5809512","PMID":"29473021","abstract":"Clostridioides difficile is a Gram-positive, spore-forming, toxin-producing anaerobe, and an important nosocomial pathogen. Due to the strictly anaerobic nature of the vegetative form, spores are the main morphotype of infection and transmission of the disease. Spore formation and their subsequent germination play critical roles in C. difficile infection (CDI) progress. Under suitable conditions, C. difficile spores will germinate and outgrow to produce the pathogenic vegetative form. During CDI, C. difficile produces toxins (TcdA and TcdB) that are required to initiate the disease. Meanwhile, it also produces spores that are responsible for the persistence and recurrence of C. difficile in patients. Recent studies have shed light on the regulatory mechanisms of C. difficile sporulation and germination. This review is to summarize recent advances on the regulation of sporulation/germination in C. difficile and the corresponding therapeutic strategies that are aimed at these important processes.","author":[{"family":"Zhu","given":"Duolong"},{"family":"Sorg","given":"Joseph A"},{"family":"Sun","given":"Xingmin"}],"authorYearDisplayFormat":false,"citation-label":"6289405","container-title":"Frontiers in cellular and infection microbiology","container-title-short":"Front. Cell. Infect. Microbiol.","id":"6289405","invisible":false,"issued":{"date-parts":[["2018","2","8"]]},"journalAbbreviation":"Front. Cell. Infect. Microbiol.","page":"29","suppress-author":false,"title":"Clostridioides difficile Biology: Sporulation, Germination, and Corresponding Therapies for C. difficile Infection.","type":"article-journal","volume":"8"}]</w:instrText>
      </w:r>
      <w:r w:rsidRPr="00AF31F4">
        <w:fldChar w:fldCharType="separate"/>
      </w:r>
      <w:r w:rsidRPr="00C85866">
        <w:rPr>
          <w:noProof/>
          <w:vertAlign w:val="superscript"/>
        </w:rPr>
        <w:t>8</w:t>
      </w:r>
      <w:r w:rsidRPr="00AF31F4">
        <w:fldChar w:fldCharType="end"/>
      </w:r>
      <w:r w:rsidRPr="00AF31F4">
        <w:t xml:space="preserve"> Loss of </w:t>
      </w:r>
      <w:r w:rsidRPr="00AF31F4">
        <w:rPr>
          <w:iCs/>
        </w:rPr>
        <w:t>Spo0A</w:t>
      </w:r>
      <w:r w:rsidRPr="00AF31F4">
        <w:t xml:space="preserve"> function renders </w:t>
      </w:r>
      <w:r w:rsidR="00AB3480" w:rsidRPr="00AB3480">
        <w:rPr>
          <w:i/>
        </w:rPr>
        <w:t>C. difficile</w:t>
      </w:r>
      <w:r w:rsidRPr="00AF31F4">
        <w:rPr>
          <w:i/>
        </w:rPr>
        <w:t xml:space="preserve"> </w:t>
      </w:r>
      <w:r w:rsidRPr="00AF31F4">
        <w:t xml:space="preserve">unable to express any of the </w:t>
      </w:r>
      <w:r w:rsidRPr="00AF31F4">
        <w:sym w:font="Symbol" w:char="F073"/>
      </w:r>
      <w:r w:rsidRPr="00AF31F4">
        <w:t>-factors necessary to orchestrate sporulation, precluding sporulation.</w:t>
      </w:r>
      <w:r w:rsidRPr="00AF31F4">
        <w:fldChar w:fldCharType="begin"/>
      </w:r>
      <w:r>
        <w:instrText>ADDIN F1000_CSL_CITATION&lt;~#@#~&gt;[{"DOI":"10.1371/journal.pgen.1003660","First":false,"Last":false,"PMCID":"PMC3738446","PMID":"23950727","abstract":"The Gram-positive, spore-forming pathogen Clostridium difficile is the leading definable cause of healthcare-associated diarrhea worldwide. C. difficile infections are difficult to treat because of their frequent recurrence, which can cause life-threatening complications such as pseudomembranous colitis. The spores of C. difficile are responsible for these high rates of recurrence, since they are the major transmissive form of the organism and resistant to antibiotics and many disinfectants. Despite the importance of spores to the pathogenesis of C. difficile, little is known about their composition or formation. Based on studies in Bacillus subtilis and other Clostridium spp., the sigma factors σ(F), σ(E), σ(G), and σ(K) are predicted to control the transcription of genes required for sporulation, although their specific functions vary depending on the organism. In order to determine the roles of σ(F), σ(E), σ(G), and σ(K) in regulating C. difficile sporulation, we generated loss-of-function mutations in genes encoding these sporulation sigma factors and performed RNA-Sequencing to identify specific sigma factor-dependent genes. This analysis identified 224 genes whose expression was collectively activated by sporulation sigma factors: 183 were σ(F)-dependent, 169 were σ(E)-dependent, 34 were σ(G)-dependent, and 31 were σ(K)-dependent. In contrast with B. subtilis, C. difficile σ(E) was dispensable for σ(G) activation, σ(G) was dispensable for σ(K) activation, and σ(F) was required for post-translationally activating σ(G). Collectively, these results provide the first genome-wide transcriptional analysis of genes induced by specific sporulation sigma factors in the Clostridia and highlight that diverse mechanisms regulate sporulation sigma factor activity in the Firmicutes.","author":[{"family":"Fimlaid","given":"Kelly A"},{"family":"Bond","given":"Jeffrey P"},{"family":"Schutz","given":"Kristin C"},{"family":"Putnam","given":"Emily E"},{"family":"Leung","given":"Jacqueline M"},{"family":"Lawley","given":"Trevor D"},{"family":"Shen","given":"Aimee"}],"authorYearDisplayFormat":false,"citation-label":"6516900","container-title":"PLoS Genetics","container-title-short":"PLoS Genet.","id":"6516900","invisible":false,"issue":"8","issued":{"date-parts":[["2013","8","8"]]},"journalAbbreviation":"PLoS Genet.","page":"e1003660","suppress-author":false,"title":"Global analysis of the sporulation pathway of Clostridium difficile.","type":"article-journal","volume":"9"}]</w:instrText>
      </w:r>
      <w:r w:rsidRPr="00AF31F4">
        <w:fldChar w:fldCharType="separate"/>
      </w:r>
      <w:r w:rsidRPr="00C85866">
        <w:rPr>
          <w:noProof/>
          <w:vertAlign w:val="superscript"/>
        </w:rPr>
        <w:t>28</w:t>
      </w:r>
      <w:r w:rsidRPr="00AF31F4">
        <w:fldChar w:fldCharType="end"/>
      </w:r>
      <w:r w:rsidRPr="00AF31F4">
        <w:t xml:space="preserve"> Spo0A is overexpressed in all mutants, which may be indicative an attempt to rescue sporulation or a general stress response. Alternatively, ClpP may regulate systems that inhibit or promote sporulation (e.g., CodY is a known substrate of ClpCP), thus ClpP may indirectly participate in sporulation regulation. </w:t>
      </w:r>
      <w:r w:rsidRPr="00AF31F4">
        <w:sym w:font="Symbol" w:char="F073"/>
      </w:r>
      <w:r w:rsidRPr="00AF31F4">
        <w:t xml:space="preserve">-factors present in the mother cell and forespore are activated during specific phases of sporulation after Spo0A is activated by phosphorylation </w:t>
      </w:r>
      <w:r w:rsidRPr="00AF31F4">
        <w:lastRenderedPageBreak/>
        <w:t>(</w:t>
      </w:r>
      <w:r w:rsidRPr="00AF31F4">
        <w:rPr>
          <w:b/>
        </w:rPr>
        <w:t>Figure 3.4</w:t>
      </w:r>
      <w:r w:rsidRPr="00AF31F4">
        <w:t xml:space="preserve">). </w:t>
      </w:r>
      <w:r w:rsidRPr="00AF31F4">
        <w:sym w:font="Symbol" w:char="F073"/>
      </w:r>
      <w:r w:rsidRPr="00AF31F4">
        <w:rPr>
          <w:vertAlign w:val="superscript"/>
        </w:rPr>
        <w:t>F</w:t>
      </w:r>
      <w:r w:rsidRPr="00AF31F4">
        <w:t xml:space="preserve"> and </w:t>
      </w:r>
      <w:r w:rsidRPr="00AF31F4">
        <w:sym w:font="Symbol" w:char="F073"/>
      </w:r>
      <w:r w:rsidRPr="00AF31F4">
        <w:rPr>
          <w:vertAlign w:val="superscript"/>
        </w:rPr>
        <w:t>G</w:t>
      </w:r>
      <w:r w:rsidRPr="00AF31F4">
        <w:t xml:space="preserve">, which are confined to the forespore, are activated following asymmetric division. </w:t>
      </w:r>
      <w:r w:rsidRPr="00AF31F4">
        <w:sym w:font="Symbol" w:char="F073"/>
      </w:r>
      <w:r w:rsidRPr="00AF31F4">
        <w:rPr>
          <w:vertAlign w:val="superscript"/>
        </w:rPr>
        <w:t xml:space="preserve">E </w:t>
      </w:r>
      <w:r w:rsidRPr="00AF31F4">
        <w:t xml:space="preserve">and </w:t>
      </w:r>
      <w:r w:rsidRPr="00AF31F4">
        <w:sym w:font="Symbol" w:char="F073"/>
      </w:r>
      <w:r w:rsidRPr="00AF31F4">
        <w:rPr>
          <w:vertAlign w:val="superscript"/>
        </w:rPr>
        <w:t xml:space="preserve">K </w:t>
      </w:r>
      <w:r w:rsidRPr="00AF31F4">
        <w:t xml:space="preserve">reside in the mother cell and coordinate expression with other forespore </w:t>
      </w:r>
      <w:r w:rsidRPr="00AF31F4">
        <w:sym w:font="Symbol" w:char="F073"/>
      </w:r>
      <w:r w:rsidRPr="00AF31F4">
        <w:t>-factors via cell-cell communication. Upon phosphorylation, Spo0A activates σ</w:t>
      </w:r>
      <w:r w:rsidRPr="00AF31F4">
        <w:rPr>
          <w:vertAlign w:val="superscript"/>
        </w:rPr>
        <w:t xml:space="preserve">F </w:t>
      </w:r>
      <w:r w:rsidRPr="00AF31F4">
        <w:t xml:space="preserve">immediately following asymmetric division to coordinate early stages of sporulation. The ΔP1 and ΔP2 mutants exhibit slightly elevated levels of </w:t>
      </w:r>
      <w:r w:rsidRPr="00AF31F4">
        <w:sym w:font="Symbol" w:char="F073"/>
      </w:r>
      <w:r w:rsidRPr="00AF31F4">
        <w:rPr>
          <w:vertAlign w:val="superscript"/>
        </w:rPr>
        <w:t>F</w:t>
      </w:r>
      <w:r w:rsidRPr="00AF31F4">
        <w:t xml:space="preserve"> to the WT, while ΔP1P2 </w:t>
      </w:r>
      <w:r w:rsidRPr="00AF31F4">
        <w:sym w:font="Symbol" w:char="F073"/>
      </w:r>
      <w:r w:rsidRPr="00AF31F4">
        <w:rPr>
          <w:vertAlign w:val="superscript"/>
        </w:rPr>
        <w:t>F</w:t>
      </w:r>
      <w:r w:rsidRPr="00AF31F4">
        <w:t xml:space="preserve"> expression is lower than WT expression (</w:t>
      </w:r>
      <w:r w:rsidRPr="00AF31F4">
        <w:rPr>
          <w:b/>
        </w:rPr>
        <w:t>Figure 3.9</w:t>
      </w:r>
      <w:r w:rsidRPr="00AF31F4">
        <w:t xml:space="preserve">). </w:t>
      </w:r>
      <w:r w:rsidRPr="00AF31F4">
        <w:sym w:font="Symbol" w:char="F073"/>
      </w:r>
      <w:r w:rsidRPr="00AF31F4">
        <w:rPr>
          <w:vertAlign w:val="superscript"/>
        </w:rPr>
        <w:t xml:space="preserve">E </w:t>
      </w:r>
      <w:r w:rsidRPr="00AF31F4">
        <w:t xml:space="preserve">activation follows soon after </w:t>
      </w:r>
      <w:r w:rsidRPr="00AF31F4">
        <w:sym w:font="Symbol" w:char="F073"/>
      </w:r>
      <w:r w:rsidRPr="00AF31F4">
        <w:rPr>
          <w:vertAlign w:val="superscript"/>
        </w:rPr>
        <w:t>F</w:t>
      </w:r>
      <w:r w:rsidRPr="00AF31F4">
        <w:t xml:space="preserve"> to direct forespore development in the mother cell. The ΔP1 mutant significantly overexpresses </w:t>
      </w:r>
      <w:r w:rsidRPr="00AF31F4">
        <w:sym w:font="Symbol" w:char="F073"/>
      </w:r>
      <w:r w:rsidRPr="00AF31F4">
        <w:rPr>
          <w:vertAlign w:val="superscript"/>
        </w:rPr>
        <w:t>E</w:t>
      </w:r>
      <w:r w:rsidRPr="00AF31F4">
        <w:t>,</w:t>
      </w:r>
      <w:r w:rsidRPr="00AF31F4">
        <w:rPr>
          <w:vertAlign w:val="superscript"/>
        </w:rPr>
        <w:t xml:space="preserve"> </w:t>
      </w:r>
      <w:r w:rsidRPr="00AF31F4">
        <w:t xml:space="preserve">while ΔP2 exhibits increased expression compared to the ΔP1P2 mutant but less than ΔP1, and displays a similar phenotype as previously reported in </w:t>
      </w:r>
      <w:r w:rsidRPr="00AF31F4">
        <w:rPr>
          <w:i/>
        </w:rPr>
        <w:t xml:space="preserve">sigG </w:t>
      </w:r>
      <w:r w:rsidRPr="00AF31F4">
        <w:t>mutants.</w:t>
      </w:r>
      <w:r w:rsidRPr="00AF31F4">
        <w:fldChar w:fldCharType="begin"/>
      </w:r>
      <w:r>
        <w:instrText>ADDIN F1000_CSL_CITATION&lt;~#@#~&gt;[{"DOI":"10.1371/journal.pgen.1003660","First":false,"Last":false,"PMCID":"PMC3738446","PMID":"23950727","abstract":"The Gram-positive, spore-forming pathogen Clostridium difficile is the leading definable cause of healthcare-associated diarrhea worldwide. C. difficile infections are difficult to treat because of their frequent recurrence, which can cause life-threatening complications such as pseudomembranous colitis. The spores of C. difficile are responsible for these high rates of recurrence, since they are the major transmissive form of the organism and resistant to antibiotics and many disinfectants. Despite the importance of spores to the pathogenesis of C. difficile, little is known about their composition or formation. Based on studies in Bacillus subtilis and other Clostridium spp., the sigma factors σ(F), σ(E), σ(G), and σ(K) are predicted to control the transcription of genes required for sporulation, although their specific functions vary depending on the organism. In order to determine the roles of σ(F), σ(E), σ(G), and σ(K) in regulating C. difficile sporulation, we generated loss-of-function mutations in genes encoding these sporulation sigma factors and performed RNA-Sequencing to identify specific sigma factor-dependent genes. This analysis identified 224 genes whose expression was collectively activated by sporulation sigma factors: 183 were σ(F)-dependent, 169 were σ(E)-dependent, 34 were σ(G)-dependent, and 31 were σ(K)-dependent. In contrast with B. subtilis, C. difficile σ(E) was dispensable for σ(G) activation, σ(G) was dispensable for σ(K) activation, and σ(F) was required for post-translationally activating σ(G). Collectively, these results provide the first genome-wide transcriptional analysis of genes induced by specific sporulation sigma factors in the Clostridia and highlight that diverse mechanisms regulate sporulation sigma factor activity in the Firmicutes.","author":[{"family":"Fimlaid","given":"Kelly A"},{"family":"Bond","given":"Jeffrey P"},{"family":"Schutz","given":"Kristin C"},{"family":"Putnam","given":"Emily E"},{"family":"Leung","given":"Jacqueline M"},{"family":"Lawley","given":"Trevor D"},{"family":"Shen","given":"Aimee"}],"authorYearDisplayFormat":false,"citation-label":"6516900","container-title":"PLoS Genetics","container-title-short":"PLoS Genet.","id":"6516900","invisible":false,"issue":"8","issued":{"date-parts":[["2013","8","8"]]},"journalAbbreviation":"PLoS Genet.","page":"e1003660","suppress-author":false,"title":"Global analysis of the sporulation pathway of Clostridium difficile.","type":"article-journal","volume":"9"}]</w:instrText>
      </w:r>
      <w:r w:rsidRPr="00AF31F4">
        <w:fldChar w:fldCharType="separate"/>
      </w:r>
      <w:r w:rsidRPr="00C85866">
        <w:rPr>
          <w:noProof/>
          <w:vertAlign w:val="superscript"/>
        </w:rPr>
        <w:t>28</w:t>
      </w:r>
      <w:r w:rsidRPr="00AF31F4">
        <w:fldChar w:fldCharType="end"/>
      </w:r>
      <w:r w:rsidRPr="00AF31F4">
        <w:t xml:space="preserve"> </w:t>
      </w:r>
      <w:r w:rsidRPr="00AF31F4">
        <w:sym w:font="Symbol" w:char="F073"/>
      </w:r>
      <w:r w:rsidRPr="00AF31F4">
        <w:rPr>
          <w:vertAlign w:val="superscript"/>
        </w:rPr>
        <w:t xml:space="preserve">G </w:t>
      </w:r>
      <w:r w:rsidRPr="00AF31F4">
        <w:t xml:space="preserve">expression is upregulated following the completion of engulfment, and both ΔP1 and ΔP2 mutants overexpressed </w:t>
      </w:r>
      <w:r w:rsidRPr="00AF31F4">
        <w:sym w:font="Symbol" w:char="F073"/>
      </w:r>
      <w:r w:rsidRPr="00AF31F4">
        <w:rPr>
          <w:vertAlign w:val="superscript"/>
        </w:rPr>
        <w:t>G</w:t>
      </w:r>
      <w:r w:rsidRPr="00AF31F4">
        <w:t xml:space="preserve">, while the ΔP1P2 expression is similar to the WT. </w:t>
      </w:r>
      <w:r w:rsidRPr="00AF31F4">
        <w:sym w:font="Symbol" w:char="F073"/>
      </w:r>
      <w:r w:rsidRPr="00AF31F4">
        <w:rPr>
          <w:vertAlign w:val="superscript"/>
        </w:rPr>
        <w:t xml:space="preserve">G </w:t>
      </w:r>
      <w:r w:rsidRPr="00AF31F4">
        <w:t xml:space="preserve">activates </w:t>
      </w:r>
      <w:r w:rsidRPr="00AF31F4">
        <w:sym w:font="Symbol" w:char="F073"/>
      </w:r>
      <w:r w:rsidRPr="00AF31F4">
        <w:rPr>
          <w:vertAlign w:val="superscript"/>
        </w:rPr>
        <w:t>K</w:t>
      </w:r>
      <w:r w:rsidRPr="00AF31F4">
        <w:t xml:space="preserve">, concluding engulfment, and only occurs in the presence of expressed SpoIIIA-operon proteins. All three mutants express similar levels of </w:t>
      </w:r>
      <w:r w:rsidRPr="00AF31F4">
        <w:sym w:font="Symbol" w:char="F073"/>
      </w:r>
      <w:r w:rsidRPr="00AF31F4">
        <w:rPr>
          <w:vertAlign w:val="superscript"/>
        </w:rPr>
        <w:t>K</w:t>
      </w:r>
      <w:r w:rsidRPr="00AF31F4">
        <w:t xml:space="preserve">, whose expression does not rely upon activation of a former </w:t>
      </w:r>
      <w:r w:rsidRPr="00AF31F4">
        <w:sym w:font="Symbol" w:char="F073"/>
      </w:r>
      <w:r w:rsidRPr="00AF31F4">
        <w:t xml:space="preserve">-factor. </w:t>
      </w:r>
    </w:p>
    <w:p w14:paraId="53399B97" w14:textId="77777777" w:rsidR="00384D66" w:rsidRDefault="00384D66" w:rsidP="00384D66">
      <w:pPr>
        <w:keepNext/>
        <w:jc w:val="both"/>
      </w:pPr>
      <w:r>
        <w:rPr>
          <w:noProof/>
        </w:rPr>
        <w:lastRenderedPageBreak/>
        <w:drawing>
          <wp:inline distT="0" distB="0" distL="0" distR="0" wp14:anchorId="7B2C2076" wp14:editId="79B6ABE6">
            <wp:extent cx="5311140" cy="4015740"/>
            <wp:effectExtent l="0" t="0" r="0" b="0"/>
            <wp:docPr id="121" name="Picture 121"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igmaFactors.png"/>
                    <pic:cNvPicPr/>
                  </pic:nvPicPr>
                  <pic:blipFill rotWithShape="1">
                    <a:blip r:embed="rId51" cstate="print">
                      <a:extLst>
                        <a:ext uri="{28A0092B-C50C-407E-A947-70E740481C1C}">
                          <a14:useLocalDpi xmlns:a14="http://schemas.microsoft.com/office/drawing/2010/main" val="0"/>
                        </a:ext>
                      </a:extLst>
                    </a:blip>
                    <a:srcRect r="1553" b="2317"/>
                    <a:stretch/>
                  </pic:blipFill>
                  <pic:spPr bwMode="auto">
                    <a:xfrm>
                      <a:off x="0" y="0"/>
                      <a:ext cx="5311140" cy="4015740"/>
                    </a:xfrm>
                    <a:prstGeom prst="rect">
                      <a:avLst/>
                    </a:prstGeom>
                    <a:ln>
                      <a:noFill/>
                    </a:ln>
                    <a:extLst>
                      <a:ext uri="{53640926-AAD7-44D8-BBD7-CCE9431645EC}">
                        <a14:shadowObscured xmlns:a14="http://schemas.microsoft.com/office/drawing/2010/main"/>
                      </a:ext>
                    </a:extLst>
                  </pic:spPr>
                </pic:pic>
              </a:graphicData>
            </a:graphic>
          </wp:inline>
        </w:drawing>
      </w:r>
    </w:p>
    <w:p w14:paraId="449F75FF" w14:textId="5FADBFC1" w:rsidR="00384D66" w:rsidRPr="00384D66" w:rsidRDefault="00384D66" w:rsidP="00384D66">
      <w:pPr>
        <w:pStyle w:val="Caption"/>
        <w:jc w:val="both"/>
      </w:pPr>
      <w:r w:rsidRPr="00384D66">
        <w:t xml:space="preserve">Figure </w:t>
      </w:r>
      <w:r w:rsidR="00D2676A">
        <w:t>3.10</w:t>
      </w:r>
      <w:r w:rsidRPr="00384D66">
        <w:t xml:space="preserve"> Sequence of sigma factor activation</w:t>
      </w:r>
      <w:r>
        <w:t>s</w:t>
      </w:r>
      <w:r w:rsidRPr="00384D66">
        <w:t xml:space="preserve"> and sporulation </w:t>
      </w:r>
      <w:r>
        <w:t>processes</w:t>
      </w:r>
    </w:p>
    <w:p w14:paraId="413D3E71" w14:textId="10BE41E4" w:rsidR="00384D66" w:rsidRPr="00384D66" w:rsidRDefault="00384D66" w:rsidP="00384D66">
      <w:pPr>
        <w:spacing w:line="240" w:lineRule="auto"/>
        <w:jc w:val="both"/>
      </w:pPr>
      <w:r>
        <w:t xml:space="preserve">Sigma factors are activated following Spo0A phosphorylation which initiates sporulation 1) </w:t>
      </w:r>
      <w:r w:rsidRPr="00AF31F4">
        <w:sym w:font="Symbol" w:char="F073"/>
      </w:r>
      <w:r>
        <w:rPr>
          <w:vertAlign w:val="superscript"/>
        </w:rPr>
        <w:t xml:space="preserve">F </w:t>
      </w:r>
      <w:r>
        <w:t>is activated and upregulates SpoIIP and SpoIIQ which signals the start of engulfment. Simultaneously Pro-</w:t>
      </w:r>
      <w:r w:rsidRPr="00AF31F4">
        <w:sym w:font="Symbol" w:char="F073"/>
      </w:r>
      <w:r>
        <w:rPr>
          <w:vertAlign w:val="superscript"/>
        </w:rPr>
        <w:t>E</w:t>
      </w:r>
      <w:r>
        <w:t xml:space="preserve"> is processed to </w:t>
      </w:r>
      <w:r w:rsidRPr="00AF31F4">
        <w:sym w:font="Symbol" w:char="F073"/>
      </w:r>
      <w:r>
        <w:rPr>
          <w:vertAlign w:val="superscript"/>
        </w:rPr>
        <w:t>E</w:t>
      </w:r>
      <w:r>
        <w:t xml:space="preserve"> in the mother cell, which starts organizing initial forespore development factors 2) </w:t>
      </w:r>
      <w:r w:rsidRPr="00AF31F4">
        <w:sym w:font="Symbol" w:char="F073"/>
      </w:r>
      <w:r>
        <w:rPr>
          <w:vertAlign w:val="superscript"/>
        </w:rPr>
        <w:t>E</w:t>
      </w:r>
      <w:r>
        <w:t xml:space="preserve"> upregulates SpoIIIA which also signals engulfment 3) </w:t>
      </w:r>
      <w:r w:rsidRPr="00AF31F4">
        <w:sym w:font="Symbol" w:char="F073"/>
      </w:r>
      <w:r>
        <w:rPr>
          <w:vertAlign w:val="superscript"/>
        </w:rPr>
        <w:t>G</w:t>
      </w:r>
      <w:r>
        <w:t xml:space="preserve"> activity is stimulated by </w:t>
      </w:r>
      <w:r w:rsidRPr="00AF31F4">
        <w:sym w:font="Symbol" w:char="F073"/>
      </w:r>
      <w:r>
        <w:rPr>
          <w:vertAlign w:val="superscript"/>
        </w:rPr>
        <w:t>F</w:t>
      </w:r>
      <w:r>
        <w:t xml:space="preserve">, which typically coincides with completion of engulfment 4) </w:t>
      </w:r>
      <w:r w:rsidRPr="00AF31F4">
        <w:sym w:font="Symbol" w:char="F073"/>
      </w:r>
      <w:r w:rsidRPr="00AF31F4">
        <w:rPr>
          <w:vertAlign w:val="superscript"/>
        </w:rPr>
        <w:t>K</w:t>
      </w:r>
      <w:r>
        <w:t xml:space="preserve"> activity is stimulated by </w:t>
      </w:r>
      <w:r w:rsidRPr="00AF31F4">
        <w:sym w:font="Symbol" w:char="F073"/>
      </w:r>
      <w:r>
        <w:rPr>
          <w:vertAlign w:val="superscript"/>
        </w:rPr>
        <w:t>E</w:t>
      </w:r>
      <w:r>
        <w:t xml:space="preserve">, which then upregulates expression of coat proteins and coincides with mother cell lysis and subsequent spore release. </w:t>
      </w:r>
    </w:p>
    <w:p w14:paraId="17334A39" w14:textId="77777777" w:rsidR="00384D66" w:rsidRPr="00384D66" w:rsidRDefault="00384D66" w:rsidP="00384D66">
      <w:pPr>
        <w:spacing w:line="240" w:lineRule="auto"/>
      </w:pPr>
    </w:p>
    <w:p w14:paraId="275EA69D" w14:textId="77777777" w:rsidR="00C6592F" w:rsidRPr="00AF31F4" w:rsidRDefault="00C6592F" w:rsidP="00C6592F">
      <w:pPr>
        <w:ind w:firstLine="720"/>
        <w:jc w:val="both"/>
      </w:pPr>
      <w:r w:rsidRPr="00AF31F4">
        <w:rPr>
          <w:bCs/>
        </w:rPr>
        <w:t>SpoIIP is part of the “DPM” complex comprised of SpoII</w:t>
      </w:r>
      <w:r w:rsidRPr="00AF31F4">
        <w:rPr>
          <w:b/>
          <w:bCs/>
        </w:rPr>
        <w:t>D</w:t>
      </w:r>
      <w:r w:rsidRPr="00AF31F4">
        <w:rPr>
          <w:bCs/>
        </w:rPr>
        <w:t>, SpoII</w:t>
      </w:r>
      <w:r w:rsidRPr="00AF31F4">
        <w:rPr>
          <w:b/>
          <w:bCs/>
        </w:rPr>
        <w:t>P</w:t>
      </w:r>
      <w:r w:rsidRPr="00AF31F4">
        <w:rPr>
          <w:bCs/>
        </w:rPr>
        <w:t>, and SpoII</w:t>
      </w:r>
      <w:r w:rsidRPr="00AF31F4">
        <w:rPr>
          <w:b/>
          <w:bCs/>
        </w:rPr>
        <w:t>M</w:t>
      </w:r>
      <w:r w:rsidRPr="00AF31F4">
        <w:rPr>
          <w:bCs/>
        </w:rPr>
        <w:t>, which functions to initiate and complete engulfment during sporulation.</w:t>
      </w:r>
      <w:r w:rsidRPr="00AF31F4">
        <w:rPr>
          <w:bCs/>
        </w:rPr>
        <w:fldChar w:fldCharType="begin"/>
      </w:r>
      <w:r>
        <w:rPr>
          <w:bCs/>
        </w:rPr>
        <w:instrText>ADDIN F1000_CSL_CITATION&lt;~#@#~&gt;[{"DOI":"10.1111/mmi.14090","First":false,"Last":false,"PMCID":"PMC6311989","PMID":"30066347","abstract":"Spore formation is essential for the bacterial pathogen and obligate anaerobe, Clostridioides (Clostridium) difficile, to transmit disease. Completion of this process depends on the mother cell engulfing the developing forespore, but little is known about how engulfment occurs in C. difficile. In Bacillus subtilis, engulfment is mediated by a peptidoglycan degradation complex consisting of SpoIID, SpoIIP and SpoIIM, which are all individually required for spore formation. Using genetic analyses, we determined the functions of these engulfment-related proteins along with the putative endopeptidase, SpoIIQ, during C. difficile sporulation. While SpoIID, SpoIIP and SpoIIQ were critical for engulfment, loss of SpoIIM minimally impacted C. difficile spore formation. Interestingly, a small percentage of ∆spoIID and ∆spoIIQ cells generated heat-resistant spores through the actions of SpoIIQ and SpoIID, respectively. Loss of SpoIID and SpoIIQ also led to unique morphological phenotypes: asymmetric engulfment and forespore distortions, respectively. Catalytic mutant complementation analyses revealed that these phenotypes depend on the enzymatic activities of SpoIIP and SpoIID, respectively. Lastly, engulfment mutants mislocalized polymerized coat even though the basement layer coat proteins, SpoIVA and SipL, remained associated with the forespore. Collectively, these findings advance our understanding of several stages during infectious C. difficile spore assembly.&lt;br&gt;&lt;br&gt;© 2018 The Authors Molecular Microbiology Published by John Wiley &amp; Sons Ltd.","author":[{"family":"Ribis","given":"John W"},{"family":"Fimlaid","given":"Kelly A"},{"family":"Shen","given":"Aimee"}],"authorYearDisplayFormat":false,"citation-label":"6266024","container-title":"Molecular Microbiology","container-title-short":"Mol. Microbiol.","id":"6266024","invisible":false,"issue":"3","issued":{"date-parts":[["2018"]]},"journalAbbreviation":"Mol. Microbiol.","page":"370-389","suppress-author":false,"title":"Differential requirements for conserved peptidoglycan remodeling enzymes during Clostridioides difficile spore formation.","type":"article-journal","volume":"110"},{"DOI":"10.1111/mmi.14091","First":false,"Last":false,"PMCID":"PMC6221140","PMID":"30066424","abstract":"Clostridium difficile remains the leading cause of antibiotic-associated diarrhoea in hospitals worldwide, linked to significant morbidity and mortality. As a strict anaerobe, it produces dormant cell forms - spores - which allow it to survive in the aerobic environment. Importantly, spores are the transmission agent of C. difficile infections. A key aspect of sporulation is the engulfment of the future spore by the mother cell and several proteins have been proposed to be involved. Here, we investigated the role of the SpoIID, SpoIIM and SpoIIP (DMP) machinery and its interplay with the SpoIIQ:SpoIIIAH (Q:AH) complex in C. difficile. We show that, surprisingly, SpoIIM, the proposed machinery anchor, is not required for efficient engulfment and sporulation. We demonstrate the requirement of DP for engulfment due to their sequential peptidoglycan degradation activity, both in vitro and in vivo. Finally, new interactions within DMP and between DMP and Q:AH suggest that both systems form a single engulfment machinery to keep the mother cell and forespore membranes together throughout engulfment. This work sheds new light upon the engulfment process and on how different sporeformers might use the same components in different ways to drive spore formation.&lt;br&gt;&lt;br&gt;© 2018 The Authors Molecular Microbiology Published by John Wiley &amp; Sons Ltd.","author":[{"family":"Dembek","given":"Marcin"},{"family":"Kelly","given":"Abigail"},{"family":"Barwinska-Sendra","given":"Anna"},{"family":"Tarrant","given":"Emma"},{"family":"Stanley","given":"Will A"},{"family":"Vollmer","given":"Daniela"},{"family":"Biboy","given":"Jacob"},{"family":"Gray","given":"Joe"},{"family":"Vollmer","given":"Waldemar"},{"family":"Salgado","given":"Paula S"}],"authorYearDisplayFormat":false,"citation-label":"5621432","container-title":"Molecular Microbiology","container-title-short":"Mol. Microbiol.","id":"5621432","invisible":false,"issue":"3","issued":{"date-parts":[["2018"]]},"journalAbbreviation":"Mol. Microbiol.","page":"390-410","suppress-author":false,"title":"Peptidoglycan degradation machinery in Clostridium difficile forespore engulfment.","type":"article-journal","volume":"110"},{"DOI":"10.1111/mmi.13311","First":false,"Last":false,"PMCID":"PMC4982068","PMID":"26690930","abstract":"Engulfment of the forespore by the mother cell is a universal feature of endosporulation. In Bacillus subtilis, the forespore protein SpoIIQ and the mother cell protein SpoIIIAH form a channel, essential for endosporulation, through which the developing spore is nurtured. The two proteins also form a backup system for engulfment. Unlike in B. subtilis, SpoIIQ of Clostridium difficile has intact LytM zinc-binding motifs. We show that spoIIQ or spoIIIAH deletion mutants of C. difficile result in anomalous engulfment, and that disruption of the SpoIIQ LytM domain via a single amino acid substitution (H120S) impairs engulfment differently. SpoIIQ and SpoIIQ(H120S) interact with SpoIIIAH throughout engulfment. SpoIIQ, but not SpoIIQ(H120S) , binds Zn(2+) , and metal absence alters the SpoIIQ-SpoIIIAH complex in vitro. Possibly, SpoIIQ(H120S) supports normal engulfment in some cells but not a second function of the complex, required following engulfment completion. We show that cells of the spoIIQ or spoIIIAH mutants that complete engulfment are impaired in post-engulfment, forespore and mother cell-specific gene expression, suggesting a channel-like function. Both engulfment and a channel-like function may be ancestral functions of SpoIIQ-SpoIIIAH while the requirement for engulfment was alleviated through the emergence of redundant mechanisms in B. subtilis and related organisms. &lt;br&gt;&lt;br&gt;© 2015 The Authors. Molecular Microbiology published by John Wiley &amp; Sons Ltd.","author":[{"family":"Serrano","given":"Mónica"},{"family":"Crawshaw","given":"Adam D"},{"family":"Dembek","given":"Marcin"},{"family":"Monteiro","given":"João M"},{"family":"Pereira","given":"Fátima C"},{"family":"Pinho","given":"Mariana Gomes"},{"family":"Fairweather","given":"Neil F"},{"family":"Salgado","given":"Paula S"},{"family":"Henriques","given":"Adriano O"}],"authorYearDisplayFormat":false,"citation-label":"6776744","container-title":"Molecular Microbiology","container-title-short":"Mol. Microbiol.","id":"6776744","invisible":false,"issue":"1","issued":{"date-parts":[["2016","4"]]},"journalAbbreviation":"Mol. Microbiol.","page":"204-228","suppress-author":false,"title":"The SpoIIQ-SpoIIIAH complex of Clostridium difficile controls forespore engulfment and late stages of gene expression and spore morphogenesis.","type":"article-journal","volume":"100"}]</w:instrText>
      </w:r>
      <w:r w:rsidRPr="00AF31F4">
        <w:rPr>
          <w:bCs/>
        </w:rPr>
        <w:fldChar w:fldCharType="separate"/>
      </w:r>
      <w:r w:rsidRPr="00C85866">
        <w:rPr>
          <w:bCs/>
          <w:noProof/>
          <w:vertAlign w:val="superscript"/>
        </w:rPr>
        <w:t>32–34</w:t>
      </w:r>
      <w:r w:rsidRPr="00AF31F4">
        <w:rPr>
          <w:bCs/>
        </w:rPr>
        <w:fldChar w:fldCharType="end"/>
      </w:r>
      <w:r w:rsidRPr="00AF31F4">
        <w:rPr>
          <w:bCs/>
        </w:rPr>
        <w:t xml:space="preserve"> Successful engulfment requires the steady degradation of mother cell wall composed of peptidoglycan and proceeds via a “zipper-like” mechanism.</w:t>
      </w:r>
      <w:r w:rsidRPr="00AF31F4">
        <w:rPr>
          <w:bCs/>
        </w:rPr>
        <w:fldChar w:fldCharType="begin"/>
      </w:r>
      <w:r>
        <w:rPr>
          <w:bCs/>
        </w:rPr>
        <w:instrText>ADDIN F1000_CSL_CITATION&lt;~#@#~&gt;[{"DOI":"10.1111/mmi.14090","First":false,"Last":false,"PMCID":"PMC6311989","PMID":"30066347","abstract":"Spore formation is essential for the bacterial pathogen and obligate anaerobe, Clostridioides (Clostridium) difficile, to transmit disease. Completion of this process depends on the mother cell engulfing the developing forespore, but little is known about how engulfment occurs in C. difficile. In Bacillus subtilis, engulfment is mediated by a peptidoglycan degradation complex consisting of SpoIID, SpoIIP and SpoIIM, which are all individually required for spore formation. Using genetic analyses, we determined the functions of these engulfment-related proteins along with the putative endopeptidase, SpoIIQ, during C. difficile sporulation. While SpoIID, SpoIIP and SpoIIQ were critical for engulfment, loss of SpoIIM minimally impacted C. difficile spore formation. Interestingly, a small percentage of ∆spoIID and ∆spoIIQ cells generated heat-resistant spores through the actions of SpoIIQ and SpoIID, respectively. Loss of SpoIID and SpoIIQ also led to unique morphological phenotypes: asymmetric engulfment and forespore distortions, respectively. Catalytic mutant complementation analyses revealed that these phenotypes depend on the enzymatic activities of SpoIIP and SpoIID, respectively. Lastly, engulfment mutants mislocalized polymerized coat even though the basement layer coat proteins, SpoIVA and SipL, remained associated with the forespore. Collectively, these findings advance our understanding of several stages during infectious C. difficile spore assembly.&lt;br&gt;&lt;br&gt;© 2018 The Authors Molecular Microbiology Published by John Wiley &amp; Sons Ltd.","author":[{"family":"Ribis","given":"John W"},{"family":"Fimlaid","given":"Kelly A"},{"family":"Shen","given":"Aimee"}],"authorYearDisplayFormat":false,"citation-label":"6266024","container-title":"Molecular Microbiology","container-title-short":"Mol. Microbiol.","id":"6266024","invisible":false,"issue":"3","issued":{"date-parts":[["2018"]]},"journalAbbreviation":"Mol. Microbiol.","page":"370-389","suppress-author":false,"title":"Differential requirements for conserved peptidoglycan remodeling enzymes during Clostridioides difficile spore formation.","type":"article-journal","volume":"110"}]</w:instrText>
      </w:r>
      <w:r w:rsidRPr="00AF31F4">
        <w:rPr>
          <w:bCs/>
        </w:rPr>
        <w:fldChar w:fldCharType="separate"/>
      </w:r>
      <w:r w:rsidRPr="00C85866">
        <w:rPr>
          <w:bCs/>
          <w:noProof/>
          <w:vertAlign w:val="superscript"/>
        </w:rPr>
        <w:t>32</w:t>
      </w:r>
      <w:r w:rsidRPr="00AF31F4">
        <w:rPr>
          <w:bCs/>
        </w:rPr>
        <w:fldChar w:fldCharType="end"/>
      </w:r>
      <w:r w:rsidRPr="00AF31F4">
        <w:rPr>
          <w:bCs/>
        </w:rPr>
        <w:t xml:space="preserve"> SpoIID engulfment machinery “pulls” the mother cell around the forespore, while SpoIIP degrades peptidoglycan coordinated by the scaffolding protein SpoIIM, to enclose the forespore within the germ cell wall and form a layer of the outer spore coat. Loss of SpoIID, SpoIIP, or SpoIIM will trigger the engulfment </w:t>
      </w:r>
      <w:r w:rsidRPr="00AF31F4">
        <w:rPr>
          <w:bCs/>
        </w:rPr>
        <w:lastRenderedPageBreak/>
        <w:t xml:space="preserve">vesicle to collapse, and push the small compartment outward. </w:t>
      </w:r>
      <w:r w:rsidRPr="00AF31F4">
        <w:rPr>
          <w:bCs/>
        </w:rPr>
        <w:sym w:font="Symbol" w:char="F044"/>
      </w:r>
      <w:r w:rsidRPr="00AF31F4">
        <w:rPr>
          <w:bCs/>
        </w:rPr>
        <w:t xml:space="preserve">P1 and </w:t>
      </w:r>
      <w:r w:rsidRPr="00AF31F4">
        <w:t xml:space="preserve">ΔP1P2 lack SpoIIP expression, offering a possible explanation as to why the possibly defective forespore engulfment occurs in the former, and inhibited in the latter. </w:t>
      </w:r>
    </w:p>
    <w:p w14:paraId="752AAC2D" w14:textId="77777777" w:rsidR="00C6592F" w:rsidRPr="00AF31F4" w:rsidRDefault="00C6592F" w:rsidP="00C6592F">
      <w:pPr>
        <w:jc w:val="both"/>
        <w:rPr>
          <w:bCs/>
        </w:rPr>
      </w:pPr>
    </w:p>
    <w:p w14:paraId="011C1DB5" w14:textId="0EA76A79" w:rsidR="00C6592F" w:rsidRDefault="00C6592F" w:rsidP="004E7821">
      <w:pPr>
        <w:pStyle w:val="Heading2"/>
      </w:pPr>
      <w:bookmarkStart w:id="77" w:name="_Toc8392765"/>
      <w:r w:rsidRPr="00AE6C6D">
        <w:t>3.</w:t>
      </w:r>
      <w:r w:rsidR="00C363D7">
        <w:t>4</w:t>
      </w:r>
      <w:r w:rsidRPr="00AE6C6D">
        <w:t xml:space="preserve"> Discussion</w:t>
      </w:r>
      <w:bookmarkEnd w:id="77"/>
    </w:p>
    <w:p w14:paraId="67E2B6F6" w14:textId="6495C530" w:rsidR="0032380F" w:rsidRDefault="009D089F" w:rsidP="0032380F">
      <w:pPr>
        <w:keepNext/>
      </w:pPr>
      <w:r>
        <w:rPr>
          <w:noProof/>
        </w:rPr>
        <w:drawing>
          <wp:inline distT="0" distB="0" distL="0" distR="0" wp14:anchorId="60BAB6E0" wp14:editId="32F91DBB">
            <wp:extent cx="5394960" cy="4070985"/>
            <wp:effectExtent l="0" t="0" r="2540" b="5715"/>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sporeposre.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94960" cy="4070985"/>
                    </a:xfrm>
                    <a:prstGeom prst="rect">
                      <a:avLst/>
                    </a:prstGeom>
                  </pic:spPr>
                </pic:pic>
              </a:graphicData>
            </a:graphic>
          </wp:inline>
        </w:drawing>
      </w:r>
    </w:p>
    <w:p w14:paraId="27D0991C" w14:textId="717E6F02" w:rsidR="0032380F" w:rsidRDefault="0032380F" w:rsidP="0032380F">
      <w:pPr>
        <w:pStyle w:val="Caption"/>
      </w:pPr>
      <w:r>
        <w:t xml:space="preserve">Figure </w:t>
      </w:r>
      <w:r w:rsidR="00D2676A">
        <w:t>3.11</w:t>
      </w:r>
      <w:r>
        <w:t xml:space="preserve"> </w:t>
      </w:r>
      <w:r w:rsidR="00F76CFF">
        <w:t>Venn-diagram summary conclusion</w:t>
      </w:r>
    </w:p>
    <w:p w14:paraId="3F9AA44C" w14:textId="6C7A3B60" w:rsidR="0032380F" w:rsidRDefault="00F76CFF" w:rsidP="00F76CFF">
      <w:pPr>
        <w:spacing w:line="240" w:lineRule="auto"/>
        <w:jc w:val="both"/>
        <w:rPr>
          <w:bCs/>
        </w:rPr>
      </w:pPr>
      <w:r>
        <w:t xml:space="preserve">Summary of the overall conclusion drawn from this work. </w:t>
      </w:r>
      <w:r w:rsidRPr="00AF31F4">
        <w:rPr>
          <w:bCs/>
        </w:rPr>
        <w:sym w:font="Symbol" w:char="F044"/>
      </w:r>
      <w:r w:rsidRPr="00AF31F4">
        <w:rPr>
          <w:bCs/>
        </w:rPr>
        <w:t>P1</w:t>
      </w:r>
      <w:r>
        <w:rPr>
          <w:bCs/>
        </w:rPr>
        <w:t xml:space="preserve"> frequently fails to engulf the forespore, producing less spores overall. </w:t>
      </w:r>
      <w:r w:rsidRPr="00AF31F4">
        <w:rPr>
          <w:bCs/>
        </w:rPr>
        <w:sym w:font="Symbol" w:char="F044"/>
      </w:r>
      <w:r w:rsidRPr="00AF31F4">
        <w:rPr>
          <w:bCs/>
        </w:rPr>
        <w:t>P</w:t>
      </w:r>
      <w:r>
        <w:rPr>
          <w:bCs/>
        </w:rPr>
        <w:t xml:space="preserve">2 Is similar to WT in spore efficiency, but appears to make more pre-spore structures. </w:t>
      </w:r>
      <w:r w:rsidRPr="00AF31F4">
        <w:rPr>
          <w:bCs/>
        </w:rPr>
        <w:sym w:font="Symbol" w:char="F044"/>
      </w:r>
      <w:r w:rsidRPr="00AF31F4">
        <w:rPr>
          <w:bCs/>
        </w:rPr>
        <w:t>P1</w:t>
      </w:r>
      <w:r>
        <w:rPr>
          <w:bCs/>
        </w:rPr>
        <w:t>P2 is unable to produce mature spores.</w:t>
      </w:r>
    </w:p>
    <w:p w14:paraId="2844B5AE" w14:textId="77777777" w:rsidR="00F76CFF" w:rsidRPr="0032380F" w:rsidRDefault="00F76CFF" w:rsidP="00F76CFF">
      <w:pPr>
        <w:spacing w:line="240" w:lineRule="auto"/>
        <w:jc w:val="both"/>
      </w:pPr>
    </w:p>
    <w:p w14:paraId="2EAC56D6" w14:textId="424CA9C8" w:rsidR="00C6592F" w:rsidRPr="00AF31F4" w:rsidRDefault="00C6592F" w:rsidP="00C6592F">
      <w:pPr>
        <w:ind w:firstLine="720"/>
        <w:jc w:val="both"/>
        <w:rPr>
          <w:bCs/>
        </w:rPr>
      </w:pPr>
      <w:r w:rsidRPr="00AF31F4">
        <w:rPr>
          <w:bCs/>
        </w:rPr>
        <w:t xml:space="preserve">The work described in this chapter builds upon work described in Chapter 2, which describes the biochemical characterization of recombinant ClpP1 and ClpP2 </w:t>
      </w:r>
      <w:r w:rsidRPr="00AF31F4">
        <w:rPr>
          <w:bCs/>
          <w:i/>
        </w:rPr>
        <w:t>in vitro</w:t>
      </w:r>
      <w:r w:rsidRPr="00AF31F4">
        <w:rPr>
          <w:bCs/>
        </w:rPr>
        <w:t xml:space="preserve">. Our results from this study broadly reveal differences in sporulation and cytotoxicity </w:t>
      </w:r>
      <w:r w:rsidRPr="00AF31F4">
        <w:rPr>
          <w:bCs/>
        </w:rPr>
        <w:lastRenderedPageBreak/>
        <w:t xml:space="preserve">phenotypes for all of the ClpP mutants generated. We to successfully produced knockout mutants of </w:t>
      </w:r>
      <w:r w:rsidRPr="00AF31F4">
        <w:rPr>
          <w:bCs/>
          <w:i/>
        </w:rPr>
        <w:t>clpP1</w:t>
      </w:r>
      <w:r w:rsidRPr="00AF31F4">
        <w:rPr>
          <w:bCs/>
        </w:rPr>
        <w:t xml:space="preserve">, </w:t>
      </w:r>
      <w:r w:rsidRPr="00AF31F4">
        <w:rPr>
          <w:bCs/>
          <w:i/>
        </w:rPr>
        <w:t>clpP2</w:t>
      </w:r>
      <w:r w:rsidRPr="00AF31F4">
        <w:rPr>
          <w:bCs/>
        </w:rPr>
        <w:t xml:space="preserve">, and the dual </w:t>
      </w:r>
      <w:r w:rsidRPr="00AF31F4">
        <w:rPr>
          <w:bCs/>
          <w:i/>
        </w:rPr>
        <w:t>clpP1/clpP2</w:t>
      </w:r>
      <w:r w:rsidRPr="00AF31F4">
        <w:rPr>
          <w:bCs/>
        </w:rPr>
        <w:t xml:space="preserve">. Our attempts at </w:t>
      </w:r>
      <w:r w:rsidRPr="00AF31F4">
        <w:rPr>
          <w:bCs/>
        </w:rPr>
        <w:sym w:font="Symbol" w:char="F044"/>
      </w:r>
      <w:r w:rsidRPr="00AF31F4">
        <w:rPr>
          <w:bCs/>
        </w:rPr>
        <w:t xml:space="preserve">P1P2 complementation have failed thus far due to the inherent design of the CRISPR/Cas9 mutagenesis system employed. Complements have been produced for both </w:t>
      </w:r>
      <w:r w:rsidRPr="00AF31F4">
        <w:rPr>
          <w:bCs/>
          <w:i/>
        </w:rPr>
        <w:t xml:space="preserve">clpP1 </w:t>
      </w:r>
      <w:r w:rsidRPr="00AF31F4">
        <w:rPr>
          <w:bCs/>
        </w:rPr>
        <w:t xml:space="preserve">and </w:t>
      </w:r>
      <w:r w:rsidRPr="00AF31F4">
        <w:rPr>
          <w:bCs/>
          <w:i/>
        </w:rPr>
        <w:t>clpP2</w:t>
      </w:r>
      <w:r w:rsidRPr="00AF31F4">
        <w:rPr>
          <w:bCs/>
        </w:rPr>
        <w:t xml:space="preserve">, but we have had difficulty replicating experimental results to demonstrate reversion to WT behavior. We believe this is likely due to the requirement of thiamphenicol within the culture media during complementation growth. This is needed to select for </w:t>
      </w:r>
      <w:r w:rsidR="00AB3480" w:rsidRPr="00AB3480">
        <w:rPr>
          <w:bCs/>
          <w:i/>
        </w:rPr>
        <w:t>C. difficile</w:t>
      </w:r>
      <w:r w:rsidRPr="00AF31F4">
        <w:rPr>
          <w:bCs/>
          <w:i/>
        </w:rPr>
        <w:t xml:space="preserve"> </w:t>
      </w:r>
      <w:r w:rsidRPr="00AF31F4">
        <w:rPr>
          <w:bCs/>
        </w:rPr>
        <w:t xml:space="preserve">that retains the complement plasmid encoding thiamphenicol resistance. Thiamphenicol degrades rapidly at elevated temperatures and we speculate that as the concentration decreases, </w:t>
      </w:r>
      <w:r w:rsidR="00AB3480" w:rsidRPr="00AB3480">
        <w:rPr>
          <w:bCs/>
          <w:i/>
        </w:rPr>
        <w:t>C. difficile</w:t>
      </w:r>
      <w:r w:rsidRPr="00AF31F4">
        <w:rPr>
          <w:bCs/>
          <w:i/>
        </w:rPr>
        <w:t xml:space="preserve"> </w:t>
      </w:r>
      <w:r w:rsidRPr="00AF31F4">
        <w:rPr>
          <w:bCs/>
        </w:rPr>
        <w:t>rejects the plasmid and reverts back to the mutant phenotype.</w:t>
      </w:r>
      <w:r w:rsidRPr="00AF31F4">
        <w:rPr>
          <w:bCs/>
        </w:rPr>
        <w:fldChar w:fldCharType="begin"/>
      </w:r>
      <w:r>
        <w:rPr>
          <w:bCs/>
        </w:rPr>
        <w:instrText>ADDIN F1000_CSL_CITATION&lt;~#@#~&gt;[{"DOI":"10.1016/S0580-9517(08)70016-3","First":false,"ISBN":"9780125215374","Last":false,"author":[{"family":"Tyurin","given":"Michael V"},{"family":"Lynd","given":"Lee R"},{"family":"Wiegel","given":"Juergen"}],"authorYearDisplayFormat":false,"citation-label":"6768855","collection-title":"Methods in Microbiology","id":"6768855","invisible":false,"issued":{"date-parts":[["2006"]]},"page":"309-330","publisher":"Elsevier","suppress-author":false,"title":"13 gene transfer systems for obligately anaerobic thermophilic bacteria","type":"chapter","volume":"35"}]</w:instrText>
      </w:r>
      <w:r w:rsidRPr="00AF31F4">
        <w:rPr>
          <w:bCs/>
        </w:rPr>
        <w:fldChar w:fldCharType="separate"/>
      </w:r>
      <w:r w:rsidRPr="00C85866">
        <w:rPr>
          <w:bCs/>
          <w:noProof/>
          <w:vertAlign w:val="superscript"/>
        </w:rPr>
        <w:t>35</w:t>
      </w:r>
      <w:r w:rsidRPr="00AF31F4">
        <w:rPr>
          <w:bCs/>
        </w:rPr>
        <w:fldChar w:fldCharType="end"/>
      </w:r>
      <w:r w:rsidRPr="00AF31F4">
        <w:rPr>
          <w:bCs/>
        </w:rPr>
        <w:t xml:space="preserve"> </w:t>
      </w:r>
    </w:p>
    <w:p w14:paraId="248C1E6C" w14:textId="271EEB1B" w:rsidR="00C6592F" w:rsidRPr="00AF31F4" w:rsidRDefault="00C6592F" w:rsidP="00C6592F">
      <w:pPr>
        <w:ind w:firstLine="720"/>
        <w:jc w:val="both"/>
        <w:rPr>
          <w:bCs/>
        </w:rPr>
      </w:pPr>
      <w:r w:rsidRPr="00AF31F4">
        <w:rPr>
          <w:bCs/>
        </w:rPr>
        <w:t xml:space="preserve"> To address this issue, we have pivoted to a new strategy, which will incorporate the CRISPR/Cas9 machinery into the </w:t>
      </w:r>
      <w:r w:rsidR="00AB3480" w:rsidRPr="00AB3480">
        <w:rPr>
          <w:bCs/>
          <w:i/>
        </w:rPr>
        <w:t>C. difficile</w:t>
      </w:r>
      <w:r w:rsidRPr="00AF31F4">
        <w:rPr>
          <w:bCs/>
        </w:rPr>
        <w:t xml:space="preserve"> chromosome, allowing tunable genetic silencing via the introduction of targeting vectors. The targeting vectors will contain our guide sequence (gRNA) and be integrated chromosomally via homologous recombination. In this manner, the CRISPR/Cas9 machinery will be natively expressed at a basal rate and integration of the targeting vector to the CRISPR/Cas9 operon will ensure our gRNA will be produced. Therefore, it is not necessary to retain the targeting vector as the point mutation will be permanent. Our current vector contains the CRIPSR/Cas9 machinery, thiamphenicol resistance, gRNA, and homologous recombination region resulting in a &gt;10kb plasmid. This reduces the likelihood it is retained during normal binary division. Integration to the chromosome will lower the size of the plasmid to 2</w:t>
      </w:r>
      <w:r w:rsidR="0012418F">
        <w:rPr>
          <w:bCs/>
        </w:rPr>
        <w:t xml:space="preserve"> </w:t>
      </w:r>
      <w:r w:rsidRPr="00AF31F4">
        <w:rPr>
          <w:bCs/>
        </w:rPr>
        <w:t xml:space="preserve">kb, significantly increasing the likelihood complementation will be successful. As stated earlier, whole genome sequencing was performed on our WT strain of </w:t>
      </w:r>
      <w:r w:rsidR="00AB3480" w:rsidRPr="00AB3480">
        <w:rPr>
          <w:bCs/>
          <w:i/>
        </w:rPr>
        <w:t>C. difficile</w:t>
      </w:r>
      <w:r w:rsidRPr="00AF31F4">
        <w:rPr>
          <w:bCs/>
          <w:i/>
        </w:rPr>
        <w:t xml:space="preserve"> </w:t>
      </w:r>
      <w:r w:rsidRPr="00AF31F4">
        <w:rPr>
          <w:bCs/>
        </w:rPr>
        <w:t xml:space="preserve">630 along with biological triplicates of each mutant. No off-target mutations were observed, and no </w:t>
      </w:r>
      <w:r w:rsidRPr="00AF31F4">
        <w:rPr>
          <w:bCs/>
        </w:rPr>
        <w:lastRenderedPageBreak/>
        <w:t>mutations were present in any gene known to impact sporulation or virulence prior to or after CRISPR/Cas9 mutagenesis. Thus, we are confident that an alteration in experimental approach will provide a means to overcome the short-comings of the previous strategy.</w:t>
      </w:r>
    </w:p>
    <w:p w14:paraId="2E77C993" w14:textId="4FE971EC" w:rsidR="00C6592F" w:rsidRPr="00AF31F4" w:rsidRDefault="00C6592F" w:rsidP="00C6592F">
      <w:pPr>
        <w:ind w:firstLine="720"/>
        <w:jc w:val="both"/>
        <w:rPr>
          <w:bCs/>
        </w:rPr>
      </w:pPr>
      <w:r w:rsidRPr="00AF31F4">
        <w:rPr>
          <w:bCs/>
        </w:rPr>
        <w:t>Loss of either ClpP1 or ClpP2 equally decreases cytotoxicity and loss of both homologs additively reduce cytotoxicity against both CHO and Caco-2 cell lines. Growth profiles for all mutants vary in response to elevated temperature, with significant differences observed when grown in a defined minimal medium,</w:t>
      </w:r>
      <w:r w:rsidR="001F6171">
        <w:rPr>
          <w:bCs/>
          <w:vertAlign w:val="superscript"/>
        </w:rPr>
        <w:t>37,38</w:t>
      </w:r>
      <w:r w:rsidRPr="00AF31F4">
        <w:rPr>
          <w:bCs/>
        </w:rPr>
        <w:t xml:space="preserve"> particularly under heat-shock. Heat-treating cells reveals a reduced sporulation efficiency for </w:t>
      </w:r>
      <w:r w:rsidRPr="00AF31F4">
        <w:rPr>
          <w:bCs/>
        </w:rPr>
        <w:sym w:font="Symbol" w:char="F044"/>
      </w:r>
      <w:r w:rsidRPr="00AF31F4">
        <w:rPr>
          <w:bCs/>
        </w:rPr>
        <w:t xml:space="preserve">P1, 69% lower than the WT. Spores produced by </w:t>
      </w:r>
      <w:r w:rsidRPr="00AF31F4">
        <w:rPr>
          <w:bCs/>
        </w:rPr>
        <w:sym w:font="Symbol" w:char="F044"/>
      </w:r>
      <w:r w:rsidRPr="00AF31F4">
        <w:rPr>
          <w:bCs/>
        </w:rPr>
        <w:t xml:space="preserve">P1 are more susceptible to heat-inactivation, in contrast to </w:t>
      </w:r>
      <w:r w:rsidRPr="00AF31F4">
        <w:rPr>
          <w:bCs/>
        </w:rPr>
        <w:sym w:font="Symbol" w:char="F044"/>
      </w:r>
      <w:r w:rsidRPr="00AF31F4">
        <w:rPr>
          <w:bCs/>
        </w:rPr>
        <w:t xml:space="preserve">P2 which possess a sporulation efficiency similar to the WT. This differs from spore quantitation results produced via bright field microscopy that suggest </w:t>
      </w:r>
      <w:r w:rsidRPr="00AF31F4">
        <w:rPr>
          <w:bCs/>
        </w:rPr>
        <w:sym w:font="Symbol" w:char="F044"/>
      </w:r>
      <w:r w:rsidRPr="00AF31F4">
        <w:rPr>
          <w:bCs/>
        </w:rPr>
        <w:t xml:space="preserve">P2 may produce spores that are immature and therefore heat-intolerant. We failed to observe any </w:t>
      </w:r>
      <w:r w:rsidRPr="00AF31F4">
        <w:rPr>
          <w:bCs/>
        </w:rPr>
        <w:sym w:font="Symbol" w:char="F044"/>
      </w:r>
      <w:r w:rsidRPr="00AF31F4">
        <w:rPr>
          <w:bCs/>
        </w:rPr>
        <w:t xml:space="preserve">P1P2 spores post heat-treatment, indicating that any spores observed via bright field microscopy were immature or were phase-bright artifacts. From these results, we determined that sporulation is substantially inhibited in </w:t>
      </w:r>
      <w:r w:rsidRPr="00AF31F4">
        <w:rPr>
          <w:bCs/>
        </w:rPr>
        <w:sym w:font="Symbol" w:char="F044"/>
      </w:r>
      <w:r w:rsidRPr="00AF31F4">
        <w:rPr>
          <w:bCs/>
        </w:rPr>
        <w:t xml:space="preserve">P1, and unlikely to occur in </w:t>
      </w:r>
      <w:r w:rsidRPr="00AF31F4">
        <w:rPr>
          <w:bCs/>
        </w:rPr>
        <w:sym w:font="Symbol" w:char="F044"/>
      </w:r>
      <w:r w:rsidRPr="00AF31F4">
        <w:rPr>
          <w:bCs/>
        </w:rPr>
        <w:t xml:space="preserve">P1P2. </w:t>
      </w:r>
      <w:r w:rsidRPr="00AF31F4">
        <w:rPr>
          <w:bCs/>
        </w:rPr>
        <w:sym w:font="Symbol" w:char="F044"/>
      </w:r>
      <w:r w:rsidRPr="00AF31F4">
        <w:rPr>
          <w:bCs/>
        </w:rPr>
        <w:t>P2 maintained similar levels of sporulation to the WT.</w:t>
      </w:r>
    </w:p>
    <w:p w14:paraId="447CCE4D" w14:textId="77777777" w:rsidR="00C6592F" w:rsidRPr="00AF31F4" w:rsidRDefault="00C6592F" w:rsidP="00C6592F">
      <w:pPr>
        <w:ind w:firstLine="720"/>
        <w:jc w:val="both"/>
        <w:rPr>
          <w:bCs/>
        </w:rPr>
      </w:pPr>
      <w:r w:rsidRPr="00AF31F4">
        <w:rPr>
          <w:bCs/>
        </w:rPr>
        <w:sym w:font="Symbol" w:char="F044"/>
      </w:r>
      <w:r w:rsidRPr="00AF31F4">
        <w:rPr>
          <w:bCs/>
        </w:rPr>
        <w:t xml:space="preserve">P1 forespore engulfment overlaps between the forespore and cell wall, which was not frequently observed in WT, which may be indicative of defective engulfment. The intracellular location of </w:t>
      </w:r>
      <w:r w:rsidRPr="00AF31F4">
        <w:rPr>
          <w:bCs/>
        </w:rPr>
        <w:sym w:font="Symbol" w:char="F044"/>
      </w:r>
      <w:r w:rsidRPr="00AF31F4">
        <w:rPr>
          <w:bCs/>
        </w:rPr>
        <w:t xml:space="preserve">P2 forespores varies, which may allow for the forespore to disengage or prematurely release from the mother cell. The elongated </w:t>
      </w:r>
      <w:r w:rsidRPr="00AF31F4">
        <w:rPr>
          <w:bCs/>
        </w:rPr>
        <w:sym w:font="Symbol" w:char="F044"/>
      </w:r>
      <w:r w:rsidRPr="00AF31F4">
        <w:rPr>
          <w:bCs/>
        </w:rPr>
        <w:t xml:space="preserve">P1P2 mutant commonly forms multiple brightly staining spore-like structures throughout the length of the cell. The brightly stained vesicles could also be septa, repetitively forming and dividing, and so on to elongate the cell. Hoescht stain trails one of the lipid-dense areas, suggesting </w:t>
      </w:r>
      <w:r w:rsidRPr="00AF31F4">
        <w:rPr>
          <w:bCs/>
        </w:rPr>
        <w:lastRenderedPageBreak/>
        <w:t>DNA condensation towards that point which is a precursor to asymmetric division. These results demonstrate a lack of coordinated asymmetric division, and irregular sporulation initiation occurring towards the cell poles.</w:t>
      </w:r>
    </w:p>
    <w:p w14:paraId="03034385" w14:textId="77777777" w:rsidR="00C6592F" w:rsidRPr="00AF31F4" w:rsidRDefault="00C6592F" w:rsidP="00C6592F">
      <w:pPr>
        <w:ind w:firstLine="720"/>
        <w:jc w:val="both"/>
        <w:rPr>
          <w:bCs/>
        </w:rPr>
      </w:pPr>
      <w:r w:rsidRPr="00AF31F4">
        <w:rPr>
          <w:bCs/>
        </w:rPr>
        <w:t xml:space="preserve">TEM results demonstrated the ability of </w:t>
      </w:r>
      <w:r w:rsidRPr="00AF31F4">
        <w:rPr>
          <w:bCs/>
        </w:rPr>
        <w:sym w:font="Symbol" w:char="F044"/>
      </w:r>
      <w:r w:rsidRPr="00AF31F4">
        <w:rPr>
          <w:bCs/>
        </w:rPr>
        <w:t xml:space="preserve">P1 and </w:t>
      </w:r>
      <w:r w:rsidRPr="00AF31F4">
        <w:rPr>
          <w:bCs/>
        </w:rPr>
        <w:sym w:font="Symbol" w:char="F044"/>
      </w:r>
      <w:r w:rsidRPr="00AF31F4">
        <w:rPr>
          <w:bCs/>
        </w:rPr>
        <w:t xml:space="preserve">P2 to sporulate, while </w:t>
      </w:r>
      <w:r w:rsidRPr="00AF31F4">
        <w:rPr>
          <w:bCs/>
        </w:rPr>
        <w:sym w:font="Symbol" w:char="F044"/>
      </w:r>
      <w:r w:rsidRPr="00AF31F4">
        <w:rPr>
          <w:bCs/>
        </w:rPr>
        <w:t xml:space="preserve">P1P2 failed to produce spores or forespores. </w:t>
      </w:r>
      <w:r w:rsidRPr="00AF31F4">
        <w:rPr>
          <w:bCs/>
        </w:rPr>
        <w:sym w:font="Symbol" w:char="F044"/>
      </w:r>
      <w:r w:rsidRPr="00AF31F4">
        <w:rPr>
          <w:bCs/>
        </w:rPr>
        <w:t xml:space="preserve">P1 is able to overcome what appears to be delayed or stalled engulfment, though phenotypic abnormalities seem to arise during sporulation, to produce mature spores that are morphologically similar to WT. </w:t>
      </w:r>
      <w:r w:rsidRPr="00AF31F4">
        <w:rPr>
          <w:bCs/>
        </w:rPr>
        <w:sym w:font="Symbol" w:char="F044"/>
      </w:r>
      <w:r w:rsidRPr="00AF31F4">
        <w:rPr>
          <w:bCs/>
        </w:rPr>
        <w:t xml:space="preserve">P2 mutants do not show an abnormal sporulation phenotype. Instead, loss of ClpP2 function leads to overproduction of small vesicles also apparent in </w:t>
      </w:r>
      <w:r w:rsidRPr="00AF31F4">
        <w:rPr>
          <w:bCs/>
        </w:rPr>
        <w:sym w:font="Symbol" w:char="F044"/>
      </w:r>
      <w:r w:rsidRPr="00AF31F4">
        <w:rPr>
          <w:bCs/>
        </w:rPr>
        <w:t xml:space="preserve">P1P2 mutants. </w:t>
      </w:r>
      <w:r w:rsidRPr="00AF31F4">
        <w:rPr>
          <w:bCs/>
        </w:rPr>
        <w:sym w:font="Symbol" w:char="F044"/>
      </w:r>
      <w:r w:rsidRPr="00AF31F4">
        <w:rPr>
          <w:bCs/>
        </w:rPr>
        <w:t xml:space="preserve">P1P2 produces circular vesicles similar in size to mature spores, though no characteristic spore layers form. Purified spore samples analyzed via TEM also show fully mature spores produce by </w:t>
      </w:r>
      <w:r w:rsidRPr="00AF31F4">
        <w:rPr>
          <w:bCs/>
        </w:rPr>
        <w:sym w:font="Symbol" w:char="F044"/>
      </w:r>
      <w:r w:rsidRPr="00AF31F4">
        <w:rPr>
          <w:bCs/>
        </w:rPr>
        <w:t xml:space="preserve">P1 and </w:t>
      </w:r>
      <w:r w:rsidRPr="00AF31F4">
        <w:rPr>
          <w:bCs/>
        </w:rPr>
        <w:sym w:font="Symbol" w:char="F044"/>
      </w:r>
      <w:r w:rsidRPr="00AF31F4">
        <w:rPr>
          <w:bCs/>
        </w:rPr>
        <w:t xml:space="preserve">P2 mutants, whereas the </w:t>
      </w:r>
      <w:r w:rsidRPr="00AF31F4">
        <w:rPr>
          <w:bCs/>
        </w:rPr>
        <w:sym w:font="Symbol" w:char="F044"/>
      </w:r>
      <w:r w:rsidRPr="00AF31F4">
        <w:rPr>
          <w:bCs/>
        </w:rPr>
        <w:t>P1P2 mutant produces only the pseudo-spore husks.</w:t>
      </w:r>
    </w:p>
    <w:p w14:paraId="2F41F187" w14:textId="77777777" w:rsidR="00C6592F" w:rsidRPr="00AF31F4" w:rsidRDefault="00C6592F" w:rsidP="00C6592F">
      <w:pPr>
        <w:ind w:firstLine="720"/>
        <w:jc w:val="both"/>
      </w:pPr>
      <w:r w:rsidRPr="00AF31F4">
        <w:rPr>
          <w:bCs/>
        </w:rPr>
        <w:t xml:space="preserve">Western blot results reveal that </w:t>
      </w:r>
      <w:r w:rsidRPr="00AF31F4">
        <w:rPr>
          <w:bCs/>
        </w:rPr>
        <w:sym w:font="Symbol" w:char="F044"/>
      </w:r>
      <w:r w:rsidRPr="00AF31F4">
        <w:rPr>
          <w:bCs/>
        </w:rPr>
        <w:t xml:space="preserve">P1 and </w:t>
      </w:r>
      <w:r w:rsidRPr="00AF31F4">
        <w:rPr>
          <w:bCs/>
        </w:rPr>
        <w:sym w:font="Symbol" w:char="F044"/>
      </w:r>
      <w:r w:rsidRPr="00AF31F4">
        <w:rPr>
          <w:bCs/>
        </w:rPr>
        <w:t xml:space="preserve">P2 overexpress </w:t>
      </w:r>
      <w:r w:rsidRPr="00AF31F4">
        <w:sym w:font="Symbol" w:char="F073"/>
      </w:r>
      <w:r w:rsidRPr="00AF31F4">
        <w:rPr>
          <w:vertAlign w:val="superscript"/>
        </w:rPr>
        <w:t>F</w:t>
      </w:r>
      <w:r w:rsidRPr="00AF31F4">
        <w:rPr>
          <w:vertAlign w:val="subscript"/>
        </w:rPr>
        <w:t>,</w:t>
      </w:r>
      <w:r w:rsidRPr="00AF31F4">
        <w:t xml:space="preserve"> which has previously been observed in </w:t>
      </w:r>
      <w:r w:rsidRPr="00AF31F4">
        <w:sym w:font="Symbol" w:char="F073"/>
      </w:r>
      <w:r w:rsidRPr="00AF31F4">
        <w:rPr>
          <w:vertAlign w:val="superscript"/>
        </w:rPr>
        <w:t>E</w:t>
      </w:r>
      <w:r w:rsidRPr="00AF31F4">
        <w:t xml:space="preserve"> mutants that exhibit a stalled sporulation phenotype.</w:t>
      </w:r>
      <w:r w:rsidRPr="00AF31F4">
        <w:fldChar w:fldCharType="begin"/>
      </w:r>
      <w:r>
        <w:instrText>ADDIN F1000_CSL_CITATION&lt;~#@#~&gt;[{"DOI":"10.1111/1574-6968.12499","First":false,"Last":false,"PMCID":"PMC4189817","PMID":"24910370","abstract":"The formation of dormant endospores is a complex morphological process that permits long-term survival in inhospitable environments for many Gram-positive bacteria. Sporulation for the anaerobic gastrointestinal pathogen Clostridium difficile is necessary for survival outside of the gastrointestinal tract of its host. While the developmental stages of spore formation are largely conserved among endospore-forming bacteria, the genus Clostridium appears to be missing a number of conserved regulators required for efficient sporulation in other spore-forming bacteria. Several recent studies have discovered novel mechanisms and distinct regulatory pathways that control the initiation of sporulation and early-sporulation-specific gene expression. These differences in regulating the decision to undergo sporulation reflects the unique ecological niche and environmental conditions that C. difficile inhabits and encounters within the mammalian host. &lt;br&gt;&lt;br&gt;© 2014 Federation of European Microbiological Societies. Published by John Wiley &amp; Sons Ltd. All rights reserved.","author":[{"family":"Edwards","given":"Adrianne N"},{"family":"McBride","given":"Shonna M"}],"authorYearDisplayFormat":false,"citation-label":"3168867","container-title":"FEMS Microbiology Letters","container-title-short":"FEMS Microbiol. Lett.","id":"3168867","invisible":false,"issue":"2","issued":{"date-parts":[["2014","9"]]},"journalAbbreviation":"FEMS Microbiol. Lett.","page":"110-118","suppress-author":false,"title":"Initiation of sporulation in Clostridium difficile: a twist on the classic model.","type":"article-journal","volume":"358"},{"DOI":"10.1371/journal.pgen.1003660","First":false,"Last":false,"PMCID":"PMC3738446","PMID":"23950727","abstract":"The Gram-positive, spore-forming pathogen Clostridium difficile is the leading definable cause of healthcare-associated diarrhea worldwide. C. difficile infections are difficult to treat because of their frequent recurrence, which can cause life-threatening complications such as pseudomembranous colitis. The spores of C. difficile are responsible for these high rates of recurrence, since they are the major transmissive form of the organism and resistant to antibiotics and many disinfectants. Despite the importance of spores to the pathogenesis of C. difficile, little is known about their composition or formation. Based on studies in Bacillus subtilis and other Clostridium spp., the sigma factors σ(F), σ(E), σ(G), and σ(K) are predicted to control the transcription of genes required for sporulation, although their specific functions vary depending on the organism. In order to determine the roles of σ(F), σ(E), σ(G), and σ(K) in regulating C. difficile sporulation, we generated loss-of-function mutations in genes encoding these sporulation sigma factors and performed RNA-Sequencing to identify specific sigma factor-dependent genes. This analysis identified 224 genes whose expression was collectively activated by sporulation sigma factors: 183 were σ(F)-dependent, 169 were σ(E)-dependent, 34 were σ(G)-dependent, and 31 were σ(K)-dependent. In contrast with B. subtilis, C. difficile σ(E) was dispensable for σ(G) activation, σ(G) was dispensable for σ(K) activation, and σ(F) was required for post-translationally activating σ(G). Collectively, these results provide the first genome-wide transcriptional analysis of genes induced by specific sporulation sigma factors in the Clostridia and highlight that diverse mechanisms regulate sporulation sigma factor activity in the Firmicutes.","author":[{"family":"Fimlaid","given":"Kelly A"},{"family":"Bond","given":"Jeffrey P"},{"family":"Schutz","given":"Kristin C"},{"family":"Putnam","given":"Emily E"},{"family":"Leung","given":"Jacqueline M"},{"family":"Lawley","given":"Trevor D"},{"family":"Shen","given":"Aimee"}],"authorYearDisplayFormat":false,"citation-label":"6516900","container-title":"PLoS Genetics","container-title-short":"PLoS Genet.","id":"6516900","invisible":false,"issue":"8","issued":{"date-parts":[["2013","8","8"]]},"journalAbbreviation":"PLoS Genet.","page":"e1003660","suppress-author":false,"title":"Global analysis of the sporulation pathway of Clostridium difficile.","type":"article-journal","volume":"9"}]</w:instrText>
      </w:r>
      <w:r w:rsidRPr="00AF31F4">
        <w:fldChar w:fldCharType="separate"/>
      </w:r>
      <w:r w:rsidRPr="00C85866">
        <w:rPr>
          <w:noProof/>
          <w:vertAlign w:val="superscript"/>
        </w:rPr>
        <w:t>16,28</w:t>
      </w:r>
      <w:r w:rsidRPr="00AF31F4">
        <w:fldChar w:fldCharType="end"/>
      </w:r>
      <w:r w:rsidRPr="00AF31F4">
        <w:t xml:space="preserve"> </w:t>
      </w:r>
      <w:r w:rsidRPr="00AF31F4">
        <w:sym w:font="Symbol" w:char="F073"/>
      </w:r>
      <w:r w:rsidRPr="00AF31F4">
        <w:rPr>
          <w:vertAlign w:val="superscript"/>
        </w:rPr>
        <w:t xml:space="preserve">E </w:t>
      </w:r>
      <w:r w:rsidRPr="00AF31F4">
        <w:rPr>
          <w:bCs/>
        </w:rPr>
        <w:t xml:space="preserve">is highly overexpressed in </w:t>
      </w:r>
      <w:r w:rsidRPr="00AF31F4">
        <w:rPr>
          <w:bCs/>
        </w:rPr>
        <w:sym w:font="Symbol" w:char="F044"/>
      </w:r>
      <w:r w:rsidRPr="00AF31F4">
        <w:rPr>
          <w:bCs/>
        </w:rPr>
        <w:t xml:space="preserve">P1, and slightly less so in </w:t>
      </w:r>
      <w:r w:rsidRPr="00AF31F4">
        <w:rPr>
          <w:bCs/>
        </w:rPr>
        <w:sym w:font="Symbol" w:char="F044"/>
      </w:r>
      <w:r w:rsidRPr="00AF31F4">
        <w:rPr>
          <w:bCs/>
        </w:rPr>
        <w:t xml:space="preserve">P2, signaling activation of sporulation factors present in the mother cell that coincide with successful engulfment. In this manner, </w:t>
      </w:r>
      <w:r w:rsidRPr="00AF31F4">
        <w:sym w:font="Symbol" w:char="F073"/>
      </w:r>
      <w:r w:rsidRPr="00AF31F4">
        <w:rPr>
          <w:vertAlign w:val="superscript"/>
        </w:rPr>
        <w:t xml:space="preserve">E </w:t>
      </w:r>
      <w:r w:rsidRPr="00AF31F4">
        <w:rPr>
          <w:bCs/>
        </w:rPr>
        <w:t xml:space="preserve">is more strongly overexpressed in </w:t>
      </w:r>
      <w:r w:rsidRPr="00AF31F4">
        <w:rPr>
          <w:bCs/>
        </w:rPr>
        <w:sym w:font="Symbol" w:char="F044"/>
      </w:r>
      <w:r w:rsidRPr="00AF31F4">
        <w:rPr>
          <w:bCs/>
        </w:rPr>
        <w:t xml:space="preserve">P1, which may indicate an attempt to rescue engulfment. Recent studies have demonstrated that </w:t>
      </w:r>
      <w:r w:rsidRPr="00AF31F4">
        <w:sym w:font="Symbol" w:char="F073"/>
      </w:r>
      <w:r w:rsidRPr="00AF31F4">
        <w:rPr>
          <w:vertAlign w:val="superscript"/>
        </w:rPr>
        <w:t xml:space="preserve">E </w:t>
      </w:r>
      <w:r w:rsidRPr="00AF31F4">
        <w:rPr>
          <w:bCs/>
        </w:rPr>
        <w:t xml:space="preserve">is required for engulfment machinery expression, offering an explanation for the </w:t>
      </w:r>
      <w:r w:rsidRPr="00AF31F4">
        <w:rPr>
          <w:bCs/>
        </w:rPr>
        <w:sym w:font="Symbol" w:char="F044"/>
      </w:r>
      <w:r w:rsidRPr="00AF31F4">
        <w:rPr>
          <w:bCs/>
        </w:rPr>
        <w:t>P1 mutant exhibiting increased evidence of stalling during this phase of sporulation.</w:t>
      </w:r>
      <w:r w:rsidRPr="00AF31F4">
        <w:rPr>
          <w:bCs/>
        </w:rPr>
        <w:fldChar w:fldCharType="begin"/>
      </w:r>
      <w:r>
        <w:rPr>
          <w:bCs/>
        </w:rPr>
        <w:instrText>ADDIN F1000_CSL_CITATION&lt;~#@#~&gt;[{"DOI":"10.1371/journal.pgen.1005562","First":false,"Last":false,"PMCID":"PMC4605598","PMID":"26465937","abstract":"Sporulation is an ancient developmental process that involves the formation of a highly resistant endospore within a larger mother cell. In the model organism Bacillus subtilis, sporulation-specific sigma factors activate compartment-specific transcriptional programs that drive spore morphogenesis. σG activity in the forespore depends on the formation of a secretion complex, known as the \"feeding tube,\" that bridges the mother cell and forespore and maintains forespore integrity. Even though these channel components are conserved in all spore formers, recent studies in the major nosocomial pathogen Clostridium difficile suggested that these components are dispensable for σG activity. In this study, we investigated the requirements of the SpoIIQ and SpoIIIA proteins during C. difficile sporulation. C. difficile spoIIQ, spoIIIA, and spoIIIAH mutants exhibited defects in engulfment, tethering of coat to the forespore, and heat-resistant spore formation, even though they activate σG at wildtype levels. Although the spoIIQ, spoIIIA, and spoIIIAH mutants were defective in engulfment, metabolic labeling studies revealed that they nevertheless actively transformed the peptidoglycan at the leading edge of engulfment. In vitro pull-down assays further demonstrated that C. difficile SpoIIQ directly interacts with SpoIIIAH. Interestingly, mutation of the conserved Walker A ATP binding motif, but not the Walker B ATP hydrolysis motif, disrupted SpoIIIAA function during C. difficile spore formation. This finding contrasts with B. subtilis, which requires both Walker A and B motifs for SpoIIIAA function. Taken together, our findings suggest that inhibiting SpoIIQ, SpoIIIAA, or SpoIIIAH function could prevent the formation of infectious C. difficile spores and thus disease transmission. ","author":[{"family":"Fimlaid","given":"Kelly A"},{"family":"Jensen","given":"Owen"},{"family":"Donnelly","given":"M Lauren"},{"family":"Siegrist","given":"M Sloan"},{"family":"Shen","given":"Aimee"}],"authorYearDisplayFormat":false,"citation-label":"6265707","container-title":"PLoS Genetics","container-title-short":"PLoS Genet.","id":"6265707","invisible":false,"issue":"10","issued":{"date-parts":[["2015","10","14"]]},"journalAbbreviation":"PLoS Genet.","page":"e1005562","suppress-author":false,"title":"Regulation of Clostridium difficile Spore Formation by the SpoIIQ and SpoIIIA Proteins.","type":"article-journal","volume":"11"},{"DOI":"10.1111/mmi.13311","First":false,"Last":false,"PMCID":"PMC4982068","PMID":"26690930","abstract":"Engulfment of the forespore by the mother cell is a universal feature of endosporulation. In Bacillus subtilis, the forespore protein SpoIIQ and the mother cell protein SpoIIIAH form a channel, essential for endosporulation, through which the developing spore is nurtured. The two proteins also form a backup system for engulfment. Unlike in B. subtilis, SpoIIQ of Clostridium difficile has intact LytM zinc-binding motifs. We show that spoIIQ or spoIIIAH deletion mutants of C. difficile result in anomalous engulfment, and that disruption of the SpoIIQ LytM domain via a single amino acid substitution (H120S) impairs engulfment differently. SpoIIQ and SpoIIQ(H120S) interact with SpoIIIAH throughout engulfment. SpoIIQ, but not SpoIIQ(H120S) , binds Zn(2+) , and metal absence alters the SpoIIQ-SpoIIIAH complex in vitro. Possibly, SpoIIQ(H120S) supports normal engulfment in some cells but not a second function of the complex, required following engulfment completion. We show that cells of the spoIIQ or spoIIIAH mutants that complete engulfment are impaired in post-engulfment, forespore and mother cell-specific gene expression, suggesting a channel-like function. Both engulfment and a channel-like function may be ancestral functions of SpoIIQ-SpoIIIAH while the requirement for engulfment was alleviated through the emergence of redundant mechanisms in B. subtilis and related organisms. &lt;br&gt;&lt;br&gt;© 2015 The Authors. Molecular Microbiology published by John Wiley &amp; Sons Ltd.","author":[{"family":"Serrano","given":"Mónica"},{"family":"Crawshaw","given":"Adam D"},{"family":"Dembek","given":"Marcin"},{"family":"Monteiro","given":"João M"},{"family":"Pereira","given":"Fátima C"},{"family":"Pinho","given":"Mariana Gomes"},{"family":"Fairweather","given":"Neil F"},{"family":"Salgado","given":"Paula S"},{"family":"Henriques","given":"Adriano O"}],"authorYearDisplayFormat":false,"citation-label":"6776744","container-title":"Molecular Microbiology","container-title-short":"Mol. Microbiol.","id":"6776744","invisible":false,"issue":"1","issued":{"date-parts":[["2016","4"]]},"journalAbbreviation":"Mol. Microbiol.","page":"204-228","suppress-author":false,"title":"The SpoIIQ-SpoIIIAH complex of Clostridium difficile controls forespore engulfment and late stages of gene expression and spore morphogenesis.","type":"article-journal","volume":"100"}]</w:instrText>
      </w:r>
      <w:r w:rsidRPr="00AF31F4">
        <w:rPr>
          <w:bCs/>
        </w:rPr>
        <w:fldChar w:fldCharType="separate"/>
      </w:r>
      <w:r w:rsidRPr="00C85866">
        <w:rPr>
          <w:bCs/>
          <w:noProof/>
          <w:vertAlign w:val="superscript"/>
        </w:rPr>
        <w:t>34,36</w:t>
      </w:r>
      <w:r w:rsidRPr="00AF31F4">
        <w:rPr>
          <w:bCs/>
        </w:rPr>
        <w:fldChar w:fldCharType="end"/>
      </w:r>
      <w:r w:rsidRPr="00AF31F4">
        <w:rPr>
          <w:bCs/>
        </w:rPr>
        <w:t xml:space="preserve"> However, </w:t>
      </w:r>
      <w:r w:rsidRPr="00AF31F4">
        <w:sym w:font="Symbol" w:char="F073"/>
      </w:r>
      <w:r w:rsidRPr="00AF31F4">
        <w:rPr>
          <w:vertAlign w:val="superscript"/>
        </w:rPr>
        <w:t xml:space="preserve">E </w:t>
      </w:r>
      <w:r w:rsidRPr="00AF31F4">
        <w:t xml:space="preserve">is dispensable in </w:t>
      </w:r>
      <w:r w:rsidRPr="00AF31F4">
        <w:sym w:font="Symbol" w:char="F073"/>
      </w:r>
      <w:r w:rsidRPr="00AF31F4">
        <w:rPr>
          <w:vertAlign w:val="superscript"/>
        </w:rPr>
        <w:t xml:space="preserve">G </w:t>
      </w:r>
      <w:r w:rsidRPr="00AF31F4">
        <w:t xml:space="preserve">activation, and </w:t>
      </w:r>
      <w:r w:rsidRPr="00AF31F4">
        <w:sym w:font="Symbol" w:char="F073"/>
      </w:r>
      <w:r w:rsidRPr="00AF31F4">
        <w:rPr>
          <w:vertAlign w:val="superscript"/>
        </w:rPr>
        <w:t xml:space="preserve">G </w:t>
      </w:r>
      <w:r w:rsidRPr="00AF31F4">
        <w:t xml:space="preserve">can be activated without the presence of </w:t>
      </w:r>
      <w:r w:rsidRPr="00AF31F4">
        <w:sym w:font="Symbol" w:char="F073"/>
      </w:r>
      <w:r w:rsidRPr="00AF31F4">
        <w:rPr>
          <w:vertAlign w:val="superscript"/>
        </w:rPr>
        <w:t xml:space="preserve">E </w:t>
      </w:r>
      <w:r w:rsidRPr="00AF31F4">
        <w:t xml:space="preserve">or </w:t>
      </w:r>
      <w:r w:rsidRPr="00AF31F4">
        <w:sym w:font="Symbol" w:char="F073"/>
      </w:r>
      <w:r w:rsidRPr="00AF31F4">
        <w:rPr>
          <w:vertAlign w:val="superscript"/>
        </w:rPr>
        <w:t>F</w:t>
      </w:r>
      <w:r w:rsidRPr="00AF31F4">
        <w:t>,</w:t>
      </w:r>
      <w:r w:rsidRPr="00AF31F4">
        <w:fldChar w:fldCharType="begin"/>
      </w:r>
      <w:r>
        <w:instrText>ADDIN F1000_CSL_CITATION&lt;~#@#~&gt;[{"DOI":"10.1371/journal.pgen.1003660","First":false,"Last":false,"PMCID":"PMC3738446","PMID":"23950727","abstract":"The Gram-positive, spore-forming pathogen Clostridium difficile is the leading definable cause of healthcare-associated diarrhea worldwide. C. difficile infections are difficult to treat because of their frequent recurrence, which can cause life-threatening complications such as pseudomembranous colitis. The spores of C. difficile are responsible for these high rates of recurrence, since they are the major transmissive form of the organism and resistant to antibiotics and many disinfectants. Despite the importance of spores to the pathogenesis of C. difficile, little is known about their composition or formation. Based on studies in Bacillus subtilis and other Clostridium spp., the sigma factors σ(F), σ(E), σ(G), and σ(K) are predicted to control the transcription of genes required for sporulation, although their specific functions vary depending on the organism. In order to determine the roles of σ(F), σ(E), σ(G), and σ(K) in regulating C. difficile sporulation, we generated loss-of-function mutations in genes encoding these sporulation sigma factors and performed RNA-Sequencing to identify specific sigma factor-dependent genes. This analysis identified 224 genes whose expression was collectively activated by sporulation sigma factors: 183 were σ(F)-dependent, 169 were σ(E)-dependent, 34 were σ(G)-dependent, and 31 were σ(K)-dependent. In contrast with B. subtilis, C. difficile σ(E) was dispensable for σ(G) activation, σ(G) was dispensable for σ(K) activation, and σ(F) was required for post-translationally activating σ(G). Collectively, these results provide the first genome-wide transcriptional analysis of genes induced by specific sporulation sigma factors in the Clostridia and highlight that diverse mechanisms regulate sporulation sigma factor activity in the Firmicutes.","author":[{"family":"Fimlaid","given":"Kelly A"},{"family":"Bond","given":"Jeffrey P"},{"family":"Schutz","given":"Kristin C"},{"family":"Putnam","given":"Emily E"},{"family":"Leung","given":"Jacqueline M"},{"family":"Lawley","given":"Trevor D"},{"family":"Shen","given":"Aimee"}],"authorYearDisplayFormat":false,"citation-label":"6516900","container-title":"PLoS Genetics","container-title-short":"PLoS Genet.","id":"6516900","invisible":false,"issue":"8","issued":{"date-parts":[["2013","8","8"]]},"journalAbbreviation":"PLoS Genet.","page":"e1003660","suppress-author":false,"title":"Global analysis of the sporulation pathway of Clostridium difficile.","type":"article-journal","volume":"9"}]</w:instrText>
      </w:r>
      <w:r w:rsidRPr="00AF31F4">
        <w:fldChar w:fldCharType="separate"/>
      </w:r>
      <w:r w:rsidRPr="00C85866">
        <w:rPr>
          <w:noProof/>
          <w:vertAlign w:val="superscript"/>
        </w:rPr>
        <w:t>28</w:t>
      </w:r>
      <w:r w:rsidRPr="00AF31F4">
        <w:fldChar w:fldCharType="end"/>
      </w:r>
      <w:r w:rsidRPr="00AF31F4">
        <w:t xml:space="preserve"> suggesting that ClpP1 and ClpP2 both play a role in indirectly regulating </w:t>
      </w:r>
      <w:r w:rsidRPr="00AF31F4">
        <w:sym w:font="Symbol" w:char="F073"/>
      </w:r>
      <w:r w:rsidRPr="00AF31F4">
        <w:rPr>
          <w:vertAlign w:val="superscript"/>
        </w:rPr>
        <w:t xml:space="preserve">G </w:t>
      </w:r>
      <w:r w:rsidRPr="00AF31F4">
        <w:t xml:space="preserve">expression. </w:t>
      </w:r>
    </w:p>
    <w:p w14:paraId="4D7E2CDC" w14:textId="2B8D815F" w:rsidR="005E441D" w:rsidRPr="005E441D" w:rsidRDefault="00C6592F" w:rsidP="005E441D">
      <w:pPr>
        <w:ind w:firstLine="720"/>
        <w:jc w:val="both"/>
        <w:rPr>
          <w:bCs/>
        </w:rPr>
      </w:pPr>
      <w:r w:rsidRPr="00AF31F4">
        <w:lastRenderedPageBreak/>
        <w:t xml:space="preserve">SpoIIP expression is abolished in </w:t>
      </w:r>
      <w:r w:rsidRPr="00AF31F4">
        <w:rPr>
          <w:bCs/>
        </w:rPr>
        <w:sym w:font="Symbol" w:char="F044"/>
      </w:r>
      <w:r w:rsidRPr="00AF31F4">
        <w:rPr>
          <w:bCs/>
        </w:rPr>
        <w:t xml:space="preserve">P1 mutants, but significantly overexpressed in </w:t>
      </w:r>
      <w:r w:rsidRPr="00AF31F4">
        <w:rPr>
          <w:bCs/>
        </w:rPr>
        <w:sym w:font="Symbol" w:char="F044"/>
      </w:r>
      <w:r w:rsidRPr="00AF31F4">
        <w:rPr>
          <w:bCs/>
        </w:rPr>
        <w:t xml:space="preserve">P2. </w:t>
      </w:r>
      <w:r w:rsidRPr="00AF31F4">
        <w:sym w:font="Symbol" w:char="F073"/>
      </w:r>
      <w:r w:rsidRPr="00AF31F4">
        <w:rPr>
          <w:vertAlign w:val="superscript"/>
        </w:rPr>
        <w:t>F</w:t>
      </w:r>
      <w:r w:rsidRPr="00AF31F4">
        <w:rPr>
          <w:bCs/>
        </w:rPr>
        <w:t xml:space="preserve"> has been shown to positively regulate SpoIIP expression and subsequent SpoIIP processing, which is absent in </w:t>
      </w:r>
      <w:r w:rsidRPr="00AF31F4">
        <w:rPr>
          <w:bCs/>
        </w:rPr>
        <w:sym w:font="Symbol" w:char="F044"/>
      </w:r>
      <w:r w:rsidRPr="00AF31F4">
        <w:rPr>
          <w:bCs/>
        </w:rPr>
        <w:t xml:space="preserve">P1 despite increased SigF expression. </w:t>
      </w:r>
      <w:r w:rsidRPr="00AF31F4">
        <w:rPr>
          <w:bCs/>
        </w:rPr>
        <w:sym w:font="Symbol" w:char="F044"/>
      </w:r>
      <w:r w:rsidRPr="00AF31F4">
        <w:rPr>
          <w:bCs/>
        </w:rPr>
        <w:t>P2 processes SpoIIP and exhibits sporulation efficiency similar to the WT, agreeing with previous reports that SpoIIP is required for engulfment and sporulation.</w:t>
      </w:r>
      <w:r w:rsidRPr="00AF31F4">
        <w:rPr>
          <w:bCs/>
        </w:rPr>
        <w:fldChar w:fldCharType="begin"/>
      </w:r>
      <w:r>
        <w:rPr>
          <w:bCs/>
        </w:rPr>
        <w:instrText>ADDIN F1000_CSL_CITATION&lt;~#@#~&gt;[{"DOI":"10.1111/mmi.14090","First":false,"Last":false,"PMCID":"PMC6311989","PMID":"30066347","abstract":"Spore formation is essential for the bacterial pathogen and obligate anaerobe, Clostridioides (Clostridium) difficile, to transmit disease. Completion of this process depends on the mother cell engulfing the developing forespore, but little is known about how engulfment occurs in C. difficile. In Bacillus subtilis, engulfment is mediated by a peptidoglycan degradation complex consisting of SpoIID, SpoIIP and SpoIIM, which are all individually required for spore formation. Using genetic analyses, we determined the functions of these engulfment-related proteins along with the putative endopeptidase, SpoIIQ, during C. difficile sporulation. While SpoIID, SpoIIP and SpoIIQ were critical for engulfment, loss of SpoIIM minimally impacted C. difficile spore formation. Interestingly, a small percentage of ∆spoIID and ∆spoIIQ cells generated heat-resistant spores through the actions of SpoIIQ and SpoIID, respectively. Loss of SpoIID and SpoIIQ also led to unique morphological phenotypes: asymmetric engulfment and forespore distortions, respectively. Catalytic mutant complementation analyses revealed that these phenotypes depend on the enzymatic activities of SpoIIP and SpoIID, respectively. Lastly, engulfment mutants mislocalized polymerized coat even though the basement layer coat proteins, SpoIVA and SipL, remained associated with the forespore. Collectively, these findings advance our understanding of several stages during infectious C. difficile spore assembly.&lt;br&gt;&lt;br&gt;© 2018 The Authors Molecular Microbiology Published by John Wiley &amp; Sons Ltd.","author":[{"family":"Ribis","given":"John W"},{"family":"Fimlaid","given":"Kelly A"},{"family":"Shen","given":"Aimee"}],"authorYearDisplayFormat":false,"citation-label":"6266024","container-title":"Molecular Microbiology","container-title-short":"Mol. Microbiol.","id":"6266024","invisible":false,"issue":"3","issued":{"date-parts":[["2018"]]},"journalAbbreviation":"Mol. Microbiol.","page":"370-389","suppress-author":false,"title":"Differential requirements for conserved peptidoglycan remodeling enzymes during Clostridioides difficile spore formation.","type":"article-journal","volume":"110"}]</w:instrText>
      </w:r>
      <w:r w:rsidRPr="00AF31F4">
        <w:rPr>
          <w:bCs/>
        </w:rPr>
        <w:fldChar w:fldCharType="separate"/>
      </w:r>
      <w:r w:rsidRPr="00C85866">
        <w:rPr>
          <w:bCs/>
          <w:noProof/>
          <w:vertAlign w:val="superscript"/>
        </w:rPr>
        <w:t>32</w:t>
      </w:r>
      <w:r w:rsidRPr="00AF31F4">
        <w:rPr>
          <w:bCs/>
        </w:rPr>
        <w:fldChar w:fldCharType="end"/>
      </w:r>
      <w:r w:rsidRPr="00AF31F4">
        <w:rPr>
          <w:bCs/>
        </w:rPr>
        <w:t xml:space="preserve"> SpoIIP is processed to the cleaved form in the </w:t>
      </w:r>
      <w:r w:rsidRPr="00AF31F4">
        <w:rPr>
          <w:bCs/>
        </w:rPr>
        <w:sym w:font="Symbol" w:char="F044"/>
      </w:r>
      <w:r w:rsidRPr="00AF31F4">
        <w:rPr>
          <w:bCs/>
        </w:rPr>
        <w:t xml:space="preserve">P1P2 mutant, which cannot form mature spores. This is contrary to </w:t>
      </w:r>
      <w:r w:rsidRPr="00AF31F4">
        <w:rPr>
          <w:bCs/>
        </w:rPr>
        <w:sym w:font="Symbol" w:char="F044"/>
      </w:r>
      <w:r w:rsidRPr="00AF31F4">
        <w:rPr>
          <w:bCs/>
        </w:rPr>
        <w:t>P1 mutants, which express virtually no forms of SpoIIP but still form viable spores. From this, it seems ClpP1 function is necessary for efficient SpoIIP processing, though loss of ClpP1 function does not always arrest sporulation. Loss of ClpP1 and ClpP2 function restores SpoIIP processing to form cleaved SpoIIP but cannot form mature spores suggesting alternate regulatory roles for ClpP1 and ClpP2.</w:t>
      </w:r>
      <w:r w:rsidR="005E441D">
        <w:rPr>
          <w:bCs/>
        </w:rPr>
        <w:t xml:space="preserve"> </w:t>
      </w:r>
    </w:p>
    <w:p w14:paraId="23AEC432" w14:textId="080BA2CC" w:rsidR="00C6592F" w:rsidRPr="00AF31F4" w:rsidRDefault="00C6592F" w:rsidP="008E6C2A">
      <w:pPr>
        <w:ind w:firstLine="720"/>
        <w:jc w:val="both"/>
        <w:rPr>
          <w:bCs/>
        </w:rPr>
      </w:pPr>
      <w:r w:rsidRPr="00AF31F4">
        <w:rPr>
          <w:bCs/>
        </w:rPr>
        <w:t xml:space="preserve">No spores or engulfed forespores are observed in </w:t>
      </w:r>
      <w:r w:rsidRPr="00AF31F4">
        <w:rPr>
          <w:bCs/>
        </w:rPr>
        <w:sym w:font="Symbol" w:char="F044"/>
      </w:r>
      <w:r w:rsidRPr="00AF31F4">
        <w:rPr>
          <w:bCs/>
        </w:rPr>
        <w:t xml:space="preserve">P1P2 mutants, which suggests that cooperativity may exist between ClpP1 and ClpP2 in order to complete sporulation. Perhaps </w:t>
      </w:r>
      <w:r w:rsidRPr="00AF31F4">
        <w:rPr>
          <w:bCs/>
          <w:i/>
        </w:rPr>
        <w:t>in vivo</w:t>
      </w:r>
      <w:r w:rsidRPr="00AF31F4">
        <w:rPr>
          <w:bCs/>
        </w:rPr>
        <w:t>,</w:t>
      </w:r>
      <w:r w:rsidRPr="00AF31F4">
        <w:rPr>
          <w:bCs/>
          <w:i/>
        </w:rPr>
        <w:t xml:space="preserve"> </w:t>
      </w:r>
      <w:r w:rsidRPr="00AF31F4">
        <w:rPr>
          <w:bCs/>
        </w:rPr>
        <w:t xml:space="preserve">a heteromeric ClpP1/ClpP2 complex is formed that cooperates with sporulation regulatory factors. Previously, we were unable to produce a heteromeric ClpP1/ClpP2 complex </w:t>
      </w:r>
      <w:r w:rsidRPr="00AF31F4">
        <w:rPr>
          <w:bCs/>
          <w:i/>
        </w:rPr>
        <w:t>in vitro</w:t>
      </w:r>
      <w:r w:rsidRPr="00AF31F4">
        <w:rPr>
          <w:bCs/>
        </w:rPr>
        <w:t xml:space="preserve"> using recombinant protein, but we are cognizant that recombinant approaches fail to accurately mimic the complex nature of the cell and thus does not rule out heterocomplex formation </w:t>
      </w:r>
      <w:r w:rsidRPr="00AF31F4">
        <w:rPr>
          <w:bCs/>
          <w:i/>
        </w:rPr>
        <w:t>in vivo</w:t>
      </w:r>
      <w:r w:rsidRPr="00AF31F4">
        <w:rPr>
          <w:bCs/>
        </w:rPr>
        <w:t xml:space="preserve">. Other intracellular factors may be involved with altering ClpP1 or ClpP2 </w:t>
      </w:r>
      <w:r w:rsidRPr="00AF31F4">
        <w:rPr>
          <w:bCs/>
          <w:i/>
        </w:rPr>
        <w:t xml:space="preserve">in vivo </w:t>
      </w:r>
      <w:r w:rsidRPr="00AF31F4">
        <w:rPr>
          <w:bCs/>
        </w:rPr>
        <w:t xml:space="preserve">to promote heterocomplex formation. However, our results point to ClpP1 and ClpP2 maintaining distinct roles in regulating sporulation, with loss of both isoforms resulting in the inhibition of spore formation. In this manner, this work shows the therapeutic potential and biological significance for inhibition of ClpP in </w:t>
      </w:r>
      <w:r w:rsidR="00AB3480" w:rsidRPr="00AB3480">
        <w:rPr>
          <w:bCs/>
          <w:i/>
        </w:rPr>
        <w:t>C. difficile</w:t>
      </w:r>
      <w:r w:rsidRPr="00AF31F4">
        <w:rPr>
          <w:bCs/>
        </w:rPr>
        <w:t xml:space="preserve">. Inhibiting ClpP could reduce or even abolish sporulation, which </w:t>
      </w:r>
      <w:r w:rsidRPr="00AF31F4">
        <w:rPr>
          <w:bCs/>
        </w:rPr>
        <w:lastRenderedPageBreak/>
        <w:t xml:space="preserve">would halt the transmission cycle, disabling CDI transmission. It follows that ClpP is a potentially druggable target in </w:t>
      </w:r>
      <w:r w:rsidR="00AB3480" w:rsidRPr="00AB3480">
        <w:rPr>
          <w:bCs/>
          <w:i/>
        </w:rPr>
        <w:t>C. difficile</w:t>
      </w:r>
      <w:r w:rsidRPr="00AF31F4">
        <w:rPr>
          <w:bCs/>
        </w:rPr>
        <w:t xml:space="preserve"> that offers new inroads for developing drugs that act on novel pathways.</w:t>
      </w:r>
    </w:p>
    <w:p w14:paraId="02A97B39" w14:textId="2D25E009" w:rsidR="00C6592F" w:rsidRPr="00AE6C6D" w:rsidRDefault="00C6592F" w:rsidP="004E7821">
      <w:pPr>
        <w:pStyle w:val="Heading2"/>
      </w:pPr>
      <w:bookmarkStart w:id="78" w:name="_Toc8392766"/>
      <w:r w:rsidRPr="00AE6C6D">
        <w:t>3.</w:t>
      </w:r>
      <w:r w:rsidR="008E6C2A">
        <w:t>5</w:t>
      </w:r>
      <w:r w:rsidRPr="00AE6C6D">
        <w:t xml:space="preserve"> Materials and Methods</w:t>
      </w:r>
      <w:bookmarkEnd w:id="78"/>
    </w:p>
    <w:p w14:paraId="3AE8F101" w14:textId="402116B7" w:rsidR="00C6592F" w:rsidRPr="00AB4939" w:rsidRDefault="00C6592F" w:rsidP="0012418F">
      <w:pPr>
        <w:pStyle w:val="Heading3"/>
      </w:pPr>
      <w:bookmarkStart w:id="79" w:name="_Toc8392767"/>
      <w:r w:rsidRPr="00AB4939">
        <w:t>3.</w:t>
      </w:r>
      <w:r w:rsidR="008E6C2A">
        <w:t>5</w:t>
      </w:r>
      <w:r w:rsidRPr="00AB4939">
        <w:t>.1 Bacterial strains and growth conditions</w:t>
      </w:r>
      <w:bookmarkEnd w:id="79"/>
    </w:p>
    <w:p w14:paraId="15728F28" w14:textId="2DEF0436" w:rsidR="00C6592F" w:rsidRDefault="00C6592F" w:rsidP="00C6592F">
      <w:pPr>
        <w:contextualSpacing/>
        <w:jc w:val="both"/>
      </w:pPr>
      <w:r>
        <w:tab/>
        <w:t xml:space="preserve">630 was used as the model strain of </w:t>
      </w:r>
      <w:r w:rsidR="00AB3480" w:rsidRPr="00AB3480">
        <w:rPr>
          <w:i/>
        </w:rPr>
        <w:t>Clostridium difficile</w:t>
      </w:r>
      <w:r>
        <w:rPr>
          <w:i/>
        </w:rPr>
        <w:t xml:space="preserve"> </w:t>
      </w:r>
      <w:r>
        <w:t xml:space="preserve">in all experiments described herein (ATCC: BAA-1382-FZ). Frozen stocks were grown anaerobically at       37 </w:t>
      </w:r>
      <w:r>
        <w:sym w:font="Symbol" w:char="F0B0"/>
      </w:r>
      <w:r>
        <w:t>C in a COY vinyl anaerobic chamber which maintained an atmosphere of 85% N</w:t>
      </w:r>
      <w:r>
        <w:rPr>
          <w:vertAlign w:val="subscript"/>
        </w:rPr>
        <w:t>2</w:t>
      </w:r>
      <w:r>
        <w:t xml:space="preserve">, 10% </w:t>
      </w:r>
      <w:r w:rsidRPr="00785CC8">
        <w:t>H</w:t>
      </w:r>
      <w:r w:rsidRPr="00785CC8">
        <w:rPr>
          <w:vertAlign w:val="subscript"/>
        </w:rPr>
        <w:t>2</w:t>
      </w:r>
      <w:r>
        <w:t xml:space="preserve">, and </w:t>
      </w:r>
      <w:r w:rsidRPr="00785CC8">
        <w:t>5</w:t>
      </w:r>
      <w:r>
        <w:t>% CO</w:t>
      </w:r>
      <w:r>
        <w:rPr>
          <w:vertAlign w:val="subscript"/>
        </w:rPr>
        <w:t>2</w:t>
      </w:r>
      <w:r>
        <w:t xml:space="preserve">. </w:t>
      </w:r>
      <w:r w:rsidR="00AB3480" w:rsidRPr="00AB3480">
        <w:rPr>
          <w:i/>
        </w:rPr>
        <w:t>C. difficile</w:t>
      </w:r>
      <w:r>
        <w:rPr>
          <w:i/>
        </w:rPr>
        <w:t xml:space="preserve"> </w:t>
      </w:r>
      <w:r>
        <w:t xml:space="preserve">was routinely cultured in Brain Heart Infusion media, supplemented with yeast extract (BHIS). Cefoxitin (8 </w:t>
      </w:r>
      <w:r>
        <w:sym w:font="Symbol" w:char="F06D"/>
      </w:r>
      <w:r>
        <w:t xml:space="preserve">g/mL), thiamphenicol (20 </w:t>
      </w:r>
      <w:r>
        <w:sym w:font="Symbol" w:char="F06D"/>
      </w:r>
      <w:r>
        <w:t xml:space="preserve">g/mL), taurocholate (0.1% w/v), and kanamycin (50 </w:t>
      </w:r>
      <w:r>
        <w:sym w:font="Symbol" w:char="F06D"/>
      </w:r>
      <w:r>
        <w:t xml:space="preserve">g/mL) were used as needed in conjugation complementation experiments during CRISPR/Cas9 mutagenesis. </w:t>
      </w:r>
    </w:p>
    <w:p w14:paraId="66EAA933" w14:textId="03EADD9C" w:rsidR="00C6592F" w:rsidRDefault="00C6592F" w:rsidP="0012418F">
      <w:pPr>
        <w:pStyle w:val="Heading3"/>
      </w:pPr>
      <w:bookmarkStart w:id="80" w:name="_Toc8392768"/>
      <w:r>
        <w:t>3.</w:t>
      </w:r>
      <w:r w:rsidR="008E6C2A">
        <w:t>5</w:t>
      </w:r>
      <w:r>
        <w:t>.2 clpP mutant generation</w:t>
      </w:r>
      <w:bookmarkEnd w:id="80"/>
    </w:p>
    <w:p w14:paraId="536A0828" w14:textId="46E107FB" w:rsidR="00C6592F" w:rsidRDefault="00C6592F" w:rsidP="00C6592F">
      <w:pPr>
        <w:ind w:firstLine="720"/>
        <w:contextualSpacing/>
        <w:jc w:val="both"/>
      </w:pPr>
      <w:r>
        <w:t xml:space="preserve">The methodology describing the generation of </w:t>
      </w:r>
      <w:r>
        <w:rPr>
          <w:i/>
        </w:rPr>
        <w:t xml:space="preserve">clpP </w:t>
      </w:r>
      <w:r>
        <w:t xml:space="preserve">mutants in </w:t>
      </w:r>
      <w:r w:rsidR="00AB3480" w:rsidRPr="00AB3480">
        <w:rPr>
          <w:i/>
        </w:rPr>
        <w:t>C. difficile</w:t>
      </w:r>
      <w:r>
        <w:rPr>
          <w:i/>
        </w:rPr>
        <w:t xml:space="preserve"> </w:t>
      </w:r>
      <w:r>
        <w:t xml:space="preserve">is novel and currently unpublished, and as such some specific details will be omitted or </w:t>
      </w:r>
      <w:r w:rsidR="001D7CE2">
        <w:t xml:space="preserve">described </w:t>
      </w:r>
      <w:r>
        <w:t>vague</w:t>
      </w:r>
      <w:r w:rsidR="001D7CE2">
        <w:t>ly on purpose</w:t>
      </w:r>
      <w:r>
        <w:t>.</w:t>
      </w:r>
      <w:r w:rsidR="001D7CE2">
        <w:t xml:space="preserve"> The pMTL84151 plasmid was utilized as the vector to introduce the CRISPR/Cas9 machinery along with guide sequence for the ClpP1 and ClpP2 mutants</w:t>
      </w:r>
      <w:r w:rsidR="009E777F">
        <w:t xml:space="preserve"> (</w:t>
      </w:r>
      <w:r w:rsidR="009E777F" w:rsidRPr="009E777F">
        <w:rPr>
          <w:b/>
        </w:rPr>
        <w:t>Appendix B.13</w:t>
      </w:r>
      <w:r w:rsidR="009E777F">
        <w:t>)</w:t>
      </w:r>
      <w:r w:rsidR="001D7CE2">
        <w:t>.</w:t>
      </w:r>
      <w:r>
        <w:t xml:space="preserve"> T</w:t>
      </w:r>
      <w:r w:rsidRPr="003B2FE9">
        <w:t>he ClpP1 and ClpP2 serine proteases of </w:t>
      </w:r>
      <w:r w:rsidR="00AB3480" w:rsidRPr="00AB3480">
        <w:rPr>
          <w:i/>
          <w:iCs/>
        </w:rPr>
        <w:t>Clostridium difficile</w:t>
      </w:r>
      <w:r w:rsidRPr="003B2FE9">
        <w:t xml:space="preserve"> 630 were targeted for genetic alteration</w:t>
      </w:r>
      <w:r>
        <w:t xml:space="preserve"> via CRISPR/Cas9 mutagenesis, in a manner similar to previously described methodologies.</w:t>
      </w:r>
      <w:r>
        <w:fldChar w:fldCharType="begin"/>
      </w:r>
      <w:r>
        <w:instrText>ADDIN F1000_CSL_CITATION&lt;~#@#~&gt;[{"DOI":"10.1038/s41598-017-15236-5","First":false,"Last":false,"PMCID":"PMC5677094","PMID":"29116155","abstract":"Clostridium difficile is a significant concern as a nosocomial pathogen, and genetic tools are important when analyzing the physiology of such organisms so that the underlying physiology/pathogenesis of the organisms can be studied. Here, we used TargeTron to investigate the role of selenoproteins in C. difficile Stickland metabolism and found that a TargeTron insertion into selD, encoding the selenophosphate synthetase that is essential for the specific incorporation of selenium into selenoproteins, results in a significant growth defect and a global loss of selenium incorporation. However, because of potential polar effects of the TargeTron insertion, we developed a CRISPR-Cas9 mutagenesis system for C. difficile. This system rapidly and efficiently introduces site-specific mutations into the C. difficile genome (20-50% mutation frequency). The selD CRISPR deletion mutant had a growth defect in protein-rich medium and mimicked the phenotype of a generated TargeTron selD mutation. Our findings suggest that Stickland metabolism could be a target for future antibiotic therapies and that the CRISPR-Cas9 system can introduce rapid and efficient modifications into the C. difficile genome.","author":[{"family":"McAllister","given":"Kathleen N"},{"family":"Bouillaut","given":"Laurent"},{"family":"Kahn","given":"Jennifer N"},{"family":"Self","given":"William T"},{"family":"Sorg","given":"Joseph A"}],"authorYearDisplayFormat":false,"citation-label":"5667958","container-title":"Scientific reports","container-title-short":"Sci. Rep.","id":"5667958","invisible":false,"issue":"1","issued":{"date-parts":[["2017","11","7"]]},"journalAbbreviation":"Sci. Rep.","page":"14672","suppress-author":false,"title":"Using CRISPR-Cas9-mediated genome editing to generate C. difficile mutants defective in selenoproteins synthesis.","type":"article-journal","volume":"7"}]</w:instrText>
      </w:r>
      <w:r>
        <w:fldChar w:fldCharType="separate"/>
      </w:r>
      <w:r w:rsidRPr="00C85866">
        <w:rPr>
          <w:noProof/>
          <w:vertAlign w:val="superscript"/>
        </w:rPr>
        <w:t>37</w:t>
      </w:r>
      <w:r>
        <w:fldChar w:fldCharType="end"/>
      </w:r>
      <w:r w:rsidRPr="003B2FE9">
        <w:t xml:space="preserve"> Both involved the addition of an </w:t>
      </w:r>
      <w:r w:rsidRPr="003B2FE9">
        <w:rPr>
          <w:i/>
        </w:rPr>
        <w:t>NheI</w:t>
      </w:r>
      <w:r w:rsidRPr="003B2FE9">
        <w:t xml:space="preserve"> restriction site upon homology directed repair from the donor template sequence on the vector. This change resulted in a stop codon being formed at the </w:t>
      </w:r>
      <w:r w:rsidR="001D7CE2">
        <w:t xml:space="preserve">13th </w:t>
      </w:r>
      <w:r>
        <w:t xml:space="preserve">residue </w:t>
      </w:r>
      <w:r w:rsidRPr="003B2FE9">
        <w:t>of ClpP1</w:t>
      </w:r>
      <w:r>
        <w:t xml:space="preserve"> (GGA </w:t>
      </w:r>
      <w:r w:rsidRPr="002A31C3">
        <w:sym w:font="Wingdings" w:char="F0E0"/>
      </w:r>
      <w:r>
        <w:t xml:space="preserve"> TGA)</w:t>
      </w:r>
      <w:r w:rsidRPr="003B2FE9">
        <w:t xml:space="preserve"> and the 12</w:t>
      </w:r>
      <w:r w:rsidR="001D7CE2">
        <w:t>th</w:t>
      </w:r>
      <w:r>
        <w:t xml:space="preserve"> </w:t>
      </w:r>
      <w:r w:rsidRPr="003B2FE9">
        <w:t>of ClpP2</w:t>
      </w:r>
      <w:r>
        <w:t xml:space="preserve"> (CAA </w:t>
      </w:r>
      <w:r w:rsidRPr="00481B80">
        <w:sym w:font="Wingdings" w:char="F0E0"/>
      </w:r>
      <w:r>
        <w:t xml:space="preserve"> TAA)</w:t>
      </w:r>
      <w:r w:rsidRPr="003B2FE9">
        <w:t xml:space="preserve">. After vector construction, conjugation with </w:t>
      </w:r>
      <w:r w:rsidRPr="003B2FE9">
        <w:lastRenderedPageBreak/>
        <w:t>donor </w:t>
      </w:r>
      <w:r w:rsidRPr="003B2FE9">
        <w:rPr>
          <w:i/>
          <w:iCs/>
        </w:rPr>
        <w:t>E. coli</w:t>
      </w:r>
      <w:r w:rsidRPr="003B2FE9">
        <w:t xml:space="preserve">, and five passages under selective pressure the respective cultures were plated and screened via PCR followed by </w:t>
      </w:r>
      <w:r w:rsidRPr="003B2FE9">
        <w:rPr>
          <w:i/>
        </w:rPr>
        <w:t>NheI</w:t>
      </w:r>
      <w:r w:rsidRPr="003B2FE9">
        <w:t xml:space="preserve"> restriction digestion. Sanger sequencing further confirmed the accuracy of the desired genetic alteration. Additionally, whole genome resequencing was conducted to confirm that no off-target mutations occurred.</w:t>
      </w:r>
    </w:p>
    <w:p w14:paraId="659AB993" w14:textId="43907E38" w:rsidR="001D7CE2" w:rsidRPr="0012418F" w:rsidRDefault="001D7CE2" w:rsidP="00C6592F">
      <w:pPr>
        <w:ind w:firstLine="720"/>
        <w:contextualSpacing/>
        <w:jc w:val="both"/>
      </w:pPr>
      <w:r>
        <w:t xml:space="preserve">Single complement mutants were constructed by inserting the pMTL84151 plasmid back into each ClpP mutant. </w:t>
      </w:r>
      <w:r w:rsidR="00E959FF">
        <w:t>Each complement was constructed by inserting</w:t>
      </w:r>
      <w:r>
        <w:t xml:space="preserve"> </w:t>
      </w:r>
      <w:r>
        <w:rPr>
          <w:i/>
        </w:rPr>
        <w:t>clpP1</w:t>
      </w:r>
      <w:r>
        <w:t xml:space="preserve"> + 100bp upstream, or </w:t>
      </w:r>
      <w:r>
        <w:rPr>
          <w:i/>
        </w:rPr>
        <w:t xml:space="preserve">clpP2 </w:t>
      </w:r>
      <w:r>
        <w:t>+ 100bp upstream</w:t>
      </w:r>
      <w:r w:rsidR="00E959FF">
        <w:t xml:space="preserve"> into the </w:t>
      </w:r>
      <w:r w:rsidR="00E959FF">
        <w:rPr>
          <w:i/>
        </w:rPr>
        <w:t>lacZ</w:t>
      </w:r>
      <w:r w:rsidR="00E959FF">
        <w:t xml:space="preserve"> operon in the pMTL84151 plasmid. T</w:t>
      </w:r>
      <w:r>
        <w:t xml:space="preserve">o ensure </w:t>
      </w:r>
      <w:r w:rsidR="00E959FF">
        <w:t xml:space="preserve">the promoter region was maintained, the entire gene plus 100bp upstream of </w:t>
      </w:r>
      <w:r w:rsidR="00E959FF">
        <w:rPr>
          <w:i/>
        </w:rPr>
        <w:t>clpP1</w:t>
      </w:r>
      <w:r w:rsidR="00E959FF">
        <w:t xml:space="preserve"> or </w:t>
      </w:r>
      <w:r w:rsidR="00E959FF">
        <w:rPr>
          <w:i/>
        </w:rPr>
        <w:t>clpP2</w:t>
      </w:r>
      <w:r w:rsidR="00E959FF">
        <w:t xml:space="preserve"> was performed.</w:t>
      </w:r>
      <w:r w:rsidR="0012418F">
        <w:t xml:space="preserve"> In this manner, both of the single complementation vectors were made and then introduced into </w:t>
      </w:r>
      <w:r w:rsidR="0012418F">
        <w:rPr>
          <w:i/>
        </w:rPr>
        <w:t xml:space="preserve">C. difficile </w:t>
      </w:r>
      <w:r w:rsidR="0012418F">
        <w:t xml:space="preserve">630 via conjugation. </w:t>
      </w:r>
    </w:p>
    <w:p w14:paraId="25C7BF53" w14:textId="73C29026" w:rsidR="00C6592F" w:rsidRDefault="00C6592F" w:rsidP="0012418F">
      <w:pPr>
        <w:pStyle w:val="Heading3"/>
      </w:pPr>
      <w:bookmarkStart w:id="81" w:name="_Toc8392769"/>
      <w:r>
        <w:t>3.</w:t>
      </w:r>
      <w:r w:rsidR="008E6C2A">
        <w:t>5</w:t>
      </w:r>
      <w:r>
        <w:t>.3 Genomic sequencing</w:t>
      </w:r>
      <w:bookmarkEnd w:id="81"/>
    </w:p>
    <w:p w14:paraId="7B038FFE" w14:textId="5C262B2F" w:rsidR="00C6592F" w:rsidRPr="003B2FE9" w:rsidRDefault="00C6592F" w:rsidP="00C6592F">
      <w:pPr>
        <w:ind w:firstLine="720"/>
        <w:contextualSpacing/>
        <w:jc w:val="both"/>
      </w:pPr>
      <w:r>
        <w:t xml:space="preserve">Frozen stocks of </w:t>
      </w:r>
      <w:r w:rsidR="00AB3480" w:rsidRPr="00AB3480">
        <w:rPr>
          <w:i/>
        </w:rPr>
        <w:t>C. difficile</w:t>
      </w:r>
      <w:r>
        <w:t xml:space="preserve"> maintained by the Ballard laboratory were struck onto BHIS agar plates supplemented with taurocholate along with the ATCC reference strain and </w:t>
      </w:r>
      <w:r>
        <w:rPr>
          <w:i/>
        </w:rPr>
        <w:t xml:space="preserve">clpP </w:t>
      </w:r>
      <w:r>
        <w:t>mutants. Individual colonies were picked for each strain to inoculate ~5 mL of BHIS broth and allowed to grow for 12</w:t>
      </w:r>
      <w:r w:rsidR="005A7DA4">
        <w:t xml:space="preserve"> </w:t>
      </w:r>
      <w:r>
        <w:t xml:space="preserve">h. Genomic DNA was isolated from each culture using the GenElute Bacterial Genomic DNA kit (Thermo) and purified with the Zymo Genomic DNA Clean and Concentrator kit (Zymo). DNA samples were sent to the Oklahoma Medical Research Foundation for </w:t>
      </w:r>
      <w:r w:rsidR="001F6171">
        <w:t xml:space="preserve">DNA </w:t>
      </w:r>
      <w:r>
        <w:t xml:space="preserve">library preparation and </w:t>
      </w:r>
      <w:r w:rsidR="001F6171">
        <w:t>Next Generation</w:t>
      </w:r>
      <w:r>
        <w:t xml:space="preserve"> sequencing</w:t>
      </w:r>
      <w:r w:rsidR="001F6171">
        <w:t xml:space="preserve"> performed with a MiSeqV1. Data was processed in Geneous.</w:t>
      </w:r>
    </w:p>
    <w:p w14:paraId="52B7EFFE" w14:textId="2D06B31E" w:rsidR="00C6592F" w:rsidRDefault="00C6592F" w:rsidP="0012418F">
      <w:pPr>
        <w:pStyle w:val="Heading3"/>
      </w:pPr>
      <w:bookmarkStart w:id="82" w:name="_Toc8392770"/>
      <w:r>
        <w:t>3.</w:t>
      </w:r>
      <w:r w:rsidR="008E6C2A">
        <w:t>5</w:t>
      </w:r>
      <w:r>
        <w:t>.4 Growth curves</w:t>
      </w:r>
      <w:bookmarkEnd w:id="82"/>
    </w:p>
    <w:p w14:paraId="757ED2B0" w14:textId="77777777" w:rsidR="00C6592F" w:rsidRDefault="00C6592F" w:rsidP="00C6592F">
      <w:pPr>
        <w:ind w:firstLine="720"/>
        <w:contextualSpacing/>
        <w:jc w:val="both"/>
      </w:pPr>
      <w:r>
        <w:t xml:space="preserve">~5mL of BHIS was inoculated with freezer stocks of WT and the </w:t>
      </w:r>
      <w:r>
        <w:rPr>
          <w:i/>
        </w:rPr>
        <w:t xml:space="preserve">clpP </w:t>
      </w:r>
      <w:r>
        <w:t xml:space="preserve">mutants, and allowed to grow overnight. Overnight cultures were back diluted 1:1,000 and allowed to reach exponential growth (OD600 = 0.4 – 0.5) before 1:10,000 dilution in BHIS, with 10 300 </w:t>
      </w:r>
      <w:r>
        <w:sym w:font="Symbol" w:char="F06D"/>
      </w:r>
      <w:r>
        <w:t xml:space="preserve">L aliquots of each strain distributed into Bioscreen C honeycomb plates. The plates </w:t>
      </w:r>
      <w:r>
        <w:lastRenderedPageBreak/>
        <w:t xml:space="preserve">were sealed with vacuum grease and placed into a Bioscreener C plate reader, and OD600 measurements were taken every 30 minutes for 36 – 48 h at 37 </w:t>
      </w:r>
      <w:r>
        <w:sym w:font="Symbol" w:char="F0B0"/>
      </w:r>
      <w:r>
        <w:t>C with no shaking. All readings have been normalized to the media control (background subtracted).</w:t>
      </w:r>
    </w:p>
    <w:p w14:paraId="1D65ADF7" w14:textId="58E7B5C2" w:rsidR="00C6592F" w:rsidRDefault="00C6592F" w:rsidP="0012418F">
      <w:pPr>
        <w:pStyle w:val="Heading3"/>
      </w:pPr>
      <w:bookmarkStart w:id="83" w:name="_Toc8392771"/>
      <w:r>
        <w:t>3.</w:t>
      </w:r>
      <w:r w:rsidR="008E6C2A">
        <w:t>5</w:t>
      </w:r>
      <w:r>
        <w:t>.5 Cytotoxicity titer assay</w:t>
      </w:r>
      <w:bookmarkEnd w:id="83"/>
    </w:p>
    <w:p w14:paraId="60CF924D" w14:textId="77777777" w:rsidR="00C6592F" w:rsidRDefault="00C6592F" w:rsidP="00C6592F">
      <w:pPr>
        <w:ind w:firstLine="720"/>
        <w:contextualSpacing/>
        <w:jc w:val="both"/>
      </w:pPr>
      <w:r>
        <w:t xml:space="preserve">72 h cultures of the WT and </w:t>
      </w:r>
      <w:r>
        <w:rPr>
          <w:i/>
        </w:rPr>
        <w:t xml:space="preserve">clpP </w:t>
      </w:r>
      <w:r>
        <w:t xml:space="preserve">mutants were pelleted (3000x rcf, 15 minutes) in order to extract the supernatant. The supernatants were 0.2 </w:t>
      </w:r>
      <w:r>
        <w:sym w:font="Symbol" w:char="F06D"/>
      </w:r>
      <w:r>
        <w:t>m syringe filtered and serially diluted in the appropriate mammalian cell medium accordingly. Filtering the supernatant removed the bacteria, but retains the toxins TcdA and TcdB.</w:t>
      </w:r>
    </w:p>
    <w:p w14:paraId="162C8F4F" w14:textId="77777777" w:rsidR="00C6592F" w:rsidRDefault="00C6592F" w:rsidP="00C6592F">
      <w:pPr>
        <w:ind w:firstLine="720"/>
        <w:contextualSpacing/>
        <w:jc w:val="both"/>
      </w:pPr>
      <w:r>
        <w:t xml:space="preserve">All mammalian cell cultures were grown in cell culture treated plastics, in a humidified incubator at 37 </w:t>
      </w:r>
      <w:r>
        <w:sym w:font="Symbol" w:char="F0B0"/>
      </w:r>
      <w:r>
        <w:t>C with 5% CO</w:t>
      </w:r>
      <w:r>
        <w:rPr>
          <w:vertAlign w:val="subscript"/>
        </w:rPr>
        <w:t>2</w:t>
      </w:r>
      <w:r>
        <w:t xml:space="preserve">. Caco-2 and CHO cells were cultured as recommended by ATCC, with Eagles Defined Medium (EMM) and F-12K medium, both supplemented with 10% Fetal bovine serum (FBS). Cell cultures were trypsinized once they had reached ~80% confluency, and equal volumes of media were added to neutralize the trypsin. Detached cells were then harvested by centrifugation (100x rcf, 15 minutes) and resuspended in appropriate media. 100 </w:t>
      </w:r>
      <w:r>
        <w:sym w:font="Symbol" w:char="F06D"/>
      </w:r>
      <w:r>
        <w:t>L aliquots (5 x 10</w:t>
      </w:r>
      <w:r>
        <w:rPr>
          <w:vertAlign w:val="superscript"/>
        </w:rPr>
        <w:t>5</w:t>
      </w:r>
      <w:r>
        <w:t xml:space="preserve"> cell density) were used to seed 96-well plates and were allowed to grow overnight. Once cells had reached 60-70% confluency, the media was aspirated and serially diluted supernatant from each strain was added across triplicate wells to the seeded 96-well plates. Plates were then incubated with the supernatant for 18h before cell viability was assessed via Cell Counting Kit-8 (CCK-8, Dojindo) according to the manufacturer.</w:t>
      </w:r>
    </w:p>
    <w:p w14:paraId="46827C6D" w14:textId="1F1A295F" w:rsidR="00C6592F" w:rsidRDefault="00C6592F" w:rsidP="0012418F">
      <w:pPr>
        <w:pStyle w:val="Heading3"/>
      </w:pPr>
      <w:bookmarkStart w:id="84" w:name="_Toc8392772"/>
      <w:r>
        <w:t>3.</w:t>
      </w:r>
      <w:r w:rsidR="008E6C2A">
        <w:t>5</w:t>
      </w:r>
      <w:r>
        <w:t>.6 Plate-based sporulation</w:t>
      </w:r>
      <w:bookmarkEnd w:id="84"/>
    </w:p>
    <w:p w14:paraId="16EC3A51" w14:textId="77777777" w:rsidR="00C6592F" w:rsidRPr="00554BBD" w:rsidRDefault="00C6592F" w:rsidP="00C6592F">
      <w:pPr>
        <w:contextualSpacing/>
        <w:jc w:val="both"/>
      </w:pPr>
      <w:r>
        <w:tab/>
        <w:t>Plate-based sporulation was performed as previously described,</w:t>
      </w:r>
      <w:r>
        <w:fldChar w:fldCharType="begin"/>
      </w:r>
      <w:r>
        <w:instrText>ADDIN F1000_CSL_CITATION&lt;~#@#~&gt;[{"DOI":"10.1007/978-1-4939-6361-4_9","First":false,"Last":false,"PMCID":"PMC5017156","PMID":"27507337","abstract":"The ability for the obligate anaerobe, Clostridium difficile to form a metabolically dormant spore is critical for the survival of this organism outside of the host. This spore form is resistant to a myriad of environmental stresses, including heat, desiccation, and exposure to disinfectants and antimicrobials. These intrinsic properties of spores allow C. difficile to survive long-term in an oxygenated environment, to be easily transmitted from host-to-host, and to persist within the host following antibiotic treatment. Because of the importance of the spore form to the C. difficile life cycle and treatment and prevention of C. difficile infection (CDI), the isolation and purification of spores are necessary to study the mechanisms of sporulation and germination, investigate spore properties and resistances, and for use in animal models of CDI. Here we provide basic protocols, in vitro growth conditions, and additional considerations for purifying C. difficile spores for a variety of downstream applications.","author":[{"family":"Edwards","given":"Adrianne N"},{"family":"McBride","given":"Shonna M"}],"authorYearDisplayFormat":false,"citation-label":"6791163","container-title":"Methods in Molecular Biology","container-title-short":"Methods Mol. Biol.","id":"6791163","invisible":false,"issued":{"date-parts":[["2016"]]},"journalAbbreviation":"Methods Mol. Biol.","page":"117-128","suppress-author":false,"title":"Isolating and Purifying Clostridium difficile Spores.","type":"article-journal","volume":"1476"}]</w:instrText>
      </w:r>
      <w:r>
        <w:fldChar w:fldCharType="separate"/>
      </w:r>
      <w:r w:rsidRPr="00C85866">
        <w:rPr>
          <w:noProof/>
          <w:vertAlign w:val="superscript"/>
        </w:rPr>
        <w:t>38</w:t>
      </w:r>
      <w:r>
        <w:fldChar w:fldCharType="end"/>
      </w:r>
      <w:r>
        <w:t xml:space="preserve"> but will be discussed here briefly. Frozen glycerol stocks of WT and </w:t>
      </w:r>
      <w:r>
        <w:rPr>
          <w:i/>
        </w:rPr>
        <w:t xml:space="preserve">clpP </w:t>
      </w:r>
      <w:r>
        <w:t xml:space="preserve">mutants were used to </w:t>
      </w:r>
      <w:r>
        <w:lastRenderedPageBreak/>
        <w:t xml:space="preserve">inoculate starter cultures of ~5 mL BHIS and allowed to grow overnight. Overnight culture was back-diluted 1:20 into ~2 mL of BHIS and allowed to reach exponential phase growth at ~0.4 OD600. 100 </w:t>
      </w:r>
      <w:r>
        <w:sym w:font="Symbol" w:char="F06D"/>
      </w:r>
      <w:r>
        <w:t>L of exponential phase culture was used to inoculate 70:30 plates (70% BHIS, 30% SMC) to lawn the bacteria. Sporulation was induced for ~20 – 22 h, before harvesting and resuspending in PBS. These samples were then used for downstream applications.</w:t>
      </w:r>
    </w:p>
    <w:p w14:paraId="7F85EB4C" w14:textId="4907DFC5" w:rsidR="00C6592F" w:rsidRDefault="00C6592F" w:rsidP="0012418F">
      <w:pPr>
        <w:pStyle w:val="Heading3"/>
      </w:pPr>
      <w:bookmarkStart w:id="85" w:name="_Toc8392773"/>
      <w:r>
        <w:t>3.</w:t>
      </w:r>
      <w:r w:rsidR="008E6C2A">
        <w:t>5</w:t>
      </w:r>
      <w:r>
        <w:t>.7 Liquid-culture sporulation</w:t>
      </w:r>
      <w:bookmarkEnd w:id="85"/>
    </w:p>
    <w:p w14:paraId="4FA0B373" w14:textId="35EA6E58" w:rsidR="00C6592F" w:rsidRDefault="00C6592F" w:rsidP="00C6592F">
      <w:pPr>
        <w:contextualSpacing/>
        <w:jc w:val="both"/>
      </w:pPr>
      <w:r>
        <w:tab/>
        <w:t>Frozen glycerol stocks were used to inoculate ~5 mL of BHIS, and allowed to grow overnight before 1:200 back-dilution into SMC broth.</w:t>
      </w:r>
      <w:r w:rsidR="001F6171">
        <w:rPr>
          <w:vertAlign w:val="superscript"/>
        </w:rPr>
        <w:t>38</w:t>
      </w:r>
      <w:r>
        <w:t xml:space="preserve"> Sporulation was allowed to continue for 20</w:t>
      </w:r>
      <w:r w:rsidR="005A7DA4">
        <w:t xml:space="preserve"> </w:t>
      </w:r>
      <w:r>
        <w:t>-</w:t>
      </w:r>
      <w:r w:rsidR="005A7DA4">
        <w:t xml:space="preserve"> </w:t>
      </w:r>
      <w:r>
        <w:t>24</w:t>
      </w:r>
      <w:r w:rsidR="005A7DA4">
        <w:t xml:space="preserve"> </w:t>
      </w:r>
      <w:r>
        <w:t>h before they were prepared for fluorescent microscopy analysis.</w:t>
      </w:r>
    </w:p>
    <w:p w14:paraId="631131E5" w14:textId="48E81E6C" w:rsidR="00C6592F" w:rsidRDefault="00C6592F" w:rsidP="0012418F">
      <w:pPr>
        <w:pStyle w:val="Heading3"/>
      </w:pPr>
      <w:bookmarkStart w:id="86" w:name="_Toc8392774"/>
      <w:r>
        <w:t>3.</w:t>
      </w:r>
      <w:r w:rsidR="008E6C2A">
        <w:t>5</w:t>
      </w:r>
      <w:r>
        <w:t>.8 Sporulation efficiency assay</w:t>
      </w:r>
      <w:bookmarkEnd w:id="86"/>
    </w:p>
    <w:p w14:paraId="25B40658" w14:textId="7EB22CEE" w:rsidR="00C6592F" w:rsidRDefault="00C6592F" w:rsidP="00C6592F">
      <w:pPr>
        <w:contextualSpacing/>
        <w:jc w:val="both"/>
      </w:pPr>
      <w:r>
        <w:tab/>
        <w:t>Sporulation efficiency was determined as previously described.</w:t>
      </w:r>
      <w:r w:rsidR="001F6171">
        <w:rPr>
          <w:vertAlign w:val="superscript"/>
        </w:rPr>
        <w:t>39</w:t>
      </w:r>
      <w:r>
        <w:t xml:space="preserve"> Plate-based spore samples were thoroughly resuspended in PBS with 10 </w:t>
      </w:r>
      <w:r>
        <w:sym w:font="Symbol" w:char="F06D"/>
      </w:r>
      <w:r>
        <w:t xml:space="preserve">L of each sample was then serially diluted and plated on BHIS supplemented with 0.1% taurocholate in triplicate for total cell count. The original resuspended samples were then incubated at 70 </w:t>
      </w:r>
      <w:r>
        <w:sym w:font="Symbol" w:char="F0B0"/>
      </w:r>
      <w:r>
        <w:t xml:space="preserve">C for 30 minutes, briefly vortexed every 10 minutes, and then 10 </w:t>
      </w:r>
      <w:r>
        <w:sym w:font="Symbol" w:char="F06D"/>
      </w:r>
      <w:r>
        <w:t>L of each sample was plated onto BHIS media in triplicate to quantify mature spores. By comparing the quantity of spores to the total cell count, the sporulation efficiency can be calculated. Statistical significance was obtained by One-way ANOVA and Tukey test.</w:t>
      </w:r>
    </w:p>
    <w:p w14:paraId="066423E1" w14:textId="172A1958" w:rsidR="00C6592F" w:rsidRDefault="00C6592F" w:rsidP="001F6171">
      <w:pPr>
        <w:ind w:firstLine="720"/>
        <w:contextualSpacing/>
        <w:jc w:val="both"/>
      </w:pPr>
      <w:r>
        <w:t>Otherwise,</w:t>
      </w:r>
      <w:r w:rsidR="00BB1F36">
        <w:t xml:space="preserve"> </w:t>
      </w:r>
      <w:r>
        <w:t xml:space="preserve">ASE can be quantified by visually counting spores and vegetative cells via differential contrast or phase contrast microscopy. Comparing vegetative cell counts to spore counts yields the ASE. </w:t>
      </w:r>
    </w:p>
    <w:p w14:paraId="4AC13445" w14:textId="42A23A36" w:rsidR="00C6592F" w:rsidRDefault="00C6592F" w:rsidP="0012418F">
      <w:pPr>
        <w:pStyle w:val="Heading3"/>
      </w:pPr>
      <w:bookmarkStart w:id="87" w:name="_Toc8392775"/>
      <w:r>
        <w:lastRenderedPageBreak/>
        <w:t>3.</w:t>
      </w:r>
      <w:r w:rsidR="008E6C2A">
        <w:t>5</w:t>
      </w:r>
      <w:r>
        <w:t>.9 Microscopy analysis</w:t>
      </w:r>
      <w:bookmarkEnd w:id="87"/>
    </w:p>
    <w:p w14:paraId="70FF2A7B" w14:textId="4AF87CF9" w:rsidR="00C6592F" w:rsidRDefault="00C6592F" w:rsidP="00C6592F">
      <w:pPr>
        <w:tabs>
          <w:tab w:val="left" w:pos="720"/>
          <w:tab w:val="center" w:pos="4320"/>
        </w:tabs>
        <w:jc w:val="both"/>
        <w:rPr>
          <w:bCs/>
        </w:rPr>
      </w:pPr>
      <w:r>
        <w:tab/>
        <w:t>Liquid-based spore samples from each strain were back-diluted 1:10 in BHIS media and incubated with 3</w:t>
      </w:r>
      <w:r w:rsidR="005A7DA4">
        <w:t xml:space="preserve"> </w:t>
      </w:r>
      <w:r>
        <w:t>-</w:t>
      </w:r>
      <w:r w:rsidR="005A7DA4">
        <w:t xml:space="preserve"> </w:t>
      </w:r>
      <w:r>
        <w:t xml:space="preserve">4 drops of Hoescht 33342 (15 </w:t>
      </w:r>
      <w:r>
        <w:sym w:font="Symbol" w:char="F06D"/>
      </w:r>
      <w:r>
        <w:t xml:space="preserve">g/mL) for 1 h at 37 </w:t>
      </w:r>
      <w:r>
        <w:sym w:font="Symbol" w:char="F0B0"/>
      </w:r>
      <w:r>
        <w:t>C anaerobically. 6</w:t>
      </w:r>
      <w:r w:rsidR="005A7DA4">
        <w:t xml:space="preserve"> </w:t>
      </w:r>
      <w:r>
        <w:sym w:font="Symbol" w:char="F06D"/>
      </w:r>
      <w:r>
        <w:t xml:space="preserve">L of Hoescht stained samples were then immobilized microscope slides with 1% agarose pads that contained 1% (w/v) FM 4-64. The agarose pads were then sealed with coverslips. Bright field and fluorescence microscopy were then performed using a </w:t>
      </w:r>
      <w:r w:rsidRPr="002903A6">
        <w:rPr>
          <w:bCs/>
        </w:rPr>
        <w:t>Zeiss Axiovert 200m at 63x magnification under oil-immersion</w:t>
      </w:r>
      <w:r>
        <w:rPr>
          <w:bCs/>
        </w:rPr>
        <w:t>, imaged with a CCD AxioCam</w:t>
      </w:r>
      <w:r w:rsidR="00474227">
        <w:rPr>
          <w:bCs/>
        </w:rPr>
        <w:t xml:space="preserve">. Some phased images were obtained with a </w:t>
      </w:r>
      <w:r w:rsidR="00474227" w:rsidRPr="00AF31F4">
        <w:rPr>
          <w:bCs/>
        </w:rPr>
        <w:t>DP8 Olympus Camera (Ph3, 100x)</w:t>
      </w:r>
      <w:r w:rsidR="00474227">
        <w:rPr>
          <w:bCs/>
        </w:rPr>
        <w:t xml:space="preserve"> where described.</w:t>
      </w:r>
      <w:r w:rsidRPr="002903A6">
        <w:rPr>
          <w:bCs/>
        </w:rPr>
        <w:t xml:space="preserve"> A differential contrast filter was used to obtain phased bright-field images. 0.1 µm Z-stacked images were obtained in red and blue channels to aid focusing and reduce background noise. Individual color channels were merged into a composite</w:t>
      </w:r>
      <w:r>
        <w:rPr>
          <w:bCs/>
        </w:rPr>
        <w:t xml:space="preserve"> image</w:t>
      </w:r>
      <w:r w:rsidRPr="002903A6">
        <w:rPr>
          <w:bCs/>
        </w:rPr>
        <w:t xml:space="preserve"> and normalized with ImageJ.</w:t>
      </w:r>
      <w:r w:rsidRPr="002903A6">
        <w:rPr>
          <w:bCs/>
        </w:rPr>
        <w:fldChar w:fldCharType="begin"/>
      </w:r>
      <w:r>
        <w:rPr>
          <w:bCs/>
        </w:rPr>
        <w:instrText>ADDIN F1000_CSL_CITATION&lt;~#@#~&gt;[{"DOI":"10.2144/000112517","First":false,"Last":false,"PMID":"17936939","abstract":"ImageJ is an essential tool for us that fulfills most of our routine image processing and analysis requirements. The near-comprehensive range of import filters that allow easy access to image and meta-data, a broad suite processing and analysis routine, and enthusiastic support from a friendly mailing list are invaluable for all microscopy labs and facilities-not just those on a budget.","author":[{"family":"Collins","given":"Tony J"}],"authorYearDisplayFormat":false,"citation-label":"463939","container-title":"Biotechniques","container-title-short":"BioTechniques","id":"463939","invisible":false,"issue":"1 Suppl","issued":{"date-parts":[["2007","7"]]},"journalAbbreviation":"BioTechniques","page":"25-30","suppress-author":false,"title":"ImageJ for microscopy.","type":"article-journal","volume":"43"}]</w:instrText>
      </w:r>
      <w:r w:rsidRPr="002903A6">
        <w:rPr>
          <w:bCs/>
        </w:rPr>
        <w:fldChar w:fldCharType="separate"/>
      </w:r>
      <w:r w:rsidRPr="00C85866">
        <w:rPr>
          <w:bCs/>
          <w:noProof/>
          <w:vertAlign w:val="superscript"/>
        </w:rPr>
        <w:t>25</w:t>
      </w:r>
      <w:r w:rsidRPr="002903A6">
        <w:rPr>
          <w:bCs/>
        </w:rPr>
        <w:fldChar w:fldCharType="end"/>
      </w:r>
    </w:p>
    <w:p w14:paraId="080DB4B6" w14:textId="6AD0E43E" w:rsidR="00C6592F" w:rsidRDefault="00C6592F" w:rsidP="0012418F">
      <w:pPr>
        <w:pStyle w:val="Heading3"/>
      </w:pPr>
      <w:bookmarkStart w:id="88" w:name="_Toc8392776"/>
      <w:r>
        <w:t>3.</w:t>
      </w:r>
      <w:r w:rsidR="008E6C2A">
        <w:t>5</w:t>
      </w:r>
      <w:r>
        <w:t>.10 Transmission Electron Microscopy</w:t>
      </w:r>
      <w:bookmarkEnd w:id="88"/>
    </w:p>
    <w:p w14:paraId="10DA5FB2" w14:textId="771DD656" w:rsidR="00C6592F" w:rsidRDefault="00C6592F" w:rsidP="00C6592F">
      <w:pPr>
        <w:tabs>
          <w:tab w:val="left" w:pos="720"/>
          <w:tab w:val="center" w:pos="4320"/>
        </w:tabs>
        <w:jc w:val="both"/>
        <w:rPr>
          <w:bCs/>
        </w:rPr>
      </w:pPr>
      <w:r>
        <w:rPr>
          <w:bCs/>
        </w:rPr>
        <w:tab/>
        <w:t>TEM sample preparation was performed by OMRF</w:t>
      </w:r>
      <w:r w:rsidR="00842855">
        <w:rPr>
          <w:bCs/>
        </w:rPr>
        <w:t xml:space="preserve"> personnel</w:t>
      </w:r>
      <w:r>
        <w:rPr>
          <w:bCs/>
        </w:rPr>
        <w:t xml:space="preserve">, as described herein. </w:t>
      </w:r>
      <w:r w:rsidRPr="00F01184">
        <w:rPr>
          <w:bCs/>
        </w:rPr>
        <w:t>Spores were fixed with 4% Paraformaldehyde (EM grade), 2.5% Gluteraldehyde (EM grade), in 0.2M Sodium Cacodylate buffer for 1 day at 4</w:t>
      </w:r>
      <w:r>
        <w:rPr>
          <w:bCs/>
        </w:rPr>
        <w:t xml:space="preserve"> </w:t>
      </w:r>
      <w:r w:rsidRPr="00F01184">
        <w:rPr>
          <w:bCs/>
        </w:rPr>
        <w:t>⁰C. Samples were then post fixed for 60 minutes in 1% Osmium tetroxide (OsO</w:t>
      </w:r>
      <w:r w:rsidRPr="00F01184">
        <w:rPr>
          <w:bCs/>
          <w:vertAlign w:val="subscript"/>
        </w:rPr>
        <w:t>4</w:t>
      </w:r>
      <w:r w:rsidRPr="00F01184">
        <w:rPr>
          <w:bCs/>
        </w:rPr>
        <w:t>) in 0.2M Sodium Cacodylate, and rinsed three times for five minutes each in 0.2M Sodium Cacodylate buffer. The samples were stored in 0.2M Sodium Cacodylate buffer overnight on a rocker at room temperature. The spores were then dehydrated in a graded ethanol series. The ethanol gradient was as follows; 50%, 60%, 75%, 85%, 95%, 100%. The spores were in each concentration for 15 minutes on a rocker. Then the samples had two 15</w:t>
      </w:r>
      <w:r>
        <w:rPr>
          <w:bCs/>
        </w:rPr>
        <w:t>-</w:t>
      </w:r>
      <w:r w:rsidRPr="00F01184">
        <w:rPr>
          <w:bCs/>
        </w:rPr>
        <w:t xml:space="preserve">minute treatments in 100% Propylene Oxide. Following dehydration, the samples were infiltrated in a graded Epon/Araldite (EMS) resin/Propylene Oxide series (1:3, 1:1, 3:1) for 60 minutes, overnight, and 120 </w:t>
      </w:r>
      <w:r w:rsidRPr="00F01184">
        <w:rPr>
          <w:bCs/>
        </w:rPr>
        <w:lastRenderedPageBreak/>
        <w:t>minutes the next day respectfully. The spores were further infiltrated with pure resin for 45 minutes, 90 minutes, and then overnight. The samples were then embedded in resin plus BDMA (accelerator) and polymerized at 60</w:t>
      </w:r>
      <w:r>
        <w:rPr>
          <w:bCs/>
        </w:rPr>
        <w:t xml:space="preserve"> </w:t>
      </w:r>
      <w:r w:rsidRPr="00F01184">
        <w:rPr>
          <w:bCs/>
        </w:rPr>
        <w:t>°C for 48 hours. Ultrathin sections were stained with Sato’s Lead and Saturated Uranyl Acetate in 50% methanol before viewing on a Hitachi H7600 Transmission Electron Microscope.</w:t>
      </w:r>
      <w:r>
        <w:rPr>
          <w:bCs/>
        </w:rPr>
        <w:t xml:space="preserve"> At least 200 cells were counted for quantification.</w:t>
      </w:r>
    </w:p>
    <w:p w14:paraId="2495DE45" w14:textId="6F3F093C" w:rsidR="00C6592F" w:rsidRDefault="00C6592F" w:rsidP="0012418F">
      <w:pPr>
        <w:pStyle w:val="Heading3"/>
      </w:pPr>
      <w:bookmarkStart w:id="89" w:name="_Toc8392777"/>
      <w:r>
        <w:t>3.</w:t>
      </w:r>
      <w:r w:rsidR="008E6C2A">
        <w:t>5</w:t>
      </w:r>
      <w:r>
        <w:t>.11 Western blot analysis</w:t>
      </w:r>
      <w:bookmarkEnd w:id="89"/>
    </w:p>
    <w:p w14:paraId="247CD628" w14:textId="0DDB7DF5" w:rsidR="00C6592F" w:rsidRDefault="00C6592F" w:rsidP="00C6592F">
      <w:pPr>
        <w:tabs>
          <w:tab w:val="left" w:pos="720"/>
          <w:tab w:val="center" w:pos="4320"/>
        </w:tabs>
        <w:jc w:val="both"/>
        <w:rPr>
          <w:bCs/>
        </w:rPr>
      </w:pPr>
      <w:r>
        <w:rPr>
          <w:bCs/>
        </w:rPr>
        <w:tab/>
        <w:t xml:space="preserve">Plate-based spore samples (~40 h sporulation) were pelleted and resuspended in 1 mL of Western Blot buffer (8M Urea, 10mM </w:t>
      </w:r>
      <w:r>
        <w:rPr>
          <w:bCs/>
        </w:rPr>
        <w:sym w:font="Symbol" w:char="F062"/>
      </w:r>
      <w:r>
        <w:rPr>
          <w:bCs/>
        </w:rPr>
        <w:t xml:space="preserve">-mercaptoethanol).  Samples were then mixed 1:1 with 2x SDS-PAGE loading buffer (Bio-Rad), and heated at 100 </w:t>
      </w:r>
      <w:r w:rsidRPr="00F01184">
        <w:rPr>
          <w:bCs/>
        </w:rPr>
        <w:t>⁰C</w:t>
      </w:r>
      <w:r>
        <w:rPr>
          <w:bCs/>
        </w:rPr>
        <w:t xml:space="preserve"> for 10 minutes before centrifugation at 15,000x rcf for 8 minutes. 5 </w:t>
      </w:r>
      <w:r w:rsidRPr="002903A6">
        <w:rPr>
          <w:bCs/>
        </w:rPr>
        <w:t>µ</w:t>
      </w:r>
      <w:r>
        <w:rPr>
          <w:bCs/>
        </w:rPr>
        <w:t>L of each sample was then loaded onto 4-20% TGX Bis-Tris SDS-PAGE gradient gels (Bio-Rad) and resolved via electrophoresis until the dye front had migrated off the gel-front. The samples were then transferred onto Turbo-Blot PVDF membranes (Bio-Rad) and blocked with 5% non-fat milk in Tris-Buffered Saline with 0.1% (v/v) Tween-20 (TBST) for 1 h at room temperature. All antibodies were provided by Dr. Aimee Shen (Tufts) as a generous gift, and were obtained as described elsewhere.</w:t>
      </w:r>
      <w:r>
        <w:rPr>
          <w:bCs/>
        </w:rPr>
        <w:fldChar w:fldCharType="begin"/>
      </w:r>
      <w:r>
        <w:rPr>
          <w:bCs/>
        </w:rPr>
        <w:instrText>ADDIN F1000_CSL_CITATION&lt;~#@#~&gt;[{"DOI":"10.1111/mmi.14090","First":false,"Last":false,"PMCID":"PMC6311989","PMID":"30066347","abstract":"Spore formation is essential for the bacterial pathogen and obligate anaerobe, Clostridioides (Clostridium) difficile, to transmit disease. Completion of this process depends on the mother cell engulfing the developing forespore, but little is known about how engulfment occurs in C. difficile. In Bacillus subtilis, engulfment is mediated by a peptidoglycan degradation complex consisting of SpoIID, SpoIIP and SpoIIM, which are all individually required for spore formation. Using genetic analyses, we determined the functions of these engulfment-related proteins along with the putative endopeptidase, SpoIIQ, during C. difficile sporulation. While SpoIID, SpoIIP and SpoIIQ were critical for engulfment, loss of SpoIIM minimally impacted C. difficile spore formation. Interestingly, a small percentage of ∆spoIID and ∆spoIIQ cells generated heat-resistant spores through the actions of SpoIIQ and SpoIID, respectively. Loss of SpoIID and SpoIIQ also led to unique morphological phenotypes: asymmetric engulfment and forespore distortions, respectively. Catalytic mutant complementation analyses revealed that these phenotypes depend on the enzymatic activities of SpoIIP and SpoIID, respectively. Lastly, engulfment mutants mislocalized polymerized coat even though the basement layer coat proteins, SpoIVA and SipL, remained associated with the forespore. Collectively, these findings advance our understanding of several stages during infectious C. difficile spore assembly.&lt;br&gt;&lt;br&gt;© 2018 The Authors Molecular Microbiology Published by John Wiley &amp; Sons Ltd.","author":[{"family":"Ribis","given":"John W"},{"family":"Fimlaid","given":"Kelly A"},{"family":"Shen","given":"Aimee"}],"authorYearDisplayFormat":false,"citation-label":"6266024","container-title":"Molecular Microbiology","container-title-short":"Mol. Microbiol.","id":"6266024","invisible":false,"issue":"3","issued":{"date-parts":[["2018"]]},"journalAbbreviation":"Mol. Microbiol.","page":"370-389","suppress-author":false,"title":"Differential requirements for conserved peptidoglycan remodeling enzymes during Clostridioides difficile spore formation.","type":"article-journal","volume":"110"}]</w:instrText>
      </w:r>
      <w:r>
        <w:rPr>
          <w:bCs/>
        </w:rPr>
        <w:fldChar w:fldCharType="separate"/>
      </w:r>
      <w:r w:rsidRPr="00C85866">
        <w:rPr>
          <w:bCs/>
          <w:noProof/>
          <w:vertAlign w:val="superscript"/>
        </w:rPr>
        <w:t>32</w:t>
      </w:r>
      <w:r>
        <w:rPr>
          <w:bCs/>
        </w:rPr>
        <w:fldChar w:fldCharType="end"/>
      </w:r>
      <w:r>
        <w:rPr>
          <w:bCs/>
        </w:rPr>
        <w:t xml:space="preserve"> The primary antibodies were diluted 1:2000 in 5% non-fat milk in TBST and used to blot the membranes for each protein for 18-20 h at 4 </w:t>
      </w:r>
      <w:r w:rsidRPr="00F01184">
        <w:rPr>
          <w:bCs/>
        </w:rPr>
        <w:t>⁰C</w:t>
      </w:r>
      <w:r>
        <w:rPr>
          <w:bCs/>
        </w:rPr>
        <w:t xml:space="preserve"> while rocked. The membranes were washed and then incubated with anti-rabbit and anti-mouse (Spo0A primary antibody was mouse derived, all others are rabbit-derived) horseradish peroxide (HRP) secondary antibodies, and were then diluted 1:2000 in 5% non-fat milk in TBST. Membranes were then incubated with secondary antibody for 1 h, washed, and treated with ECL Clarity substrate (Bio-Rad) as per the manufacturer </w:t>
      </w:r>
      <w:r>
        <w:rPr>
          <w:bCs/>
        </w:rPr>
        <w:lastRenderedPageBreak/>
        <w:t>description. Blots were then imaged with a Bio-Rad ChemiDoc MP Imaging System with automatic image correction applied.</w:t>
      </w:r>
    </w:p>
    <w:p w14:paraId="387BD8E0" w14:textId="77777777" w:rsidR="00C6592F" w:rsidRDefault="00C6592F" w:rsidP="00C6592F">
      <w:pPr>
        <w:tabs>
          <w:tab w:val="left" w:pos="720"/>
          <w:tab w:val="center" w:pos="4320"/>
        </w:tabs>
        <w:jc w:val="both"/>
      </w:pPr>
    </w:p>
    <w:p w14:paraId="625BE34D" w14:textId="7BB913E5" w:rsidR="00C6592F" w:rsidRPr="00C6592F" w:rsidRDefault="00C6592F" w:rsidP="004E7821">
      <w:pPr>
        <w:pStyle w:val="Heading2"/>
      </w:pPr>
      <w:bookmarkStart w:id="90" w:name="_Toc8392778"/>
      <w:r>
        <w:t>3.</w:t>
      </w:r>
      <w:r w:rsidR="00C363D7">
        <w:t>7</w:t>
      </w:r>
      <w:r>
        <w:t xml:space="preserve"> References</w:t>
      </w:r>
      <w:bookmarkEnd w:id="90"/>
      <w:r>
        <w:fldChar w:fldCharType="begin"/>
      </w:r>
      <w:r>
        <w:instrText>ADDIN F1000_CSL_BIBLIOGRAPHY</w:instrText>
      </w:r>
      <w:r>
        <w:fldChar w:fldCharType="separate"/>
      </w:r>
    </w:p>
    <w:p w14:paraId="7A2BEF0A" w14:textId="3D6B1843" w:rsidR="00C6592F" w:rsidRPr="00C85866" w:rsidRDefault="00C6592F" w:rsidP="00C363D7">
      <w:pPr>
        <w:widowControl w:val="0"/>
        <w:autoSpaceDE w:val="0"/>
        <w:autoSpaceDN w:val="0"/>
        <w:adjustRightInd w:val="0"/>
        <w:ind w:left="540" w:hanging="540"/>
        <w:jc w:val="both"/>
        <w:rPr>
          <w:noProof/>
        </w:rPr>
      </w:pPr>
      <w:r w:rsidRPr="00C85866">
        <w:rPr>
          <w:noProof/>
        </w:rPr>
        <w:t>1.</w:t>
      </w:r>
      <w:r w:rsidRPr="00C85866">
        <w:rPr>
          <w:noProof/>
        </w:rPr>
        <w:tab/>
        <w:t xml:space="preserve">Deakin, L. J. </w:t>
      </w:r>
      <w:r w:rsidRPr="00C85866">
        <w:rPr>
          <w:i/>
          <w:iCs/>
          <w:noProof/>
        </w:rPr>
        <w:t>et al.</w:t>
      </w:r>
      <w:r w:rsidRPr="00C85866">
        <w:rPr>
          <w:noProof/>
        </w:rPr>
        <w:t xml:space="preserve"> The </w:t>
      </w:r>
      <w:r w:rsidR="00AB3480" w:rsidRPr="00AB3480">
        <w:rPr>
          <w:i/>
          <w:noProof/>
        </w:rPr>
        <w:t>Clostridium difficile</w:t>
      </w:r>
      <w:r w:rsidRPr="00C85866">
        <w:rPr>
          <w:noProof/>
        </w:rPr>
        <w:t xml:space="preserve"> spo0A gene is a persistence and transmission factor. </w:t>
      </w:r>
      <w:r w:rsidRPr="00C85866">
        <w:rPr>
          <w:i/>
          <w:iCs/>
          <w:noProof/>
        </w:rPr>
        <w:t>Infect. Immun.</w:t>
      </w:r>
      <w:r w:rsidRPr="00C85866">
        <w:rPr>
          <w:noProof/>
        </w:rPr>
        <w:t xml:space="preserve"> </w:t>
      </w:r>
      <w:r w:rsidRPr="00C85866">
        <w:rPr>
          <w:b/>
          <w:bCs/>
          <w:noProof/>
        </w:rPr>
        <w:t>80,</w:t>
      </w:r>
      <w:r w:rsidRPr="00C85866">
        <w:rPr>
          <w:noProof/>
        </w:rPr>
        <w:t xml:space="preserve"> 2704–2711 (2012).</w:t>
      </w:r>
    </w:p>
    <w:p w14:paraId="027E4C52" w14:textId="0977C8FB" w:rsidR="00C6592F" w:rsidRPr="00C85866" w:rsidRDefault="00C6592F" w:rsidP="00C363D7">
      <w:pPr>
        <w:widowControl w:val="0"/>
        <w:autoSpaceDE w:val="0"/>
        <w:autoSpaceDN w:val="0"/>
        <w:adjustRightInd w:val="0"/>
        <w:ind w:left="540" w:hanging="540"/>
        <w:jc w:val="both"/>
        <w:rPr>
          <w:noProof/>
        </w:rPr>
      </w:pPr>
      <w:r w:rsidRPr="00C85866">
        <w:rPr>
          <w:noProof/>
        </w:rPr>
        <w:t>2.</w:t>
      </w:r>
      <w:r w:rsidRPr="00C85866">
        <w:rPr>
          <w:noProof/>
        </w:rPr>
        <w:tab/>
        <w:t xml:space="preserve">Abt, M. C., McKenney, P. T. &amp; Pamer, E. G. </w:t>
      </w:r>
      <w:r w:rsidR="00AB3480" w:rsidRPr="00AB3480">
        <w:rPr>
          <w:i/>
          <w:noProof/>
        </w:rPr>
        <w:t>Clostridium difficile</w:t>
      </w:r>
      <w:r w:rsidRPr="00C85866">
        <w:rPr>
          <w:noProof/>
        </w:rPr>
        <w:t xml:space="preserve"> colitis: pathogenesis and host defence. </w:t>
      </w:r>
      <w:r w:rsidRPr="00C85866">
        <w:rPr>
          <w:i/>
          <w:iCs/>
          <w:noProof/>
        </w:rPr>
        <w:t>Nat. Rev. Microbiol.</w:t>
      </w:r>
      <w:r w:rsidRPr="00C85866">
        <w:rPr>
          <w:noProof/>
        </w:rPr>
        <w:t xml:space="preserve"> </w:t>
      </w:r>
      <w:r w:rsidRPr="00C85866">
        <w:rPr>
          <w:b/>
          <w:bCs/>
          <w:noProof/>
        </w:rPr>
        <w:t>14,</w:t>
      </w:r>
      <w:r w:rsidRPr="00C85866">
        <w:rPr>
          <w:noProof/>
        </w:rPr>
        <w:t xml:space="preserve"> 609–620 (2016).</w:t>
      </w:r>
    </w:p>
    <w:p w14:paraId="424298AA" w14:textId="0CB03E29" w:rsidR="00C6592F" w:rsidRPr="00C85866" w:rsidRDefault="00C6592F" w:rsidP="00C363D7">
      <w:pPr>
        <w:widowControl w:val="0"/>
        <w:autoSpaceDE w:val="0"/>
        <w:autoSpaceDN w:val="0"/>
        <w:adjustRightInd w:val="0"/>
        <w:ind w:left="540" w:hanging="540"/>
        <w:jc w:val="both"/>
        <w:rPr>
          <w:noProof/>
        </w:rPr>
      </w:pPr>
      <w:r w:rsidRPr="00C85866">
        <w:rPr>
          <w:noProof/>
        </w:rPr>
        <w:t>3.</w:t>
      </w:r>
      <w:r w:rsidRPr="00C85866">
        <w:rPr>
          <w:noProof/>
        </w:rPr>
        <w:tab/>
        <w:t xml:space="preserve">Gil, F., Lagos-Moraga, S., Calderón-Romero, P., Pizarro-Guajardo, M. &amp; Paredes-Sabja, D. Updates on </w:t>
      </w:r>
      <w:r w:rsidR="00AB3480" w:rsidRPr="00AB3480">
        <w:rPr>
          <w:i/>
          <w:noProof/>
        </w:rPr>
        <w:t>Clostridium difficile</w:t>
      </w:r>
      <w:r w:rsidRPr="00C85866">
        <w:rPr>
          <w:noProof/>
        </w:rPr>
        <w:t xml:space="preserve"> spore biology. </w:t>
      </w:r>
      <w:r w:rsidRPr="00C85866">
        <w:rPr>
          <w:i/>
          <w:iCs/>
          <w:noProof/>
        </w:rPr>
        <w:t>Anaerobe</w:t>
      </w:r>
      <w:r w:rsidRPr="00C85866">
        <w:rPr>
          <w:noProof/>
        </w:rPr>
        <w:t xml:space="preserve"> </w:t>
      </w:r>
      <w:r w:rsidRPr="00C85866">
        <w:rPr>
          <w:b/>
          <w:bCs/>
          <w:noProof/>
        </w:rPr>
        <w:t>45,</w:t>
      </w:r>
      <w:r w:rsidRPr="00C85866">
        <w:rPr>
          <w:noProof/>
        </w:rPr>
        <w:t xml:space="preserve"> 3–9 (2017).</w:t>
      </w:r>
    </w:p>
    <w:p w14:paraId="0FE7986A" w14:textId="77777777" w:rsidR="00C6592F" w:rsidRPr="00C85866" w:rsidRDefault="00C6592F" w:rsidP="00C363D7">
      <w:pPr>
        <w:widowControl w:val="0"/>
        <w:autoSpaceDE w:val="0"/>
        <w:autoSpaceDN w:val="0"/>
        <w:adjustRightInd w:val="0"/>
        <w:ind w:left="540" w:hanging="540"/>
        <w:jc w:val="both"/>
        <w:rPr>
          <w:noProof/>
        </w:rPr>
      </w:pPr>
      <w:r w:rsidRPr="00C85866">
        <w:rPr>
          <w:noProof/>
        </w:rPr>
        <w:t>4.</w:t>
      </w:r>
      <w:r w:rsidRPr="00C85866">
        <w:rPr>
          <w:noProof/>
        </w:rPr>
        <w:tab/>
        <w:t xml:space="preserve">Swick, M. C., Koehler, T. M. &amp; Driks, A. Surviving between hosts: sporulation and transmission. </w:t>
      </w:r>
      <w:r w:rsidRPr="00C85866">
        <w:rPr>
          <w:i/>
          <w:iCs/>
          <w:noProof/>
        </w:rPr>
        <w:t>Microbiol. Spectr.</w:t>
      </w:r>
      <w:r w:rsidRPr="00C85866">
        <w:rPr>
          <w:noProof/>
        </w:rPr>
        <w:t xml:space="preserve"> </w:t>
      </w:r>
      <w:r w:rsidRPr="00C85866">
        <w:rPr>
          <w:b/>
          <w:bCs/>
          <w:noProof/>
        </w:rPr>
        <w:t>4,</w:t>
      </w:r>
      <w:r w:rsidRPr="00C85866">
        <w:rPr>
          <w:noProof/>
        </w:rPr>
        <w:t xml:space="preserve"> (2016).</w:t>
      </w:r>
    </w:p>
    <w:p w14:paraId="42CEDF24" w14:textId="14F8FF5D" w:rsidR="00C6592F" w:rsidRPr="00C85866" w:rsidRDefault="00C6592F" w:rsidP="00C363D7">
      <w:pPr>
        <w:widowControl w:val="0"/>
        <w:autoSpaceDE w:val="0"/>
        <w:autoSpaceDN w:val="0"/>
        <w:adjustRightInd w:val="0"/>
        <w:ind w:left="540" w:hanging="540"/>
        <w:jc w:val="both"/>
        <w:rPr>
          <w:noProof/>
        </w:rPr>
      </w:pPr>
      <w:r w:rsidRPr="00C85866">
        <w:rPr>
          <w:noProof/>
        </w:rPr>
        <w:t>5.</w:t>
      </w:r>
      <w:r w:rsidRPr="00C85866">
        <w:rPr>
          <w:noProof/>
        </w:rPr>
        <w:tab/>
        <w:t xml:space="preserve">Lo Vecchio, A. &amp; Zacur, G. M. </w:t>
      </w:r>
      <w:r w:rsidR="00AB3480" w:rsidRPr="00AB3480">
        <w:rPr>
          <w:i/>
          <w:noProof/>
        </w:rPr>
        <w:t>Clostridium difficile</w:t>
      </w:r>
      <w:r w:rsidRPr="00C85866">
        <w:rPr>
          <w:noProof/>
        </w:rPr>
        <w:t xml:space="preserve"> infection:  an update on epidemiology, risk factors, and therapeutic options. </w:t>
      </w:r>
      <w:r w:rsidRPr="00C85866">
        <w:rPr>
          <w:i/>
          <w:iCs/>
          <w:noProof/>
        </w:rPr>
        <w:t>Curr. Opin. Gastroenterol.</w:t>
      </w:r>
      <w:r w:rsidRPr="00C85866">
        <w:rPr>
          <w:noProof/>
        </w:rPr>
        <w:t xml:space="preserve"> </w:t>
      </w:r>
      <w:r w:rsidRPr="00C85866">
        <w:rPr>
          <w:b/>
          <w:bCs/>
          <w:noProof/>
        </w:rPr>
        <w:t>28,</w:t>
      </w:r>
      <w:r w:rsidRPr="00C85866">
        <w:rPr>
          <w:noProof/>
        </w:rPr>
        <w:t xml:space="preserve"> 1–9 (2012).</w:t>
      </w:r>
    </w:p>
    <w:p w14:paraId="1553509B" w14:textId="78B5BC19" w:rsidR="00C6592F" w:rsidRPr="00C85866" w:rsidRDefault="00C6592F" w:rsidP="00C363D7">
      <w:pPr>
        <w:widowControl w:val="0"/>
        <w:autoSpaceDE w:val="0"/>
        <w:autoSpaceDN w:val="0"/>
        <w:adjustRightInd w:val="0"/>
        <w:ind w:left="540" w:hanging="540"/>
        <w:jc w:val="both"/>
        <w:rPr>
          <w:noProof/>
        </w:rPr>
      </w:pPr>
      <w:r w:rsidRPr="00C85866">
        <w:rPr>
          <w:noProof/>
        </w:rPr>
        <w:t>6.</w:t>
      </w:r>
      <w:r w:rsidRPr="00C85866">
        <w:rPr>
          <w:noProof/>
        </w:rPr>
        <w:tab/>
        <w:t xml:space="preserve">Ofosu, A. </w:t>
      </w:r>
      <w:r w:rsidR="00AB3480" w:rsidRPr="00AB3480">
        <w:rPr>
          <w:i/>
          <w:noProof/>
        </w:rPr>
        <w:t>Clostridium difficile</w:t>
      </w:r>
      <w:r w:rsidRPr="00C85866">
        <w:rPr>
          <w:noProof/>
        </w:rPr>
        <w:t xml:space="preserve"> infection: a review of current and emerging therapies. </w:t>
      </w:r>
      <w:r w:rsidRPr="00C85866">
        <w:rPr>
          <w:i/>
          <w:iCs/>
          <w:noProof/>
        </w:rPr>
        <w:t>Ann Gastroenterol</w:t>
      </w:r>
      <w:r w:rsidRPr="00C85866">
        <w:rPr>
          <w:noProof/>
        </w:rPr>
        <w:t xml:space="preserve"> </w:t>
      </w:r>
      <w:r w:rsidRPr="00C85866">
        <w:rPr>
          <w:b/>
          <w:bCs/>
          <w:noProof/>
        </w:rPr>
        <w:t>29,</w:t>
      </w:r>
      <w:r w:rsidRPr="00C85866">
        <w:rPr>
          <w:noProof/>
        </w:rPr>
        <w:t xml:space="preserve"> 147–154 (2016).</w:t>
      </w:r>
    </w:p>
    <w:p w14:paraId="38480CB2" w14:textId="222C2AE5" w:rsidR="00C6592F" w:rsidRPr="00C85866" w:rsidRDefault="00C6592F" w:rsidP="00C363D7">
      <w:pPr>
        <w:widowControl w:val="0"/>
        <w:autoSpaceDE w:val="0"/>
        <w:autoSpaceDN w:val="0"/>
        <w:adjustRightInd w:val="0"/>
        <w:ind w:left="540" w:hanging="540"/>
        <w:jc w:val="both"/>
        <w:rPr>
          <w:noProof/>
        </w:rPr>
      </w:pPr>
      <w:r w:rsidRPr="00C85866">
        <w:rPr>
          <w:noProof/>
        </w:rPr>
        <w:t>7.</w:t>
      </w:r>
      <w:r w:rsidRPr="00C85866">
        <w:rPr>
          <w:noProof/>
        </w:rPr>
        <w:tab/>
        <w:t xml:space="preserve">Jarrad, A. M., Karoli, T., Blaskovich, M. A. T., Lyras, D. &amp; Cooper, M. A. </w:t>
      </w:r>
      <w:r w:rsidR="00AB3480" w:rsidRPr="00AB3480">
        <w:rPr>
          <w:i/>
          <w:noProof/>
        </w:rPr>
        <w:t>Clostridium difficile</w:t>
      </w:r>
      <w:r w:rsidRPr="00C85866">
        <w:rPr>
          <w:noProof/>
        </w:rPr>
        <w:t xml:space="preserve"> drug pipeline: challenges in discovery and development of new agents. </w:t>
      </w:r>
      <w:r w:rsidRPr="00C85866">
        <w:rPr>
          <w:i/>
          <w:iCs/>
          <w:noProof/>
        </w:rPr>
        <w:t>J. Med. Chem.</w:t>
      </w:r>
      <w:r w:rsidRPr="00C85866">
        <w:rPr>
          <w:noProof/>
        </w:rPr>
        <w:t xml:space="preserve"> </w:t>
      </w:r>
      <w:r w:rsidRPr="00C85866">
        <w:rPr>
          <w:b/>
          <w:bCs/>
          <w:noProof/>
        </w:rPr>
        <w:t>58,</w:t>
      </w:r>
      <w:r w:rsidRPr="00C85866">
        <w:rPr>
          <w:noProof/>
        </w:rPr>
        <w:t xml:space="preserve"> 5164–5185 (2015).</w:t>
      </w:r>
    </w:p>
    <w:p w14:paraId="3F1BDFF5" w14:textId="0263AB73" w:rsidR="00C6592F" w:rsidRPr="00C85866" w:rsidRDefault="00C6592F" w:rsidP="00C363D7">
      <w:pPr>
        <w:widowControl w:val="0"/>
        <w:autoSpaceDE w:val="0"/>
        <w:autoSpaceDN w:val="0"/>
        <w:adjustRightInd w:val="0"/>
        <w:ind w:left="540" w:hanging="540"/>
        <w:jc w:val="both"/>
        <w:rPr>
          <w:noProof/>
        </w:rPr>
      </w:pPr>
      <w:r w:rsidRPr="00C85866">
        <w:rPr>
          <w:noProof/>
        </w:rPr>
        <w:t>8.</w:t>
      </w:r>
      <w:r w:rsidRPr="00C85866">
        <w:rPr>
          <w:noProof/>
        </w:rPr>
        <w:tab/>
        <w:t xml:space="preserve">Zhu, D., Sorg, J. A. &amp; Sun, X. </w:t>
      </w:r>
      <w:r w:rsidRPr="003F1CCD">
        <w:rPr>
          <w:i/>
          <w:noProof/>
        </w:rPr>
        <w:t>Clostridioides difficile</w:t>
      </w:r>
      <w:r w:rsidRPr="00C85866">
        <w:rPr>
          <w:noProof/>
        </w:rPr>
        <w:t xml:space="preserve"> Biology: Sporulation, Germination, and Corresponding Therapies for </w:t>
      </w:r>
      <w:r w:rsidR="00AB3480" w:rsidRPr="00AB3480">
        <w:rPr>
          <w:i/>
          <w:noProof/>
        </w:rPr>
        <w:t>C. difficile</w:t>
      </w:r>
      <w:r w:rsidRPr="00C85866">
        <w:rPr>
          <w:noProof/>
        </w:rPr>
        <w:t xml:space="preserve"> Infection. </w:t>
      </w:r>
      <w:r w:rsidRPr="00C85866">
        <w:rPr>
          <w:i/>
          <w:iCs/>
          <w:noProof/>
        </w:rPr>
        <w:t>Front. Cell Infect. Microbiol.</w:t>
      </w:r>
      <w:r w:rsidRPr="00C85866">
        <w:rPr>
          <w:noProof/>
        </w:rPr>
        <w:t xml:space="preserve"> </w:t>
      </w:r>
      <w:r w:rsidRPr="00C85866">
        <w:rPr>
          <w:b/>
          <w:bCs/>
          <w:noProof/>
        </w:rPr>
        <w:t>8,</w:t>
      </w:r>
      <w:r w:rsidRPr="00C85866">
        <w:rPr>
          <w:noProof/>
        </w:rPr>
        <w:t xml:space="preserve"> 29 (2018).</w:t>
      </w:r>
    </w:p>
    <w:p w14:paraId="2B6B84EF" w14:textId="3BC6DCB1" w:rsidR="00C6592F" w:rsidRPr="00C85866" w:rsidRDefault="00C6592F" w:rsidP="00C363D7">
      <w:pPr>
        <w:widowControl w:val="0"/>
        <w:autoSpaceDE w:val="0"/>
        <w:autoSpaceDN w:val="0"/>
        <w:adjustRightInd w:val="0"/>
        <w:ind w:left="540" w:hanging="540"/>
        <w:jc w:val="both"/>
        <w:rPr>
          <w:noProof/>
        </w:rPr>
      </w:pPr>
      <w:r w:rsidRPr="00C85866">
        <w:rPr>
          <w:noProof/>
        </w:rPr>
        <w:t>9.</w:t>
      </w:r>
      <w:r w:rsidRPr="00C85866">
        <w:rPr>
          <w:noProof/>
        </w:rPr>
        <w:tab/>
        <w:t xml:space="preserve">Venugopal, A. A. &amp; Johnson, S. Current state of </w:t>
      </w:r>
      <w:r w:rsidR="00AB3480" w:rsidRPr="00AB3480">
        <w:rPr>
          <w:i/>
          <w:noProof/>
        </w:rPr>
        <w:t>Clostridium difficile</w:t>
      </w:r>
      <w:r w:rsidRPr="00C85866">
        <w:rPr>
          <w:noProof/>
        </w:rPr>
        <w:t xml:space="preserve"> treatment </w:t>
      </w:r>
      <w:r w:rsidRPr="00C85866">
        <w:rPr>
          <w:noProof/>
        </w:rPr>
        <w:lastRenderedPageBreak/>
        <w:t xml:space="preserve">options. </w:t>
      </w:r>
      <w:r w:rsidRPr="00C85866">
        <w:rPr>
          <w:i/>
          <w:iCs/>
          <w:noProof/>
        </w:rPr>
        <w:t>Clin. Infect. Dis.</w:t>
      </w:r>
      <w:r w:rsidRPr="00C85866">
        <w:rPr>
          <w:noProof/>
        </w:rPr>
        <w:t xml:space="preserve"> </w:t>
      </w:r>
      <w:r w:rsidRPr="00C85866">
        <w:rPr>
          <w:b/>
          <w:bCs/>
          <w:noProof/>
        </w:rPr>
        <w:t>55 Suppl 2,</w:t>
      </w:r>
      <w:r w:rsidRPr="00C85866">
        <w:rPr>
          <w:noProof/>
        </w:rPr>
        <w:t xml:space="preserve"> S71-6 (2012).</w:t>
      </w:r>
    </w:p>
    <w:p w14:paraId="56D790E0" w14:textId="77777777" w:rsidR="00C6592F" w:rsidRPr="00C85866" w:rsidRDefault="00C6592F" w:rsidP="00C363D7">
      <w:pPr>
        <w:widowControl w:val="0"/>
        <w:autoSpaceDE w:val="0"/>
        <w:autoSpaceDN w:val="0"/>
        <w:adjustRightInd w:val="0"/>
        <w:ind w:left="540" w:hanging="540"/>
        <w:jc w:val="both"/>
        <w:rPr>
          <w:noProof/>
        </w:rPr>
      </w:pPr>
      <w:r w:rsidRPr="00C85866">
        <w:rPr>
          <w:noProof/>
        </w:rPr>
        <w:t>10.</w:t>
      </w:r>
      <w:r w:rsidRPr="00C85866">
        <w:rPr>
          <w:noProof/>
        </w:rPr>
        <w:tab/>
        <w:t xml:space="preserve">Brötz-Oesterhelt, H. &amp; Sass, P. Bacterial caseinolytic proteases as novel targets for antibacterial treatment. </w:t>
      </w:r>
      <w:r w:rsidRPr="00C85866">
        <w:rPr>
          <w:i/>
          <w:iCs/>
          <w:noProof/>
        </w:rPr>
        <w:t>Int. J. Med. Microbiol.</w:t>
      </w:r>
      <w:r w:rsidRPr="00C85866">
        <w:rPr>
          <w:noProof/>
        </w:rPr>
        <w:t xml:space="preserve"> </w:t>
      </w:r>
      <w:r w:rsidRPr="00C85866">
        <w:rPr>
          <w:b/>
          <w:bCs/>
          <w:noProof/>
        </w:rPr>
        <w:t>304,</w:t>
      </w:r>
      <w:r w:rsidRPr="00C85866">
        <w:rPr>
          <w:noProof/>
        </w:rPr>
        <w:t xml:space="preserve"> 23–30 (2014).</w:t>
      </w:r>
    </w:p>
    <w:p w14:paraId="26DDC93A" w14:textId="2C4A9AC0" w:rsidR="00C6592F" w:rsidRPr="00C85866" w:rsidRDefault="00C6592F" w:rsidP="00C363D7">
      <w:pPr>
        <w:widowControl w:val="0"/>
        <w:autoSpaceDE w:val="0"/>
        <w:autoSpaceDN w:val="0"/>
        <w:adjustRightInd w:val="0"/>
        <w:ind w:left="540" w:hanging="540"/>
        <w:jc w:val="both"/>
        <w:rPr>
          <w:noProof/>
        </w:rPr>
      </w:pPr>
      <w:r w:rsidRPr="00C85866">
        <w:rPr>
          <w:noProof/>
        </w:rPr>
        <w:t>11.</w:t>
      </w:r>
      <w:r w:rsidRPr="00C85866">
        <w:rPr>
          <w:noProof/>
        </w:rPr>
        <w:tab/>
        <w:t xml:space="preserve">Bhandari, V. </w:t>
      </w:r>
      <w:r w:rsidRPr="00C85866">
        <w:rPr>
          <w:i/>
          <w:iCs/>
          <w:noProof/>
        </w:rPr>
        <w:t>et al.</w:t>
      </w:r>
      <w:r w:rsidRPr="00C85866">
        <w:rPr>
          <w:noProof/>
        </w:rPr>
        <w:t xml:space="preserve"> The role of </w:t>
      </w:r>
      <w:r w:rsidR="003F1CCD">
        <w:rPr>
          <w:noProof/>
        </w:rPr>
        <w:t>C</w:t>
      </w:r>
      <w:r w:rsidRPr="00C85866">
        <w:rPr>
          <w:noProof/>
        </w:rPr>
        <w:t>lp</w:t>
      </w:r>
      <w:r w:rsidR="003F1CCD">
        <w:rPr>
          <w:noProof/>
        </w:rPr>
        <w:t>P</w:t>
      </w:r>
      <w:r w:rsidRPr="00C85866">
        <w:rPr>
          <w:noProof/>
        </w:rPr>
        <w:t xml:space="preserve"> protease in bacterial pathogenesis and human diseases. </w:t>
      </w:r>
      <w:r w:rsidRPr="00C85866">
        <w:rPr>
          <w:i/>
          <w:iCs/>
          <w:noProof/>
        </w:rPr>
        <w:t>ACS Chem. Biol.</w:t>
      </w:r>
      <w:r w:rsidRPr="00C85866">
        <w:rPr>
          <w:noProof/>
        </w:rPr>
        <w:t xml:space="preserve"> </w:t>
      </w:r>
      <w:r w:rsidRPr="00C85866">
        <w:rPr>
          <w:b/>
          <w:bCs/>
          <w:noProof/>
        </w:rPr>
        <w:t>13,</w:t>
      </w:r>
      <w:r w:rsidRPr="00C85866">
        <w:rPr>
          <w:noProof/>
        </w:rPr>
        <w:t xml:space="preserve"> 1413–1425 (2018).</w:t>
      </w:r>
    </w:p>
    <w:p w14:paraId="257D8678" w14:textId="77777777" w:rsidR="00C6592F" w:rsidRPr="00C85866" w:rsidRDefault="00C6592F" w:rsidP="00C363D7">
      <w:pPr>
        <w:widowControl w:val="0"/>
        <w:autoSpaceDE w:val="0"/>
        <w:autoSpaceDN w:val="0"/>
        <w:adjustRightInd w:val="0"/>
        <w:ind w:left="540" w:hanging="540"/>
        <w:jc w:val="both"/>
        <w:rPr>
          <w:noProof/>
        </w:rPr>
      </w:pPr>
      <w:r w:rsidRPr="00C85866">
        <w:rPr>
          <w:noProof/>
        </w:rPr>
        <w:t>12.</w:t>
      </w:r>
      <w:r w:rsidRPr="00C85866">
        <w:rPr>
          <w:noProof/>
        </w:rPr>
        <w:tab/>
        <w:t xml:space="preserve">Ruvolo, M. V., Mach, K. E. &amp; Burkholder, W. F. Proteolysis of the replication checkpoint protein Sda is necessary for the efficient initiation of sporulation after transient replication stress in Bacillus subtilis. </w:t>
      </w:r>
      <w:r w:rsidRPr="00C85866">
        <w:rPr>
          <w:i/>
          <w:iCs/>
          <w:noProof/>
        </w:rPr>
        <w:t>Mol. Microbiol.</w:t>
      </w:r>
      <w:r w:rsidRPr="00C85866">
        <w:rPr>
          <w:noProof/>
        </w:rPr>
        <w:t xml:space="preserve"> </w:t>
      </w:r>
      <w:r w:rsidRPr="00C85866">
        <w:rPr>
          <w:b/>
          <w:bCs/>
          <w:noProof/>
        </w:rPr>
        <w:t>60,</w:t>
      </w:r>
      <w:r w:rsidRPr="00C85866">
        <w:rPr>
          <w:noProof/>
        </w:rPr>
        <w:t xml:space="preserve"> 1490–1508 (2006).</w:t>
      </w:r>
    </w:p>
    <w:p w14:paraId="5B9C7F9C" w14:textId="77777777" w:rsidR="00C6592F" w:rsidRPr="00C85866" w:rsidRDefault="00C6592F" w:rsidP="00C363D7">
      <w:pPr>
        <w:widowControl w:val="0"/>
        <w:autoSpaceDE w:val="0"/>
        <w:autoSpaceDN w:val="0"/>
        <w:adjustRightInd w:val="0"/>
        <w:ind w:left="540" w:hanging="540"/>
        <w:jc w:val="both"/>
        <w:rPr>
          <w:noProof/>
        </w:rPr>
      </w:pPr>
      <w:r w:rsidRPr="00C85866">
        <w:rPr>
          <w:noProof/>
        </w:rPr>
        <w:t>13.</w:t>
      </w:r>
      <w:r w:rsidRPr="00C85866">
        <w:rPr>
          <w:noProof/>
        </w:rPr>
        <w:tab/>
        <w:t xml:space="preserve">Ruvolo, M. V. The role and regulation of a checkpoint pathway that coordinatesspore development with chromosome replication in </w:t>
      </w:r>
      <w:r w:rsidRPr="003F1CCD">
        <w:rPr>
          <w:i/>
          <w:noProof/>
        </w:rPr>
        <w:t>Bacillus subtilis</w:t>
      </w:r>
      <w:r w:rsidRPr="00C85866">
        <w:rPr>
          <w:noProof/>
        </w:rPr>
        <w:t>. (2008).</w:t>
      </w:r>
    </w:p>
    <w:p w14:paraId="1DD87198" w14:textId="77777777" w:rsidR="00C6592F" w:rsidRPr="00C85866" w:rsidRDefault="00C6592F" w:rsidP="00C363D7">
      <w:pPr>
        <w:widowControl w:val="0"/>
        <w:autoSpaceDE w:val="0"/>
        <w:autoSpaceDN w:val="0"/>
        <w:adjustRightInd w:val="0"/>
        <w:ind w:left="540" w:hanging="540"/>
        <w:jc w:val="both"/>
        <w:rPr>
          <w:noProof/>
        </w:rPr>
      </w:pPr>
      <w:r w:rsidRPr="00C85866">
        <w:rPr>
          <w:noProof/>
        </w:rPr>
        <w:t>14.</w:t>
      </w:r>
      <w:r w:rsidRPr="00C85866">
        <w:rPr>
          <w:noProof/>
        </w:rPr>
        <w:tab/>
        <w:t xml:space="preserve">Pan, Q. &amp; Losick, R. Unique degradation signal for ClpCP in </w:t>
      </w:r>
      <w:r w:rsidRPr="003F1CCD">
        <w:rPr>
          <w:i/>
          <w:noProof/>
        </w:rPr>
        <w:t>Bacillus subtilis</w:t>
      </w:r>
      <w:r w:rsidRPr="00C85866">
        <w:rPr>
          <w:noProof/>
        </w:rPr>
        <w:t xml:space="preserve">. </w:t>
      </w:r>
      <w:r w:rsidRPr="00C85866">
        <w:rPr>
          <w:i/>
          <w:iCs/>
          <w:noProof/>
        </w:rPr>
        <w:t>J. Bacteriol.</w:t>
      </w:r>
      <w:r w:rsidRPr="00C85866">
        <w:rPr>
          <w:noProof/>
        </w:rPr>
        <w:t xml:space="preserve"> </w:t>
      </w:r>
      <w:r w:rsidRPr="00C85866">
        <w:rPr>
          <w:b/>
          <w:bCs/>
          <w:noProof/>
        </w:rPr>
        <w:t>185,</w:t>
      </w:r>
      <w:r w:rsidRPr="00C85866">
        <w:rPr>
          <w:noProof/>
        </w:rPr>
        <w:t xml:space="preserve"> 5275–5278 (2003).</w:t>
      </w:r>
    </w:p>
    <w:p w14:paraId="138A999B" w14:textId="77777777" w:rsidR="00C6592F" w:rsidRPr="00C85866" w:rsidRDefault="00C6592F" w:rsidP="00C363D7">
      <w:pPr>
        <w:widowControl w:val="0"/>
        <w:autoSpaceDE w:val="0"/>
        <w:autoSpaceDN w:val="0"/>
        <w:adjustRightInd w:val="0"/>
        <w:ind w:left="540" w:hanging="540"/>
        <w:jc w:val="both"/>
        <w:rPr>
          <w:noProof/>
        </w:rPr>
      </w:pPr>
      <w:r w:rsidRPr="00C85866">
        <w:rPr>
          <w:noProof/>
        </w:rPr>
        <w:t>15.</w:t>
      </w:r>
      <w:r w:rsidRPr="00C85866">
        <w:rPr>
          <w:noProof/>
        </w:rPr>
        <w:tab/>
        <w:t xml:space="preserve">Pan, Q., Garsin, D. A. &amp; Losick, R. Self-Reinforcing Activation of a Cell-Specific Transcription Factor by Proteolysis of an Anti-σ Factor in </w:t>
      </w:r>
      <w:r w:rsidRPr="003F1CCD">
        <w:rPr>
          <w:i/>
          <w:noProof/>
        </w:rPr>
        <w:t>B. subtilis</w:t>
      </w:r>
      <w:r w:rsidRPr="00C85866">
        <w:rPr>
          <w:noProof/>
        </w:rPr>
        <w:t xml:space="preserve">. </w:t>
      </w:r>
      <w:r w:rsidRPr="00C85866">
        <w:rPr>
          <w:i/>
          <w:iCs/>
          <w:noProof/>
        </w:rPr>
        <w:t>Mol. Cell</w:t>
      </w:r>
      <w:r w:rsidRPr="00C85866">
        <w:rPr>
          <w:noProof/>
        </w:rPr>
        <w:t xml:space="preserve"> </w:t>
      </w:r>
      <w:r w:rsidRPr="00C85866">
        <w:rPr>
          <w:b/>
          <w:bCs/>
          <w:noProof/>
        </w:rPr>
        <w:t>8,</w:t>
      </w:r>
      <w:r w:rsidRPr="00C85866">
        <w:rPr>
          <w:noProof/>
        </w:rPr>
        <w:t xml:space="preserve"> 873–883 (2001).</w:t>
      </w:r>
    </w:p>
    <w:p w14:paraId="47338A6D" w14:textId="30CAB9CF" w:rsidR="00C6592F" w:rsidRPr="00C85866" w:rsidRDefault="00C6592F" w:rsidP="00C363D7">
      <w:pPr>
        <w:widowControl w:val="0"/>
        <w:autoSpaceDE w:val="0"/>
        <w:autoSpaceDN w:val="0"/>
        <w:adjustRightInd w:val="0"/>
        <w:ind w:left="540" w:hanging="540"/>
        <w:jc w:val="both"/>
        <w:rPr>
          <w:noProof/>
        </w:rPr>
      </w:pPr>
      <w:r w:rsidRPr="00C85866">
        <w:rPr>
          <w:noProof/>
        </w:rPr>
        <w:t>16.</w:t>
      </w:r>
      <w:r w:rsidRPr="00C85866">
        <w:rPr>
          <w:noProof/>
        </w:rPr>
        <w:tab/>
        <w:t xml:space="preserve">Edwards, A. N. &amp; McBride, S. M. Initiation of sporulation in </w:t>
      </w:r>
      <w:r w:rsidR="00AB3480" w:rsidRPr="00AB3480">
        <w:rPr>
          <w:i/>
          <w:noProof/>
        </w:rPr>
        <w:t>Clostridium difficile</w:t>
      </w:r>
      <w:r w:rsidRPr="00C85866">
        <w:rPr>
          <w:noProof/>
        </w:rPr>
        <w:t xml:space="preserve">: a twist on the classic model. </w:t>
      </w:r>
      <w:r w:rsidRPr="00C85866">
        <w:rPr>
          <w:i/>
          <w:iCs/>
          <w:noProof/>
        </w:rPr>
        <w:t>FEMS Microbiol. Lett.</w:t>
      </w:r>
      <w:r w:rsidRPr="00C85866">
        <w:rPr>
          <w:noProof/>
        </w:rPr>
        <w:t xml:space="preserve"> </w:t>
      </w:r>
      <w:r w:rsidRPr="00C85866">
        <w:rPr>
          <w:b/>
          <w:bCs/>
          <w:noProof/>
        </w:rPr>
        <w:t>358,</w:t>
      </w:r>
      <w:r w:rsidRPr="00C85866">
        <w:rPr>
          <w:noProof/>
        </w:rPr>
        <w:t xml:space="preserve"> 110–118 (2014).</w:t>
      </w:r>
    </w:p>
    <w:p w14:paraId="1F525D81" w14:textId="77777777" w:rsidR="00C6592F" w:rsidRPr="00C85866" w:rsidRDefault="00C6592F" w:rsidP="00C363D7">
      <w:pPr>
        <w:widowControl w:val="0"/>
        <w:autoSpaceDE w:val="0"/>
        <w:autoSpaceDN w:val="0"/>
        <w:adjustRightInd w:val="0"/>
        <w:ind w:left="540" w:hanging="540"/>
        <w:jc w:val="both"/>
        <w:rPr>
          <w:noProof/>
        </w:rPr>
      </w:pPr>
      <w:r w:rsidRPr="00C85866">
        <w:rPr>
          <w:noProof/>
        </w:rPr>
        <w:t>17.</w:t>
      </w:r>
      <w:r w:rsidRPr="00C85866">
        <w:rPr>
          <w:noProof/>
        </w:rPr>
        <w:tab/>
        <w:t xml:space="preserve">Hall, B. M. </w:t>
      </w:r>
      <w:r w:rsidRPr="00C85866">
        <w:rPr>
          <w:i/>
          <w:iCs/>
          <w:noProof/>
        </w:rPr>
        <w:t>et al.</w:t>
      </w:r>
      <w:r w:rsidRPr="00C85866">
        <w:rPr>
          <w:noProof/>
        </w:rPr>
        <w:t xml:space="preserve"> Two Isoforms of Clp Peptidase in </w:t>
      </w:r>
      <w:r w:rsidRPr="003F1CCD">
        <w:rPr>
          <w:i/>
          <w:noProof/>
        </w:rPr>
        <w:t xml:space="preserve">Pseudomonas aeruginosa </w:t>
      </w:r>
      <w:r w:rsidRPr="00C85866">
        <w:rPr>
          <w:noProof/>
        </w:rPr>
        <w:t xml:space="preserve">Control Distinct Aspects of Cellular Physiology. </w:t>
      </w:r>
      <w:r w:rsidRPr="00C85866">
        <w:rPr>
          <w:i/>
          <w:iCs/>
          <w:noProof/>
        </w:rPr>
        <w:t>J. Bacteriol.</w:t>
      </w:r>
      <w:r w:rsidRPr="00C85866">
        <w:rPr>
          <w:noProof/>
        </w:rPr>
        <w:t xml:space="preserve"> </w:t>
      </w:r>
      <w:r w:rsidRPr="00C85866">
        <w:rPr>
          <w:b/>
          <w:bCs/>
          <w:noProof/>
        </w:rPr>
        <w:t>199,</w:t>
      </w:r>
      <w:r w:rsidRPr="00C85866">
        <w:rPr>
          <w:noProof/>
        </w:rPr>
        <w:t xml:space="preserve"> (2017).</w:t>
      </w:r>
    </w:p>
    <w:p w14:paraId="35D9D28A" w14:textId="7A913B11" w:rsidR="00C6592F" w:rsidRPr="00C85866" w:rsidRDefault="00C6592F" w:rsidP="00C363D7">
      <w:pPr>
        <w:widowControl w:val="0"/>
        <w:autoSpaceDE w:val="0"/>
        <w:autoSpaceDN w:val="0"/>
        <w:adjustRightInd w:val="0"/>
        <w:ind w:left="540" w:hanging="540"/>
        <w:jc w:val="both"/>
        <w:rPr>
          <w:noProof/>
        </w:rPr>
      </w:pPr>
      <w:r w:rsidRPr="00C85866">
        <w:rPr>
          <w:noProof/>
        </w:rPr>
        <w:t>18.</w:t>
      </w:r>
      <w:r w:rsidRPr="00C85866">
        <w:rPr>
          <w:noProof/>
        </w:rPr>
        <w:tab/>
        <w:t xml:space="preserve">Edwards, A. N. &amp; McBride, S. M. Isolating and Purifying </w:t>
      </w:r>
      <w:r w:rsidR="00AB3480" w:rsidRPr="00AB3480">
        <w:rPr>
          <w:i/>
          <w:noProof/>
        </w:rPr>
        <w:t>Clostridium difficile</w:t>
      </w:r>
      <w:r w:rsidRPr="00C85866">
        <w:rPr>
          <w:noProof/>
        </w:rPr>
        <w:t xml:space="preserve"> Spores. </w:t>
      </w:r>
      <w:r w:rsidRPr="00C85866">
        <w:rPr>
          <w:i/>
          <w:iCs/>
          <w:noProof/>
        </w:rPr>
        <w:t>Methods Mol. Biol.</w:t>
      </w:r>
      <w:r w:rsidRPr="00C85866">
        <w:rPr>
          <w:noProof/>
        </w:rPr>
        <w:t xml:space="preserve"> </w:t>
      </w:r>
      <w:r w:rsidRPr="00C85866">
        <w:rPr>
          <w:b/>
          <w:bCs/>
          <w:noProof/>
        </w:rPr>
        <w:t>1476,</w:t>
      </w:r>
      <w:r w:rsidRPr="00C85866">
        <w:rPr>
          <w:noProof/>
        </w:rPr>
        <w:t xml:space="preserve"> 117–128 (2016).</w:t>
      </w:r>
    </w:p>
    <w:p w14:paraId="006EC636" w14:textId="3470B468" w:rsidR="00C6592F" w:rsidRPr="00C85866" w:rsidRDefault="00C6592F" w:rsidP="00C363D7">
      <w:pPr>
        <w:widowControl w:val="0"/>
        <w:autoSpaceDE w:val="0"/>
        <w:autoSpaceDN w:val="0"/>
        <w:adjustRightInd w:val="0"/>
        <w:ind w:left="540" w:hanging="540"/>
        <w:jc w:val="both"/>
        <w:rPr>
          <w:noProof/>
        </w:rPr>
      </w:pPr>
      <w:r w:rsidRPr="00C85866">
        <w:rPr>
          <w:noProof/>
        </w:rPr>
        <w:t>19.</w:t>
      </w:r>
      <w:r w:rsidRPr="00C85866">
        <w:rPr>
          <w:noProof/>
        </w:rPr>
        <w:tab/>
        <w:t xml:space="preserve">Wilson, K. H., Kennedy, M. J. &amp; Fekety, F. R. Use of sodium taurocholate to enhance spore recovery on a medium selective for </w:t>
      </w:r>
      <w:r w:rsidR="00AB3480" w:rsidRPr="00AB3480">
        <w:rPr>
          <w:i/>
          <w:noProof/>
        </w:rPr>
        <w:t>Clostridium difficile</w:t>
      </w:r>
      <w:r w:rsidRPr="00C85866">
        <w:rPr>
          <w:noProof/>
        </w:rPr>
        <w:t xml:space="preserve">. </w:t>
      </w:r>
      <w:r w:rsidRPr="00C85866">
        <w:rPr>
          <w:i/>
          <w:iCs/>
          <w:noProof/>
        </w:rPr>
        <w:t>J. Clin. Microbiol.</w:t>
      </w:r>
      <w:r w:rsidRPr="00C85866">
        <w:rPr>
          <w:noProof/>
        </w:rPr>
        <w:t xml:space="preserve"> </w:t>
      </w:r>
      <w:r w:rsidRPr="00C85866">
        <w:rPr>
          <w:b/>
          <w:bCs/>
          <w:noProof/>
        </w:rPr>
        <w:lastRenderedPageBreak/>
        <w:t>15,</w:t>
      </w:r>
      <w:r w:rsidRPr="00C85866">
        <w:rPr>
          <w:noProof/>
        </w:rPr>
        <w:t xml:space="preserve"> 443–446 (1982).</w:t>
      </w:r>
    </w:p>
    <w:p w14:paraId="34B6C36F" w14:textId="56E793E0" w:rsidR="00C6592F" w:rsidRPr="00C85866" w:rsidRDefault="00C6592F" w:rsidP="00C363D7">
      <w:pPr>
        <w:widowControl w:val="0"/>
        <w:autoSpaceDE w:val="0"/>
        <w:autoSpaceDN w:val="0"/>
        <w:adjustRightInd w:val="0"/>
        <w:ind w:left="540" w:hanging="540"/>
        <w:jc w:val="both"/>
        <w:rPr>
          <w:noProof/>
        </w:rPr>
      </w:pPr>
      <w:r w:rsidRPr="00C85866">
        <w:rPr>
          <w:noProof/>
        </w:rPr>
        <w:t>20.</w:t>
      </w:r>
      <w:r w:rsidRPr="00C85866">
        <w:rPr>
          <w:noProof/>
        </w:rPr>
        <w:tab/>
        <w:t xml:space="preserve">Wilson, K. H. Efficiency of various bile salt preparations for stimulation of </w:t>
      </w:r>
      <w:r w:rsidR="00AB3480" w:rsidRPr="00AB3480">
        <w:rPr>
          <w:i/>
          <w:noProof/>
        </w:rPr>
        <w:t>Clostridium difficile</w:t>
      </w:r>
      <w:r w:rsidRPr="00C85866">
        <w:rPr>
          <w:noProof/>
        </w:rPr>
        <w:t xml:space="preserve"> spore germination. </w:t>
      </w:r>
      <w:r w:rsidRPr="00C85866">
        <w:rPr>
          <w:i/>
          <w:iCs/>
          <w:noProof/>
        </w:rPr>
        <w:t>J. Clin. Microbiol.</w:t>
      </w:r>
      <w:r w:rsidRPr="00C85866">
        <w:rPr>
          <w:noProof/>
        </w:rPr>
        <w:t xml:space="preserve"> </w:t>
      </w:r>
      <w:r w:rsidRPr="00C85866">
        <w:rPr>
          <w:b/>
          <w:bCs/>
          <w:noProof/>
        </w:rPr>
        <w:t>18,</w:t>
      </w:r>
      <w:r w:rsidRPr="00C85866">
        <w:rPr>
          <w:noProof/>
        </w:rPr>
        <w:t xml:space="preserve"> 1017–1019 (1983).</w:t>
      </w:r>
    </w:p>
    <w:p w14:paraId="62744D8B" w14:textId="438007DD" w:rsidR="00C6592F" w:rsidRPr="00C85866" w:rsidRDefault="00C6592F" w:rsidP="00C363D7">
      <w:pPr>
        <w:widowControl w:val="0"/>
        <w:autoSpaceDE w:val="0"/>
        <w:autoSpaceDN w:val="0"/>
        <w:adjustRightInd w:val="0"/>
        <w:ind w:left="540" w:hanging="540"/>
        <w:jc w:val="both"/>
        <w:rPr>
          <w:noProof/>
        </w:rPr>
      </w:pPr>
      <w:r w:rsidRPr="00C85866">
        <w:rPr>
          <w:noProof/>
        </w:rPr>
        <w:t>21.</w:t>
      </w:r>
      <w:r w:rsidRPr="00C85866">
        <w:rPr>
          <w:noProof/>
        </w:rPr>
        <w:tab/>
        <w:t xml:space="preserve">Edwards, A. N. &amp; McBride, S. M. Isolating and Purifying </w:t>
      </w:r>
      <w:r w:rsidR="00AB3480" w:rsidRPr="00AB3480">
        <w:rPr>
          <w:i/>
          <w:noProof/>
        </w:rPr>
        <w:t>Clostridium difficile</w:t>
      </w:r>
      <w:r w:rsidRPr="00C85866">
        <w:rPr>
          <w:noProof/>
        </w:rPr>
        <w:t xml:space="preserve"> Spores. </w:t>
      </w:r>
      <w:r w:rsidRPr="00C85866">
        <w:rPr>
          <w:i/>
          <w:iCs/>
          <w:noProof/>
        </w:rPr>
        <w:t>Methods Mol. Biol.</w:t>
      </w:r>
      <w:r w:rsidRPr="00C85866">
        <w:rPr>
          <w:noProof/>
        </w:rPr>
        <w:t xml:space="preserve"> </w:t>
      </w:r>
      <w:r w:rsidRPr="00C85866">
        <w:rPr>
          <w:b/>
          <w:bCs/>
          <w:noProof/>
        </w:rPr>
        <w:t>1476,</w:t>
      </w:r>
      <w:r w:rsidRPr="00C85866">
        <w:rPr>
          <w:noProof/>
        </w:rPr>
        <w:t xml:space="preserve"> 117–128 (2016).</w:t>
      </w:r>
    </w:p>
    <w:p w14:paraId="22CFB922" w14:textId="0925ECBE" w:rsidR="00C6592F" w:rsidRPr="00C85866" w:rsidRDefault="00C6592F" w:rsidP="00C363D7">
      <w:pPr>
        <w:widowControl w:val="0"/>
        <w:autoSpaceDE w:val="0"/>
        <w:autoSpaceDN w:val="0"/>
        <w:adjustRightInd w:val="0"/>
        <w:ind w:left="540" w:hanging="540"/>
        <w:jc w:val="both"/>
        <w:rPr>
          <w:noProof/>
        </w:rPr>
      </w:pPr>
      <w:r w:rsidRPr="00C85866">
        <w:rPr>
          <w:noProof/>
        </w:rPr>
        <w:t>22.</w:t>
      </w:r>
      <w:r w:rsidRPr="00C85866">
        <w:rPr>
          <w:noProof/>
        </w:rPr>
        <w:tab/>
        <w:t xml:space="preserve">Burns, D. A. &amp; Minton, N. P. Sporulation studies in </w:t>
      </w:r>
      <w:r w:rsidR="00AB3480" w:rsidRPr="00AB3480">
        <w:rPr>
          <w:i/>
          <w:noProof/>
        </w:rPr>
        <w:t>Clostridium difficile</w:t>
      </w:r>
      <w:r w:rsidRPr="00C85866">
        <w:rPr>
          <w:noProof/>
        </w:rPr>
        <w:t xml:space="preserve">. </w:t>
      </w:r>
      <w:r w:rsidRPr="00C85866">
        <w:rPr>
          <w:i/>
          <w:iCs/>
          <w:noProof/>
        </w:rPr>
        <w:t>J. Microbiol. Methods</w:t>
      </w:r>
      <w:r w:rsidRPr="00C85866">
        <w:rPr>
          <w:noProof/>
        </w:rPr>
        <w:t xml:space="preserve"> </w:t>
      </w:r>
      <w:r w:rsidRPr="00C85866">
        <w:rPr>
          <w:b/>
          <w:bCs/>
          <w:noProof/>
        </w:rPr>
        <w:t>87,</w:t>
      </w:r>
      <w:r w:rsidRPr="00C85866">
        <w:rPr>
          <w:noProof/>
        </w:rPr>
        <w:t xml:space="preserve"> 133–138 (2011).</w:t>
      </w:r>
    </w:p>
    <w:p w14:paraId="15FE113D" w14:textId="594B94E7" w:rsidR="00C6592F" w:rsidRPr="00C85866" w:rsidRDefault="00C6592F" w:rsidP="00C363D7">
      <w:pPr>
        <w:widowControl w:val="0"/>
        <w:autoSpaceDE w:val="0"/>
        <w:autoSpaceDN w:val="0"/>
        <w:adjustRightInd w:val="0"/>
        <w:ind w:left="540" w:hanging="540"/>
        <w:jc w:val="both"/>
        <w:rPr>
          <w:noProof/>
        </w:rPr>
      </w:pPr>
      <w:r w:rsidRPr="00C85866">
        <w:rPr>
          <w:noProof/>
        </w:rPr>
        <w:t>23.</w:t>
      </w:r>
      <w:r w:rsidRPr="00C85866">
        <w:rPr>
          <w:noProof/>
        </w:rPr>
        <w:tab/>
        <w:t xml:space="preserve">Permpoonpattana, P. </w:t>
      </w:r>
      <w:r w:rsidRPr="00C85866">
        <w:rPr>
          <w:i/>
          <w:iCs/>
          <w:noProof/>
        </w:rPr>
        <w:t>et al.</w:t>
      </w:r>
      <w:r w:rsidRPr="00C85866">
        <w:rPr>
          <w:noProof/>
        </w:rPr>
        <w:t xml:space="preserve"> Surface layers of </w:t>
      </w:r>
      <w:r w:rsidR="00AB3480" w:rsidRPr="00AB3480">
        <w:rPr>
          <w:i/>
          <w:noProof/>
        </w:rPr>
        <w:t>Clostridium difficile</w:t>
      </w:r>
      <w:r w:rsidRPr="00C85866">
        <w:rPr>
          <w:noProof/>
        </w:rPr>
        <w:t xml:space="preserve"> endospores. </w:t>
      </w:r>
      <w:r w:rsidRPr="00C85866">
        <w:rPr>
          <w:i/>
          <w:iCs/>
          <w:noProof/>
        </w:rPr>
        <w:t>J. Bacteriol.</w:t>
      </w:r>
      <w:r w:rsidRPr="00C85866">
        <w:rPr>
          <w:noProof/>
        </w:rPr>
        <w:t xml:space="preserve"> </w:t>
      </w:r>
      <w:r w:rsidRPr="00C85866">
        <w:rPr>
          <w:b/>
          <w:bCs/>
          <w:noProof/>
        </w:rPr>
        <w:t>193,</w:t>
      </w:r>
      <w:r w:rsidRPr="00C85866">
        <w:rPr>
          <w:noProof/>
        </w:rPr>
        <w:t xml:space="preserve"> 6461–6470 (2011).</w:t>
      </w:r>
    </w:p>
    <w:p w14:paraId="4EE81A5D" w14:textId="5B937450" w:rsidR="00C6592F" w:rsidRPr="00C85866" w:rsidRDefault="00C6592F" w:rsidP="00C363D7">
      <w:pPr>
        <w:widowControl w:val="0"/>
        <w:autoSpaceDE w:val="0"/>
        <w:autoSpaceDN w:val="0"/>
        <w:adjustRightInd w:val="0"/>
        <w:ind w:left="540" w:hanging="540"/>
        <w:jc w:val="both"/>
        <w:rPr>
          <w:noProof/>
        </w:rPr>
      </w:pPr>
      <w:r w:rsidRPr="00C85866">
        <w:rPr>
          <w:noProof/>
        </w:rPr>
        <w:t>24.</w:t>
      </w:r>
      <w:r w:rsidRPr="00C85866">
        <w:rPr>
          <w:noProof/>
        </w:rPr>
        <w:tab/>
        <w:t xml:space="preserve">Pishdadian, K., Fimlaid, K. A. &amp; Shen, A. SpoIIID-mediated regulation of σK function during </w:t>
      </w:r>
      <w:r w:rsidR="00AB3480" w:rsidRPr="00AB3480">
        <w:rPr>
          <w:i/>
          <w:noProof/>
        </w:rPr>
        <w:t>Clostridium difficile</w:t>
      </w:r>
      <w:r w:rsidRPr="00C85866">
        <w:rPr>
          <w:noProof/>
        </w:rPr>
        <w:t xml:space="preserve"> sporulation. </w:t>
      </w:r>
      <w:r w:rsidRPr="00C85866">
        <w:rPr>
          <w:i/>
          <w:iCs/>
          <w:noProof/>
        </w:rPr>
        <w:t>Mol. Microbiol.</w:t>
      </w:r>
      <w:r w:rsidRPr="00C85866">
        <w:rPr>
          <w:noProof/>
        </w:rPr>
        <w:t xml:space="preserve"> </w:t>
      </w:r>
      <w:r w:rsidRPr="00C85866">
        <w:rPr>
          <w:b/>
          <w:bCs/>
          <w:noProof/>
        </w:rPr>
        <w:t>95,</w:t>
      </w:r>
      <w:r w:rsidRPr="00C85866">
        <w:rPr>
          <w:noProof/>
        </w:rPr>
        <w:t xml:space="preserve"> 189–208 (2015).</w:t>
      </w:r>
    </w:p>
    <w:p w14:paraId="39484D62" w14:textId="77777777" w:rsidR="00C6592F" w:rsidRPr="00C85866" w:rsidRDefault="00C6592F" w:rsidP="00C363D7">
      <w:pPr>
        <w:widowControl w:val="0"/>
        <w:autoSpaceDE w:val="0"/>
        <w:autoSpaceDN w:val="0"/>
        <w:adjustRightInd w:val="0"/>
        <w:ind w:left="540" w:hanging="540"/>
        <w:jc w:val="both"/>
        <w:rPr>
          <w:noProof/>
        </w:rPr>
      </w:pPr>
      <w:r w:rsidRPr="00C85866">
        <w:rPr>
          <w:noProof/>
        </w:rPr>
        <w:t>25.</w:t>
      </w:r>
      <w:r w:rsidRPr="00C85866">
        <w:rPr>
          <w:noProof/>
        </w:rPr>
        <w:tab/>
        <w:t xml:space="preserve">Collins, T. J. ImageJ for microscopy. </w:t>
      </w:r>
      <w:r w:rsidRPr="00C85866">
        <w:rPr>
          <w:i/>
          <w:iCs/>
          <w:noProof/>
        </w:rPr>
        <w:t>BioTechniques</w:t>
      </w:r>
      <w:r w:rsidRPr="00C85866">
        <w:rPr>
          <w:noProof/>
        </w:rPr>
        <w:t xml:space="preserve"> </w:t>
      </w:r>
      <w:r w:rsidRPr="00C85866">
        <w:rPr>
          <w:b/>
          <w:bCs/>
          <w:noProof/>
        </w:rPr>
        <w:t>43,</w:t>
      </w:r>
      <w:r w:rsidRPr="00C85866">
        <w:rPr>
          <w:noProof/>
        </w:rPr>
        <w:t xml:space="preserve"> 25–30 (2007).</w:t>
      </w:r>
    </w:p>
    <w:p w14:paraId="25CD7C26" w14:textId="72212490" w:rsidR="00C6592F" w:rsidRPr="00C85866" w:rsidRDefault="00C6592F" w:rsidP="00C363D7">
      <w:pPr>
        <w:widowControl w:val="0"/>
        <w:autoSpaceDE w:val="0"/>
        <w:autoSpaceDN w:val="0"/>
        <w:adjustRightInd w:val="0"/>
        <w:ind w:left="540" w:hanging="540"/>
        <w:jc w:val="both"/>
        <w:rPr>
          <w:noProof/>
        </w:rPr>
      </w:pPr>
      <w:r w:rsidRPr="00C85866">
        <w:rPr>
          <w:noProof/>
        </w:rPr>
        <w:t>26.</w:t>
      </w:r>
      <w:r w:rsidRPr="00C85866">
        <w:rPr>
          <w:noProof/>
        </w:rPr>
        <w:tab/>
        <w:t xml:space="preserve">Edwards, A. N. &amp; McBride, S. M. Isolating and Purifying </w:t>
      </w:r>
      <w:r w:rsidR="00AB3480" w:rsidRPr="00AB3480">
        <w:rPr>
          <w:i/>
          <w:noProof/>
        </w:rPr>
        <w:t>Clostridium difficile</w:t>
      </w:r>
      <w:r w:rsidRPr="00C85866">
        <w:rPr>
          <w:noProof/>
        </w:rPr>
        <w:t xml:space="preserve"> Spores. </w:t>
      </w:r>
      <w:r w:rsidRPr="00C85866">
        <w:rPr>
          <w:i/>
          <w:iCs/>
          <w:noProof/>
        </w:rPr>
        <w:t>Methods Mol. Biol.</w:t>
      </w:r>
      <w:r w:rsidRPr="00C85866">
        <w:rPr>
          <w:noProof/>
        </w:rPr>
        <w:t xml:space="preserve"> </w:t>
      </w:r>
      <w:r w:rsidRPr="00C85866">
        <w:rPr>
          <w:b/>
          <w:bCs/>
          <w:noProof/>
        </w:rPr>
        <w:t>1476,</w:t>
      </w:r>
      <w:r w:rsidRPr="00C85866">
        <w:rPr>
          <w:noProof/>
        </w:rPr>
        <w:t xml:space="preserve"> 117–128 (2016).</w:t>
      </w:r>
    </w:p>
    <w:p w14:paraId="57208596" w14:textId="0525659A" w:rsidR="00C6592F" w:rsidRPr="00C85866" w:rsidRDefault="00C6592F" w:rsidP="00C363D7">
      <w:pPr>
        <w:widowControl w:val="0"/>
        <w:autoSpaceDE w:val="0"/>
        <w:autoSpaceDN w:val="0"/>
        <w:adjustRightInd w:val="0"/>
        <w:ind w:left="540" w:hanging="540"/>
        <w:jc w:val="both"/>
        <w:rPr>
          <w:noProof/>
        </w:rPr>
      </w:pPr>
      <w:r w:rsidRPr="00C85866">
        <w:rPr>
          <w:noProof/>
        </w:rPr>
        <w:t>27.</w:t>
      </w:r>
      <w:r w:rsidRPr="00C85866">
        <w:rPr>
          <w:noProof/>
        </w:rPr>
        <w:tab/>
        <w:t xml:space="preserve">Pizarro-Guajardo, M., Calderón-Romero, P. &amp; Paredes-Sabja, D. Ultrastructure Variability of the Exosporium Layer of </w:t>
      </w:r>
      <w:r w:rsidR="00AB3480" w:rsidRPr="00AB3480">
        <w:rPr>
          <w:i/>
          <w:noProof/>
        </w:rPr>
        <w:t>Clostridium difficile</w:t>
      </w:r>
      <w:r w:rsidRPr="00C85866">
        <w:rPr>
          <w:noProof/>
        </w:rPr>
        <w:t xml:space="preserve"> Spores from Sporulating Cultures and Biofilms. </w:t>
      </w:r>
      <w:r w:rsidRPr="00C85866">
        <w:rPr>
          <w:i/>
          <w:iCs/>
          <w:noProof/>
        </w:rPr>
        <w:t>Appl. Environ. Microbiol.</w:t>
      </w:r>
      <w:r w:rsidRPr="00C85866">
        <w:rPr>
          <w:noProof/>
        </w:rPr>
        <w:t xml:space="preserve"> </w:t>
      </w:r>
      <w:r w:rsidRPr="00C85866">
        <w:rPr>
          <w:b/>
          <w:bCs/>
          <w:noProof/>
        </w:rPr>
        <w:t>82,</w:t>
      </w:r>
      <w:r w:rsidRPr="00C85866">
        <w:rPr>
          <w:noProof/>
        </w:rPr>
        <w:t xml:space="preserve"> 5892–5898 (2016).</w:t>
      </w:r>
    </w:p>
    <w:p w14:paraId="15B1A5C9" w14:textId="483491AA" w:rsidR="00C6592F" w:rsidRPr="00C85866" w:rsidRDefault="00C6592F" w:rsidP="00C363D7">
      <w:pPr>
        <w:widowControl w:val="0"/>
        <w:autoSpaceDE w:val="0"/>
        <w:autoSpaceDN w:val="0"/>
        <w:adjustRightInd w:val="0"/>
        <w:ind w:left="540" w:hanging="540"/>
        <w:jc w:val="both"/>
        <w:rPr>
          <w:noProof/>
        </w:rPr>
      </w:pPr>
      <w:r w:rsidRPr="00C85866">
        <w:rPr>
          <w:noProof/>
        </w:rPr>
        <w:t>28.</w:t>
      </w:r>
      <w:r w:rsidRPr="00C85866">
        <w:rPr>
          <w:noProof/>
        </w:rPr>
        <w:tab/>
        <w:t xml:space="preserve">Fimlaid, K. A. </w:t>
      </w:r>
      <w:r w:rsidRPr="00C85866">
        <w:rPr>
          <w:i/>
          <w:iCs/>
          <w:noProof/>
        </w:rPr>
        <w:t>et al.</w:t>
      </w:r>
      <w:r w:rsidRPr="00C85866">
        <w:rPr>
          <w:noProof/>
        </w:rPr>
        <w:t xml:space="preserve"> Global analysis of the sporulation pathway of </w:t>
      </w:r>
      <w:r w:rsidR="00AB3480" w:rsidRPr="00AB3480">
        <w:rPr>
          <w:i/>
          <w:noProof/>
        </w:rPr>
        <w:t>Clostridium difficile</w:t>
      </w:r>
      <w:r w:rsidRPr="00C85866">
        <w:rPr>
          <w:noProof/>
        </w:rPr>
        <w:t xml:space="preserve">. </w:t>
      </w:r>
      <w:r w:rsidRPr="00C85866">
        <w:rPr>
          <w:i/>
          <w:iCs/>
          <w:noProof/>
        </w:rPr>
        <w:t>PLoS Genet.</w:t>
      </w:r>
      <w:r w:rsidRPr="00C85866">
        <w:rPr>
          <w:noProof/>
        </w:rPr>
        <w:t xml:space="preserve"> </w:t>
      </w:r>
      <w:r w:rsidRPr="00C85866">
        <w:rPr>
          <w:b/>
          <w:bCs/>
          <w:noProof/>
        </w:rPr>
        <w:t>9,</w:t>
      </w:r>
      <w:r w:rsidRPr="00C85866">
        <w:rPr>
          <w:noProof/>
        </w:rPr>
        <w:t xml:space="preserve"> e1003660 (2013).</w:t>
      </w:r>
    </w:p>
    <w:p w14:paraId="5B31BEC6" w14:textId="578C8110" w:rsidR="00C6592F" w:rsidRPr="00C85866" w:rsidRDefault="00C6592F" w:rsidP="00C363D7">
      <w:pPr>
        <w:widowControl w:val="0"/>
        <w:autoSpaceDE w:val="0"/>
        <w:autoSpaceDN w:val="0"/>
        <w:adjustRightInd w:val="0"/>
        <w:ind w:left="540" w:hanging="540"/>
        <w:jc w:val="both"/>
        <w:rPr>
          <w:noProof/>
        </w:rPr>
      </w:pPr>
      <w:r w:rsidRPr="00C85866">
        <w:rPr>
          <w:noProof/>
        </w:rPr>
        <w:t>29.</w:t>
      </w:r>
      <w:r w:rsidRPr="00C85866">
        <w:rPr>
          <w:noProof/>
        </w:rPr>
        <w:tab/>
        <w:t xml:space="preserve">Pettit, L. J. </w:t>
      </w:r>
      <w:r w:rsidRPr="00C85866">
        <w:rPr>
          <w:i/>
          <w:iCs/>
          <w:noProof/>
        </w:rPr>
        <w:t>et al.</w:t>
      </w:r>
      <w:r w:rsidRPr="00C85866">
        <w:rPr>
          <w:noProof/>
        </w:rPr>
        <w:t xml:space="preserve"> Functional genomics reveals that </w:t>
      </w:r>
      <w:r w:rsidR="00AB3480" w:rsidRPr="00AB3480">
        <w:rPr>
          <w:i/>
          <w:noProof/>
        </w:rPr>
        <w:t>Clostridium difficile</w:t>
      </w:r>
      <w:r w:rsidRPr="00C85866">
        <w:rPr>
          <w:noProof/>
        </w:rPr>
        <w:t xml:space="preserve"> Spo0A coordinates sporulation, virulence and metabolism. </w:t>
      </w:r>
      <w:r w:rsidRPr="00C85866">
        <w:rPr>
          <w:i/>
          <w:iCs/>
          <w:noProof/>
        </w:rPr>
        <w:t>BMC Genomics</w:t>
      </w:r>
      <w:r w:rsidRPr="00C85866">
        <w:rPr>
          <w:noProof/>
        </w:rPr>
        <w:t xml:space="preserve"> </w:t>
      </w:r>
      <w:r w:rsidRPr="00C85866">
        <w:rPr>
          <w:b/>
          <w:bCs/>
          <w:noProof/>
        </w:rPr>
        <w:t>15,</w:t>
      </w:r>
      <w:r w:rsidRPr="00C85866">
        <w:rPr>
          <w:noProof/>
        </w:rPr>
        <w:t xml:space="preserve"> 160 (2014).</w:t>
      </w:r>
    </w:p>
    <w:p w14:paraId="1E7098F5" w14:textId="77777777" w:rsidR="00C6592F" w:rsidRPr="00C85866" w:rsidRDefault="00C6592F" w:rsidP="00C363D7">
      <w:pPr>
        <w:widowControl w:val="0"/>
        <w:autoSpaceDE w:val="0"/>
        <w:autoSpaceDN w:val="0"/>
        <w:adjustRightInd w:val="0"/>
        <w:ind w:left="540" w:hanging="540"/>
        <w:jc w:val="both"/>
        <w:rPr>
          <w:noProof/>
        </w:rPr>
      </w:pPr>
      <w:r w:rsidRPr="00C85866">
        <w:rPr>
          <w:noProof/>
        </w:rPr>
        <w:t>30.</w:t>
      </w:r>
      <w:r w:rsidRPr="00C85866">
        <w:rPr>
          <w:noProof/>
        </w:rPr>
        <w:tab/>
        <w:t xml:space="preserve">Brown, D. P. </w:t>
      </w:r>
      <w:r w:rsidRPr="00C85866">
        <w:rPr>
          <w:i/>
          <w:iCs/>
          <w:noProof/>
        </w:rPr>
        <w:t>et al.</w:t>
      </w:r>
      <w:r w:rsidRPr="00C85866">
        <w:rPr>
          <w:noProof/>
        </w:rPr>
        <w:t xml:space="preserve"> Characterization of </w:t>
      </w:r>
      <w:r w:rsidRPr="003F1CCD">
        <w:rPr>
          <w:i/>
          <w:noProof/>
        </w:rPr>
        <w:t>spo0A</w:t>
      </w:r>
      <w:r w:rsidRPr="00C85866">
        <w:rPr>
          <w:noProof/>
        </w:rPr>
        <w:t xml:space="preserve"> homologues in diverse </w:t>
      </w:r>
      <w:r w:rsidRPr="003F1CCD">
        <w:rPr>
          <w:i/>
          <w:noProof/>
        </w:rPr>
        <w:t>Bacillus</w:t>
      </w:r>
      <w:r w:rsidRPr="00C85866">
        <w:rPr>
          <w:noProof/>
        </w:rPr>
        <w:t xml:space="preserve"> and </w:t>
      </w:r>
      <w:r w:rsidRPr="003F1CCD">
        <w:rPr>
          <w:i/>
          <w:noProof/>
        </w:rPr>
        <w:t>Clostridium</w:t>
      </w:r>
      <w:r w:rsidRPr="00C85866">
        <w:rPr>
          <w:noProof/>
        </w:rPr>
        <w:t xml:space="preserve"> species identifies a probable DNA-binding domain. </w:t>
      </w:r>
      <w:r w:rsidRPr="00C85866">
        <w:rPr>
          <w:i/>
          <w:iCs/>
          <w:noProof/>
        </w:rPr>
        <w:t>Mol. Microbiol.</w:t>
      </w:r>
      <w:r w:rsidRPr="00C85866">
        <w:rPr>
          <w:noProof/>
        </w:rPr>
        <w:t xml:space="preserve"> </w:t>
      </w:r>
      <w:r w:rsidRPr="00C85866">
        <w:rPr>
          <w:b/>
          <w:bCs/>
          <w:noProof/>
        </w:rPr>
        <w:t>14,</w:t>
      </w:r>
      <w:r w:rsidRPr="00C85866">
        <w:rPr>
          <w:noProof/>
        </w:rPr>
        <w:t xml:space="preserve"> </w:t>
      </w:r>
      <w:r w:rsidRPr="00C85866">
        <w:rPr>
          <w:noProof/>
        </w:rPr>
        <w:lastRenderedPageBreak/>
        <w:t>411–426 (1994).</w:t>
      </w:r>
    </w:p>
    <w:p w14:paraId="60A8BF7A" w14:textId="77777777" w:rsidR="00C6592F" w:rsidRPr="00C85866" w:rsidRDefault="00C6592F" w:rsidP="00C363D7">
      <w:pPr>
        <w:widowControl w:val="0"/>
        <w:autoSpaceDE w:val="0"/>
        <w:autoSpaceDN w:val="0"/>
        <w:adjustRightInd w:val="0"/>
        <w:ind w:left="540" w:hanging="540"/>
        <w:jc w:val="both"/>
        <w:rPr>
          <w:noProof/>
        </w:rPr>
      </w:pPr>
      <w:r w:rsidRPr="00C85866">
        <w:rPr>
          <w:noProof/>
        </w:rPr>
        <w:t>31.</w:t>
      </w:r>
      <w:r w:rsidRPr="00C85866">
        <w:rPr>
          <w:noProof/>
        </w:rPr>
        <w:tab/>
        <w:t xml:space="preserve">Levin, P. A. &amp; Losick, R. Transcription factor Spo0A switches the localization of the cell division protein FtsZ from a medial to a bipolar pattern in </w:t>
      </w:r>
      <w:r w:rsidRPr="003F1CCD">
        <w:rPr>
          <w:i/>
          <w:noProof/>
        </w:rPr>
        <w:t>Bacillus subtilis</w:t>
      </w:r>
      <w:r w:rsidRPr="00C85866">
        <w:rPr>
          <w:noProof/>
        </w:rPr>
        <w:t xml:space="preserve">. </w:t>
      </w:r>
      <w:r w:rsidRPr="00C85866">
        <w:rPr>
          <w:i/>
          <w:iCs/>
          <w:noProof/>
        </w:rPr>
        <w:t>Genes Dev.</w:t>
      </w:r>
      <w:r w:rsidRPr="00C85866">
        <w:rPr>
          <w:noProof/>
        </w:rPr>
        <w:t xml:space="preserve"> </w:t>
      </w:r>
      <w:r w:rsidRPr="00C85866">
        <w:rPr>
          <w:b/>
          <w:bCs/>
          <w:noProof/>
        </w:rPr>
        <w:t>10,</w:t>
      </w:r>
      <w:r w:rsidRPr="00C85866">
        <w:rPr>
          <w:noProof/>
        </w:rPr>
        <w:t xml:space="preserve"> 478–488 (1996).</w:t>
      </w:r>
    </w:p>
    <w:p w14:paraId="44C6884E" w14:textId="77777777" w:rsidR="00C6592F" w:rsidRPr="00C85866" w:rsidRDefault="00C6592F" w:rsidP="00C363D7">
      <w:pPr>
        <w:widowControl w:val="0"/>
        <w:autoSpaceDE w:val="0"/>
        <w:autoSpaceDN w:val="0"/>
        <w:adjustRightInd w:val="0"/>
        <w:ind w:left="540" w:hanging="540"/>
        <w:jc w:val="both"/>
        <w:rPr>
          <w:noProof/>
        </w:rPr>
      </w:pPr>
      <w:r w:rsidRPr="00C85866">
        <w:rPr>
          <w:noProof/>
        </w:rPr>
        <w:t>32.</w:t>
      </w:r>
      <w:r w:rsidRPr="00C85866">
        <w:rPr>
          <w:noProof/>
        </w:rPr>
        <w:tab/>
        <w:t xml:space="preserve">Ribis, J. W., Fimlaid, K. A. &amp; Shen, A. Differential requirements for conserved peptidoglycan remodeling enzymes during </w:t>
      </w:r>
      <w:r w:rsidRPr="003F1CCD">
        <w:rPr>
          <w:i/>
          <w:noProof/>
        </w:rPr>
        <w:t>Clostridioides difficile</w:t>
      </w:r>
      <w:r w:rsidRPr="00C85866">
        <w:rPr>
          <w:noProof/>
        </w:rPr>
        <w:t xml:space="preserve"> spore formation. </w:t>
      </w:r>
      <w:r w:rsidRPr="00C85866">
        <w:rPr>
          <w:i/>
          <w:iCs/>
          <w:noProof/>
        </w:rPr>
        <w:t>Mol. Microbiol.</w:t>
      </w:r>
      <w:r w:rsidRPr="00C85866">
        <w:rPr>
          <w:noProof/>
        </w:rPr>
        <w:t xml:space="preserve"> </w:t>
      </w:r>
      <w:r w:rsidRPr="00C85866">
        <w:rPr>
          <w:b/>
          <w:bCs/>
          <w:noProof/>
        </w:rPr>
        <w:t>110,</w:t>
      </w:r>
      <w:r w:rsidRPr="00C85866">
        <w:rPr>
          <w:noProof/>
        </w:rPr>
        <w:t xml:space="preserve"> 370–389 (2018).</w:t>
      </w:r>
    </w:p>
    <w:p w14:paraId="0F680223" w14:textId="6D6C63BF" w:rsidR="00C6592F" w:rsidRPr="00C85866" w:rsidRDefault="00C6592F" w:rsidP="00C363D7">
      <w:pPr>
        <w:widowControl w:val="0"/>
        <w:autoSpaceDE w:val="0"/>
        <w:autoSpaceDN w:val="0"/>
        <w:adjustRightInd w:val="0"/>
        <w:ind w:left="540" w:hanging="540"/>
        <w:jc w:val="both"/>
        <w:rPr>
          <w:noProof/>
        </w:rPr>
      </w:pPr>
      <w:r w:rsidRPr="00C85866">
        <w:rPr>
          <w:noProof/>
        </w:rPr>
        <w:t>33.</w:t>
      </w:r>
      <w:r w:rsidRPr="00C85866">
        <w:rPr>
          <w:noProof/>
        </w:rPr>
        <w:tab/>
        <w:t xml:space="preserve">Dembek, M. </w:t>
      </w:r>
      <w:r w:rsidRPr="00C85866">
        <w:rPr>
          <w:i/>
          <w:iCs/>
          <w:noProof/>
        </w:rPr>
        <w:t>et al.</w:t>
      </w:r>
      <w:r w:rsidRPr="00C85866">
        <w:rPr>
          <w:noProof/>
        </w:rPr>
        <w:t xml:space="preserve"> Peptidoglycan degradation machinery in </w:t>
      </w:r>
      <w:r w:rsidR="00AB3480" w:rsidRPr="00AB3480">
        <w:rPr>
          <w:i/>
          <w:noProof/>
        </w:rPr>
        <w:t>Clostridium difficile</w:t>
      </w:r>
      <w:r w:rsidRPr="00C85866">
        <w:rPr>
          <w:noProof/>
        </w:rPr>
        <w:t xml:space="preserve"> forespore engulfment. </w:t>
      </w:r>
      <w:r w:rsidRPr="00C85866">
        <w:rPr>
          <w:i/>
          <w:iCs/>
          <w:noProof/>
        </w:rPr>
        <w:t>Mol. Microbiol.</w:t>
      </w:r>
      <w:r w:rsidRPr="00C85866">
        <w:rPr>
          <w:noProof/>
        </w:rPr>
        <w:t xml:space="preserve"> </w:t>
      </w:r>
      <w:r w:rsidRPr="00C85866">
        <w:rPr>
          <w:b/>
          <w:bCs/>
          <w:noProof/>
        </w:rPr>
        <w:t>110,</w:t>
      </w:r>
      <w:r w:rsidRPr="00C85866">
        <w:rPr>
          <w:noProof/>
        </w:rPr>
        <w:t xml:space="preserve"> 390–410 (2018).</w:t>
      </w:r>
    </w:p>
    <w:p w14:paraId="2426BE7A" w14:textId="72943608" w:rsidR="00C6592F" w:rsidRPr="00C85866" w:rsidRDefault="00C6592F" w:rsidP="00C363D7">
      <w:pPr>
        <w:widowControl w:val="0"/>
        <w:autoSpaceDE w:val="0"/>
        <w:autoSpaceDN w:val="0"/>
        <w:adjustRightInd w:val="0"/>
        <w:ind w:left="540" w:hanging="540"/>
        <w:jc w:val="both"/>
        <w:rPr>
          <w:noProof/>
        </w:rPr>
      </w:pPr>
      <w:r w:rsidRPr="00C85866">
        <w:rPr>
          <w:noProof/>
        </w:rPr>
        <w:t>34.</w:t>
      </w:r>
      <w:r w:rsidRPr="00C85866">
        <w:rPr>
          <w:noProof/>
        </w:rPr>
        <w:tab/>
        <w:t xml:space="preserve">Serrano, M. </w:t>
      </w:r>
      <w:r w:rsidRPr="00C85866">
        <w:rPr>
          <w:i/>
          <w:iCs/>
          <w:noProof/>
        </w:rPr>
        <w:t>et al.</w:t>
      </w:r>
      <w:r w:rsidRPr="00C85866">
        <w:rPr>
          <w:noProof/>
        </w:rPr>
        <w:t xml:space="preserve"> The SpoIIQ-SpoIIIAH complex of </w:t>
      </w:r>
      <w:r w:rsidR="00AB3480" w:rsidRPr="00AB3480">
        <w:rPr>
          <w:i/>
          <w:noProof/>
        </w:rPr>
        <w:t>Clostridium difficile</w:t>
      </w:r>
      <w:r w:rsidRPr="00C85866">
        <w:rPr>
          <w:noProof/>
        </w:rPr>
        <w:t xml:space="preserve"> controls forespore engulfment and late stages of gene expression and spore morphogenesis. </w:t>
      </w:r>
      <w:r w:rsidRPr="00C85866">
        <w:rPr>
          <w:i/>
          <w:iCs/>
          <w:noProof/>
        </w:rPr>
        <w:t>Mol. Microbiol.</w:t>
      </w:r>
      <w:r w:rsidRPr="00C85866">
        <w:rPr>
          <w:noProof/>
        </w:rPr>
        <w:t xml:space="preserve"> </w:t>
      </w:r>
      <w:r w:rsidRPr="00C85866">
        <w:rPr>
          <w:b/>
          <w:bCs/>
          <w:noProof/>
        </w:rPr>
        <w:t>100,</w:t>
      </w:r>
      <w:r w:rsidRPr="00C85866">
        <w:rPr>
          <w:noProof/>
        </w:rPr>
        <w:t xml:space="preserve"> 204–228 (2016).</w:t>
      </w:r>
    </w:p>
    <w:p w14:paraId="7D6605EA" w14:textId="77777777" w:rsidR="00C6592F" w:rsidRPr="00C85866" w:rsidRDefault="00C6592F" w:rsidP="00C363D7">
      <w:pPr>
        <w:widowControl w:val="0"/>
        <w:autoSpaceDE w:val="0"/>
        <w:autoSpaceDN w:val="0"/>
        <w:adjustRightInd w:val="0"/>
        <w:ind w:left="540" w:hanging="540"/>
        <w:jc w:val="both"/>
        <w:rPr>
          <w:noProof/>
        </w:rPr>
      </w:pPr>
      <w:r w:rsidRPr="00C85866">
        <w:rPr>
          <w:noProof/>
        </w:rPr>
        <w:t>35.</w:t>
      </w:r>
      <w:r w:rsidRPr="00C85866">
        <w:rPr>
          <w:noProof/>
        </w:rPr>
        <w:tab/>
        <w:t xml:space="preserve">Tyurin, M. V., Lynd, L. R. &amp; Wiegel, J. in </w:t>
      </w:r>
      <w:r w:rsidRPr="00C85866">
        <w:rPr>
          <w:b/>
          <w:bCs/>
          <w:noProof/>
        </w:rPr>
        <w:t>35,</w:t>
      </w:r>
      <w:r w:rsidRPr="00C85866">
        <w:rPr>
          <w:noProof/>
        </w:rPr>
        <w:t xml:space="preserve"> 309–330 (Elsevier, 2006).</w:t>
      </w:r>
    </w:p>
    <w:p w14:paraId="4DFDD9AB" w14:textId="353645DF" w:rsidR="00C6592F" w:rsidRPr="00C85866" w:rsidRDefault="00C6592F" w:rsidP="00C363D7">
      <w:pPr>
        <w:widowControl w:val="0"/>
        <w:autoSpaceDE w:val="0"/>
        <w:autoSpaceDN w:val="0"/>
        <w:adjustRightInd w:val="0"/>
        <w:ind w:left="540" w:hanging="540"/>
        <w:jc w:val="both"/>
        <w:rPr>
          <w:noProof/>
        </w:rPr>
      </w:pPr>
      <w:r w:rsidRPr="00C85866">
        <w:rPr>
          <w:noProof/>
        </w:rPr>
        <w:t>36.</w:t>
      </w:r>
      <w:r w:rsidRPr="00C85866">
        <w:rPr>
          <w:noProof/>
        </w:rPr>
        <w:tab/>
        <w:t xml:space="preserve">Fimlaid, K. A., Jensen, O., Donnelly, M. L., Siegrist, M. S. &amp; Shen, A. Regulation of </w:t>
      </w:r>
      <w:r w:rsidR="00AB3480" w:rsidRPr="00AB3480">
        <w:rPr>
          <w:i/>
          <w:noProof/>
        </w:rPr>
        <w:t>Clostridium difficile</w:t>
      </w:r>
      <w:r w:rsidRPr="00C85866">
        <w:rPr>
          <w:noProof/>
        </w:rPr>
        <w:t xml:space="preserve"> Spore Formation by the SpoIIQ and SpoIIIA Proteins. </w:t>
      </w:r>
      <w:r w:rsidRPr="00C85866">
        <w:rPr>
          <w:i/>
          <w:iCs/>
          <w:noProof/>
        </w:rPr>
        <w:t>PLoS Genet.</w:t>
      </w:r>
      <w:r w:rsidRPr="00C85866">
        <w:rPr>
          <w:noProof/>
        </w:rPr>
        <w:t xml:space="preserve"> </w:t>
      </w:r>
      <w:r w:rsidRPr="00C85866">
        <w:rPr>
          <w:b/>
          <w:bCs/>
          <w:noProof/>
        </w:rPr>
        <w:t>11,</w:t>
      </w:r>
      <w:r w:rsidRPr="00C85866">
        <w:rPr>
          <w:noProof/>
        </w:rPr>
        <w:t xml:space="preserve"> e1005562 (2015).</w:t>
      </w:r>
    </w:p>
    <w:p w14:paraId="1E94521C" w14:textId="6EA08E4C" w:rsidR="00C6592F" w:rsidRPr="00C85866" w:rsidRDefault="00C6592F" w:rsidP="00C363D7">
      <w:pPr>
        <w:widowControl w:val="0"/>
        <w:autoSpaceDE w:val="0"/>
        <w:autoSpaceDN w:val="0"/>
        <w:adjustRightInd w:val="0"/>
        <w:ind w:left="540" w:hanging="540"/>
        <w:jc w:val="both"/>
        <w:rPr>
          <w:noProof/>
        </w:rPr>
      </w:pPr>
      <w:r w:rsidRPr="00C85866">
        <w:rPr>
          <w:noProof/>
        </w:rPr>
        <w:t>37.</w:t>
      </w:r>
      <w:r w:rsidRPr="00C85866">
        <w:rPr>
          <w:noProof/>
        </w:rPr>
        <w:tab/>
        <w:t xml:space="preserve">McAllister, K. N., Bouillaut, L., Kahn, J. N., Self, W. T. &amp; Sorg, J. A. Using CRISPR-Cas9-mediated genome editing to generate </w:t>
      </w:r>
      <w:r w:rsidR="00AB3480" w:rsidRPr="00AB3480">
        <w:rPr>
          <w:i/>
          <w:noProof/>
        </w:rPr>
        <w:t>C. difficile</w:t>
      </w:r>
      <w:r w:rsidRPr="00C85866">
        <w:rPr>
          <w:noProof/>
        </w:rPr>
        <w:t xml:space="preserve"> mutants defective in selenoproteins synthesis. </w:t>
      </w:r>
      <w:r w:rsidRPr="00C85866">
        <w:rPr>
          <w:i/>
          <w:iCs/>
          <w:noProof/>
        </w:rPr>
        <w:t>Sci. Rep.</w:t>
      </w:r>
      <w:r w:rsidRPr="00C85866">
        <w:rPr>
          <w:noProof/>
        </w:rPr>
        <w:t xml:space="preserve"> </w:t>
      </w:r>
      <w:r w:rsidRPr="00C85866">
        <w:rPr>
          <w:b/>
          <w:bCs/>
          <w:noProof/>
        </w:rPr>
        <w:t>7,</w:t>
      </w:r>
      <w:r w:rsidRPr="00C85866">
        <w:rPr>
          <w:noProof/>
        </w:rPr>
        <w:t xml:space="preserve"> 14672 (2017).</w:t>
      </w:r>
    </w:p>
    <w:p w14:paraId="3B1EBF9C" w14:textId="2A2BDA31" w:rsidR="00C6592F" w:rsidRPr="00C85866" w:rsidRDefault="00C6592F" w:rsidP="00C363D7">
      <w:pPr>
        <w:widowControl w:val="0"/>
        <w:autoSpaceDE w:val="0"/>
        <w:autoSpaceDN w:val="0"/>
        <w:adjustRightInd w:val="0"/>
        <w:ind w:left="540" w:hanging="540"/>
        <w:jc w:val="both"/>
        <w:rPr>
          <w:noProof/>
        </w:rPr>
      </w:pPr>
      <w:r w:rsidRPr="00C85866">
        <w:rPr>
          <w:noProof/>
        </w:rPr>
        <w:t>38.</w:t>
      </w:r>
      <w:r w:rsidRPr="00C85866">
        <w:rPr>
          <w:noProof/>
        </w:rPr>
        <w:tab/>
        <w:t xml:space="preserve">Edwards, A. N. &amp; McBride, S. M. Isolating and Purifying </w:t>
      </w:r>
      <w:r w:rsidR="00AB3480" w:rsidRPr="00AB3480">
        <w:rPr>
          <w:i/>
          <w:noProof/>
        </w:rPr>
        <w:t>Clostridium difficile</w:t>
      </w:r>
      <w:r w:rsidRPr="00C85866">
        <w:rPr>
          <w:noProof/>
        </w:rPr>
        <w:t xml:space="preserve"> Spores. </w:t>
      </w:r>
      <w:r w:rsidRPr="00C85866">
        <w:rPr>
          <w:i/>
          <w:iCs/>
          <w:noProof/>
        </w:rPr>
        <w:t>Methods Mol. Biol.</w:t>
      </w:r>
      <w:r w:rsidRPr="00C85866">
        <w:rPr>
          <w:noProof/>
        </w:rPr>
        <w:t xml:space="preserve"> </w:t>
      </w:r>
      <w:r w:rsidRPr="00C85866">
        <w:rPr>
          <w:b/>
          <w:bCs/>
          <w:noProof/>
        </w:rPr>
        <w:t>1476,</w:t>
      </w:r>
      <w:r w:rsidRPr="00C85866">
        <w:rPr>
          <w:noProof/>
        </w:rPr>
        <w:t xml:space="preserve"> 117–128 (2016).</w:t>
      </w:r>
    </w:p>
    <w:p w14:paraId="740A1EEB" w14:textId="10587C53" w:rsidR="00C6592F" w:rsidRPr="00C85866" w:rsidRDefault="00C6592F" w:rsidP="00C363D7">
      <w:pPr>
        <w:widowControl w:val="0"/>
        <w:autoSpaceDE w:val="0"/>
        <w:autoSpaceDN w:val="0"/>
        <w:adjustRightInd w:val="0"/>
        <w:ind w:left="540" w:hanging="540"/>
        <w:jc w:val="both"/>
        <w:rPr>
          <w:noProof/>
        </w:rPr>
      </w:pPr>
      <w:r w:rsidRPr="00C85866">
        <w:rPr>
          <w:noProof/>
        </w:rPr>
        <w:t>39.</w:t>
      </w:r>
      <w:r w:rsidRPr="00C85866">
        <w:rPr>
          <w:noProof/>
        </w:rPr>
        <w:tab/>
        <w:t xml:space="preserve">Permpoonpattana, P. </w:t>
      </w:r>
      <w:r w:rsidRPr="00C85866">
        <w:rPr>
          <w:i/>
          <w:iCs/>
          <w:noProof/>
        </w:rPr>
        <w:t>et al.</w:t>
      </w:r>
      <w:r w:rsidRPr="00C85866">
        <w:rPr>
          <w:noProof/>
        </w:rPr>
        <w:t xml:space="preserve"> Functional characterization of </w:t>
      </w:r>
      <w:r w:rsidR="00AB3480" w:rsidRPr="00AB3480">
        <w:rPr>
          <w:i/>
          <w:noProof/>
        </w:rPr>
        <w:t>Clostridium difficile</w:t>
      </w:r>
      <w:r w:rsidRPr="00C85866">
        <w:rPr>
          <w:noProof/>
        </w:rPr>
        <w:t xml:space="preserve"> spore coat proteins. </w:t>
      </w:r>
      <w:r w:rsidRPr="00C85866">
        <w:rPr>
          <w:i/>
          <w:iCs/>
          <w:noProof/>
        </w:rPr>
        <w:t>J. Bacteriol.</w:t>
      </w:r>
      <w:r w:rsidRPr="00C85866">
        <w:rPr>
          <w:noProof/>
        </w:rPr>
        <w:t xml:space="preserve"> </w:t>
      </w:r>
      <w:r w:rsidRPr="00C85866">
        <w:rPr>
          <w:b/>
          <w:bCs/>
          <w:noProof/>
        </w:rPr>
        <w:t>195,</w:t>
      </w:r>
      <w:r w:rsidRPr="00C85866">
        <w:rPr>
          <w:noProof/>
        </w:rPr>
        <w:t xml:space="preserve"> 1492–1503 (2013).</w:t>
      </w:r>
    </w:p>
    <w:p w14:paraId="43511508" w14:textId="5F215B42" w:rsidR="00C6592F" w:rsidRPr="00C85866" w:rsidRDefault="00C6592F" w:rsidP="00C363D7">
      <w:pPr>
        <w:widowControl w:val="0"/>
        <w:autoSpaceDE w:val="0"/>
        <w:autoSpaceDN w:val="0"/>
        <w:adjustRightInd w:val="0"/>
        <w:ind w:left="540" w:hanging="540"/>
        <w:jc w:val="both"/>
        <w:rPr>
          <w:noProof/>
        </w:rPr>
      </w:pPr>
      <w:r w:rsidRPr="00C85866">
        <w:rPr>
          <w:noProof/>
        </w:rPr>
        <w:t>4</w:t>
      </w:r>
      <w:r w:rsidR="001F6171">
        <w:rPr>
          <w:noProof/>
        </w:rPr>
        <w:t>0</w:t>
      </w:r>
      <w:r w:rsidRPr="00C85866">
        <w:rPr>
          <w:noProof/>
        </w:rPr>
        <w:t>.</w:t>
      </w:r>
      <w:r w:rsidRPr="00C85866">
        <w:rPr>
          <w:noProof/>
        </w:rPr>
        <w:tab/>
        <w:t xml:space="preserve">Seddon, S. V. &amp; Borriello, S. P. A chemically defined and minimal medium for </w:t>
      </w:r>
      <w:r w:rsidR="00AB3480" w:rsidRPr="00AB3480">
        <w:rPr>
          <w:i/>
          <w:noProof/>
        </w:rPr>
        <w:lastRenderedPageBreak/>
        <w:t>Clostridium difficile</w:t>
      </w:r>
      <w:r w:rsidRPr="00C85866">
        <w:rPr>
          <w:noProof/>
        </w:rPr>
        <w:t xml:space="preserve">. </w:t>
      </w:r>
      <w:r w:rsidRPr="00C85866">
        <w:rPr>
          <w:i/>
          <w:iCs/>
          <w:noProof/>
        </w:rPr>
        <w:t>Lett. Appl. Microbiol.</w:t>
      </w:r>
      <w:r w:rsidRPr="00C85866">
        <w:rPr>
          <w:noProof/>
        </w:rPr>
        <w:t xml:space="preserve"> </w:t>
      </w:r>
      <w:r w:rsidRPr="00C85866">
        <w:rPr>
          <w:b/>
          <w:bCs/>
          <w:noProof/>
        </w:rPr>
        <w:t>9,</w:t>
      </w:r>
      <w:r w:rsidRPr="00C85866">
        <w:rPr>
          <w:noProof/>
        </w:rPr>
        <w:t xml:space="preserve"> 237–239 (1989).</w:t>
      </w:r>
    </w:p>
    <w:p w14:paraId="18A0B0E5" w14:textId="09EA7372" w:rsidR="00C6592F" w:rsidRPr="00C85866" w:rsidRDefault="00C6592F" w:rsidP="00C363D7">
      <w:pPr>
        <w:widowControl w:val="0"/>
        <w:autoSpaceDE w:val="0"/>
        <w:autoSpaceDN w:val="0"/>
        <w:adjustRightInd w:val="0"/>
        <w:ind w:left="540" w:hanging="540"/>
        <w:jc w:val="both"/>
        <w:rPr>
          <w:noProof/>
        </w:rPr>
      </w:pPr>
      <w:r w:rsidRPr="00C85866">
        <w:rPr>
          <w:noProof/>
        </w:rPr>
        <w:t>4</w:t>
      </w:r>
      <w:r w:rsidR="001F6171">
        <w:rPr>
          <w:noProof/>
        </w:rPr>
        <w:t>1</w:t>
      </w:r>
      <w:r w:rsidRPr="00C85866">
        <w:rPr>
          <w:noProof/>
        </w:rPr>
        <w:t>.</w:t>
      </w:r>
      <w:r w:rsidRPr="00C85866">
        <w:rPr>
          <w:noProof/>
        </w:rPr>
        <w:tab/>
        <w:t xml:space="preserve">Karasawa, T., Ikoma, S., Yamakawa, K. &amp; Nakamura, S. A defined growth medium for </w:t>
      </w:r>
      <w:r w:rsidR="00AB3480" w:rsidRPr="00AB3480">
        <w:rPr>
          <w:i/>
          <w:noProof/>
        </w:rPr>
        <w:t>Clostridium difficile</w:t>
      </w:r>
      <w:r w:rsidRPr="00C85866">
        <w:rPr>
          <w:noProof/>
        </w:rPr>
        <w:t xml:space="preserve">. </w:t>
      </w:r>
      <w:r w:rsidRPr="00C85866">
        <w:rPr>
          <w:i/>
          <w:iCs/>
          <w:noProof/>
        </w:rPr>
        <w:t>Microbiology (Reading, Engl.)</w:t>
      </w:r>
      <w:r w:rsidRPr="00C85866">
        <w:rPr>
          <w:noProof/>
        </w:rPr>
        <w:t xml:space="preserve"> </w:t>
      </w:r>
      <w:r w:rsidRPr="00C85866">
        <w:rPr>
          <w:b/>
          <w:bCs/>
          <w:noProof/>
        </w:rPr>
        <w:t>141 ( Pt 2),</w:t>
      </w:r>
      <w:r w:rsidRPr="00C85866">
        <w:rPr>
          <w:noProof/>
        </w:rPr>
        <w:t xml:space="preserve"> 371–375 (1995).</w:t>
      </w:r>
    </w:p>
    <w:p w14:paraId="7D08217B" w14:textId="77777777" w:rsidR="00DF0FA1" w:rsidRDefault="00C6592F" w:rsidP="00C363D7">
      <w:pPr>
        <w:widowControl w:val="0"/>
        <w:autoSpaceDE w:val="0"/>
        <w:autoSpaceDN w:val="0"/>
        <w:adjustRightInd w:val="0"/>
        <w:ind w:left="540" w:hanging="540"/>
        <w:jc w:val="both"/>
        <w:rPr>
          <w:b/>
        </w:rPr>
      </w:pPr>
      <w:r>
        <w:rPr>
          <w:rFonts w:asciiTheme="majorBidi" w:hAnsiTheme="majorBidi" w:cstheme="majorBidi"/>
        </w:rPr>
        <w:fldChar w:fldCharType="end"/>
      </w:r>
    </w:p>
    <w:p w14:paraId="7D16376E" w14:textId="79F9B899" w:rsidR="00C778AB" w:rsidRPr="00DF0FA1" w:rsidRDefault="00DF0FA1" w:rsidP="0096243D">
      <w:pPr>
        <w:spacing w:line="240" w:lineRule="auto"/>
        <w:rPr>
          <w:b/>
        </w:rPr>
      </w:pPr>
      <w:r>
        <w:rPr>
          <w:b/>
        </w:rPr>
        <w:br w:type="page"/>
      </w:r>
    </w:p>
    <w:p w14:paraId="21339DF9" w14:textId="77777777" w:rsidR="005F7DDC" w:rsidRDefault="00EC3A2F" w:rsidP="007D5BF8">
      <w:pPr>
        <w:pStyle w:val="Heading1"/>
      </w:pPr>
      <w:bookmarkStart w:id="91" w:name="_Toc8392779"/>
      <w:r w:rsidRPr="005F7DDC">
        <w:lastRenderedPageBreak/>
        <w:t>Chapter 4</w:t>
      </w:r>
      <w:bookmarkEnd w:id="91"/>
      <w:r w:rsidRPr="005F7DDC">
        <w:t xml:space="preserve"> </w:t>
      </w:r>
    </w:p>
    <w:p w14:paraId="54400FA1" w14:textId="77777777" w:rsidR="00EC3A2F" w:rsidRPr="005F7DDC" w:rsidRDefault="00EC3A2F" w:rsidP="007D5BF8">
      <w:pPr>
        <w:pStyle w:val="Heading1"/>
      </w:pPr>
      <w:bookmarkStart w:id="92" w:name="_Toc8392780"/>
      <w:r w:rsidRPr="005F7DDC">
        <w:t>Addressing ClpP Modulator Inefficiencies</w:t>
      </w:r>
      <w:bookmarkEnd w:id="92"/>
    </w:p>
    <w:p w14:paraId="38A479D7" w14:textId="6896D29F" w:rsidR="00EC3A2F" w:rsidRPr="00011A5C" w:rsidRDefault="00EC3A2F" w:rsidP="00EC3A2F">
      <w:pPr>
        <w:ind w:firstLine="720"/>
        <w:jc w:val="both"/>
      </w:pPr>
      <w:r>
        <w:t>As discussed in Chapter 1 of this dissertation, ClpP represents a unique target for antibacterial discovery, as beneficial activity is observed via inhibition or activation of this protease (</w:t>
      </w:r>
      <w:r>
        <w:rPr>
          <w:b/>
        </w:rPr>
        <w:t>Figure 4.1)</w:t>
      </w:r>
      <w:r>
        <w:t xml:space="preserve">. Activators stimulate ClpP and promote ATP-independent hydrolysis of intrinsically disordered intracellular proteins. </w:t>
      </w:r>
      <w:r w:rsidR="00766FF2">
        <w:t>Known a</w:t>
      </w:r>
      <w:r>
        <w:t>ctivators of ClpP</w:t>
      </w:r>
      <w:r w:rsidR="00766FF2">
        <w:t xml:space="preserve"> bind competitively to the cochaperone binding sites and thus</w:t>
      </w:r>
      <w:r>
        <w:t xml:space="preserve"> operate via two mechanisms of action: 1) activating the ClpP protease and inducing unselective degradation; and 2) inhibiting the interaction of AAA+ cochaperones with ClpP, thus disrupting the ability of cochaperones to deliver natural substrates for degradation.</w:t>
      </w:r>
      <w:r>
        <w:fldChar w:fldCharType="begin"/>
      </w:r>
      <w:r>
        <w:instrText>ADDIN F1000_CSL_CITATION&lt;~#@#~&gt;[{"DOI":"10.1038/ncomms7320","First":false,"Last":false,"PMID":"25695750","abstract":"The Clp protease complex degrades a multitude of substrates, which are engaged by a AAA+ chaperone such as ClpX and subsequently digested by the dynamic, barrel-shaped ClpP protease. Acyldepsipeptides (ADEPs) are natural product-derived antibiotics that activate ClpP for chaperone-independent protein digestion. Here we show that both protein and small-molecule activators of ClpP allosterically control the ClpP barrel conformation. We dissect the catalytic mechanism with chemical probes and show that ADEP in addition to opening the axial pore directly stimulates ClpP activity through cooperative binding. ClpP activation thus reaches beyond active site accessibility and also involves conformational control of the catalytic residues. Moreover, we demonstrate that substoichiometric amounts of ADEP potently prevent binding of ClpX to ClpP and, at the same time, partially inhibit ClpP through conformational perturbance. Collectively, our results establish the hydrophobic binding pocket as a major conformational regulatory site with implications for both ClpXP proteolysis and ADEP-based anti-bacterial activity. ","author":[{"family":"Gersch","given":"Malte"},{"family":"Famulla","given":"Kirsten"},{"family":"Dahmen","given":"Maria"},{"family":"Göbl","given":"Christoph"},{"family":"Malik","given":"Imran"},{"family":"Richter","given":"Klaus"},{"family":"Korotkov","given":"Vadim S"},{"family":"Sass","given":"Peter"},{"family":"Rübsamen-Schaeff","given":"Helga"},{"family":"Madl","given":"Tobias"},{"family":"Brötz-Oesterhelt","given":"Heike"},{"family":"Sieber","given":"Stephan A"}],"authorYearDisplayFormat":false,"citation-label":"5898262","container-title":"Nature Communications","container-title-short":"Nat. Commun.","id":"5898262","invisible":false,"issued":{"date-parts":[["2015","2","19"]]},"journalAbbreviation":"Nat. Commun.","page":"6320","suppress-author":false,"title":"AAA+ chaperones and acyldepsipeptides activate the ClpP protease via conformational control.","type":"article-journal","volume":"6"}]</w:instrText>
      </w:r>
      <w:r>
        <w:fldChar w:fldCharType="separate"/>
      </w:r>
      <w:r w:rsidRPr="009D2519">
        <w:rPr>
          <w:noProof/>
          <w:vertAlign w:val="superscript"/>
        </w:rPr>
        <w:t>1</w:t>
      </w:r>
      <w:r>
        <w:fldChar w:fldCharType="end"/>
      </w:r>
      <w:r>
        <w:t xml:space="preserve"> Therefore, bacterial cells treated with ClpP activators suffer from self-digestion and a build-up of toxic substrates, resulting in a dual attack on microbes. Alternatively, inhibitors render ClpP proteolytically inactive by restricting conformational plasticity, or chemically inactivating the Ser-His-Asp catalytic triad. While ClpP modulation has attracted serious interest from the antibacterial research community, little has been done to expand the arsenal of ClpP modulators.  Due to the liabilities of known modulators (discussed below), new chemotypes will be required in order to exploit ClpP clinically. In addition to our studies on the ClpP system in </w:t>
      </w:r>
      <w:r w:rsidR="00AB3480" w:rsidRPr="00AB3480">
        <w:rPr>
          <w:i/>
        </w:rPr>
        <w:t>C. difficile</w:t>
      </w:r>
      <w:r>
        <w:t xml:space="preserve">, </w:t>
      </w:r>
      <w:r w:rsidR="00766FF2">
        <w:t>we have</w:t>
      </w:r>
      <w:r>
        <w:t xml:space="preserve"> an ongoing interest in identifying new ClpP modulators and </w:t>
      </w:r>
      <w:r w:rsidR="00766FF2">
        <w:t xml:space="preserve">working to </w:t>
      </w:r>
      <w:r>
        <w:t xml:space="preserve">address the liabilities of known activators and/or inhibitors. </w:t>
      </w:r>
    </w:p>
    <w:p w14:paraId="18E30B98" w14:textId="0A0D8320" w:rsidR="00EC3A2F" w:rsidRDefault="001F155E" w:rsidP="00EC3A2F">
      <w:pPr>
        <w:rPr>
          <w:noProof/>
        </w:rPr>
      </w:pPr>
      <w:r w:rsidRPr="001F155E">
        <w:rPr>
          <w:noProof/>
        </w:rPr>
        <w:lastRenderedPageBreak/>
        <w:drawing>
          <wp:inline distT="0" distB="0" distL="0" distR="0" wp14:anchorId="436C0911" wp14:editId="1FE9AAB1">
            <wp:extent cx="5394960" cy="3062605"/>
            <wp:effectExtent l="0" t="0" r="0" b="0"/>
            <wp:docPr id="1043"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Picture 1042"/>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94960" cy="3062605"/>
                    </a:xfrm>
                    <a:prstGeom prst="rect">
                      <a:avLst/>
                    </a:prstGeom>
                  </pic:spPr>
                </pic:pic>
              </a:graphicData>
            </a:graphic>
          </wp:inline>
        </w:drawing>
      </w:r>
    </w:p>
    <w:p w14:paraId="59407B91" w14:textId="0765A1FC" w:rsidR="00C93A93" w:rsidRDefault="00C93A93" w:rsidP="00C93A93">
      <w:pPr>
        <w:pStyle w:val="Caption"/>
        <w:jc w:val="both"/>
      </w:pPr>
      <w:bookmarkStart w:id="93" w:name="_Toc5807414"/>
      <w:r>
        <w:t>Figure 4.1 Therapeutically relevant orthogonal approaches to targeting ClpP</w:t>
      </w:r>
      <w:bookmarkEnd w:id="93"/>
    </w:p>
    <w:p w14:paraId="19D1501B" w14:textId="77777777" w:rsidR="00C93A93" w:rsidRDefault="00C93A93" w:rsidP="00EC3A2F"/>
    <w:p w14:paraId="0DFADAE7" w14:textId="77777777" w:rsidR="00EC3A2F" w:rsidRPr="008E73F5" w:rsidRDefault="00EC3A2F" w:rsidP="004E7821">
      <w:pPr>
        <w:pStyle w:val="Heading2"/>
      </w:pPr>
      <w:bookmarkStart w:id="94" w:name="_Toc8392781"/>
      <w:r w:rsidRPr="008E73F5">
        <w:t>4.1 Inhibitors</w:t>
      </w:r>
      <w:bookmarkEnd w:id="94"/>
    </w:p>
    <w:p w14:paraId="5263DF74" w14:textId="3C3B69CC" w:rsidR="00CE2E27" w:rsidRPr="00CE2E27" w:rsidRDefault="00EC3A2F" w:rsidP="001F155E">
      <w:pPr>
        <w:ind w:firstLine="720"/>
        <w:jc w:val="both"/>
      </w:pPr>
      <w:r w:rsidRPr="001D52BB">
        <w:t>Two classes of ClpP selective inhibitors, β-lactones and phenyl esters, have been identified (</w:t>
      </w:r>
      <w:r w:rsidRPr="001D52BB">
        <w:rPr>
          <w:b/>
        </w:rPr>
        <w:t xml:space="preserve">Figure </w:t>
      </w:r>
      <w:r>
        <w:rPr>
          <w:b/>
        </w:rPr>
        <w:t>4.</w:t>
      </w:r>
      <w:r w:rsidR="00C93A93">
        <w:rPr>
          <w:b/>
        </w:rPr>
        <w:t>2</w:t>
      </w:r>
      <w:r w:rsidRPr="001D52BB">
        <w:t>).</w:t>
      </w:r>
      <w:r>
        <w:fldChar w:fldCharType="begin"/>
      </w:r>
      <w:r>
        <w:instrText>ADDIN F1000_CSL_CITATION&lt;~#@#~&gt;[{"DOI":"10.1021/acschembio.8b00124","First":false,"Last":false,"PMID":"29775273","abstract":"In prokaryotic cells and eukaryotic organelles, the ClpP protease plays an important role in proteostasis. The disruption of the ClpP function has been shown to influence the infectivity and virulence of a number of bacterial pathogens. More recently, ClpP has been found to be involved in various forms of carcinomas and in Perrault syndrome, which is an inherited condition characterized by hearing loss in males and females and by ovarian abnormalities in females. Hence, targeting ClpP is a potentially viable, attractive option for the treatment of different ailments. Herein, the biochemical and cellular activities of ClpP are discussed along with the mechanisms by which ClpP affects bacterial pathogenesis and various human diseases. In addition, a comprehensive overview is given of the new classes of compounds in development that target ClpP. Many of these compounds are currently primarily aimed at treating bacterial infections. Some of these compounds inhibit ClpP activity, while others activate the protease and lead to its dysregulation. The ClpP activators are remarkable examples of small molecules that inhibit protein-protein interactions but also result in a gain of function.","author":[{"family":"Bhandari","given":"Vaibhav"},{"family":"Wong","given":"Keith S"},{"family":"Zhou","given":"Jin Lin"},{"family":"Mabanglo","given":"Mark F"},{"family":"Batey","given":"Robert A"},{"family":"Houry","given":"Walid A"}],"authorYearDisplayFormat":false,"citation-label":"5898152","container-title":"ACS Chemical Biology","container-title-short":"ACS Chem. Biol.","id":"5898152","invisible":false,"issue":"6","issued":{"date-parts":[["2018","6","15"]]},"journalAbbreviation":"ACS Chem. Biol.","page":"1413-1425","suppress-author":false,"title":"The role of clpp protease in bacterial pathogenesis and human diseases.","type":"article-journal","volume":"13"}]</w:instrText>
      </w:r>
      <w:r>
        <w:fldChar w:fldCharType="separate"/>
      </w:r>
      <w:r w:rsidRPr="009D2519">
        <w:rPr>
          <w:noProof/>
          <w:vertAlign w:val="superscript"/>
        </w:rPr>
        <w:t>2</w:t>
      </w:r>
      <w:r>
        <w:fldChar w:fldCharType="end"/>
      </w:r>
      <w:r w:rsidRPr="001D52BB">
        <w:t xml:space="preserve"> These inhibitors covalent</w:t>
      </w:r>
      <w:r>
        <w:t>ly</w:t>
      </w:r>
      <w:r w:rsidRPr="001D52BB">
        <w:t xml:space="preserve"> modif</w:t>
      </w:r>
      <w:r>
        <w:t>y</w:t>
      </w:r>
      <w:r w:rsidRPr="001D52BB">
        <w:t xml:space="preserve"> </w:t>
      </w:r>
      <w:r>
        <w:t>the</w:t>
      </w:r>
      <w:r w:rsidRPr="001D52BB">
        <w:t xml:space="preserve"> serine within the conserved catalytic triad</w:t>
      </w:r>
      <w:r>
        <w:t xml:space="preserve"> to irreversibly halt proteolysis</w:t>
      </w:r>
      <w:r w:rsidRPr="001D52BB">
        <w:t>.</w:t>
      </w:r>
      <w:r>
        <w:fldChar w:fldCharType="begin"/>
      </w:r>
      <w:r>
        <w:instrText>ADDIN F1000_CSL_CITATION&lt;~#@#~&gt;[{"DOI":"10.1021/ja8051365","First":false,"Last":false,"PMID":"18847196","abstract":"To approach the daunting problem of multidrug resistant bacterial pathogens, a multidisciplinary chemical proteomic strategy was applied and functionalized beta-lactones were identified as potent, cell permeable inhibitors for specific and selective targeting of the key virulence regulator complex ClpP in S. aureus and methicillin resistant S. aureus (MRSA) strains. ClpP represents the central protease complex responsible for the activation of numerous virulence factors including many with devastating effects for human health such as hemolysins, proteases, lipases, and DNases. Although the crucial role of this enzyme was validated by genetic knockouts, no inhibitor has been reported to date. In fact, our most potent inhibitor was able to completely abolish hemolytic and proteolytic activities and showed a dramatic decrease in the activities of virulence associated lipases and DNases. These effects were also observed in a multiresistant strain emphasizing the potential value of such compounds. Targeting this virulence factor may therefore likely represent an attractive strategy for neutralizing the harmful effects of bacterial pathogens and help the host immune response to eliminate the disarmed bacteria. Since ClpP is not essential for viability and highly conserved in many pathogens, our strategy could represent a global approach for the treatment of infectious diseases without the pressing problem of antibiotic pressure and resistance development.","author":[{"family":"Böttcher","given":"Thomas"},{"family":"Sieber","given":"Stephan A"}],"authorYearDisplayFormat":false,"citation-label":"6764830","container-title":"Journal of the American Chemical Society","container-title-short":"J. Am. Chem. Soc.","id":"6764830","invisible":false,"issue":"44","issued":{"date-parts":[["2008","11","5"]]},"journalAbbreviation":"J. Am. Chem. Soc.","page":"14400-14401","suppress-author":false,"title":"Beta-lactones as specific inhibitors of ClpP attenuate the production of extracellular virulence factors of Staphylococcus aureus.","type":"article-journal","volume":"130"},{"DOI":"10.1002/anie.201204690","First":false,"Last":false,"PMID":"23361916","author":[{"family":"Gersch","given":"Malte"},{"family":"Gut","given":"Felix"},{"family":"Korotkov","given":"Vadim S"},{"family":"Lehmann","given":"Johannes"},{"family":"Böttcher","given":"Thomas"},{"family":"Rusch","given":"Marion"},{"family":"Hedberg","given":"Christian"},{"family":"Waldmann","given":"Herbert"},{"family":"Klebe","given":"Gerhard"},{"family":"Sieber","given":"Stephan A"}],"authorYearDisplayFormat":false,"citation-label":"5898252","container-title":"Angewandte Chemie","container-title-short":"Angew Chem Int Ed Engl","id":"5898252","invisible":false,"issue":"10","issued":{"date-parts":[["2013","3","4"]]},"journalAbbreviation":"Angew Chem Int Ed Engl","page":"3009-3014","suppress-author":false,"title":"The mechanism of caseinolytic protease (ClpP) inhibition.","type":"article-journal","volume":"52"}]</w:instrText>
      </w:r>
      <w:r>
        <w:fldChar w:fldCharType="separate"/>
      </w:r>
      <w:r w:rsidRPr="009D2519">
        <w:rPr>
          <w:noProof/>
          <w:vertAlign w:val="superscript"/>
        </w:rPr>
        <w:t>3,4</w:t>
      </w:r>
      <w:r>
        <w:fldChar w:fldCharType="end"/>
      </w:r>
      <w:r w:rsidRPr="001D52BB">
        <w:t xml:space="preserve"> β-lactones and phenyl esters exhibit unique activity profiles against different ClpP homologs. The β-lactones were the first ClpP selective inhibitors identified and SAR studies have produced efficacious analogs against </w:t>
      </w:r>
      <w:r w:rsidRPr="001D52BB">
        <w:rPr>
          <w:i/>
        </w:rPr>
        <w:t xml:space="preserve">S. aureus </w:t>
      </w:r>
      <w:r w:rsidRPr="001D52BB">
        <w:t xml:space="preserve">and </w:t>
      </w:r>
      <w:r w:rsidRPr="001D52BB">
        <w:rPr>
          <w:i/>
        </w:rPr>
        <w:t>M. tuberculosis</w:t>
      </w:r>
      <w:r w:rsidRPr="001D52BB">
        <w:t>.</w:t>
      </w:r>
      <w:r>
        <w:fldChar w:fldCharType="begin"/>
      </w:r>
      <w:r>
        <w:instrText>ADDIN F1000_CSL_CITATION&lt;~#@#~&gt;[{"DOI":"10.1021/ja8051365","First":false,"Last":false,"PMID":"18847196","abstract":"To approach the daunting problem of multidrug resistant bacterial pathogens, a multidisciplinary chemical proteomic strategy was applied and functionalized beta-lactones were identified as potent, cell permeable inhibitors for specific and selective targeting of the key virulence regulator complex ClpP in S. aureus and methicillin resistant S. aureus (MRSA) strains. ClpP represents the central protease complex responsible for the activation of numerous virulence factors including many with devastating effects for human health such as hemolysins, proteases, lipases, and DNases. Although the crucial role of this enzyme was validated by genetic knockouts, no inhibitor has been reported to date. In fact, our most potent inhibitor was able to completely abolish hemolytic and proteolytic activities and showed a dramatic decrease in the activities of virulence associated lipases and DNases. These effects were also observed in a multiresistant strain emphasizing the potential value of such compounds. Targeting this virulence factor may therefore likely represent an attractive strategy for neutralizing the harmful effects of bacterial pathogens and help the host immune response to eliminate the disarmed bacteria. Since ClpP is not essential for viability and highly conserved in many pathogens, our strategy could represent a global approach for the treatment of infectious diseases without the pressing problem of antibiotic pressure and resistance development.","author":[{"family":"Böttcher","given":"Thomas"},{"family":"Sieber","given":"Stephan A"}],"authorYearDisplayFormat":false,"citation-label":"6764831","container-title":"Journal of the American Chemical Society","container-title-short":"J. Am. Chem. Soc.","id":"6764831","invisible":false,"issue":"44","issued":{"date-parts":[["2008","11","5"]]},"journalAbbreviation":"J. Am. Chem. Soc.","page":"14400-14401","suppress-author":false,"title":"Beta-lactones as specific inhibitors of ClpP attenuate the production of extracellular virulence factors of Staphylococcus aureus.","type":"article-journal","volume":"130"},{"DOI":"10.1128/JB.06142-11","First":false,"Last":false,"PMCID":"PMC3264079","PMID":"22123255","abstract":"Mycobacterium tuberculosis is a pathogen of major global importance. Validated drug targets are required in order to develop novel therapeutics for drug-resistant strains and to shorten therapy. The Clp protease complexes provide a means for quality control of cellular proteins; the proteolytic activity of ClpP in concert with the ATPase activity of the ClpX/ClpC subunits results in degradation of misfolded or damaged proteins. Thus, the Clp system plays a major role in basic metabolism, as well as in stress responses and pathogenic mechanisms. M. tuberculosis has two ClpP proteolytic subunits. Here we demonstrate that ClpP1 is essential for viability in this organism in culture, since the gene could only be deleted from the chromosome when a second functional copy was provided. Overexpression of clpP1 had no effect on growth in aerobic culture or viability under anaerobic conditions or during nutrient starvation. In contrast, clpP2 overexpression was toxic, suggesting different roles for the two homologs. We synthesized known activators of ClpP protease activity; these acyldepsipeptides (ADEPs) were active against M. tuberculosis. ADEP activity was enhanced by the addition of efflux pump inhibitors, demonstrating that ADEPs gain access to the cell but that export occurs. Taken together, the genetic and chemical validation of ClpP as a drug target leads to new avenues for drug discovery.","author":[{"family":"Ollinger","given":"Juliane"},{"family":"O'Malley","given":"Theresa"},{"family":"Kesicki","given":"Edward A"},{"family":"Odingo","given":"Joshua"},{"family":"Parish","given":"Tanya"}],"authorYearDisplayFormat":false,"citation-label":"5898258","container-title":"Journal of Bacteriology","container-title-short":"J. Bacteriol.","id":"5898258","invisible":false,"issue":"3","issued":{"date-parts":[["2012","2"]]},"journalAbbreviation":"J. Bacteriol.","page":"663-668","suppress-author":false,"title":"Validation of the essential ClpP protease in Mycobacterium tuberculosis as a novel drug target.","type":"article-journal","volume":"194"},{"DOI":"10.1021/cb400577b","First":false,"Last":false,"PMCID":"PMC4287380","PMID":"24047344","abstract":"There is rapidly mounting evidence that intracellular proteases in bacteria are compelling targets for antibacterial drugs. Multiple reports suggest that the human pathogen Mycobacterium tuberculosis and other actinobacteria may be particularly sensitive to small molecules that perturb the activities of self-compartmentalized peptidases, which catalyze intracellular protein turnover as components of ATP-dependent proteolytic machines. Here, we report chemical syntheses and evaluations of structurally diverse β-lactones, which have a privileged structure for selective, suicide inhibition of the self-compartmentalized ClpP peptidase. β-Lactones with certain substituents on the α- and β-carbons were found to be toxic to M. tuberculosis. Using an affinity-labeled analogue of a bioactive β-lactone in a series of chemical proteomic experiments, we selectively captured the ClpP1P2 peptidase from live cultures of two different actinobacteria that are related to M. tuberculosis. Importantly, we found that the growth inhibitory β-lactones also inactivate the M. tuberculosis ClpP1P2 peptidase in vitro via formation of a covalent adduct at the ClpP2 catalytic serine. Given the potent antibacterial activity of these compounds and their medicinal potential, we sought to identify innate mechanisms of resistance. Using a genome mining strategy, we identified a genetic determinant of β-lactone resistance in Streptomyces coelicolor, a non-pathogenic relative of M. tuberculosis. Collectively, these findings validate the potential of ClpP inhibition as a strategy in antibacterial drug development and define a mechanism by which bacteria could resist the toxic effects of ClpP inhibitors. ","author":[{"family":"Compton","given":"Corey L"},{"family":"Schmitz","given":"Karl R"},{"family":"Sauer","given":"Robert T"},{"family":"Sello","given":"Jason K"}],"authorYearDisplayFormat":false,"citation-label":"6764835","container-title":"ACS Chemical Biology","container-title-short":"ACS Chem. Biol.","id":"6764835","invisible":false,"issue":"12","issued":{"date-parts":[["2013","12","20"]]},"journalAbbreviation":"ACS Chem. Biol.","page":"2669-2677","suppress-author":false,"title":"Antibacterial activity of and resistance to small molecule inhibitors of the ClpP peptidase.","type":"article-journal","volume":"8"}]</w:instrText>
      </w:r>
      <w:r>
        <w:fldChar w:fldCharType="separate"/>
      </w:r>
      <w:r w:rsidRPr="009D2519">
        <w:rPr>
          <w:noProof/>
          <w:vertAlign w:val="superscript"/>
        </w:rPr>
        <w:t>5–7</w:t>
      </w:r>
      <w:r>
        <w:fldChar w:fldCharType="end"/>
      </w:r>
      <w:r w:rsidRPr="001D52BB">
        <w:t xml:space="preserve"> Although the β-lactones are effective at clearing </w:t>
      </w:r>
      <w:r w:rsidRPr="001D52BB">
        <w:rPr>
          <w:i/>
        </w:rPr>
        <w:t xml:space="preserve">S. aureus </w:t>
      </w:r>
      <w:r w:rsidRPr="001D52BB">
        <w:t>skin infections (sub-cutaneous injection) in mice, the utility of this class is limited by the susceptibility to hydrolysis in plasma (mouse = 3.7 ± 1.5 min, human = 4.7 ± 0.4 min).</w:t>
      </w:r>
      <w:r>
        <w:fldChar w:fldCharType="begin"/>
      </w:r>
      <w:r>
        <w:instrText>ADDIN F1000_CSL_CITATION&lt;~#@#~&gt;[{"DOI":"10.1021/jacs.5b03084","First":false,"Last":false,"PMID":"26083639","abstract":"Caseinolytic protease P (ClpP) represents a central bacterial degradation machinery that is involved in cell homeostasis and pathogenicity. The functional role of ClpP has been studied by genetic knockouts and through the use of beta-lactones, which remain the only specific inhibitors of ClpP discovered to date. Beta-lactones have served as chemical tools to manipulate ClpP in several organisms; however, their potency, selectivity and stability is limited. Despite detailed structural insights into the composition and conformational flexibility of the ClpP active site, no rational efforts to design specific non-beta-lactone inhibitors have been reported to date. In this work, an unbiased screen of more than 137 000 compounds was used to identify five phenyl ester compounds as highly potent ClpP inhibitors that were selective for bacterial, but not human ClpP. The potency of phenyl esters largely exceeded that of beta-lactones in ClpP peptidase and protease inhibition assays and displayed unique target selectivity in living S. aureus cells. Analytical studies revealed that while phenyl esters are cleaved like native peptide substrates, they remain covalently trapped as acyl-enzyme intermediates in the active site. The synthesis of 36 derivatives and subsequent structure-activity relationship (SAR) studies provided insights into conserved structural elements that are important for inhibition potency and acylation reactivity. Moreover, the stereochemistry of a methyl-substituent at the alpha position to the ester, resembling amino acid side chains in peptide substrates, impacted ClpP complex stability, causing either dissociation into heptamers or retention of the tetradecameric state. Mechanistic insights into this intriguing stereo switch and the phenyl ester binding mode were obtained by molecular docking experiments. ","author":[{"family":"Hackl","given":"Mathias W"},{"family":"Lakemeyer","given":"Markus"},{"family":"Dahmen","given":"Maria"},{"family":"Glaser","given":"Manuel"},{"family":"Pahl","given":"Axel"},{"family":"Lorenz-Baath","given":"Katrin"},{"family":"Menzel","given":"Thomas"},{"family":"Sievers","given":"Sonja"},{"family":"Böttcher","given":"Thomas"},{"family":"Antes","given":"Iris"},{"family":"Waldmann","given":"Herbert"},{"family":"Sieber","given":"Stephan A"}],"authorYearDisplayFormat":false,"citation-label":"6764834","container-title":"Journal of the American Chemical Society","container-title-short":"J. Am. Chem. Soc.","id":"6764834","invisible":false,"issue":"26","issued":{"date-parts":[["2015","7","8"]]},"journalAbbreviation":"J. Am. Chem. Soc.","page":"8475-8483","suppress-author":false,"title":"Phenyl esters are potent inhibitors of caseinolytic protease P and reveal a stereogenic switch for deoligomerization.","type":"article-journal","volume":"137"},{"DOI":"10.1016/j.ccell.2015.05.004","First":false,"Last":false,"PMCID":"PMC4461837","PMID":"26058080","abstract":"From an shRNA screen, we identified ClpP as a member of the mitochondrial proteome whose knockdown reduced the viability of K562 leukemic cells. Expression of this mitochondrial protease that has structural similarity to the cytoplasmic proteosome is increased in leukemic cells from approximately half of all patients with AML. Genetic or chemical inhibition of ClpP killed cells from both human AML cell lines and primary samples in which the cells showed elevated ClpP expression but did not affect their normal counterparts. Importantly, Clpp knockout mice were viable with normal hematopoiesis. Mechanistically, we found that ClpP interacts with mitochondrial respiratory chain proteins and metabolic enzymes, and knockdown of ClpP in leukemic cells inhibited oxidative phosphorylation and mitochondrial metabolism. &lt;br&gt;&lt;br&gt;Copyright © 2015 Elsevier Inc. All rights reserved.","author":[{"family":"Cole","given":"Alicia"},{"family":"Wang","given":"Zezhou"},{"family":"Coyaud","given":"Etienne"},{"family":"Voisin","given":"Veronique"},{"family":"Gronda","given":"Marcela"},{"family":"Jitkova","given":"Yulia"},{"family":"Mattson","given":"Rachel"},{"family":"Hurren","given":"Rose"},{"family":"Babovic","given":"Sonja"},{"family":"Maclean","given":"Neil"},{"family":"Restall","given":"Ian"},{"family":"Wang","given":"Xiaoming"},{"family":"Jeyaraju","given":"Danny V"},{"family":"Sukhai","given":"Mahadeo A"},{"family":"Prabha","given":"Swayam"},{"family":"Bashir","given":"Shaheena"},{"family":"Ramakrishnan","given":"Ashwin"},{"family":"Leung","given":"Elisa"},{"family":"Qia","given":"Yi Hua"},{"family":"Zhang","given":"Nianxian"},{"family":"Combes","given":"Kevin R"},{"family":"Ketela","given":"Troy"},{"family":"Lin","given":"Fengshu"},{"family":"Houry","given":"Walid A"},{"family":"Aman","given":"Ahmed"},{"family":"Al-Awar","given":"Rima"},{"family":"Zheng","given":"Wei"},{"family":"Wienholds","given":"Erno"},{"family":"Xu","given":"Chang Jiang"},{"family":"Dick","given":"John"},{"family":"Wang","given":"Jean C Y"},{"family":"Moffat","given":"Jason"},{"family":"Minden","given":"Mark D"},{"family":"Eaves","given":"Connie J"},{"family":"Bader","given":"Gary D"},{"family":"Hao","given":"Zhenyue"},{"family":"Kornblau","given":"Steven M"},{"family":"Raught","given":"Brian"},{"family":"Schimmer","given":"Aaron D"}],"authorYearDisplayFormat":false,"citation-label":"4034324","container-title":"Cancer Cell","container-title-short":"Cancer Cell","id":"4034324","invisible":false,"issue":"6","issued":{"date-parts":[["2015","6","8"]]},"journalAbbreviation":"Cancer Cell","page":"864-876","suppress-author":false,"title":"Inhibition of the mitochondrial protease clpp as a therapeutic strategy for human acute myeloid leukemia.","type":"article-journal","volume":"27"},{"DOI":"10.1021/cr050288g","First":false,"Last":false,"PMID":"16895328","author":[{"family":"Evans","given":"Michael J"},{"family":"Cravatt","given":"Benjamin F"}],"authorYearDisplayFormat":false,"citation-label":"5898315","container-title":"Chemical Reviews","container-title-short":"Chem. Rev.","id":"5898315","invisible":false,"issue":"8","issued":{"date-parts":[["2006","8"]]},"journalAbbreviation":"Chem. Rev.","page":"3279-3301","suppress-author":false,"title":"Mechanism-based profiling of enzyme families.","type":"article-journal","volume":"106"}]</w:instrText>
      </w:r>
      <w:r>
        <w:fldChar w:fldCharType="separate"/>
      </w:r>
      <w:r w:rsidRPr="009D2519">
        <w:rPr>
          <w:noProof/>
          <w:vertAlign w:val="superscript"/>
        </w:rPr>
        <w:t>8–10</w:t>
      </w:r>
      <w:r>
        <w:fldChar w:fldCharType="end"/>
      </w:r>
      <w:r w:rsidRPr="001D52BB">
        <w:t xml:space="preserve"> Attempts to increase the stability of β-lactones have failed to provide pharmacological value, as potency suffers dramatically upon β-lactone replacement.</w:t>
      </w:r>
      <w:r>
        <w:fldChar w:fldCharType="begin"/>
      </w:r>
      <w:r>
        <w:instrText>ADDIN F1000_CSL_CITATION&lt;~#@#~&gt;[{"DOI":"10.1002/anie.201204690","First":false,"Last":false,"PMID":"23361916","author":[{"family":"Gersch","given":"Malte"},{"family":"Gut","given":"Felix"},{"family":"Korotkov","given":"Vadim S"},{"family":"Lehmann","given":"Johannes"},{"family":"Böttcher","given":"Thomas"},{"family":"Rusch","given":"Marion"},{"family":"Hedberg","given":"Christian"},{"family":"Waldmann","given":"Herbert"},{"family":"Klebe","given":"Gerhard"},{"family":"Sieber","given":"Stephan A"}],"authorYearDisplayFormat":false,"citation-label":"5898252","container-title":"Angewandte Chemie","container-title-short":"Angew Chem Int Ed Engl","id":"5898252","invisible":false,"issue":"10","issued":{"date-parts":[["2013","3","4"]]},"journalAbbreviation":"Angew Chem Int Ed Engl","page":"3009-3014","suppress-author":false,"title":"The mechanism of caseinolytic protease (ClpP) inhibition.","type":"article-journal","volume":"52"}]</w:instrText>
      </w:r>
      <w:r>
        <w:fldChar w:fldCharType="separate"/>
      </w:r>
      <w:r w:rsidRPr="009D2519">
        <w:rPr>
          <w:noProof/>
          <w:vertAlign w:val="superscript"/>
        </w:rPr>
        <w:t>4</w:t>
      </w:r>
      <w:r>
        <w:fldChar w:fldCharType="end"/>
      </w:r>
      <w:r w:rsidRPr="001D52BB">
        <w:t xml:space="preserve"> </w:t>
      </w:r>
    </w:p>
    <w:p w14:paraId="5C804E7D" w14:textId="00A6563A" w:rsidR="00EC3A2F" w:rsidRDefault="00EC3A2F" w:rsidP="00EC3A2F">
      <w:pPr>
        <w:ind w:firstLine="720"/>
        <w:jc w:val="both"/>
      </w:pPr>
      <w:r w:rsidRPr="001D52BB">
        <w:t>In attempts to identify new ClpP inhibitory chemotypes, Sieber and colleagues screened a small molecule library and discovered the phenyl ester pharmacophore (</w:t>
      </w:r>
      <w:r w:rsidRPr="001D52BB">
        <w:rPr>
          <w:b/>
        </w:rPr>
        <w:t xml:space="preserve">Figure </w:t>
      </w:r>
      <w:r>
        <w:rPr>
          <w:b/>
        </w:rPr>
        <w:lastRenderedPageBreak/>
        <w:t>4.1</w:t>
      </w:r>
      <w:r w:rsidRPr="001D52BB">
        <w:t>).</w:t>
      </w:r>
      <w:r>
        <w:fldChar w:fldCharType="begin"/>
      </w:r>
      <w:r>
        <w:instrText>ADDIN F1000_CSL_CITATION&lt;~#@#~&gt;[{"DOI":"10.1021/jacs.5b03084","First":false,"Last":false,"PMID":"26083639","abstract":"Caseinolytic protease P (ClpP) represents a central bacterial degradation machinery that is involved in cell homeostasis and pathogenicity. The functional role of ClpP has been studied by genetic knockouts and through the use of beta-lactones, which remain the only specific inhibitors of ClpP discovered to date. Beta-lactones have served as chemical tools to manipulate ClpP in several organisms; however, their potency, selectivity and stability is limited. Despite detailed structural insights into the composition and conformational flexibility of the ClpP active site, no rational efforts to design specific non-beta-lactone inhibitors have been reported to date. In this work, an unbiased screen of more than 137 000 compounds was used to identify five phenyl ester compounds as highly potent ClpP inhibitors that were selective for bacterial, but not human ClpP. The potency of phenyl esters largely exceeded that of beta-lactones in ClpP peptidase and protease inhibition assays and displayed unique target selectivity in living S. aureus cells. Analytical studies revealed that while phenyl esters are cleaved like native peptide substrates, they remain covalently trapped as acyl-enzyme intermediates in the active site. The synthesis of 36 derivatives and subsequent structure-activity relationship (SAR) studies provided insights into conserved structural elements that are important for inhibition potency and acylation reactivity. Moreover, the stereochemistry of a methyl-substituent at the alpha position to the ester, resembling amino acid side chains in peptide substrates, impacted ClpP complex stability, causing either dissociation into heptamers or retention of the tetradecameric state. Mechanistic insights into this intriguing stereo switch and the phenyl ester binding mode were obtained by molecular docking experiments. ","author":[{"family":"Hackl","given":"Mathias W"},{"family":"Lakemeyer","given":"Markus"},{"family":"Dahmen","given":"Maria"},{"family":"Glaser","given":"Manuel"},{"family":"Pahl","given":"Axel"},{"family":"Lorenz-Baath","given":"Katrin"},{"family":"Menzel","given":"Thomas"},{"family":"Sievers","given":"Sonja"},{"family":"Böttcher","given":"Thomas"},{"family":"Antes","given":"Iris"},{"family":"Waldmann","given":"Herbert"},{"family":"Sieber","given":"Stephan A"}],"authorYearDisplayFormat":false,"citation-label":"6764834","container-title":"Journal of the American Chemical Society","container-title-short":"J. Am. Chem. Soc.","id":"6764834","invisible":false,"issue":"26","issued":{"date-parts":[["2015","7","8"]]},"journalAbbreviation":"J. Am. Chem. Soc.","page":"8475-8483","suppress-author":false,"title":"Phenyl esters are potent inhibitors of caseinolytic protease P and reveal a stereogenic switch for deoligomerization.","type":"article-journal","volume":"137"}]</w:instrText>
      </w:r>
      <w:r>
        <w:fldChar w:fldCharType="separate"/>
      </w:r>
      <w:r w:rsidRPr="009D2519">
        <w:rPr>
          <w:noProof/>
          <w:vertAlign w:val="superscript"/>
        </w:rPr>
        <w:t>8</w:t>
      </w:r>
      <w:r>
        <w:fldChar w:fldCharType="end"/>
      </w:r>
      <w:r w:rsidRPr="001D52BB">
        <w:t xml:space="preserve"> While this chemotype exhibits improved stability of the pharmacologically relevant acyl-enzyme complex (β-lactone: </w:t>
      </w:r>
      <w:r w:rsidRPr="001D52BB">
        <w:rPr>
          <w:i/>
        </w:rPr>
        <w:t>t</w:t>
      </w:r>
      <w:r w:rsidRPr="001D52BB">
        <w:rPr>
          <w:vertAlign w:val="subscript"/>
        </w:rPr>
        <w:t>1/2</w:t>
      </w:r>
      <w:r w:rsidRPr="001D52BB">
        <w:t xml:space="preserve"> = 5.0 h ± 0.4 h; phenyl ester: </w:t>
      </w:r>
      <w:r w:rsidRPr="001D52BB">
        <w:rPr>
          <w:i/>
        </w:rPr>
        <w:t>t</w:t>
      </w:r>
      <w:r w:rsidRPr="001D52BB">
        <w:rPr>
          <w:vertAlign w:val="subscript"/>
        </w:rPr>
        <w:t>1/2</w:t>
      </w:r>
      <w:r w:rsidRPr="001D52BB">
        <w:t xml:space="preserve"> = 8.2 h ± 0.8 h), no evidence of improved plasma stability is presented and translation of this chemotype into therapeutically relevant anti-virulence agents still represents a major hurdle. </w:t>
      </w:r>
    </w:p>
    <w:p w14:paraId="414FFA16" w14:textId="77777777" w:rsidR="00EC3A2F" w:rsidRPr="001D52BB" w:rsidRDefault="00EC3A2F" w:rsidP="00B506AD">
      <w:pPr>
        <w:tabs>
          <w:tab w:val="left" w:pos="4813"/>
        </w:tabs>
        <w:jc w:val="both"/>
      </w:pPr>
    </w:p>
    <w:p w14:paraId="3439EE51" w14:textId="77777777" w:rsidR="00EC3A2F" w:rsidRPr="008E73F5" w:rsidRDefault="00EC3A2F" w:rsidP="004E7821">
      <w:pPr>
        <w:pStyle w:val="Heading2"/>
      </w:pPr>
      <w:bookmarkStart w:id="95" w:name="_Toc8392782"/>
      <w:r w:rsidRPr="008E73F5">
        <w:t>4.2 Activators</w:t>
      </w:r>
      <w:bookmarkEnd w:id="95"/>
    </w:p>
    <w:p w14:paraId="2D78687A" w14:textId="77777777" w:rsidR="00EC3A2F" w:rsidRPr="00E85762" w:rsidRDefault="00EC3A2F" w:rsidP="0012418F">
      <w:pPr>
        <w:pStyle w:val="Heading3"/>
      </w:pPr>
      <w:bookmarkStart w:id="96" w:name="_Toc8392783"/>
      <w:r>
        <w:t xml:space="preserve">4.2.1 </w:t>
      </w:r>
      <w:r w:rsidRPr="00E85762">
        <w:t>Acyldepsipeptides (ADEPs)</w:t>
      </w:r>
      <w:bookmarkEnd w:id="96"/>
    </w:p>
    <w:p w14:paraId="7F4CDBFF" w14:textId="7EDA6071" w:rsidR="00EC3A2F" w:rsidRDefault="00EC3A2F" w:rsidP="00EC3A2F">
      <w:pPr>
        <w:ind w:firstLine="720"/>
        <w:jc w:val="both"/>
      </w:pPr>
      <w:r>
        <w:t xml:space="preserve">In 1985, acyldepsipeptide antibiotics (ADEPs) were isolated from </w:t>
      </w:r>
      <w:r>
        <w:rPr>
          <w:i/>
        </w:rPr>
        <w:t>Streptomyces hawaiiensis</w:t>
      </w:r>
      <w:r>
        <w:t xml:space="preserve"> culture and were largely ignored until Heiki </w:t>
      </w:r>
      <w:r>
        <w:rPr>
          <w:i/>
        </w:rPr>
        <w:t>et al.</w:t>
      </w:r>
      <w:r>
        <w:t xml:space="preserve"> </w:t>
      </w:r>
      <w:r w:rsidR="00766FF2">
        <w:t xml:space="preserve">determined </w:t>
      </w:r>
      <w:r>
        <w:t xml:space="preserve">that ADEPs bind and activate bacterial ClpP </w:t>
      </w:r>
      <w:r w:rsidR="00766FF2">
        <w:t xml:space="preserve">and elicit </w:t>
      </w:r>
      <w:r>
        <w:t>bacterial cell death.</w:t>
      </w:r>
      <w:r>
        <w:fldChar w:fldCharType="begin"/>
      </w:r>
      <w:r>
        <w:instrText>ADDIN F1000_CSL_CITATION&lt;~#@#~&gt;[{"DOI":"10.1038/nm1306","First":false,"Last":false,"PMID":"16200071","abstract":"Here we show that a new class of antibiotics-acyldepsipeptides-has antibacterial activity against Gram-positive bacteria in vitro and in several rodent models of bacterial infection. The acyldepsipeptides are active against isolates that are resistant to antibiotics in clinical application, implying a new target, which we identify as ClpP, the core unit of a major bacterial protease complex. ClpP is usually tightly regulated and strictly requires a member of the family of Clp-ATPases and often further accessory proteins for proteolytic activation. Binding of acyldepsipeptides to ClpP eliminates these safeguards. The acyldepsipeptide-activated ClpP core is capable of proteolytic degradation in the absence of the regulatory Clp-ATPases. Such uncontrolled proteolysis leads to inhibition of bacterial cell division and eventually cell death.","author":[{"family":"Brötz-Oesterhelt","given":"Heike"},{"family":"Beyer","given":"Dieter"},{"family":"Kroll","given":"Hein-Peter"},{"family":"Endermann","given":"Rainer"},{"family":"Ladel","given":"Christoph"},{"family":"Schroeder","given":"Werner"},{"family":"Hinzen","given":"Berthold"},{"family":"Raddatz","given":"Siegfried"},{"family":"Paulsen","given":"Holger"},{"family":"Henninger","given":"Kerstin"},{"family":"Bandow","given":"Julia E"},{"family":"Sahl","given":"Hans-Georg"},{"family":"Labischinski","given":"Harald"}],"authorYearDisplayFormat":false,"citation-label":"6766156","container-title":"Nature Medicine","container-title-short":"Nat. Med.","id":"6766156","invisible":false,"issue":"10","issued":{"date-parts":[["2005","10","2"]]},"journalAbbreviation":"Nat. Med.","page":"1082-1087","suppress-author":false,"title":"Dysregulation of bacterial proteolytic machinery by a new class of antibiotics.","type":"article-journal","volume":"11"},{"First":false,"Last":false,"abstract":"Antibiotic A54556, a complex of 8 individual factors, produced by submerged, aerobic fermentation of new Streptomyces hawaiiensis NRRL 15010. The complex and the individual, separated factors are active against Staphylococcus and Streptococcus which are penicillin resistant.","author":[{"family":"Michel","given":"K H"},{"family":"Kastner","given":"R E"}],"authorYearDisplayFormat":false,"citation-label":"6566694","container-title":"US Patent 4","container-title-short":"US Patent 4","id":"6566694","invisible":false,"issued":{"date-parts":[["492"]]},"journalAbbreviation":"US Patent 4","suppress-author":false,"title":"A54556 antibiotics and process for production thereof","type":"article-journal"}]</w:instrText>
      </w:r>
      <w:r>
        <w:fldChar w:fldCharType="separate"/>
      </w:r>
      <w:r w:rsidRPr="009D2519">
        <w:rPr>
          <w:noProof/>
          <w:vertAlign w:val="superscript"/>
        </w:rPr>
        <w:t>11,12</w:t>
      </w:r>
      <w:r>
        <w:fldChar w:fldCharType="end"/>
      </w:r>
      <w:r>
        <w:t xml:space="preserve"> In a murine model ADEP1 (A54556A) produced an 80% survival rate when provided as a treatment against a lethal challenge of </w:t>
      </w:r>
      <w:r>
        <w:rPr>
          <w:i/>
        </w:rPr>
        <w:t>S. aureus</w:t>
      </w:r>
      <w:r>
        <w:t xml:space="preserve"> and </w:t>
      </w:r>
      <w:r>
        <w:rPr>
          <w:i/>
        </w:rPr>
        <w:t>E. faecalis</w:t>
      </w:r>
      <w:r>
        <w:t>,</w:t>
      </w:r>
      <w:r>
        <w:rPr>
          <w:i/>
        </w:rPr>
        <w:t xml:space="preserve"> </w:t>
      </w:r>
      <w:r>
        <w:t xml:space="preserve">lowering bacterial loads in vital organs two to three-fold versus the control. The mechanism of action was determined through </w:t>
      </w:r>
      <w:r w:rsidR="00766FF2">
        <w:t>biochemical means and the binding mode was revealed through the characterization of</w:t>
      </w:r>
      <w:r>
        <w:t xml:space="preserve"> two ClpP:ADEP cocrystal structures, which showed that ADEPs bind to ClpP in a manner that mimics cochaperone binding.</w:t>
      </w:r>
      <w:r>
        <w:fldChar w:fldCharType="begin"/>
      </w:r>
      <w:r>
        <w:instrText>ADDIN F1000_CSL_CITATION&lt;~#@#~&gt;[{"DOI":"10.1016/j.jsb.2008.10.005","First":false,"Last":false,"PMCID":"PMC3433037","PMID":"19038348","abstract":"Clp is a barrel-shaped hetero-oligomeric ATP-dependent protease comprising a hexameric ATPase (ClpX or ClpA) that unfolds protein substrates and translocates them into the central chamber of the tetradecameric proteolytic component (ClpP) where they are degraded processively to short peptides. Chamber access is controlled by the N-terminal 20 residues (for Escherichia coli) in ClpP that prevent entry of large polypeptides in the absence of the ATPase subunits and ATP hydrolysis. Remarkably, removal of 10-17 residues from the mature N-terminus allows processive degradation of a large model unfolded substrate to short peptides without the ATPase subunit or ATP hydrolysis; removal of 14 residues is maximal for activation. Furthermore, since the product size distribution of Delta14-ClpP is identical to ClpAP and ClpXP, the ATPases do not play an essential role in determining this distribution. Comparison of the structures of Delta14-ClpP and Delta17-ClpP with other published structures shows R15 and S16 are labile and that residue 17 can adopt a range of rotomers to ensure protection of a hydrophobic pocket formed by I19, R24 and F49 and maintain a hydrophilic character of the pore.","author":[{"family":"Bewley","given":"Maria C"},{"family":"Graziano","given":"Vito"},{"family":"Griffin","given":"Kathleen"},{"family":"Flanagan","given":"John M"}],"authorYearDisplayFormat":false,"citation-label":"1613846","container-title":"Journal of Structural Biology","container-title-short":"J. Struct. Biol.","id":"1613846","invisible":false,"issue":"2","issued":{"date-parts":[["2009","2"]]},"journalAbbreviation":"J. Struct. Biol.","page":"118-125","suppress-author":false,"title":"Turned on for degradation: ATPase-independent degradation by ClpP.","type":"article-journal","volume":"165"},{"DOI":"10.1016/j.chembiol.2010.07.008","First":false,"Last":false,"PMCID":"PMC2955292","PMID":"20851345","abstract":"In ClpXP and ClpAP complexes, ClpA and ClpX use the energy of ATP hydrolysis to unfold proteins and translocate them into the self-compartmentalized ClpP protease. ClpP requires the ATPases to degrade folded or unfolded substrates, but binding of acyldepsipeptide antibiotics (ADEPs) to ClpP bypasses this requirement with unfolded proteins. We present the crystal structure of Escherichia coli ClpP bound to ADEP1 and report the structural changes underlying ClpP activation. ADEP1 binds in the hydrophobic groove that serves as the primary docking site for ClpP ATPases. Binding of ADEP1 locks the N-terminal loops of ClpP in a β-hairpin conformation, generating a stable pore through which extended polypeptides can be threaded. This structure serves as a model for ClpP in the holoenzyme ClpAP and ClpXP complexes and provides critical information to further develop this class of antibiotics.&lt;br&gt;&lt;br&gt;Copyright © 2010 Elsevier Ltd. All rights reserved.","author":[{"family":"Li","given":"Dominic Him Shun"},{"family":"Chung","given":"Yu Seon"},{"family":"Gloyd","given":"Melanie"},{"family":"Joseph","given":"Ebenezer"},{"family":"Ghirlando","given":"Rodolfo"},{"family":"Wright","given":"Gerard D"},{"family":"Cheng","given":"Yi-Qiang"},{"family":"Maurizi","given":"Michael R"},{"family":"Guarné","given":"Alba"},{"family":"Ortega","given":"Joaquin"}],"authorYearDisplayFormat":false,"citation-label":"5898323","container-title":"Chemistry &amp; Biology","container-title-short":"Chem. Biol.","id":"5898323","invisible":false,"issue":"9","issued":{"date-parts":[["2010","9","24"]]},"journalAbbreviation":"Chem. Biol.","page":"959-969","suppress-author":false,"title":"Acyldepsipeptide antibiotics induce the formation of a structured axial channel in ClpP: A model for the ClpX/ClpA-bound state of ClpP.","type":"article-journal","volume":"17"},{"DOI":"10.1007/s10059-011-0197-1","First":false,"Last":false,"PMCID":"PMC3887684","PMID":"22080375","abstract":"ClpP is a cylindrical protease that is tightly regulated by Clp-ATPases. The activation mechanism of ClpP using acyldepsipeptide antibiotics as mimics of natural activators showed enlargement of the axial entrance pore for easier processing of incoming substrates. However, the elimination of degradation products from inside the ClpP chamber remains unclear since there is no exit pore for releasing these products in all determined ClpP structures. Here we report a new crystal structure of ClpP from Bacillus subtilis, which shows a significantly compressed shape along the axial direction. A portion of the handle regions comprising the heptameric ring-ring contacts shows structural transition from an ordered to a disordered state, which triggers the large conformational change from an extended to an overall compressed structure. Along with this structural change, 14 side pores are generated for product release and the catalytic triad adopts an inactive orientation. We have also determined B. subtilis ClpP inhibited by diisopropylfluoro-phosphate and analyzed the active site in detail. Structural information pertaining to several different conformational steps such as those related to extended, ADEP-activated, DFP-inhibited and compressed forms of ClpP from B. subtilis is available. Structural comparisons suggest that functionally important regions in the ClpP-family such as N-terminal segments for the axial pore, catalytic triads, and handle domains for the product releasing pore exhibit intrinsically dynamic and unique structural features. This study provides valuable insights for understanding the enigmatic cylindrical degradation machinery of ClpP as well as other related proteases such as HslV and the 20S proteasome.","author":[{"family":"Lee","given":"Byung-Gil"},{"family":"Kim","given":"Min Kyung"},{"family":"Song","given":"Hyun Kyu"}],"authorYearDisplayFormat":false,"citation-label":"6005329","container-title":"Molecules and Cells","container-title-short":"Mol. Cells","id":"6005329","invisible":false,"issue":"6","issued":{"date-parts":[["2011","12"]]},"journalAbbreviation":"Mol. Cells","page":"589-595","suppress-author":false,"title":"Structural insights into the conformational diversity of ClpP from Bacillus subtilis.","type":"article-journal","volume":"32"}]</w:instrText>
      </w:r>
      <w:r>
        <w:fldChar w:fldCharType="separate"/>
      </w:r>
      <w:r w:rsidRPr="009D2519">
        <w:rPr>
          <w:noProof/>
          <w:vertAlign w:val="superscript"/>
        </w:rPr>
        <w:t>13–15</w:t>
      </w:r>
      <w:r>
        <w:fldChar w:fldCharType="end"/>
      </w:r>
      <w:r>
        <w:t xml:space="preserve"> Cochaperones (e.g., ClpX) bind to ClpP via an I/FGL motif present towards the C-terminal end of each monomer, which interact</w:t>
      </w:r>
      <w:r w:rsidR="00137FB4">
        <w:t>s</w:t>
      </w:r>
      <w:r>
        <w:t xml:space="preserve"> with the hydrophobic clefts between ClpP monomers.</w:t>
      </w:r>
      <w:r>
        <w:fldChar w:fldCharType="begin"/>
      </w:r>
      <w:r>
        <w:instrText>ADDIN F1000_CSL_CITATION&lt;~#@#~&gt;[{"DOI":"10.1038/nsmb752","First":false,"Last":false,"PMID":"15064753","abstract":"In the ClpXP compartmental protease, ring hexamers of the AAA(+) ClpX ATPase bind, denature and then translocate protein substrates into the degradation chamber of the double-ring ClpP(14) peptidase. A key question is the extent to which functional communication between ClpX and ClpP occurs and is regulated during substrate processing. Here, we show that ClpX-ClpP affinity varies with the protein-processing task of ClpX and with the catalytic engagement of the active sites of ClpP. Functional communication between symmetry-mismatched ClpXP rings depends on the ATPase activity of ClpX and seems to be transmitted through structural changes in its IGF loops, which contact ClpP. A conserved arginine in the sensor II helix of ClpX links the nucleotide state of ClpX to the binding of ClpP and protein substrates. A simple model explains the observed relationships between ATP binding, ATP hydrolysis and functional interactions between ClpX, protein substrates and ClpP.","author":[{"family":"Joshi","given":"Shilpa A"},{"family":"Hersch","given":"Greg L"},{"family":"Baker","given":"Tania A"},{"family":"Sauer","given":"Robert T"}],"authorYearDisplayFormat":false,"citation-label":"3662742","container-title":"Nature Structural &amp; Molecular Biology","container-title-short":"Nat. Struct. Mol. Biol.","id":"3662742","invisible":false,"issue":"5","issued":{"date-parts":[["2004","5"]]},"journalAbbreviation":"Nat. Struct. Mol. Biol.","page":"404-411","suppress-author":false,"title":"Communication between ClpX and ClpP during substrate processing and degradation.","type":"article-journal","volume":"11"},{"DOI":"10.1016/j.jmb.2010.04.027","First":false,"Last":false,"PMCID":"PMC2885556","PMID":"20416323","abstract":"ClpP is a self-compartmentalized protease, which has very limited degradation activity unless it associates with ClpX to form ClpXP or with ClpA to form ClpAP. Here, we show that ClpX binding stimulates ClpP cleavage of peptides larger than a few amino acids and enhances ClpP active-site modification. Stimulation requires ATP binding but not hydrolysis by ClpX. The magnitude of this enhancement correlates with increasing molecular weight of the molecule entering ClpP. Amino-acid substitutions in the channel loop or helix A of ClpP enhance entry of larger substrates into the free enzyme, eliminate ClpX binding in some cases, and are not further stimulated by ClpX binding in other instances. These results support a model in which the channel residues of free ClpP exclude efficient entry of all but the smallest peptides into the degradation chamber, with ClpX binding serving to relieve these inhibitory interactions. Specific ClpP channel variants also prevent ClpXP translocation of certain amino-acid sequences, suggesting that the wild-type channel plays an important role in facilitating broad translocation specificity. In combination with previous studies, our results indicate that collaboration between ClpP and its partner ATPases opens a gate that functions to exclude larger substrates from isolated ClpP.&lt;br&gt;&lt;br&gt;Copyright (c)  2010 Elsevier Ltd. All rights reserved.","author":[{"family":"Lee","given":"Mary E"},{"family":"Baker","given":"Tania A"},{"family":"Sauer","given":"Robert T"}],"authorYearDisplayFormat":false,"citation-label":"5898254","container-title":"Journal of Molecular Biology","container-title-short":"J. Mol. Biol.","id":"5898254","invisible":false,"issue":"5","issued":{"date-parts":[["2010","6","25"]]},"journalAbbreviation":"J. Mol. Biol.","page":"707-718","suppress-author":false,"title":"Control of substrate gating and translocation into ClpP by channel residues and ClpX binding.","type":"article-journal","volume":"399"}]</w:instrText>
      </w:r>
      <w:r>
        <w:fldChar w:fldCharType="separate"/>
      </w:r>
      <w:r w:rsidRPr="009D2519">
        <w:rPr>
          <w:noProof/>
          <w:vertAlign w:val="superscript"/>
        </w:rPr>
        <w:t>16,17</w:t>
      </w:r>
      <w:r>
        <w:fldChar w:fldCharType="end"/>
      </w:r>
      <w:r>
        <w:t xml:space="preserve"> ADEPs bind competitively to the same </w:t>
      </w:r>
      <w:r w:rsidR="00137FB4">
        <w:t>monomeric interface</w:t>
      </w:r>
      <w:r>
        <w:t>, and trigger a conformational change that widens the axial pore of ClpP.</w:t>
      </w:r>
      <w:r>
        <w:fldChar w:fldCharType="begin"/>
      </w:r>
      <w:r>
        <w:instrText>ADDIN F1000_CSL_CITATION&lt;~#@#~&gt;[{"DOI":"10.1002/cbic.201500234","First":false,"Last":false,"PMCID":"PMC4992462","PMID":"26147653","abstract":"The cyclic acyldepsipeptide (ADEP) antibiotics act by binding the ClpP peptidase and dysregulating its activity. Their exocyclic N-acylphenylalanine is thought to structurally mimic the ClpP-binding, (I/L)GF tripeptide loop of the peptidase's accessory ATPases. We found that ADEP analogues with exocyclic N-acyl tripeptides or dipeptides resembling the (I/L)GF motif were weak ClpP activators and had no bioactivity. In contrast, ADEP analogues possessing difluorophenylalanine N-capped with methyl-branched acyl groups-like the side chains of residues in the (I/L)GF motifs-were superior to the parent ADEP with respect to both ClpP activation and bioactivity. We contend that the ADEP's N-acylphenylalanine moiety is not simply a stand-in for the ATPases' (I/L)GF motif; it likely has physicochemical properties that are better suited for ClpP binding. Further, our finding that the methyl-branching on the acyl group of the ADEPs improves activity opens new avenues for optimization.&lt;br&gt;&lt;br&gt;© 2015 WILEY-VCH Verlag GmbH &amp; Co. KGaA, Weinheim.","author":[{"family":"Carney","given":"Daniel W"},{"family":"Schmitz","given":"Karl R"},{"family":"Scruse","given":"Anthony C"},{"family":"Sauer","given":"Robert T"},{"family":"Sello","given":"Jason K"}],"authorYearDisplayFormat":false,"citation-label":"5898186","container-title":"Chembiochem","container-title-short":"Chembiochem","id":"5898186","invisible":false,"issue":"13","issued":{"date-parts":[["2015","9","7"]]},"journalAbbreviation":"Chembiochem","page":"1875-1879","suppress-author":false,"title":"Examination of a Structural Model of Peptidomimicry by Cyclic Acyldepsipeptide Antibiotics in Their Interaction with the ClpP Peptidase.","type":"article-journal","volume":"16"},{"DOI":"10.1038/ncomms7320","First":false,"Last":false,"PMID":"25695750","abstract":"The Clp protease complex degrades a multitude of substrates, which are engaged by a AAA+ chaperone such as ClpX and subsequently digested by the dynamic, barrel-shaped ClpP protease. Acyldepsipeptides (ADEPs) are natural product-derived antibiotics that activate ClpP for chaperone-independent protein digestion. Here we show that both protein and small-molecule activators of ClpP allosterically control the ClpP barrel conformation. We dissect the catalytic mechanism with chemical probes and show that ADEP in addition to opening the axial pore directly stimulates ClpP activity through cooperative binding. ClpP activation thus reaches beyond active site accessibility and also involves conformational control of the catalytic residues. Moreover, we demonstrate that substoichiometric amounts of ADEP potently prevent binding of ClpX to ClpP and, at the same time, partially inhibit ClpP through conformational perturbance. Collectively, our results establish the hydrophobic binding pocket as a major conformational regulatory site with implications for both ClpXP proteolysis and ADEP-based anti-bacterial activity. ","author":[{"family":"Gersch","given":"Malte"},{"family":"Famulla","given":"Kirsten"},{"family":"Dahmen","given":"Maria"},{"family":"Göbl","given":"Christoph"},{"family":"Malik","given":"Imran"},{"family":"Richter","given":"Klaus"},{"family":"Korotkov","given":"Vadim S"},{"family":"Sass","given":"Peter"},{"family":"Rübsamen-Schaeff","given":"Helga"},{"family":"Madl","given":"Tobias"},{"family":"Brötz-Oesterhelt","given":"Heike"},{"family":"Sieber","given":"Stephan A"}],"authorYearDisplayFormat":false,"citation-label":"5898262","container-title":"Nature Communications","container-title-short":"Nat. Commun.","id":"5898262","invisible":false,"issued":{"date-parts":[["2015","2","19"]]},"journalAbbreviation":"Nat. Commun.","page":"6320","suppress-author":false,"title":"AAA+ chaperones and acyldepsipeptides activate the ClpP protease via conformational control.","type":"article-journal","volume":"6"},{"DOI":"10.1007/s10059-011-0197-1","First":false,"Last":false,"PMCID":"PMC3887684","PMID":"22080375","abstract":"ClpP is a cylindrical protease that is tightly regulated by Clp-ATPases. The activation mechanism of ClpP using acyldepsipeptide antibiotics as mimics of natural activators showed enlargement of the axial entrance pore for easier processing of incoming substrates. However, the elimination of degradation products from inside the ClpP chamber remains unclear since there is no exit pore for releasing these products in all determined ClpP structures. Here we report a new crystal structure of ClpP from Bacillus subtilis, which shows a significantly compressed shape along the axial direction. A portion of the handle regions comprising the heptameric ring-ring contacts shows structural transition from an ordered to a disordered state, which triggers the large conformational change from an extended to an overall compressed structure. Along with this structural change, 14 side pores are generated for product release and the catalytic triad adopts an inactive orientation. We have also determined B. subtilis ClpP inhibited by diisopropylfluoro-phosphate and analyzed the active site in detail. Structural information pertaining to several different conformational steps such as those related to extended, ADEP-activated, DFP-inhibited and compressed forms of ClpP from B. subtilis is available. Structural comparisons suggest that functionally important regions in the ClpP-family such as N-terminal segments for the axial pore, catalytic triads, and handle domains for the product releasing pore exhibit intrinsically dynamic and unique structural features. This study provides valuable insights for understanding the enigmatic cylindrical degradation machinery of ClpP as well as other related proteases such as HslV and the 20S proteasome.","author":[{"family":"Lee","given":"Byung-Gil"},{"family":"Kim","given":"Min Kyung"},{"family":"Song","given":"Hyun Kyu"}],"authorYearDisplayFormat":false,"citation-label":"6005329","container-title":"Molecules and Cells","container-title-short":"Mol. Cells","id":"6005329","invisible":false,"issue":"6","issued":{"date-parts":[["2011","12"]]},"journalAbbreviation":"Mol. Cells","page":"589-595","suppress-author":false,"title":"Structural insights into the conformational diversity of ClpP from Bacillus subtilis.","type":"article-journal","volume":"32"},{"DOI":"10.1016/j.chembiol.2010.07.008","First":false,"Last":false,"PMCID":"PMC2955292","PMID":"20851345","abstract":"In ClpXP and ClpAP complexes, ClpA and ClpX use the energy of ATP hydrolysis to unfold proteins and translocate them into the self-compartmentalized ClpP protease. ClpP requires the ATPases to degrade folded or unfolded substrates, but binding of acyldepsipeptide antibiotics (ADEPs) to ClpP bypasses this requirement with unfolded proteins. We present the crystal structure of Escherichia coli ClpP bound to ADEP1 and report the structural changes underlying ClpP activation. ADEP1 binds in the hydrophobic groove that serves as the primary docking site for ClpP ATPases. Binding of ADEP1 locks the N-terminal loops of ClpP in a β-hairpin conformation, generating a stable pore through which extended polypeptides can be threaded. This structure serves as a model for ClpP in the holoenzyme ClpAP and ClpXP complexes and provides critical information to further develop this class of antibiotics.&lt;br&gt;&lt;br&gt;Copyright © 2010 Elsevier Ltd. All rights reserved.","author":[{"family":"Li","given":"Dominic Him Shun"},{"family":"Chung","given":"Yu Seon"},{"family":"Gloyd","given":"Melanie"},{"family":"Joseph","given":"Ebenezer"},{"family":"Ghirlando","given":"Rodolfo"},{"family":"Wright","given":"Gerard D"},{"family":"Cheng","given":"Yi-Qiang"},{"family":"Maurizi","given":"Michael R"},{"family":"Guarné","given":"Alba"},{"family":"Ortega","given":"Joaquin"}],"authorYearDisplayFormat":false,"citation-label":"5898323","container-title":"Chemistry &amp; Biology","container-title-short":"Chem. Biol.","id":"5898323","invisible":false,"issue":"9","issued":{"date-parts":[["2010","9","24"]]},"journalAbbreviation":"Chem. Biol.","page":"959-969","suppress-author":false,"title":"Acyldepsipeptide antibiotics induce the formation of a structured axial channel in ClpP: A model for the ClpX/ClpA-bound state of ClpP.","type":"article-journal","volume":"17"}]</w:instrText>
      </w:r>
      <w:r>
        <w:fldChar w:fldCharType="separate"/>
      </w:r>
      <w:r w:rsidRPr="009D2519">
        <w:rPr>
          <w:noProof/>
          <w:vertAlign w:val="superscript"/>
        </w:rPr>
        <w:t>1,14,15,18</w:t>
      </w:r>
      <w:r>
        <w:fldChar w:fldCharType="end"/>
      </w:r>
      <w:r>
        <w:t xml:space="preserve"> When activated, disordered proteins are able to diffuse into the proteolytic compartment to be degraded. </w:t>
      </w:r>
    </w:p>
    <w:p w14:paraId="42A0B102" w14:textId="05037660" w:rsidR="00EC3A2F" w:rsidRDefault="00EC3A2F" w:rsidP="00EC3A2F">
      <w:pPr>
        <w:ind w:firstLine="720"/>
        <w:jc w:val="both"/>
      </w:pPr>
      <w:r>
        <w:t xml:space="preserve">Eventually, studies </w:t>
      </w:r>
      <w:r w:rsidR="00137FB4">
        <w:t>revealed</w:t>
      </w:r>
      <w:r>
        <w:t xml:space="preserve"> significant ADME drawbacks such as: poor solubility, poor bioavailability, and limited to no activity against Gram-negative bacteria.</w:t>
      </w:r>
      <w:r>
        <w:rPr>
          <w:vertAlign w:val="superscript"/>
        </w:rPr>
        <w:t>3</w:t>
      </w:r>
      <w:r>
        <w:t xml:space="preserve"> The first attempt to optimize ADEPs was undertaken by Hinzen </w:t>
      </w:r>
      <w:r>
        <w:rPr>
          <w:i/>
        </w:rPr>
        <w:t>et al.</w:t>
      </w:r>
      <w:r>
        <w:t>, where it was</w:t>
      </w:r>
      <w:r>
        <w:rPr>
          <w:i/>
        </w:rPr>
        <w:t xml:space="preserve"> </w:t>
      </w:r>
      <w:r>
        <w:t xml:space="preserve">found that </w:t>
      </w:r>
      <w:r>
        <w:lastRenderedPageBreak/>
        <w:t xml:space="preserve">removing conjugation of the acyl side-chain improved </w:t>
      </w:r>
      <w:r>
        <w:rPr>
          <w:i/>
        </w:rPr>
        <w:t>in vitro</w:t>
      </w:r>
      <w:r>
        <w:t xml:space="preserve"> MIC activity assays and stability.</w:t>
      </w:r>
      <w:r>
        <w:fldChar w:fldCharType="begin"/>
      </w:r>
      <w:r>
        <w:instrText>ADDIN F1000_CSL_CITATION&lt;~#@#~&gt;[{"DOI":"10.1002/cmdc.200600055","First":false,"Last":false,"PMID":"16902918","author":[{"family":"Hinzen","given":"Berthold"},{"family":"Raddatz","given":"Siegfried"},{"family":"Paulsen","given":"Holger"},{"family":"Lampe","given":"Thomas"},{"family":"Schumacher","given":"Andreas"},{"family":"Häbich","given":"Dieter"},{"family":"Hellwig","given":"Veronica"},{"family":"Benet-Buchholz","given":"Jordi"},{"family":"Endermann","given":"Rainer"},{"family":"Labischinski","given":"Harald"},{"family":"Brötz-Oesterhelt","given":"Heike"}],"authorYearDisplayFormat":false,"citation-label":"5898249","container-title":"Chemmedchem","container-title-short":"ChemMedChem","id":"5898249","invisible":false,"issue":"7","issued":{"date-parts":[["2006","7"]]},"journalAbbreviation":"ChemMedChem","page":"689-693","suppress-author":false,"title":"Medicinal chemistry optimization of acyldepsipeptides of the enopeptin class antibiotics.","type":"article-journal","volume":"1"}]</w:instrText>
      </w:r>
      <w:r>
        <w:fldChar w:fldCharType="separate"/>
      </w:r>
      <w:r w:rsidRPr="009D2519">
        <w:rPr>
          <w:noProof/>
          <w:vertAlign w:val="superscript"/>
        </w:rPr>
        <w:t>20</w:t>
      </w:r>
      <w:r>
        <w:fldChar w:fldCharType="end"/>
      </w:r>
      <w:r>
        <w:t xml:space="preserve"> Fluorination at the 3,5 positions</w:t>
      </w:r>
      <w:r w:rsidR="00137FB4">
        <w:t xml:space="preserve"> </w:t>
      </w:r>
      <w:r>
        <w:t xml:space="preserve">of the phenyl ring </w:t>
      </w:r>
      <w:r w:rsidR="00137FB4">
        <w:t xml:space="preserve">coupled with alteration of the macrocyclic core to instill conformational rigidity </w:t>
      </w:r>
      <w:r>
        <w:t xml:space="preserve">were found to significantly improve </w:t>
      </w:r>
      <w:r>
        <w:rPr>
          <w:i/>
        </w:rPr>
        <w:t xml:space="preserve">in vitro </w:t>
      </w:r>
      <w:r>
        <w:t>activity (~160-fold). The resulting compound</w:t>
      </w:r>
      <w:r w:rsidR="00137FB4">
        <w:t>,</w:t>
      </w:r>
      <w:r>
        <w:t xml:space="preserve"> ADEP4, was used in combination with rifampicin and erythromycin to eliminate spores, and rescue a mouse from a lethal challenge of MRSA.</w:t>
      </w:r>
      <w:r>
        <w:fldChar w:fldCharType="begin"/>
      </w:r>
      <w:r>
        <w:instrText>ADDIN F1000_CSL_CITATION&lt;~#@#~&gt;[{"DOI":"10.1038/nature12790","First":false,"Last":false,"PMCID":"PMC4031760","PMID":"24226776","abstract":"Chronic infections are difficult to treat with antibiotics but are caused primarily by drug-sensitive pathogens. Dormant persister cells that are tolerant to killing by antibiotics are responsible for this apparent paradox. Persisters are phenotypic variants of normal cells and pathways leading to dormancy are redundant, making it challenging to develop anti-persister compounds. Biofilms shield persisters from the immune system, suggesting that an antibiotic for treating a chronic infection should be able to eradicate the infection on its own. We reasoned that a compound capable of corrupting a target in dormant cells will kill persisters. The acyldepsipeptide antibiotic (ADEP4) has been shown to activate the ClpP protease, resulting in death of growing cells. Here we show that ADEP4-activated ClpP becomes a fairly nonspecific protease and kills persisters by degrading over 400 proteins, forcing cells to self-digest. Null mutants of clpP arise with high probability, but combining ADEP4 with rifampicin produced complete eradication of Staphylococcus aureus biofilms in vitro and in a mouse model of a chronic infection. Our findings indicate a general principle for killing dormant cells-activation and corruption of a target, rather than conventional inhibition. Eradication of a biofilm in an animal model by activating a protease suggests a realistic path towards developing therapies to treat chronic infections. ","author":[{"family":"Conlon","given":"B P"},{"family":"Nakayasu","given":"E S"},{"family":"Fleck","given":"L E"},{"family":"LaFleur","given":"M D"},{"family":"Isabella","given":"V M"},{"family":"Coleman","given":"K"},{"family":"Leonard","given":"S N"},{"family":"Smith","given":"R D"},{"family":"Adkins","given":"J N"},{"family":"Lewis","given":"K"}],"authorYearDisplayFormat":false,"citation-label":"6653880","container-title":"Nature","container-title-short":"Nature","id":"6653880","invisible":false,"issue":"7476","issued":{"date-parts":[["2013","11","21"]]},"journalAbbreviation":"Nature","page":"365-370","suppress-author":false,"title":"Activated ClpP kills persisters and eradicates a chronic biofilm infection.","type":"article-journal","volume":"503"}]</w:instrText>
      </w:r>
      <w:r>
        <w:fldChar w:fldCharType="separate"/>
      </w:r>
      <w:r w:rsidRPr="009D2519">
        <w:rPr>
          <w:noProof/>
          <w:vertAlign w:val="superscript"/>
        </w:rPr>
        <w:t>21</w:t>
      </w:r>
      <w:r>
        <w:fldChar w:fldCharType="end"/>
      </w:r>
      <w:r>
        <w:t xml:space="preserve"> Further SAR studies on the ADEPs have produced &gt;40 analogs, some of which exhibit impressive efficacy (≤0.0002 µg/mL) against Gram-positive pathogens (</w:t>
      </w:r>
      <w:r>
        <w:rPr>
          <w:i/>
        </w:rPr>
        <w:t xml:space="preserve">S. pneumoniae </w:t>
      </w:r>
      <w:r>
        <w:t xml:space="preserve">and </w:t>
      </w:r>
      <w:r>
        <w:rPr>
          <w:i/>
        </w:rPr>
        <w:t>E. faecalis</w:t>
      </w:r>
      <w:r>
        <w:t>)</w:t>
      </w:r>
      <w:r w:rsidRPr="0090759B">
        <w:t>.</w:t>
      </w:r>
      <w:r>
        <w:fldChar w:fldCharType="begin"/>
      </w:r>
      <w:r>
        <w:instrText>ADDIN F1000_CSL_CITATION&lt;~#@#~&gt;[{"DOI":"10.1002/cbic.201402358","First":false,"Last":false,"PMCID":"PMC4343535","PMID":"25212124","abstract":"The development of new antibacterial agents, particularly those with unique biological targets, is essential to keep pace with the inevitable emergence of drug resistance in pathogenic bacteria. We identified the minimal structural component of the cyclic acyldepsipeptide (ADEP) antibiotics that exhibits antibacterial activity. We found that N-acyldifluorophenylalanine fragments function via the same mechanism of action as ADEPs, as evidenced by the requirement of ClpP for the fragments' antibacterial activity, the ability of fragments to activate Bacillus subtilis ClpP in vitro, and the capacity of an N-acyldifluorophenylalanine affinity matrix to capture ClpP from B. subtilis cell lysates. N-acyldifluorophenylalanine fragments are much simpler in structure than the full ADEPs and are also highly amenable to structural diversification. Thus, the stage has been set for the development of non-peptide activators of ClpP that can be used as antibacterial agents. &lt;br&gt;&lt;br&gt;© 2014 WILEY-VCH Verlag GmbH &amp; Co. KGaA, Weinheim.","author":[{"family":"Carney","given":"Daniel W"},{"family":"Compton","given":"Corey L"},{"family":"Schmitz","given":"Karl R"},{"family":"Stevens","given":"Julia P"},{"family":"Sauer","given":"Robert T"},{"family":"Sello","given":"Jason K"}],"authorYearDisplayFormat":false,"citation-label":"5898247","container-title":"Chembiochem","container-title-short":"Chembiochem","id":"5898247","invisible":false,"issue":"15","issued":{"date-parts":[["2014","10","13"]]},"journalAbbreviation":"Chembiochem","page":"2216-2220","suppress-author":false,"title":"A simple fragment of cyclic acyldepsipeptides is necessary and sufficient for ClpP activation and antibacterial activity.","type":"article-journal","volume":"15"},{"DOI":"10.1002/cmdc.200600055","First":false,"Last":false,"PMID":"16902918","author":[{"family":"Hinzen","given":"Berthold"},{"family":"Raddatz","given":"Siegfried"},{"family":"Paulsen","given":"Holger"},{"family":"Lampe","given":"Thomas"},{"family":"Schumacher","given":"Andreas"},{"family":"Häbich","given":"Dieter"},{"family":"Hellwig","given":"Veronica"},{"family":"Benet-Buchholz","given":"Jordi"},{"family":"Endermann","given":"Rainer"},{"family":"Labischinski","given":"Harald"},{"family":"Brötz-Oesterhelt","given":"Heike"}],"authorYearDisplayFormat":false,"citation-label":"5898249","container-title":"Chemmedchem","container-title-short":"ChemMedChem","id":"5898249","invisible":false,"issue":"7","issued":{"date-parts":[["2006","7"]]},"journalAbbreviation":"ChemMedChem","page":"689-693","suppress-author":false,"title":"Medicinal chemistry optimization of acyldepsipeptides of the enopeptin class antibiotics.","type":"article-journal","volume":"1"},{"DOI":"10.1021/ja410385c","First":false,"Last":false,"PMCID":"PMC4004210","PMID":"24422534","abstract":"The cyclic acyldepsipeptide (ADEP) antibiotics are a new class of antibacterial agents that kill bacteria via a mechanism that is distinct from all clinically used drugs. These molecules bind and dysregulate the activity of the ClpP peptidase. The potential of these antibiotics as antibacterial drugs has been enhanced by the elimination of pharmacological liabilities through medicinal chemistry efforts. Here, we demonstrate that the ADEP conformation observed in the ADEP-ClpP crystal structure is fortified by transannular hydrogen bonding and can be further stabilized by judicious replacement of constituent amino acids within the peptidolactone core structure with more conformationally constrained counterparts. Evidence supporting constraint of the molecule into the bioactive conformer was obtained by measurements of deuterium-exchange kinetics of hydrogens that were proposed to be engaged in transannular hydrogen bonds. We show that the rigidified ADEP analogs bind and activate ClpP at lower concentrations in vitro. Remarkably, these compounds have up to 1200-fold enhanced antibacterial activity when compared to those with the peptidolactone core structure common to two ADEP natural products. This study compellingly demonstrates how rational modulation of conformational dynamics may be used to improve the bioactivities of natural products. ","author":[{"family":"Carney","given":"Daniel W"},{"family":"Schmitz","given":"Karl R"},{"family":"Truong","given":"Jonathan V"},{"family":"Sauer","given":"Robert T"},{"family":"Sello","given":"Jason K"}],"authorYearDisplayFormat":false,"citation-label":"472546","container-title":"Journal of the American Chemical Society","container-title-short":"J. Am. Chem. Soc.","id":"472546","invisible":false,"issue":"5","issued":{"date-parts":[["2014","2","5"]]},"journalAbbreviation":"J. Am. Chem. Soc.","page":"1922-1929","suppress-author":false,"title":"Restriction of the conformational dynamics of the cyclic acyldepsipeptide antibiotics improves their antibacterial activity.","type":"article-journal","volume":"136"},{"DOI":"10.1016/j.bmc.2010.08.032","First":false,"Last":false,"PMID":"20833054","abstract":"A class of cyclic acyldepsipeptide antibiotics collectively known as the enopeptins has recently attracted much attention because of their activity against multidrug-resistant bacteria, including methicillin-resistant Staphylococcus aureus and vancomycin-resistant Enterococcus faecalis. These antibiotics are further distinguished by their novel mechanism of action in which they bind and deregulate the tightly controlled activity of the cytoplasmic protease ClpP. Although the natural products have poor pharmacological properties, a synthetic derivative called acyldepsipeptide 4 (ADEP 4) showed remarkable antibacterial activity both in vitro and in mouse models of bacterial infections. A novel route to the ADEP 4 peptidolactone core structure, featuring the Joullié-Ugi three-component reaction, was developed. This multicomponent reaction and a related multicomponent reaction, the Ugi four-component reaction, were used to prepare analogs that were designed using the principles of conformational analysis. These cyclic acyldepsipeptides were tested for their activity against drug-resistant, clinical isolates of Staphylococci and Enterococci. One ADEP 4 analog in which the pipecolate was replaced by 4-methyl pipecolate exhibited in vitro antibacterial activity against Enterococci that was fourfold higher than the parent compound.&lt;br&gt;&lt;br&gt;Copyright © 2010 Elsevier Ltd. All rights reserved.","author":[{"family":"Socha","given":"Aaron M"},{"family":"Tan","given":"Nicholas Y"},{"family":"LaPlante","given":"Kerry L"},{"family":"Sello","given":"Jason K"}],"authorYearDisplayFormat":false,"citation-label":"5898282","container-title":"Bioorganic &amp; Medicinal Chemistry","container-title-short":"Bioorg. Med. Chem.","id":"5898282","invisible":false,"issue":"20","issued":{"date-parts":[["2010","10","15"]]},"journalAbbreviation":"Bioorg. Med. Chem.","page":"7193-7202","suppress-author":false,"title":"Diversity-oriented synthesis of cyclic acyldepsipeptides leads to the discovery of a potent antibacterial agent.","type":"article-journal","volume":"18"}]</w:instrText>
      </w:r>
      <w:r>
        <w:fldChar w:fldCharType="separate"/>
      </w:r>
      <w:r w:rsidRPr="009D2519">
        <w:rPr>
          <w:noProof/>
          <w:vertAlign w:val="superscript"/>
        </w:rPr>
        <w:t>20,22–24</w:t>
      </w:r>
      <w:r>
        <w:fldChar w:fldCharType="end"/>
      </w:r>
      <w:r>
        <w:rPr>
          <w:i/>
        </w:rPr>
        <w:t xml:space="preserve"> </w:t>
      </w:r>
      <w:r>
        <w:t xml:space="preserve">Unfortunately, pharmacokinetic (PK) </w:t>
      </w:r>
      <w:r w:rsidR="00137FB4">
        <w:t xml:space="preserve">detriments </w:t>
      </w:r>
      <w:r>
        <w:t>and the inability to surpass bacterial defense mechanisms</w:t>
      </w:r>
      <w:r w:rsidR="00137FB4">
        <w:t xml:space="preserve"> continues to impede the clinical use of ADEPs</w:t>
      </w:r>
      <w:r>
        <w:t>.</w:t>
      </w:r>
      <w:r>
        <w:fldChar w:fldCharType="begin"/>
      </w:r>
      <w:r>
        <w:instrText>ADDIN F1000_CSL_CITATION&lt;~#@#~&gt;[{"First":false,"Last":false,"abstract":"Here we show that a new class of antibiotics—acyldepsipeptides—has antibacterial activity against Gram-positive bacteria in vitro and in several rodent models of bacterial infection. The acyldepsipeptides are active against isolates that are resistant to antibiotics in clinical …","author":[{"family":"Brötz","given":"H"}],"authorYearDisplayFormat":false,"citation-label":"6766382","container-title":"Oesterhelt","container-title-short":"Oesterhelt","id":"6766382","invisible":false,"issued":{"date-parts":[[]]},"journalAbbreviation":"Oesterhelt","suppress-author":false,"title":"Dysregulation of bacterial proteolytic machinery by a new class of antibiotics","type":"article-journal"}]</w:instrText>
      </w:r>
      <w:r>
        <w:fldChar w:fldCharType="separate"/>
      </w:r>
      <w:r w:rsidRPr="009D2519">
        <w:rPr>
          <w:noProof/>
          <w:vertAlign w:val="superscript"/>
        </w:rPr>
        <w:t>25</w:t>
      </w:r>
      <w:r>
        <w:fldChar w:fldCharType="end"/>
      </w:r>
      <w:r>
        <w:t xml:space="preserve"> </w:t>
      </w:r>
      <w:r>
        <w:rPr>
          <w:i/>
        </w:rPr>
        <w:t xml:space="preserve"> </w:t>
      </w:r>
    </w:p>
    <w:p w14:paraId="29B37ECE" w14:textId="77777777" w:rsidR="00EC3A2F" w:rsidRDefault="00EC3A2F" w:rsidP="00EC3A2F">
      <w:pPr>
        <w:ind w:firstLine="720"/>
        <w:jc w:val="both"/>
      </w:pPr>
    </w:p>
    <w:p w14:paraId="66147FF2" w14:textId="77777777" w:rsidR="00CE2E27" w:rsidRDefault="00152AAE" w:rsidP="00CE2E27">
      <w:pPr>
        <w:keepNext/>
        <w:jc w:val="center"/>
      </w:pPr>
      <w:r>
        <w:rPr>
          <w:noProof/>
        </w:rPr>
        <w:object w:dxaOrig="4398" w:dyaOrig="2978" w14:anchorId="48369DA2">
          <v:shape id="_x0000_i1026" type="#_x0000_t75" alt="" style="width:425.25pt;height:4in;mso-width-percent:0;mso-height-percent:0;mso-width-percent:0;mso-height-percent:0" o:ole="">
            <v:imagedata r:id="rId54" o:title=""/>
          </v:shape>
          <o:OLEObject Type="Embed" ProgID="ChemDraw.Document.6.0" ShapeID="_x0000_i1026" DrawAspect="Content" ObjectID="_1619005651" r:id="rId55"/>
        </w:object>
      </w:r>
    </w:p>
    <w:p w14:paraId="3B7D6252" w14:textId="4001880B" w:rsidR="00EC3A2F" w:rsidRDefault="00CE2E27" w:rsidP="00CE2E27">
      <w:pPr>
        <w:pStyle w:val="Caption"/>
      </w:pPr>
      <w:bookmarkStart w:id="97" w:name="_Toc5807415"/>
      <w:r>
        <w:t xml:space="preserve">Figure </w:t>
      </w:r>
      <w:r w:rsidR="00C93A93">
        <w:t>4.2</w:t>
      </w:r>
      <w:r>
        <w:t xml:space="preserve"> </w:t>
      </w:r>
      <w:r w:rsidR="00EC3A2F">
        <w:t xml:space="preserve">Current </w:t>
      </w:r>
      <w:r w:rsidR="00556BF4">
        <w:t xml:space="preserve">ClpP </w:t>
      </w:r>
      <w:r w:rsidR="00EC3A2F">
        <w:t>chemo-modulating scaffolds.</w:t>
      </w:r>
      <w:bookmarkEnd w:id="97"/>
      <w:r w:rsidR="00EC3A2F">
        <w:t xml:space="preserve"> </w:t>
      </w:r>
    </w:p>
    <w:p w14:paraId="5431C3D9" w14:textId="77777777" w:rsidR="00EC3A2F" w:rsidRDefault="00EC3A2F" w:rsidP="00EC3A2F">
      <w:pPr>
        <w:jc w:val="both"/>
        <w:rPr>
          <w:b/>
        </w:rPr>
      </w:pPr>
    </w:p>
    <w:p w14:paraId="1433306E" w14:textId="77777777" w:rsidR="00EC3A2F" w:rsidRPr="00E85762" w:rsidRDefault="00EC3A2F" w:rsidP="0012418F">
      <w:pPr>
        <w:pStyle w:val="Heading3"/>
      </w:pPr>
      <w:bookmarkStart w:id="98" w:name="_Toc8392784"/>
      <w:r>
        <w:lastRenderedPageBreak/>
        <w:t xml:space="preserve">4.2.2 </w:t>
      </w:r>
      <w:r w:rsidRPr="00E85762">
        <w:t>Activators of Cylindrical Proteases (ACPs)</w:t>
      </w:r>
      <w:bookmarkEnd w:id="98"/>
    </w:p>
    <w:p w14:paraId="0AD5A236" w14:textId="5ACC8904" w:rsidR="00EC3A2F" w:rsidRDefault="00EC3A2F" w:rsidP="00EC3A2F">
      <w:pPr>
        <w:ind w:firstLine="720"/>
        <w:jc w:val="both"/>
      </w:pPr>
      <w:r>
        <w:t>A separate class of activators known as Activators of Cylindrical Proteases (ACPs) were found in a broad screen of &gt;50,000 small molecules from multiple commercial library sources.</w:t>
      </w:r>
      <w:r>
        <w:fldChar w:fldCharType="begin"/>
      </w:r>
      <w:r>
        <w:instrText>ADDIN F1000_CSL_CITATION&lt;~#@#~&gt;[{"DOI":"10.1016/j.chembiol.2011.07.023","First":false,"Last":false,"PMID":"21944755","abstract":"ClpP is a cylindrical serine protease whose ability to degrade proteins is regulated by the unfoldase ATP-dependent chaperones. ClpP on its own can only degrade small peptides. Here, we used ClpP as a target in a high-throughput screen for compounds, which activate the protease and allow it to degrade larger proteins, hence, abolishing the specificity arising from the ATP-dependent chaperones. Our screen resulted in five distinct compounds, which we designate as Activators of Self-Compartmentalizing Proteases 1 to 5 (ACP1 to 5). The compounds are found to stabilize the ClpP double-ring structure. The ACP1 chemical structure was considered to have drug-like characteristics and was further optimized to give analogs with bactericidal activity. Hence, the ACPs represent classes of compounds that can activate ClpP and that can be developed as potential novel antibiotics.&lt;br&gt;&lt;br&gt;Copyright © 2011 Elsevier Ltd. All rights reserved.","author":[{"family":"Leung","given":"Elisa"},{"family":"Datti","given":"Alessandro"},{"family":"Cossette","given":"Michele"},{"family":"Goodreid","given":"Jordan"},{"family":"McCaw","given":"Shannon E"},{"family":"Mah","given":"Michelle"},{"family":"Nakhamchik","given":"Alina"},{"family":"Ogata","given":"Koji"},{"family":"El Bakkouri","given":"Majida"},{"family":"Cheng","given":"Yi-Qiang"},{"family":"Wodak","given":"Shoshana J"},{"family":"Eger","given":"Bryan T"},{"family":"Pai","given":"Emil F"},{"family":"Liu","given":"Jun"},{"family":"Gray-Owen","given":"Scott"},{"family":"Batey","given":"Robert A"},{"family":"Houry","given":"Walid A"}],"authorYearDisplayFormat":false,"citation-label":"123826","container-title":"Chemistry &amp; Biology","container-title-short":"Chem. Biol.","id":"123826","invisible":false,"issue":"9","issued":{"date-parts":[["2011","9","23"]]},"journalAbbreviation":"Chem. Biol.","page":"1167-1178","suppress-author":false,"title":"Activators of cylindrical proteases as antimicrobials: identification and development of small molecule activators of ClpP protease.","type":"article-journal","volume":"18"}]</w:instrText>
      </w:r>
      <w:r>
        <w:fldChar w:fldCharType="separate"/>
      </w:r>
      <w:r w:rsidRPr="009D2519">
        <w:rPr>
          <w:noProof/>
          <w:vertAlign w:val="superscript"/>
        </w:rPr>
        <w:t>26</w:t>
      </w:r>
      <w:r>
        <w:fldChar w:fldCharType="end"/>
      </w:r>
      <w:r>
        <w:t xml:space="preserve"> Five ACPs (ACP1-ACP5) were found to stimulate </w:t>
      </w:r>
      <w:r>
        <w:rPr>
          <w:i/>
        </w:rPr>
        <w:t xml:space="preserve">B. subtilis </w:t>
      </w:r>
      <w:r>
        <w:t xml:space="preserve">ClpP to degrade an artificial substrate </w:t>
      </w:r>
      <w:r>
        <w:rPr>
          <w:i/>
        </w:rPr>
        <w:t>in vitro</w:t>
      </w:r>
      <w:r>
        <w:t xml:space="preserve"> (i.e., FITC-casein) of which ACP1 was identified as the most potent. Therefore, chemical optimization proceeded with ACP1, resulting in the synthesis of ACP1a and ACP1b, which exhibited improved potency. MIC studies revealed that the chemical modification of this scaffold provided only a modest reduction in MIC between ACP1 and ACP1a/ACP1b of approximately 2-fold against </w:t>
      </w:r>
      <w:r>
        <w:rPr>
          <w:i/>
        </w:rPr>
        <w:t>N. meningitis</w:t>
      </w:r>
      <w:r>
        <w:t xml:space="preserve">. Notably, the combination of polymyxin-nonapeptide B (PMB) and ACP1b significantly lowered the MIC against </w:t>
      </w:r>
      <w:r>
        <w:rPr>
          <w:i/>
        </w:rPr>
        <w:t>H. influenza</w:t>
      </w:r>
      <w:r>
        <w:t xml:space="preserve">. However, none of the ACPs tested approached MIC values reported for ADEP1 against any pathogen tested. </w:t>
      </w:r>
    </w:p>
    <w:p w14:paraId="40BCB893" w14:textId="660CF9C6" w:rsidR="00EC3A2F" w:rsidRDefault="00EC3A2F" w:rsidP="00EC3A2F">
      <w:pPr>
        <w:ind w:firstLine="720"/>
        <w:jc w:val="both"/>
      </w:pPr>
      <w:r>
        <w:t>The binding mode of ACPs has not been determined, but rather suggested through mutational and computational studies and by ACPs</w:t>
      </w:r>
      <w:r w:rsidR="00556BF4">
        <w:t>’</w:t>
      </w:r>
      <w:r>
        <w:t xml:space="preserve"> ability to prevent GFP-ssrA degradation in a ClpXP-mediated degradation assay. As observed with ADEPs,</w:t>
      </w:r>
      <w:r>
        <w:fldChar w:fldCharType="begin"/>
      </w:r>
      <w:r>
        <w:instrText>ADDIN F1000_CSL_CITATION&lt;~#@#~&gt;[{"First":false,"Last":false,"PMCID":"PMC316764","PMID":"9573050","abstract":"Interruption of translation in Escherichia coli can lead to the addition of an 11-residue carboxy-terminal peptide tail to the nascent chain. This modification is mediated by SsrA RNA (also called 10Sa RNA and tmRNA) and marks the tagged polypeptide for proteolysis. Degradation in vivo of lambda repressor amino-terminal domain variants bearing this carboxy-terminal SsrA peptide tag is shown here to depend on the cytoplasmic proteases ClpXP and ClpAP. Degradation in vitro of SsrA-tagged substrates was reproduced with purified components and required a substrate with a wild-type SsrA tail, the presence of both ClpP and either ClpA or ClpX, and ATP. Clp-dependent proteolysis accounts for most degradation of SsrA-tagged amino-domain substrates at 32 degrees C, but additional proteases contribute to the degradation of some of these SsrA-tagged substrates at 39 degrees C. The existence of multiple cytoplasmic proteases that function in SsrA quality-control surveillance suggests that the SsrA tag is designed to serve as a relatively promiscuous signal for proteolysis. Having diverse degradation systems able to recognize this tag may increase degradation capacity, permit degradation of a wide variety of different tagged proteins, or allow SsrA-tagged proteins to be degraded under different growth conditions.","author":[{"family":"Gottesman","given":"S"},{"family":"Roche","given":"E"},{"family":"Zhou","given":"Y"},{"family":"Sauer","given":"R T"}],"authorYearDisplayFormat":false,"citation-label":"1532997","container-title":"Genes &amp; Development","container-title-short":"Genes Dev.","id":"1532997","invisible":false,"issue":"9","issued":{"date-parts":[["1998","5","1"]]},"journalAbbreviation":"Genes Dev.","page":"1338-1347","suppress-author":false,"title":"The ClpXP and ClpAP proteases degrade proteins with carboxy-terminal peptide tails added by the SsrA-tagging system.","type":"article-journal","volume":"12"}]</w:instrText>
      </w:r>
      <w:r>
        <w:fldChar w:fldCharType="separate"/>
      </w:r>
      <w:r w:rsidRPr="009D2519">
        <w:rPr>
          <w:noProof/>
          <w:vertAlign w:val="superscript"/>
        </w:rPr>
        <w:t>27</w:t>
      </w:r>
      <w:r>
        <w:fldChar w:fldCharType="end"/>
      </w:r>
      <w:r>
        <w:t xml:space="preserve"> when ClpP is pre-treated with ACPs</w:t>
      </w:r>
      <w:r w:rsidR="00556BF4">
        <w:t>,</w:t>
      </w:r>
      <w:r>
        <w:t xml:space="preserve"> ClpX is unable to translocate a GFP-ssrA substrate into </w:t>
      </w:r>
      <w:r w:rsidR="00556BF4">
        <w:t xml:space="preserve">the </w:t>
      </w:r>
      <w:r>
        <w:t xml:space="preserve">ClpP </w:t>
      </w:r>
      <w:r w:rsidR="00556BF4">
        <w:t>proteolytic chamber, thus inhibiting degradation</w:t>
      </w:r>
      <w:r>
        <w:t xml:space="preserve">. This is most likely due to ACP binding in the same clefts that ClpX interacts with in order to associate with ClpP for targeted proteolysis. Physical evidence of ACP binding was provided via isothermal titration calorimetry. </w:t>
      </w:r>
      <w:r>
        <w:rPr>
          <w:i/>
        </w:rPr>
        <w:t xml:space="preserve">In silico </w:t>
      </w:r>
      <w:r>
        <w:t xml:space="preserve">binding studies suggest that ACPs bind in the northern or southern clefts close to the N-termini of ClpP monomers in a manner similar to ADEP. From these observations, various point mutations were introduced to ClpP in an attempt to reveal the binding pocket, but no definitive conclusion was obtained. </w:t>
      </w:r>
    </w:p>
    <w:p w14:paraId="583C9894" w14:textId="77777777" w:rsidR="001F6171" w:rsidRPr="00497C5A" w:rsidRDefault="001F6171" w:rsidP="00EC3A2F">
      <w:pPr>
        <w:ind w:firstLine="720"/>
        <w:jc w:val="both"/>
      </w:pPr>
    </w:p>
    <w:p w14:paraId="51C8BB31" w14:textId="37BA70B4" w:rsidR="00D104C9" w:rsidRDefault="00EC3A2F" w:rsidP="004E7821">
      <w:pPr>
        <w:pStyle w:val="Heading2"/>
      </w:pPr>
      <w:bookmarkStart w:id="99" w:name="_Toc8392785"/>
      <w:r w:rsidRPr="00372C19">
        <w:lastRenderedPageBreak/>
        <w:t>4.3 Sclerotiamide: The First Non-Peptide-Based Natural Product Activator of Bacterial Caseinolytic Protease P</w:t>
      </w:r>
      <w:r w:rsidR="00D104C9">
        <w:rPr>
          <w:rStyle w:val="FootnoteReference"/>
        </w:rPr>
        <w:footnoteReference w:id="4"/>
      </w:r>
      <w:bookmarkEnd w:id="99"/>
    </w:p>
    <w:p w14:paraId="06827825" w14:textId="16168455" w:rsidR="00D104C9" w:rsidRDefault="00D104C9" w:rsidP="0012418F">
      <w:pPr>
        <w:pStyle w:val="Heading3"/>
      </w:pPr>
      <w:bookmarkStart w:id="100" w:name="_Toc8392786"/>
      <w:r>
        <w:t>4.3.1 Abstract</w:t>
      </w:r>
      <w:bookmarkEnd w:id="100"/>
    </w:p>
    <w:p w14:paraId="217AED09" w14:textId="2F3EEED7" w:rsidR="00D104C9" w:rsidRDefault="00D104C9" w:rsidP="00FC643C">
      <w:pPr>
        <w:ind w:firstLine="720"/>
        <w:jc w:val="both"/>
      </w:pPr>
      <w:r w:rsidRPr="00D104C9">
        <w:t xml:space="preserve">Caseinolytic protease P (ClpP) maintains essential roles in bacterial homeostasis. As such, both the inhibition and activation of this enzyme result in bactericidal activity, making ClpP a promising target for antibacterial drug development. Herein, we report the results of a fluorescence-based screen of </w:t>
      </w:r>
      <w:r w:rsidRPr="00D104C9">
        <w:rPr>
          <w:rFonts w:ascii="Cambria Math" w:hAnsi="Cambria Math" w:cs="Cambria Math"/>
        </w:rPr>
        <w:t>∼</w:t>
      </w:r>
      <w:r w:rsidRPr="00D104C9">
        <w:t>450 structurally diverse fungal and bacterial secondary metabolites. Sclerotiamide (1), a paraherquamide-related indolinone, was identified as the first non-peptide-based natural product activator of ClpP. Structure-activity relationships arising from the initial screen, preliminary biochemical evaluation of 1, and rationale for the exploitation of this chemotype to develop novel ClpP activators are presented.</w:t>
      </w:r>
    </w:p>
    <w:p w14:paraId="1C5D6DA6" w14:textId="02CBDCB4" w:rsidR="00D104C9" w:rsidRPr="00D104C9" w:rsidRDefault="00D104C9" w:rsidP="0012418F">
      <w:pPr>
        <w:pStyle w:val="Heading3"/>
      </w:pPr>
      <w:bookmarkStart w:id="101" w:name="_Toc8392787"/>
      <w:r>
        <w:t>4.3.2 Results</w:t>
      </w:r>
      <w:bookmarkEnd w:id="101"/>
    </w:p>
    <w:p w14:paraId="1440704B" w14:textId="3C9F1E15" w:rsidR="00EC3A2F" w:rsidRDefault="00EC3A2F" w:rsidP="00C371B6">
      <w:pPr>
        <w:ind w:firstLine="720"/>
        <w:jc w:val="both"/>
      </w:pPr>
      <w:r w:rsidRPr="009375AA">
        <w:t xml:space="preserve">While ClpP modulation has attracted serious interest from the antibacterial research community, little has been done </w:t>
      </w:r>
      <w:r>
        <w:t>to identify new</w:t>
      </w:r>
      <w:r w:rsidRPr="009375AA">
        <w:t xml:space="preserve"> ClpP modulat</w:t>
      </w:r>
      <w:r>
        <w:t>ing chemotypes</w:t>
      </w:r>
      <w:r w:rsidRPr="009375AA">
        <w:t xml:space="preserve">. In fact, no natural product screen for ClpP </w:t>
      </w:r>
      <w:r>
        <w:t>modulators</w:t>
      </w:r>
      <w:r w:rsidRPr="009375AA">
        <w:t xml:space="preserve"> had been reported</w:t>
      </w:r>
      <w:r>
        <w:t xml:space="preserve"> when our lab entered this space</w:t>
      </w:r>
      <w:r w:rsidRPr="009375AA">
        <w:t>.</w:t>
      </w:r>
      <w:r w:rsidRPr="009375AA">
        <w:fldChar w:fldCharType="begin"/>
      </w:r>
      <w:r>
        <w:instrText xml:space="preserve">ADDIN F1000_CSL_CITATION&lt;~#@#~&gt;[{"DOI":"10.1021/acs.jnatprod.5b01091","First":false,"Last":false,"PMCID":"PMC4841720","PMID":"26967980","abstract":"Caseinolytic protease P (ClpP) maintains essential roles in bacterial homeostasis. As such, both the inhibition and activation of this enzyme result in bactericidal activity, making ClpP a promising target for antibacterial drug development. Herein, we report the results of a fluorescence-based screen of </w:instrText>
      </w:r>
      <w:r>
        <w:rPr>
          <w:rFonts w:ascii="Cambria Math" w:hAnsi="Cambria Math" w:cs="Cambria Math"/>
        </w:rPr>
        <w:instrText>∼</w:instrText>
      </w:r>
      <w:r>
        <w:instrText>450 structurally diverse fungal and bacterial secondary metabolites. Sclerotiamide (1), a paraherquamide-related indolinone, was identified as the first non-peptide-based natural product activator of ClpP. Structure-activity relationships arising from the initial screen, preliminary biochemical evaluation of 1, and rationale for the exploitation of this chemotype to develop novel ClpP activators are presented.","author":[{"family":"Lavey","given":"Nathan P"},{"family":"Coker","given":"Jesse A"},{"family":"Ruben","given":"Eliza A"},{"family":"Duerfeldt","given":"Adam S"}],"authorYearDisplayFormat":false,"citation-label":"5898221","container-title":"Journal of Natural Products","container-title-short":"J. Nat. Prod.","id":"5898221","invisible":false,"issue":"4","issued":{"date-parts":[["2016","4","22"]]},"journalAbbreviation":"J. Nat. Prod.","page":"1193-1197","suppress-author":false,"title":"Sclerotiamide: The First Non-Peptide-Based Natural Product Activator of Bacterial Caseinolytic Protease P.","type":"article-journal","volume":"79"}]</w:instrText>
      </w:r>
      <w:r w:rsidRPr="009375AA">
        <w:fldChar w:fldCharType="separate"/>
      </w:r>
      <w:r w:rsidRPr="009D2519">
        <w:rPr>
          <w:noProof/>
          <w:vertAlign w:val="superscript"/>
        </w:rPr>
        <w:t>28</w:t>
      </w:r>
      <w:r w:rsidRPr="009375AA">
        <w:fldChar w:fldCharType="end"/>
      </w:r>
      <w:r>
        <w:t xml:space="preserve"> In efforts to expand the arsenal of ClpP activating chem</w:t>
      </w:r>
      <w:r w:rsidR="00BB1F36">
        <w:t>o</w:t>
      </w:r>
      <w:r>
        <w:t>types</w:t>
      </w:r>
      <w:r w:rsidRPr="009375AA">
        <w:t xml:space="preserve">, we screened a </w:t>
      </w:r>
      <w:r w:rsidRPr="009375AA">
        <w:lastRenderedPageBreak/>
        <w:t>focused but structurally diverse subset of secondary fungal and bacterial metabolites, housed within our Institute for Natural Products Applications and Research Technologies (INPART). The complete library has been established by the Cichewicz laboratory over nearly a decade and is comprised of metabolites isolated from &gt; 180 soil samples and &gt; 80 distinct zip codes across the United States.</w:t>
      </w:r>
      <w:r>
        <w:fldChar w:fldCharType="begin"/>
      </w:r>
      <w:r>
        <w:instrText>ADDIN F1000_CSL_CITATION&lt;~#@#~&gt;[{"DOI":"10.1002/anie.201306549","First":false,"Last":false,"PMCID":"PMC4028707","PMID":"24285637","abstract":"A fundamental component for success in drug discovery is the ability to assemble and screen compounds that encompass a broad swath of biologically relevant chemical-diversity space. Achieving this goal in a natural-products-based setting requires access to a wide range of biologically diverse specimens. For this reason, we introduced a crowdsourcing program in which citizen scientists furnish soil samples from which new microbial isolates are procured. Illustrating the strength of this approach, we obtained a unique fungal metabolite, maximiscin, from a crowdsourced Alaskan soil sample. Maximiscin, which exhibits a putative combination of polyketide synthase (PKS), non-ribosomal peptide synthetase (NRPS), and shikimate pathway components, was identified as an inhibitor of UACC-62 melanoma cells (LC50=0.93 μM). The metabolite also exhibited efficacy in a xenograft mouse model. These results underscore the value of building cooperative relationships between research teams and citizen scientists to enrich drug discovery efforts.\n&lt;br /&gt;\n&lt;br /&gt;Copyright © 2013 WILEY-VCH Verlag GmbH &amp;amp; Co. KGaA, Weinheim.","author":[{"family":"Du","given":"Lin"},{"family":"Robles","given":"Andrew J"},{"family":"King","given":"Jarrod B"},{"family":"Powell","given":"Douglas R"},{"family":"Miller","given":"Andrew N"},{"family":"Mooberry","given":"Susan L"},{"family":"Cichewicz","given":"Robert H"}],"authorYearDisplayFormat":false,"citation-label":"6766389","container-title":"Angewandte Chemie","container-title-short":"Angew Chem Int Ed Engl","id":"6766389","invisible":false,"issued":{"date-parts":[["2013","11","27"]]},"journalAbbreviation":"Angew Chem Int Ed Engl","suppress-author":false,"title":"Crowdsourcing Natural Products Discovery to Access Uncharted Dimensions of Fungal Metabolite Diversity.","type":"article-journal"}]</w:instrText>
      </w:r>
      <w:r>
        <w:fldChar w:fldCharType="separate"/>
      </w:r>
      <w:r w:rsidRPr="009D2519">
        <w:rPr>
          <w:noProof/>
          <w:vertAlign w:val="superscript"/>
        </w:rPr>
        <w:t>29</w:t>
      </w:r>
      <w:r>
        <w:fldChar w:fldCharType="end"/>
      </w:r>
      <w:r w:rsidRPr="009375AA">
        <w:t xml:space="preserve"> This continually growing collection includes a rich source of structural diversity (depsipeptides, alkaloids, carbocycles, terpenes, polyketides, non-ribosomal peptides, etc.) and biological activity, which has provided leads in a number of targeted phenotypic screens and functional assays.</w:t>
      </w:r>
      <w:r>
        <w:fldChar w:fldCharType="begin"/>
      </w:r>
      <w:r>
        <w:instrText>ADDIN F1000_CSL_CITATION&lt;~#@#~&gt;[{"DOI":"10.1038/srep14694","First":false,"Last":false,"PMCID":"PMC4593950","PMID":"26437882","abstract":"Inhibiting Plasmodium development in mosquitoes will block malaria transmission. Fibrinogen-related protein 1 (FREP1) is critical for parasite infection in Anopheles gambiae and facilitates Plasmodium invasion in mosquitoes through interacting with gametocytes and ookinetes. To test the hypothesis that small molecules that disrupt this interaction will prevent parasites from infecting mosquitoes, we developed an ELISA-based method to screen a fungal extract library. We obtained a candidate fungal extract of Aspergillus niger that inhibited the interaction between FREP1 and P. falciparum infected cells by about 92%. The inhibition specificity was confirmed by immunofluorescence assays. Notably, feeding mosquitoes with the candidate fungal extract significantly inhibited P. falciparum infection in the midgut without cytotoxicity or inhibition of the development of P. falciparum gametocytes or ookinetes. A bioactive natural product that prevents FREP1 from binding to gametocytes or ookinetes was isolated and identified as P-orlandin. Importantly, the nontoxic orlandin significantly reduced P. falciparum infection intensity in mosquitoes. Therefore, disruption of the interaction between FREP1 and parasites effectively reduces Plasmodium infection in mosquitoes. Targeting FREP1 with small molecules is thus an effective novel approach to block malaria transmission.","author":[{"family":"Niu","given":"Guodong"},{"family":"Wang","given":"Bin"},{"family":"Zhang","given":"Genwei"},{"family":"King","given":"Jarrod B"},{"family":"Cichewicz","given":"Robert H"},{"family":"Li","given":"Jun"}],"authorYearDisplayFormat":false,"citation-label":"6766397","container-title":"Scientific reports","container-title-short":"Sci. Rep.","id":"6766397","invisible":false,"issued":{"date-parts":[["2015","10","6"]]},"journalAbbreviation":"Sci. Rep.","page":"14694","suppress-author":false,"title":"Targeting mosquito FREP1 with a fungal metabolite blocks malaria transmission.","type":"article-journal","volume":"5"},{"First":false,"Last":false,"abstract":"One of the challenges presented by Candida infections is that many of the isolates encountered in the clinic produce biofilms, which can decrease these pathogens' susceptibilities to standard-of-care antibiotic therapies. Inhibitors of fungal biofilm formation offer a potential solution to counteracting some of the problems associated with Candida infections. A screening campaign utilizing samples from our fungal extract library revealed that a Bionectria ochroleuca isolate cultured on Cheerios breakfast cereal produced …","author":[{"family":"Wang","given":"B"},{"family":"You","given":"J"},{"family":"King","given":"J B"},{"family":"Cai","given":"S"},{"family":"Park","given":"E"}],"authorYearDisplayFormat":false,"citation-label":"6766398","container-title":"Journal of natural …","container-title-short":"Journal of natural …","id":"6766398","invisible":false,"issued":{"date-parts":[["2014"]]},"journalAbbreviation":"Journal of natural …","suppress-author":false,"title":"Polyketide Glycosides from Bionectria ochroleuca Inhibit Candida albicans Biofilm Formation","type":"article-journal"},{"DOI":"10.1021/np500387h","First":false,"Last":false,"PMCID":"PMC4113265","PMID":"24999749","abstract":"The cyclic tetrapeptide 1-alaninechlamydocin was purified from a Great Lakes-derived fungal isolate identified as a Tolypocladium sp. Although the planar structure was previously described, a detailed analysis of its spectroscopic data and biological activity are reported here for the first time. Its absolute configuration was determined using a combination of spectroscopic ((1)H-(1)H ROESY, ECD, and X-ray diffraction) and chemical (Marfey's analysis) methods. 1-Alaninechlamydocin showed potent antiproliferative/cytotoxic activities in a human pancreatic cancer cell line (MIA PaCa-2) at low-nanomolar concentrations (GI50 5.3 nM, TGI 8.8 nM, LC50 22 nM). Further analysis revealed that 1-alaninechlamydocin induced G2/M cell cycle arrest and apoptosis. Similar to other cyclic epoxytetrapeptides, the inhibitory effects of 1-alaninechlamydocin are proposed to be produced primarily via inhibition of histone deacetylase (HDAC) activity.","author":[{"family":"Du","given":"Lin"},{"family":"Risinger","given":"April L"},{"family":"King","given":"Jarrod B"},{"family":"Powell","given":"Douglas R"},{"family":"Cichewicz","given":"Robert H"}],"authorYearDisplayFormat":false,"citation-label":"6766400","container-title":"Journal of Natural Products","container-title-short":"J. Nat. Prod.","id":"6766400","invisible":false,"issue":"7","issued":{"date-parts":[["2014","7","25"]]},"journalAbbreviation":"J. Nat. Prod.","page":"1753-1757","suppress-author":false,"title":"A potent HDAC inhibitor, 1-alaninechlamydocin, from a Tolypocladium sp. induces G2/M cell cycle arrest and apoptosis in MIA PaCa-2 cells.","type":"article-journal","volume":"77"},{"DOI":"10.1021/np5002253","First":false,"Last":false,"PMCID":"PMC4073660","PMID":"24893224","abstract":"Two new dimeric epipolythiodiketopiperazines, preussiadins A (1) and B (2), together with two known diastereomers, leptosins C (6) and A (7), were obtained from the mycelia of a Preussia typharum isolate. The structures of the new compounds were established by spectroscopic methods, and the absolute configurations of 1 and 2 were assigned by chemical transformations and comparisons of quantum chemical ECD and VCD calculations to experimental data. Compound 1 exhibited potent cytotoxic activity in the NCI-60 cell line panel with an average LC50 value of 251 nM. Further studies demonstrated that 1 circumvents P-glycoprotein-mediated drug resistance, yet had no significant antitumor activity in a xenograft UACC-62 melanoma model. ","author":[{"family":"Du","given":"Lin"},{"family":"Robles","given":"Andrew J"},{"family":"King","given":"Jarrod B"},{"family":"Mooberry","given":"Susan L"},{"family":"Cichewicz","given":"Robert H"}],"authorYearDisplayFormat":false,"citation-label":"6766401","container-title":"Journal of Natural Products","container-title-short":"J. Nat. Prod.","id":"6766401","invisible":false,"issue":"6","issued":{"date-parts":[["2014","6","27"]]},"journalAbbreviation":"J. Nat. Prod.","page":"1459-1466","suppress-author":false,"title":"Cytotoxic dimeric epipolythiodiketopiperazines from the ascomycetous fungus Preussia typharum.","type":"article-journal","volume":"77"}]</w:instrText>
      </w:r>
      <w:r>
        <w:fldChar w:fldCharType="separate"/>
      </w:r>
      <w:r w:rsidRPr="009D2519">
        <w:rPr>
          <w:noProof/>
          <w:vertAlign w:val="superscript"/>
        </w:rPr>
        <w:t>30–33</w:t>
      </w:r>
      <w:r>
        <w:fldChar w:fldCharType="end"/>
      </w:r>
      <w:r w:rsidRPr="009375AA">
        <w:t xml:space="preserve"> Thus, we believed this library represented a promising untapped source to screen for novel natural product ClpP activators.</w:t>
      </w:r>
    </w:p>
    <w:p w14:paraId="3F51ED90" w14:textId="77777777" w:rsidR="006C3771" w:rsidRDefault="006C3771" w:rsidP="00C371B6">
      <w:pPr>
        <w:ind w:firstLine="720"/>
        <w:jc w:val="both"/>
      </w:pPr>
    </w:p>
    <w:p w14:paraId="043526C8" w14:textId="6023E1F1" w:rsidR="00CE3437" w:rsidRDefault="001A3FA6" w:rsidP="00CE3437">
      <w:pPr>
        <w:jc w:val="center"/>
      </w:pPr>
      <w:r w:rsidRPr="00F9529F">
        <w:rPr>
          <w:noProof/>
        </w:rPr>
        <w:lastRenderedPageBreak/>
        <w:drawing>
          <wp:inline distT="0" distB="0" distL="0" distR="0" wp14:anchorId="5F5FA92A" wp14:editId="48F00FE8">
            <wp:extent cx="3919993" cy="4611009"/>
            <wp:effectExtent l="0" t="0" r="4445" b="0"/>
            <wp:docPr id="26" name="Picture 48" descr="A close up of a piece of pap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descr="A close up of a piece of paper&#10;&#10;Description automatically generated"/>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26431" cy="4618581"/>
                    </a:xfrm>
                    <a:prstGeom prst="rect">
                      <a:avLst/>
                    </a:prstGeom>
                    <a:noFill/>
                    <a:ln>
                      <a:noFill/>
                    </a:ln>
                  </pic:spPr>
                </pic:pic>
              </a:graphicData>
            </a:graphic>
          </wp:inline>
        </w:drawing>
      </w:r>
    </w:p>
    <w:p w14:paraId="0B1E7B3C" w14:textId="132F6156" w:rsidR="00CE2E27" w:rsidRPr="00CE2E27" w:rsidRDefault="00CE2E27" w:rsidP="00CE2E27">
      <w:pPr>
        <w:pStyle w:val="Caption"/>
        <w:jc w:val="both"/>
      </w:pPr>
      <w:bookmarkStart w:id="102" w:name="_Toc5807416"/>
      <w:r>
        <w:t xml:space="preserve">Figure </w:t>
      </w:r>
      <w:r w:rsidR="00855020">
        <w:t>4.3</w:t>
      </w:r>
      <w:r>
        <w:t xml:space="preserve"> </w:t>
      </w:r>
      <w:r w:rsidR="00C371B6">
        <w:t>B-scored</w:t>
      </w:r>
      <w:r>
        <w:t xml:space="preserve"> </w:t>
      </w:r>
      <w:r w:rsidR="00C371B6">
        <w:t xml:space="preserve">broad </w:t>
      </w:r>
      <w:r>
        <w:t xml:space="preserve">screen data </w:t>
      </w:r>
      <w:r w:rsidR="00F84079">
        <w:t xml:space="preserve">and </w:t>
      </w:r>
      <w:bookmarkEnd w:id="102"/>
      <w:r w:rsidR="00C371B6">
        <w:t>“hits” table</w:t>
      </w:r>
    </w:p>
    <w:p w14:paraId="2AEDCFC0" w14:textId="5B9FD74E" w:rsidR="00EC3A2F" w:rsidRDefault="00EC3A2F" w:rsidP="00EC3A2F">
      <w:pPr>
        <w:spacing w:line="240" w:lineRule="auto"/>
        <w:jc w:val="both"/>
      </w:pPr>
      <w:r w:rsidRPr="00387569">
        <w:t>(A) Raw FITC-β-casein degradation screening results. Threshold for analysis is indicated by the red line (ΔRFU ≥ 22</w:t>
      </w:r>
      <w:r>
        <w:t>,</w:t>
      </w:r>
      <w:r w:rsidRPr="00387569">
        <w:t>500). Inset: Enlarged area of threshold exceeding “hits”. (B) Fluorescence data, validation of initial “hits”, and structure of sclerotiamide (1). ΔRFU = change in relative fluorescence units, IF = intrinsic compound fluorescence, PA = inherent compound proteolytic activity, ND = not determined.</w:t>
      </w:r>
    </w:p>
    <w:p w14:paraId="1E13B5BD" w14:textId="77777777" w:rsidR="00CE3437" w:rsidRPr="00EC3A2F" w:rsidRDefault="00CE3437" w:rsidP="00EC3A2F">
      <w:pPr>
        <w:spacing w:line="240" w:lineRule="auto"/>
        <w:jc w:val="both"/>
        <w:rPr>
          <w:b/>
        </w:rPr>
      </w:pPr>
    </w:p>
    <w:p w14:paraId="0047C063" w14:textId="77777777" w:rsidR="00EC3A2F" w:rsidRDefault="00EC3A2F" w:rsidP="00EC3A2F">
      <w:pPr>
        <w:ind w:firstLine="720"/>
        <w:jc w:val="both"/>
      </w:pPr>
      <w:r w:rsidRPr="009375AA">
        <w:t>For the initial screen, a fluorescence-based protease assay that utilizes a commercially available internally quenched fluorogenic ClpP substrate, FITC-β-casein, was employed.</w:t>
      </w:r>
      <w:r>
        <w:fldChar w:fldCharType="begin"/>
      </w:r>
      <w:r>
        <w:instrText>ADDIN F1000_CSL_CITATION&lt;~#@#~&gt;[{"DOI":"10.1016/j.chembiol.2011.07.023","First":false,"Last":false,"PMID":"21944755","abstract":"ClpP is a cylindrical serine protease whose ability to degrade proteins is regulated by the unfoldase ATP-dependent chaperones. ClpP on its own can only degrade small peptides. Here, we used ClpP as a target in a high-throughput screen for compounds, which activate the protease and allow it to degrade larger proteins, hence, abolishing the specificity arising from the ATP-dependent chaperones. Our screen resulted in five distinct compounds, which we designate as Activators of Self-Compartmentalizing Proteases 1 to 5 (ACP1 to 5). The compounds are found to stabilize the ClpP double-ring structure. The ACP1 chemical structure was considered to have drug-like characteristics and was further optimized to give analogs with bactericidal activity. Hence, the ACPs represent classes of compounds that can activate ClpP and that can be developed as potential novel antibiotics.&lt;br&gt;&lt;br&gt;Copyright © 2011 Elsevier Ltd. All rights reserved.","author":[{"family":"Leung","given":"Elisa"},{"family":"Datti","given":"Alessandro"},{"family":"Cossette","given":"Michele"},{"family":"Goodreid","given":"Jordan"},{"family":"McCaw","given":"Shannon E"},{"family":"Mah","given":"Michelle"},{"family":"Nakhamchik","given":"Alina"},{"family":"Ogata","given":"Koji"},{"family":"El Bakkouri","given":"Majida"},{"family":"Cheng","given":"Yi-Qiang"},{"family":"Wodak","given":"Shoshana J"},{"family":"Eger","given":"Bryan T"},{"family":"Pai","given":"Emil F"},{"family":"Liu","given":"Jun"},{"family":"Gray-Owen","given":"Scott"},{"family":"Batey","given":"Robert A"},{"family":"Houry","given":"Walid A"}],"authorYearDisplayFormat":false,"citation-label":"123826","container-title":"Chemistry &amp; Biology","container-title-short":"Chem. Biol.","id":"123826","invisible":false,"issue":"9","issued":{"date-parts":[["2011","9","23"]]},"journalAbbreviation":"Chem. Biol.","page":"1167-1178","suppress-author":false,"title":"Activators of cylindrical proteases as antimicrobials: identification and development of small molecule activators of ClpP protease.","type":"article-journal","volume":"18"}]</w:instrText>
      </w:r>
      <w:r>
        <w:fldChar w:fldCharType="separate"/>
      </w:r>
      <w:r w:rsidRPr="009D2519">
        <w:rPr>
          <w:noProof/>
          <w:vertAlign w:val="superscript"/>
        </w:rPr>
        <w:t>26</w:t>
      </w:r>
      <w:r>
        <w:fldChar w:fldCharType="end"/>
      </w:r>
      <w:r w:rsidRPr="009375AA">
        <w:t xml:space="preserve"> Approximately 450 natural products were screened at a single concentration (50 µM) for the activation of recombinant </w:t>
      </w:r>
      <w:r w:rsidRPr="009375AA">
        <w:rPr>
          <w:i/>
        </w:rPr>
        <w:t>E</w:t>
      </w:r>
      <w:r>
        <w:rPr>
          <w:i/>
        </w:rPr>
        <w:t>.</w:t>
      </w:r>
      <w:r w:rsidRPr="009375AA">
        <w:rPr>
          <w:i/>
        </w:rPr>
        <w:t xml:space="preserve"> coli </w:t>
      </w:r>
      <w:r w:rsidRPr="009375AA">
        <w:t>ClpP (</w:t>
      </w:r>
      <w:r w:rsidRPr="009375AA">
        <w:rPr>
          <w:i/>
        </w:rPr>
        <w:t>Ec</w:t>
      </w:r>
      <w:r w:rsidRPr="009375AA">
        <w:t>ClpP). Enopeptin A</w:t>
      </w:r>
      <w:r>
        <w:fldChar w:fldCharType="begin"/>
      </w:r>
      <w:r>
        <w:instrText>ADDIN F1000_CSL_CITATION&lt;~#@#~&gt;[{"First":false,"Last":false,"abstract":"as a convenient prescreening1* for antiviral sub-stances, a newantibiotic, enopeptin Awas isolated from a culture broth of Streptomyces sp. RK-1051. Strain RK-1051was isolated from a soil sample collected in Tsuruoka city, YamagataPrefecture, Japan, and deposited at the Fermentation Research Institute, Agency of Industrial Science and Tech-nology, Japan, under the accession No. FERM","author":[{"family":"Osada","given":"H"},{"family":"Yano","given":"T"},{"family":"Koshino","given":"H"}],"authorYearDisplayFormat":false,"citation-label":"6766396","container-title":"The Journal of …","container-title-short":"The Journal of …","id":"6766396","invisible":false,"issued":{"date-parts":[["1991"]]},"journalAbbreviation":"The Journal of …","suppress-author":false,"title":"Enopeptin A, a novel depsipeptide antibiotic with anti-bacteriophage activity","type":"article-journal"},{"DOI":"10.1016/0040-4039(91)80571-M","First":false,"Last":false,"author":[{"family":"Koshino","given":"Hiroyuki"},{"family":"Osada","given":"Hiroyuki"},{"family":"Yano","given":"Tatsuya"},{"family":"Uzawa","given":"Jun"},{"family":"Isono","given":"Kiyoshi"}],"authorYearDisplayFormat":false,"citation-label":"5898281","container-title":"Tetrahedron letters","container-title-short":"Tetrahedron Lett.","id":"5898281","invisible":false,"issue":"52","issued":{"date-parts":[["1991","12"]]},"journalAbbreviation":"Tetrahedron Lett.","page":"7707-7710","suppress-author":false,"title":"The structure of enopeptins A and B, novel depsipeptide antibiotics","type":"article-journal","volume":"32"}]</w:instrText>
      </w:r>
      <w:r>
        <w:fldChar w:fldCharType="separate"/>
      </w:r>
      <w:r w:rsidRPr="009D2519">
        <w:rPr>
          <w:noProof/>
          <w:vertAlign w:val="superscript"/>
        </w:rPr>
        <w:t>34,35</w:t>
      </w:r>
      <w:r>
        <w:fldChar w:fldCharType="end"/>
      </w:r>
      <w:r w:rsidRPr="009375AA">
        <w:t xml:space="preserve"> (25 µM) and ACP5</w:t>
      </w:r>
      <w:r>
        <w:fldChar w:fldCharType="begin"/>
      </w:r>
      <w:r>
        <w:instrText>ADDIN F1000_CSL_CITATION&lt;~#@#~&gt;[{"DOI":"10.1016/j.chembiol.2011.07.023","First":false,"Last":false,"PMID":"21944755","abstract":"ClpP is a cylindrical serine protease whose ability to degrade proteins is regulated by the unfoldase ATP-dependent chaperones. ClpP on its own can only degrade small peptides. Here, we used ClpP as a target in a high-throughput screen for compounds, which activate the protease and allow it to degrade larger proteins, hence, abolishing the specificity arising from the ATP-dependent chaperones. Our screen resulted in five distinct compounds, which we designate as Activators of Self-Compartmentalizing Proteases 1 to 5 (ACP1 to 5). The compounds are found to stabilize the ClpP double-ring structure. The ACP1 chemical structure was considered to have drug-like characteristics and was further optimized to give analogs with bactericidal activity. Hence, the ACPs represent classes of compounds that can activate ClpP and that can be developed as potential novel antibiotics.&lt;br&gt;&lt;br&gt;Copyright © 2011 Elsevier Ltd. All rights reserved.","author":[{"family":"Leung","given":"Elisa"},{"family":"Datti","given":"Alessandro"},{"family":"Cossette","given":"Michele"},{"family":"Goodreid","given":"Jordan"},{"family":"McCaw","given":"Shannon E"},{"family":"Mah","given":"Michelle"},{"family":"Nakhamchik","given":"Alina"},{"family":"Ogata","given":"Koji"},{"family":"El Bakkouri","given":"Majida"},{"family":"Cheng","given":"Yi-Qiang"},{"family":"Wodak","given":"Shoshana J"},{"family":"Eger","given":"Bryan T"},{"family":"Pai","given":"Emil F"},{"family":"Liu","given":"Jun"},{"family":"Gray-Owen","given":"Scott"},{"family":"Batey","given":"Robert A"},{"family":"Houry","given":"Walid A"}],"authorYearDisplayFormat":false,"citation-label":"123826","container-title":"Chemistry &amp; Biology","container-title-short":"Chem. Biol.","id":"123826","invisible":false,"issue":"9","issued":{"date-parts":[["2011","9","23"]]},"journalAbbreviation":"Chem. Biol.","page":"1167-1178","suppress-author":false,"title":"Activators of cylindrical proteases as antimicrobials: identification and development of small molecule activators of ClpP protease.","type":"article-journal","volume":"18"}]</w:instrText>
      </w:r>
      <w:r>
        <w:fldChar w:fldCharType="separate"/>
      </w:r>
      <w:r w:rsidRPr="009D2519">
        <w:rPr>
          <w:noProof/>
          <w:vertAlign w:val="superscript"/>
        </w:rPr>
        <w:t>26</w:t>
      </w:r>
      <w:r>
        <w:fldChar w:fldCharType="end"/>
      </w:r>
      <w:r w:rsidRPr="009375AA">
        <w:t xml:space="preserve"> (50 µM), a natural ADEP analog and a small molecule, respectively, were implemented as positive controls. In the presence of an activating </w:t>
      </w:r>
      <w:r w:rsidRPr="009375AA">
        <w:lastRenderedPageBreak/>
        <w:t xml:space="preserve">molecule, ClpP-mediated cleavage of FITC-β-casein relieves internal quenching of the substrate and yields a fluorescent output of protease activity that can be quantified with a fluorimeter (excitation/emission: 485/538 nm). In the absence of an activating molecule, ClpP is unable to proteolyze FITC-β-casein and fluorescence remains quenched. </w:t>
      </w:r>
    </w:p>
    <w:p w14:paraId="5BAC3BF4" w14:textId="77777777" w:rsidR="00EC3A2F" w:rsidRDefault="00EC3A2F" w:rsidP="00EC3A2F">
      <w:pPr>
        <w:ind w:firstLine="720"/>
        <w:jc w:val="both"/>
      </w:pPr>
      <w:r w:rsidRPr="009375AA">
        <w:t xml:space="preserve">As shown in </w:t>
      </w:r>
      <w:r w:rsidRPr="009375AA">
        <w:rPr>
          <w:b/>
        </w:rPr>
        <w:t xml:space="preserve">Figure </w:t>
      </w:r>
      <w:r>
        <w:rPr>
          <w:b/>
        </w:rPr>
        <w:t>4.3</w:t>
      </w:r>
      <w:r w:rsidRPr="009375AA">
        <w:t xml:space="preserve">, a threshold of 22,500 raw ΔRFUs was set and any compound exhibiting an end-point fluorescence greater than this threshold was analyzed further.  In total, 11 hits were identified, two of which were the positive controls, Enopeptin A (A, </w:t>
      </w:r>
      <w:r w:rsidRPr="009375AA">
        <w:rPr>
          <w:b/>
        </w:rPr>
        <w:t xml:space="preserve">Figure </w:t>
      </w:r>
      <w:r>
        <w:rPr>
          <w:b/>
        </w:rPr>
        <w:t>4.3</w:t>
      </w:r>
      <w:r w:rsidRPr="009375AA">
        <w:rPr>
          <w:b/>
        </w:rPr>
        <w:t>A</w:t>
      </w:r>
      <w:r>
        <w:t>)</w:t>
      </w:r>
      <w:r w:rsidRPr="009375AA">
        <w:t xml:space="preserve"> and ACP5 (B, </w:t>
      </w:r>
      <w:r>
        <w:rPr>
          <w:b/>
        </w:rPr>
        <w:t>4.3</w:t>
      </w:r>
      <w:r w:rsidRPr="009375AA">
        <w:rPr>
          <w:b/>
        </w:rPr>
        <w:t>A</w:t>
      </w:r>
      <w:r w:rsidRPr="009375AA">
        <w:t>). The remaining nine hits were resubjected to the assay conditions to confirm the observed activity. All nine demonstrated reproducibility, which provided a respectable initial hit rate of 3.6%.  To eliminate false positives, hits were evaluated for both intrinsic fluorescence and inherent proteolytic activity, which disqualified eight of the nine hits (</w:t>
      </w:r>
      <w:r w:rsidRPr="009375AA">
        <w:rPr>
          <w:b/>
        </w:rPr>
        <w:t xml:space="preserve">Figure </w:t>
      </w:r>
      <w:r>
        <w:rPr>
          <w:b/>
        </w:rPr>
        <w:t>4.3</w:t>
      </w:r>
      <w:r w:rsidRPr="009375AA">
        <w:rPr>
          <w:b/>
        </w:rPr>
        <w:t>B</w:t>
      </w:r>
      <w:r w:rsidRPr="009375AA">
        <w:t>).</w:t>
      </w:r>
      <w:r>
        <w:t xml:space="preserve"> However, when the raw screening data were replotted using the B-scoring algorithm,</w:t>
      </w:r>
      <w:r>
        <w:fldChar w:fldCharType="begin"/>
      </w:r>
      <w:r>
        <w:instrText>ADDIN F1000_CSL_CITATION&lt;~#@#~&gt;[{"DOI":"10.1177/1087057103258285","First":false,"Last":false,"PMID":"14711389","abstract":"High-throughput screening (HTS) plays a central role in modern drug discovery, allowing the rapid screening of large compound collections against a variety of putative drug targets. HTS is an industrial-scale process, relying on sophisticated automation, control, and state-of-the art detection technologies to organize, test, and measure hundreds of thousands to millions of compounds in nano- to microliter volumes. Despite this high technology, hit selection for HTS is still typically done using simple data analysis and basic statistical methods. The authors discuss in this article some shortcomings of these methods and present alternatives based on modern methods of statistical data analysis. Most important, they describe and show numerous real examples from the biologist-friendly Stat Server HTS application (SHS), a custom-developed software tool built on the commercially available S-PLUS and StatServer statistical analysis and server software. This system remotely processes HTS data using powerful and sophisticated statistical methodology but insulates users from the technical details by outputting results in a variety of readily interpretable graphs and tables.","author":[{"family":"Brideau","given":"Christine"},{"family":"Gunter","given":"Bert"},{"family":"Pikounis","given":"Bill"},{"family":"Liaw","given":"Andy"}],"authorYearDisplayFormat":false,"citation-label":"1198190","container-title":"Journal of Biomolecular Screening","container-title-short":"J. Biomol. Screen.","id":"1198190","invisible":false,"issue":"6","issued":{"date-parts":[["2003","12"]]},"journalAbbreviation":"J. Biomol. Screen.","page":"634-647","suppress-author":false,"title":"Improved statistical methods for hit selection in high-throughput screening.","type":"article-journal","volume":"8"},{"DOI":"10.1186/1471-2105-11-185","First":false,"Last":false,"PMCID":"PMC3098057","PMID":"20385013","abstract":"&lt;strong&gt;BACKGROUND:&lt;/strong&gt; The analysis of high-throughput screening data sets is an expanding field in bioinformatics. High-throughput screens by RNAi generate large primary data sets which need to be analyzed and annotated to identify relevant phenotypic hits. Large-scale RNAi screens are frequently used to identify novel factors that influence a broad range of cellular processes, including signaling pathway activity, cell proliferation, and host cell infection. Here, we present a web-based application utility for the end-to-end analysis of large cell-based screening experiments by cellHTS2.&lt;br&gt;&lt;br&gt;&lt;strong&gt;RESULTS:&lt;/strong&gt; The software guides the user through the configuration steps that are required for the analysis of single or multi-channel experiments. The web-application provides options for various standardization and normalization methods, annotation of data sets and a comprehensive HTML report of the screening data analysis, including a ranked hit list. Sessions can be saved and restored for later re-analysis. The web frontend for the cellHTS2 R/Bioconductor package interacts with it through an R-server implementation that enables highly parallel analysis of screening data sets. web cellHTS2 further provides a file import and configuration module for common file formats.&lt;br&gt;&lt;br&gt;&lt;strong&gt;CONCLUSIONS:&lt;/strong&gt; The implemented web-application facilitates the analysis of high-throughput data sets and provides a user-friendly interface. web cellHTS2 is accessible online at http://web-cellHTS2.dkfz.de. A standalone version as a virtual appliance and source code for platforms supporting Java 1.5.0 can be downloaded from the web cellHTS2 page. web cellHTS2 is freely distributed under GPL.","author":[{"family":"Pelz","given":"Oliver"},{"family":"Gilsdorf","given":"Moritz"},{"family":"Boutros","given":"Michael"}],"authorYearDisplayFormat":false,"citation-label":"1198189","container-title":"BMC Bioinformatics","container-title-short":"BMC Bioinformatics","id":"1198189","invisible":false,"issued":{"date-parts":[["2010","4","12"]]},"journalAbbreviation":"BMC Bioinformatics","page":"185","suppress-author":false,"title":"web cellHTS2: a web-application for the analysis of high-throughput screening data.","type":"article-journal","volume":"11"}]</w:instrText>
      </w:r>
      <w:r>
        <w:fldChar w:fldCharType="separate"/>
      </w:r>
      <w:r w:rsidRPr="009D2519">
        <w:rPr>
          <w:noProof/>
          <w:vertAlign w:val="superscript"/>
        </w:rPr>
        <w:t>36,37</w:t>
      </w:r>
      <w:r>
        <w:fldChar w:fldCharType="end"/>
      </w:r>
      <w:r>
        <w:t xml:space="preserve"> only a single true hit was detected.</w:t>
      </w:r>
      <w:r w:rsidRPr="009375AA">
        <w:t xml:space="preserve"> To measure intrinsic fluorescence, 538 nm emission was measured after 485 nm excitation for each compound (50 µM) in assay buffer. To measure inherent proteolytic activity, hit compounds (50 µM) were incubated with FITC-β-casein (192 µM) in assay buffer and fluorescence readings were taken to evaluate time dependent inherent proteolytic properties.</w:t>
      </w:r>
      <w:r>
        <w:t xml:space="preserve"> As such,</w:t>
      </w:r>
      <w:r w:rsidRPr="009375AA">
        <w:t xml:space="preserve"> </w:t>
      </w:r>
      <w:r>
        <w:t>s</w:t>
      </w:r>
      <w:r w:rsidRPr="009375AA">
        <w:t>clerotiamide (</w:t>
      </w:r>
      <w:r w:rsidRPr="009375AA">
        <w:rPr>
          <w:b/>
        </w:rPr>
        <w:t>1</w:t>
      </w:r>
      <w:r w:rsidRPr="009375AA">
        <w:t>,</w:t>
      </w:r>
      <w:r w:rsidRPr="009375AA">
        <w:rPr>
          <w:b/>
        </w:rPr>
        <w:t xml:space="preserve"> Figure </w:t>
      </w:r>
      <w:r>
        <w:rPr>
          <w:b/>
        </w:rPr>
        <w:t>4.3</w:t>
      </w:r>
      <w:r w:rsidRPr="009375AA">
        <w:rPr>
          <w:b/>
        </w:rPr>
        <w:t>B</w:t>
      </w:r>
      <w:r w:rsidRPr="009375AA">
        <w:t>),</w:t>
      </w:r>
      <w:r>
        <w:fldChar w:fldCharType="begin"/>
      </w:r>
      <w:r>
        <w:instrText>ADDIN F1000_CSL_CITATION&lt;~#@#~&gt;[{"DOI":"10.1021/np960607m","First":false,"Last":false,"PMID":"8946752","abstract":"Sclerotiamide (1), a new fungal natural product related to the paraherquamides, was isolated by bioassay-guided fractionation of antiinsectan organic extracts from the sclerotia of Aspergillus sclerotiorum (NRRL 5167). The structure was determined primarily through 1H-NMR, 13C-NMR, HMQC, and HMBC experiments. Sclerotiamide causes significant mortality and unusual physiological effects in dietary assays against the corn earworm Helicoverpa zea.","author":[{"family":"Whyte","given":"A C"},{"family":"Gloer","given":"J B"},{"family":"Wicklow","given":"D T"},{"family":"Dowdw","given":"P F"}],"authorYearDisplayFormat":false,"citation-label":"6766405","container-title":"Journal of Natural Products","container-title-short":"J. Nat. Prod.","id":"6766405","invisible":false,"issue":"11","issued":{"date-parts":[["1996","11","1"]]},"journalAbbreviation":"J. Nat. Prod.","page":"1093-1095","suppress-author":false,"title":"Sclerotiamide: a new member of the paraherquamide class with potent antiinsectan activity from the sclerotia of Aspergillus sclerotiorum.","type":"article-journal","volume":"59"}]</w:instrText>
      </w:r>
      <w:r>
        <w:fldChar w:fldCharType="separate"/>
      </w:r>
      <w:r w:rsidRPr="009D2519">
        <w:rPr>
          <w:noProof/>
          <w:vertAlign w:val="superscript"/>
        </w:rPr>
        <w:t>38</w:t>
      </w:r>
      <w:r>
        <w:fldChar w:fldCharType="end"/>
      </w:r>
      <w:r w:rsidRPr="009375AA">
        <w:t xml:space="preserve"> a paraherquamide related indole alkaloid natural product, was the only hit to pass both validation filters</w:t>
      </w:r>
      <w:r>
        <w:t xml:space="preserve"> and B-score analysis,</w:t>
      </w:r>
      <w:r w:rsidRPr="009375AA">
        <w:t xml:space="preserve"> and was evaluated further.</w:t>
      </w:r>
    </w:p>
    <w:p w14:paraId="7984DD00" w14:textId="77777777" w:rsidR="00F84079" w:rsidRDefault="001A3FA6" w:rsidP="00F84079">
      <w:pPr>
        <w:keepNext/>
        <w:jc w:val="both"/>
      </w:pPr>
      <w:r w:rsidRPr="00F9529F">
        <w:rPr>
          <w:noProof/>
        </w:rPr>
        <w:lastRenderedPageBreak/>
        <w:drawing>
          <wp:inline distT="0" distB="0" distL="0" distR="0" wp14:anchorId="60D9B8F6" wp14:editId="1B9994E7">
            <wp:extent cx="5690870" cy="2162175"/>
            <wp:effectExtent l="0" t="0" r="0" b="0"/>
            <wp:docPr id="27" name="Picture 44" descr="A close up of a red ligh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A close up of a red light&#10;&#10;Description automatically generated"/>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90870" cy="2162175"/>
                    </a:xfrm>
                    <a:prstGeom prst="rect">
                      <a:avLst/>
                    </a:prstGeom>
                    <a:noFill/>
                    <a:ln>
                      <a:noFill/>
                    </a:ln>
                  </pic:spPr>
                </pic:pic>
              </a:graphicData>
            </a:graphic>
          </wp:inline>
        </w:drawing>
      </w:r>
    </w:p>
    <w:p w14:paraId="791F3DA9" w14:textId="7E9301A3" w:rsidR="00F84079" w:rsidRDefault="00F84079" w:rsidP="00F84079">
      <w:pPr>
        <w:pStyle w:val="Caption"/>
        <w:jc w:val="both"/>
      </w:pPr>
      <w:bookmarkStart w:id="103" w:name="_Toc5807417"/>
      <w:r>
        <w:t xml:space="preserve">Figure </w:t>
      </w:r>
      <w:r w:rsidR="00C371B6">
        <w:t>4.4</w:t>
      </w:r>
      <w:r>
        <w:t xml:space="preserve"> </w:t>
      </w:r>
      <w:r w:rsidR="00EC3A2F" w:rsidRPr="000313CF">
        <w:t xml:space="preserve">Dose dependent </w:t>
      </w:r>
      <w:r w:rsidR="00EC3A2F" w:rsidRPr="000313CF">
        <w:rPr>
          <w:i/>
        </w:rPr>
        <w:t>Ec</w:t>
      </w:r>
      <w:r w:rsidR="00EC3A2F" w:rsidRPr="000313CF">
        <w:t>ClpP activation by ACP5, and 1</w:t>
      </w:r>
      <w:bookmarkEnd w:id="103"/>
    </w:p>
    <w:p w14:paraId="3E8D758E" w14:textId="77777777" w:rsidR="00EC3A2F" w:rsidRPr="00F84079" w:rsidRDefault="00EC3A2F" w:rsidP="00F84079">
      <w:pPr>
        <w:pStyle w:val="Caption"/>
        <w:jc w:val="both"/>
        <w:rPr>
          <w:b w:val="0"/>
        </w:rPr>
      </w:pPr>
      <w:r w:rsidRPr="00F84079">
        <w:rPr>
          <w:b w:val="0"/>
        </w:rPr>
        <w:t>(A) substrate = Abz-DFAPKMALVPY</w:t>
      </w:r>
      <w:r w:rsidRPr="00F84079">
        <w:rPr>
          <w:b w:val="0"/>
          <w:vertAlign w:val="superscript"/>
        </w:rPr>
        <w:t>NO2</w:t>
      </w:r>
      <w:r w:rsidRPr="00F84079">
        <w:rPr>
          <w:b w:val="0"/>
        </w:rPr>
        <w:t xml:space="preserve"> (B) substrate = FITC-β-casein (normalized to DMSO baseline fluorescence).</w:t>
      </w:r>
    </w:p>
    <w:p w14:paraId="53E3977C" w14:textId="77777777" w:rsidR="00EC3A2F" w:rsidRPr="00EC3A2F" w:rsidRDefault="00EC3A2F" w:rsidP="00EC3A2F">
      <w:pPr>
        <w:spacing w:line="240" w:lineRule="auto"/>
        <w:jc w:val="both"/>
        <w:rPr>
          <w:b/>
        </w:rPr>
      </w:pPr>
    </w:p>
    <w:p w14:paraId="5D375426" w14:textId="77777777" w:rsidR="00EC3A2F" w:rsidRDefault="00EC3A2F" w:rsidP="00EC3A2F">
      <w:pPr>
        <w:ind w:firstLine="720"/>
        <w:jc w:val="both"/>
      </w:pPr>
      <w:r w:rsidRPr="009375AA">
        <w:t>Sclerotiamide was subjected to dose-dependent peptide (Abz-DFAPKMALVPY</w:t>
      </w:r>
      <w:r w:rsidRPr="009375AA">
        <w:rPr>
          <w:vertAlign w:val="superscript"/>
        </w:rPr>
        <w:t>NO2</w:t>
      </w:r>
      <w:r w:rsidRPr="009375AA">
        <w:t>)</w:t>
      </w:r>
      <w:r>
        <w:fldChar w:fldCharType="begin"/>
      </w:r>
      <w:r>
        <w:instrText>ADDIN F1000_CSL_CITATION&lt;~#@#~&gt;[{"First":false,"Last":false,"PMID":"8027081","abstract":"Escherichia coli ClpAP protease is an ATP-dependent protease composed of the proteolytic component ClpP and a regulatory ATPase, ClpA. ClpAP protease degraded a variety of peptide bonds in protein and peptide substrates at a slow rate (kcat &lt;  or = 30 min-1/subunit of ClpP), but showed very high activity (kcat &gt; or = 800 min-1) for a synthetic peptide composed of the first 19 amino acids of ClpP, MSYSGERDNFAPHMALVPV, referred to as the propeptide. The propeptide was not degraded by ClpP alone, but was degraded in the presence of ClpA and ClpP. Degradation was activated by nonhydrolyzable analogs of ATP, indicating that nucleotide-promoted interaction between ClpA and ClpP is sufficient to activate ClpP for propeptide cleavage. The propeptide, as well as truncated forms lacking either the first 9 or the last 3 amino acids, was cleaved at the same Met-Ala bond at which autoprocessing occurs in vivo. No hydrolysis of FAPHMALVPV derivatives was observed when Met was replaced by Glu, Lys, Ser, Tyr, Ile, and D-Met, but cleavage at the same position did occur with Leu or Trp substitutions. A peptide composed of a tandem repeat of FAPHMALVPV was cleaved between both Met-Ala bonds (Kcat values &gt; or = 39 min-1). Propeptides inhibited degradation of alpha-casein by competition for a binding site on ClpA, and they stimulated the basal ATPase activity of ClpA in the absence of ClpP. Peptides and protein substrates interact at an allosteric site on ClpA, which appears to be the site at which specific substrates are recognized by the Clp protease.","author":[{"family":"Thompson","given":"M W"},{"family":"Maurizi","given":"M R"}],"authorYearDisplayFormat":false,"citation-label":"1233764","container-title":"The Journal of Biological Chemistry","container-title-short":"J. Biol. Chem.","id":"1233764","invisible":false,"issue":"27","issued":{"date-parts":[["1994","7","8"]]},"journalAbbreviation":"J. Biol. Chem.","page":"18201-18208","suppress-author":false,"title":"Activity and specificity of Escherichia coli ClpAP protease in cleaving model peptide substrates.","type":"article-journal","volume":"269"},{"DOI":"10.1002/cbic.201402358","First":false,"Last":false,"PMCID":"PMC4343535","PMID":"25212124","abstract":"The development of new antibacterial agents, particularly those with unique biological targets, is essential to keep pace with the inevitable emergence of drug resistance in pathogenic bacteria. We identified the minimal structural component of the cyclic acyldepsipeptide (ADEP) antibiotics that exhibits antibacterial activity. We found that N-acyldifluorophenylalanine fragments function via the same mechanism of action as ADEPs, as evidenced by the requirement of ClpP for the fragments' antibacterial activity, the ability of fragments to activate Bacillus subtilis ClpP in vitro, and the capacity of an N-acyldifluorophenylalanine affinity matrix to capture ClpP from B. subtilis cell lysates. N-acyldifluorophenylalanine fragments are much simpler in structure than the full ADEPs and are also highly amenable to structural diversification. Thus, the stage has been set for the development of non-peptide activators of ClpP that can be used as antibacterial agents. &lt;br&gt;&lt;br&gt;© 2014 WILEY-VCH Verlag GmbH &amp; Co. KGaA, Weinheim.","author":[{"family":"Carney","given":"Daniel W"},{"family":"Compton","given":"Corey L"},{"family":"Schmitz","given":"Karl R"},{"family":"Stevens","given":"Julia P"},{"family":"Sauer","given":"Robert T"},{"family":"Sello","given":"Jason K"}],"authorYearDisplayFormat":false,"citation-label":"5898247","container-title":"Chembiochem","container-title-short":"Chembiochem","id":"5898247","invisible":false,"issue":"15","issued":{"date-parts":[["2014","10","13"]]},"journalAbbreviation":"Chembiochem","page":"2216-2220","suppress-author":false,"title":"A simple fragment of cyclic acyldepsipeptides is necessary and sufficient for ClpP activation and antibacterial activity.","type":"article-journal","volume":"15"}]</w:instrText>
      </w:r>
      <w:r>
        <w:fldChar w:fldCharType="separate"/>
      </w:r>
      <w:r w:rsidRPr="009D2519">
        <w:rPr>
          <w:noProof/>
          <w:vertAlign w:val="superscript"/>
        </w:rPr>
        <w:t>22,39</w:t>
      </w:r>
      <w:r>
        <w:fldChar w:fldCharType="end"/>
      </w:r>
      <w:r w:rsidRPr="009375AA">
        <w:t xml:space="preserve"> and protein (FITC-β-casein) degradation analysis.  As shown in </w:t>
      </w:r>
      <w:r w:rsidRPr="009375AA">
        <w:rPr>
          <w:b/>
        </w:rPr>
        <w:t xml:space="preserve">Figure </w:t>
      </w:r>
      <w:r>
        <w:rPr>
          <w:b/>
        </w:rPr>
        <w:t>4.</w:t>
      </w:r>
      <w:r w:rsidR="00C371B6">
        <w:rPr>
          <w:b/>
        </w:rPr>
        <w:t>4</w:t>
      </w:r>
      <w:r w:rsidRPr="009375AA">
        <w:t xml:space="preserve">, the potency of </w:t>
      </w:r>
      <w:r w:rsidRPr="009375AA">
        <w:rPr>
          <w:b/>
        </w:rPr>
        <w:t>1</w:t>
      </w:r>
      <w:r w:rsidRPr="009375AA">
        <w:t xml:space="preserve"> parallels that of ACP5 and exhibits an apparent activation constant (</w:t>
      </w:r>
      <w:r w:rsidRPr="009375AA">
        <w:rPr>
          <w:i/>
        </w:rPr>
        <w:t>K</w:t>
      </w:r>
      <w:r w:rsidRPr="009375AA">
        <w:rPr>
          <w:vertAlign w:val="subscript"/>
        </w:rPr>
        <w:t>app</w:t>
      </w:r>
      <w:r w:rsidRPr="009375AA">
        <w:t xml:space="preserve">) of </w:t>
      </w:r>
      <w:r>
        <w:t>39.6</w:t>
      </w:r>
      <w:r w:rsidRPr="009375AA">
        <w:t xml:space="preserve"> ± 4.9 µM for decapeptide degradation and 8</w:t>
      </w:r>
      <w:r>
        <w:t>7.5</w:t>
      </w:r>
      <w:r w:rsidRPr="009375AA">
        <w:t xml:space="preserve"> ± </w:t>
      </w:r>
      <w:r>
        <w:t>5.0</w:t>
      </w:r>
      <w:r w:rsidRPr="009375AA">
        <w:t xml:space="preserve"> µM for FITC-β-casein degradation.</w:t>
      </w:r>
      <w:r>
        <w:t xml:space="preserve"> It is worth noting that the consistent potency of ACP5 in these two assays differs from the trend observed for 1 and ADEP1, which also shows an increase (~10-fold) in K</w:t>
      </w:r>
      <w:r>
        <w:rPr>
          <w:vertAlign w:val="subscript"/>
        </w:rPr>
        <w:t>app</w:t>
      </w:r>
      <w:r>
        <w:t xml:space="preserve"> from decapeptide to </w:t>
      </w:r>
      <w:r w:rsidRPr="009375AA">
        <w:t>FITC-β-casein</w:t>
      </w:r>
      <w:r>
        <w:t xml:space="preserve"> degradation (</w:t>
      </w:r>
      <w:r w:rsidRPr="00274721">
        <w:rPr>
          <w:b/>
        </w:rPr>
        <w:t>Table 4</w:t>
      </w:r>
      <w:r w:rsidR="00C371B6">
        <w:rPr>
          <w:b/>
        </w:rPr>
        <w:t>.1</w:t>
      </w:r>
      <w:r>
        <w:t>).</w:t>
      </w:r>
      <w:r w:rsidRPr="009375AA">
        <w:t xml:space="preserve"> Hill Plot analysis of </w:t>
      </w:r>
      <w:r w:rsidRPr="009375AA">
        <w:rPr>
          <w:b/>
        </w:rPr>
        <w:t xml:space="preserve">1 </w:t>
      </w:r>
      <w:r w:rsidRPr="009375AA">
        <w:t>demonstrates modest positive cooperativity for ClpP binding (Hill coefficient: &gt;1.5), suggesting an ADEP-like binding process.</w:t>
      </w:r>
      <w:r>
        <w:t xml:space="preserve"> </w:t>
      </w:r>
      <w:r w:rsidRPr="009375AA">
        <w:t xml:space="preserve">Although the potency is modest, especially in comparison to ADEP1 (FITC-β-casein, </w:t>
      </w:r>
      <w:r w:rsidRPr="009375AA">
        <w:rPr>
          <w:i/>
        </w:rPr>
        <w:t>K</w:t>
      </w:r>
      <w:r w:rsidRPr="009375AA">
        <w:rPr>
          <w:vertAlign w:val="subscript"/>
        </w:rPr>
        <w:t>app</w:t>
      </w:r>
      <w:r w:rsidRPr="009375AA">
        <w:t xml:space="preserve"> = 1.6 ± 0.4 µM, Hill coefficient: 2.0), </w:t>
      </w:r>
      <w:r w:rsidRPr="009375AA">
        <w:rPr>
          <w:b/>
        </w:rPr>
        <w:t>1</w:t>
      </w:r>
      <w:r w:rsidRPr="009375AA">
        <w:t xml:space="preserve"> is the first non-peptide based natural product ClpP activator discovered and thus provides unique chemical space to evaluate for SAR studies. As a member of the paraherquamide family, </w:t>
      </w:r>
      <w:r w:rsidRPr="009375AA">
        <w:rPr>
          <w:b/>
        </w:rPr>
        <w:t>1</w:t>
      </w:r>
      <w:r w:rsidRPr="009375AA">
        <w:t xml:space="preserve"> possesses </w:t>
      </w:r>
      <w:r>
        <w:t xml:space="preserve">a </w:t>
      </w:r>
      <w:r w:rsidRPr="009375AA">
        <w:t>3-dimensional bicyclo[2.2.2]diazaoctane motif that has garnered significant attention from the synthetic community</w:t>
      </w:r>
      <w:r>
        <w:t>,</w:t>
      </w:r>
      <w:r>
        <w:fldChar w:fldCharType="begin"/>
      </w:r>
      <w:r>
        <w:instrText>ADDIN F1000_CSL_CITATION&lt;~#@#~&gt;[{"DOI":"10.1021/ol201284y","First":false,"Last":false,"PMCID":"PMC3146567","PMID":"21714564","abstract":"The advanced natural product stephacidin A is proposed as a biosynthetic precursor to notoamide B in various Aspergillus species. Doubly (13)C-labeled racemic stephacidin A was synthesized and fed to cultures of the terrestrial-derived fungus, Aspergillus versicolor NRRL 35600, and the marine-derived fungus, Aspergillus sp. MF297-2. Analysis of the metabolites revealed enantiospecific incorporation of intact (-)-stephacidin A into (+)-notoamide B in Aspergillus versicolor and (+)-stephacidin A into (-)-notoamide B in Aspergillus sp. MF297-2. (13)C-Labeled sclerotiamide was also isolated from both fungal cultures.\n&lt;br /&gt;\n&lt;br /&gt;© 2011 American Chemical Society","author":[{"family":"Finefield","given":"Jennifer M"},{"family":"Kato","given":"Hikaru"},{"family":"Greshock","given":"Thomas J"},{"family":"Sherman","given":"David H"},{"family":"Tsukamoto","given":"Sachiko"},{"family":"Williams","given":"Robert M"}],"authorYearDisplayFormat":false,"citation-label":"6766408","container-title":"Organic Letters","container-title-short":"Org. Lett.","id":"6766408","invisible":false,"issue":"15","issued":{"date-parts":[["2011","8","5"]]},"journalAbbreviation":"Org. Lett.","page":"3802-3805","suppress-author":false,"title":"Biosynthetic studies of the notoamides: isotopic synthesis of stephacidin A and incorporation into notoamide B and sclerotiamide.","type":"article-journal","volume":"13"},{"First":false,"Last":false,"abstract":"Many natural products that contain basic nitrogen atoms—for example alkaloids like morphine and quinine—have the potential to treat a broad range of human diseases. However, the presence of a nitrogen atom in a target molecule can complicate its chemical synthesis because of the basicity of nitrogen atoms and their susceptibility to oxidation. Obtaining such compounds by chemical synthesis can be further complicated by the presence of multiple nitrogen atoms, but it can be done by the selective introduction and …","author":[{"family":"Mercado","given":"E V"}],"authorYearDisplayFormat":false,"citation-label":"6766409","container-title":"Marin","container-title-short":"Marin","id":"6766409","invisible":false,"issued":{"date-parts":[[]]},"journalAbbreviation":"Marin","suppress-author":false,"title":"Total synthesis and isolation of citrinalin and cyclopiamine congeners","type":"article-journal"}]</w:instrText>
      </w:r>
      <w:r>
        <w:fldChar w:fldCharType="separate"/>
      </w:r>
      <w:r w:rsidRPr="009D2519">
        <w:rPr>
          <w:noProof/>
          <w:vertAlign w:val="superscript"/>
        </w:rPr>
        <w:t>40,41</w:t>
      </w:r>
      <w:r>
        <w:fldChar w:fldCharType="end"/>
      </w:r>
      <w:r>
        <w:t xml:space="preserve"> </w:t>
      </w:r>
      <w:r w:rsidRPr="009375AA">
        <w:t>and has recently been reported in closely related compounds that exhibit a range of biological activities.</w:t>
      </w:r>
      <w:r>
        <w:fldChar w:fldCharType="begin"/>
      </w:r>
      <w:r>
        <w:instrText>ADDIN F1000_CSL_CITATION&lt;~#@#~&gt;[{"DOI":"10.1021/np200954v","First":false,"Last":false,"PMCID":"PMC3485739","PMID":"22502590","abstract":"Over eight different families of natural products consisting of nearly 70 secondary metabolites that contain the bicyclo[2.2.2]diazaoctane ring system have been isolated from various Aspergillus, Penicillium, and Malbranchea species. Since 1968, these secondary metabolites have been the focus of numerous biogenetic, synthetic, taxonomic, and biological studies and, as such, have made a lasting impact across multiple scientific disciplines. This review covers the isolation, biosynthesis, and biological activity of these unique secondary metabolites containing the bridging bicyclo[2.2.2]diazaoctane ring system. Furthermore, the diverse fungal origin of these natural products is closely examined and, in many cases, updated to reflect the currently accepted fungal taxonomy.\n&lt;br /&gt;\n&lt;br /&gt;© 2012 American Chemical Society and American Society of Pharmacognosy","author":[{"family":"Finefield","given":"Jennifer M"},{"family":"Frisvad","given":"Jens C"},{"family":"Sherman","given":"David H"},{"family":"Williams","given":"Robert M"}],"authorYearDisplayFormat":false,"citation-label":"6766411","container-title":"Journal of Natural Products","container-title-short":"J. Nat. Prod.","id":"6766411","invisible":false,"issue":"4","issued":{"date-parts":[["2012","4","27"]]},"journalAbbreviation":"J. Nat. Prod.","page":"812-833","suppress-author":false,"title":"Fungal origins of the bicyclo[2.2.2]diazaoctane ring system of prenylated indole alkaloids.","type":"article-journal","volume":"75"},{"DOI":"10.1021/np400132m","First":false,"Last":false,"PMID":"23701598","abstract":"Two new benzodiazepine alkaloids, circumdatins K and L (1, 2), two new prenylated indole alkaloids, 5-chlorosclerotiamide (3) and 10-epi-sclerotiamide (4), and one novel amide, aspergilliamide B (5), together with six known alkaloids were isolated from the deep-sea-derived fungus Aspergillus westerdijkiae DFFSCS013. Their structures were elucidated by extensive spectroscopic analysis. All of the compounds were tested for cytotoxicity toward human carcinoma A549, HL-60, K562, and MCF-7 cell lines.","author":[{"family":"Peng","given":"Jiang"},{"family":"Zhang","given":"Xiao-Yong"},{"family":"Tu","given":"Zheng-Chao"},{"family":"Xu","given":"Xin-Ya"},{"family":"Qi","given":"Shu-Hua"}],"authorYearDisplayFormat":false,"citation-label":"6766412","container-title":"Journal of Natural Products","container-title-short":"J. Nat. Prod.","id":"6766412","invisible":false,"issue":"5","issued":{"date-parts":[["2013","5","24"]]},"journalAbbreviation":"J. Nat. Prod.","page":"983-987","suppress-author":false,"title":"Alkaloids from the deep-sea-derived fungus Aspergillus westerdijkiae DFFSCS013.","type":"article-journal","volume":"76"}]</w:instrText>
      </w:r>
      <w:r>
        <w:fldChar w:fldCharType="separate"/>
      </w:r>
      <w:r w:rsidRPr="009D2519">
        <w:rPr>
          <w:noProof/>
          <w:vertAlign w:val="superscript"/>
        </w:rPr>
        <w:t>42,43</w:t>
      </w:r>
      <w:r>
        <w:fldChar w:fldCharType="end"/>
      </w:r>
    </w:p>
    <w:tbl>
      <w:tblPr>
        <w:tblW w:w="5200" w:type="dxa"/>
        <w:jc w:val="center"/>
        <w:tblLook w:val="04A0" w:firstRow="1" w:lastRow="0" w:firstColumn="1" w:lastColumn="0" w:noHBand="0" w:noVBand="1"/>
      </w:tblPr>
      <w:tblGrid>
        <w:gridCol w:w="1300"/>
        <w:gridCol w:w="1200"/>
        <w:gridCol w:w="1538"/>
        <w:gridCol w:w="1162"/>
      </w:tblGrid>
      <w:tr w:rsidR="00EC3A2F" w:rsidRPr="008D43DB" w14:paraId="27EAF0D1" w14:textId="77777777" w:rsidTr="00A62DEC">
        <w:trPr>
          <w:trHeight w:val="360"/>
          <w:jc w:val="center"/>
        </w:trPr>
        <w:tc>
          <w:tcPr>
            <w:tcW w:w="1300" w:type="dxa"/>
            <w:tcBorders>
              <w:top w:val="nil"/>
              <w:left w:val="nil"/>
              <w:bottom w:val="nil"/>
              <w:right w:val="nil"/>
            </w:tcBorders>
            <w:shd w:val="clear" w:color="000000" w:fill="F8CBAD"/>
            <w:noWrap/>
            <w:vAlign w:val="bottom"/>
            <w:hideMark/>
          </w:tcPr>
          <w:p w14:paraId="2EA4296C" w14:textId="77777777" w:rsidR="00EC3A2F" w:rsidRPr="008D43DB" w:rsidRDefault="00EC3A2F" w:rsidP="00A62DEC">
            <w:pPr>
              <w:rPr>
                <w:color w:val="000000"/>
              </w:rPr>
            </w:pPr>
            <w:r w:rsidRPr="008D43DB">
              <w:rPr>
                <w:color w:val="000000"/>
              </w:rPr>
              <w:lastRenderedPageBreak/>
              <w:t> </w:t>
            </w:r>
          </w:p>
        </w:tc>
        <w:tc>
          <w:tcPr>
            <w:tcW w:w="3900" w:type="dxa"/>
            <w:gridSpan w:val="3"/>
            <w:tcBorders>
              <w:top w:val="nil"/>
              <w:left w:val="nil"/>
              <w:bottom w:val="single" w:sz="4" w:space="0" w:color="auto"/>
              <w:right w:val="nil"/>
            </w:tcBorders>
            <w:shd w:val="clear" w:color="000000" w:fill="F8CBAD"/>
            <w:noWrap/>
            <w:vAlign w:val="bottom"/>
            <w:hideMark/>
          </w:tcPr>
          <w:p w14:paraId="6AD5D21F" w14:textId="77777777" w:rsidR="00EC3A2F" w:rsidRPr="008D43DB" w:rsidRDefault="00EC3A2F" w:rsidP="00A62DEC">
            <w:pPr>
              <w:jc w:val="center"/>
              <w:rPr>
                <w:color w:val="000000"/>
              </w:rPr>
            </w:pPr>
            <w:r w:rsidRPr="008D43DB">
              <w:rPr>
                <w:color w:val="000000"/>
              </w:rPr>
              <w:t>EC</w:t>
            </w:r>
            <w:r w:rsidRPr="008D43DB">
              <w:rPr>
                <w:color w:val="000000"/>
                <w:vertAlign w:val="subscript"/>
              </w:rPr>
              <w:t>50</w:t>
            </w:r>
            <w:r w:rsidRPr="008D43DB">
              <w:rPr>
                <w:color w:val="000000"/>
              </w:rPr>
              <w:t xml:space="preserve"> (µM)</w:t>
            </w:r>
          </w:p>
        </w:tc>
      </w:tr>
      <w:tr w:rsidR="00EC3A2F" w:rsidRPr="008D43DB" w14:paraId="716A95DB" w14:textId="77777777" w:rsidTr="00A62DEC">
        <w:trPr>
          <w:trHeight w:val="320"/>
          <w:jc w:val="center"/>
        </w:trPr>
        <w:tc>
          <w:tcPr>
            <w:tcW w:w="1300" w:type="dxa"/>
            <w:tcBorders>
              <w:top w:val="nil"/>
              <w:left w:val="nil"/>
              <w:bottom w:val="nil"/>
              <w:right w:val="nil"/>
            </w:tcBorders>
            <w:shd w:val="clear" w:color="000000" w:fill="F8CBAD"/>
            <w:noWrap/>
            <w:vAlign w:val="bottom"/>
            <w:hideMark/>
          </w:tcPr>
          <w:p w14:paraId="7B2537A5" w14:textId="77777777" w:rsidR="00EC3A2F" w:rsidRPr="008D43DB" w:rsidRDefault="00EC3A2F" w:rsidP="00A62DEC">
            <w:pPr>
              <w:jc w:val="center"/>
              <w:rPr>
                <w:color w:val="000000"/>
              </w:rPr>
            </w:pPr>
            <w:r w:rsidRPr="008D43DB">
              <w:rPr>
                <w:color w:val="000000"/>
              </w:rPr>
              <w:t>Compound</w:t>
            </w:r>
          </w:p>
        </w:tc>
        <w:tc>
          <w:tcPr>
            <w:tcW w:w="1200" w:type="dxa"/>
            <w:tcBorders>
              <w:top w:val="single" w:sz="4" w:space="0" w:color="auto"/>
              <w:left w:val="nil"/>
              <w:bottom w:val="nil"/>
              <w:right w:val="nil"/>
            </w:tcBorders>
            <w:shd w:val="clear" w:color="000000" w:fill="F8CBAD"/>
            <w:noWrap/>
            <w:vAlign w:val="bottom"/>
            <w:hideMark/>
          </w:tcPr>
          <w:p w14:paraId="5DD4BE35" w14:textId="77777777" w:rsidR="00EC3A2F" w:rsidRPr="008D43DB" w:rsidRDefault="00EC3A2F" w:rsidP="00A62DEC">
            <w:pPr>
              <w:jc w:val="center"/>
              <w:rPr>
                <w:color w:val="000000"/>
              </w:rPr>
            </w:pPr>
            <w:r w:rsidRPr="008D43DB">
              <w:rPr>
                <w:color w:val="000000"/>
              </w:rPr>
              <w:t>DFAP</w:t>
            </w:r>
          </w:p>
        </w:tc>
        <w:tc>
          <w:tcPr>
            <w:tcW w:w="1538" w:type="dxa"/>
            <w:tcBorders>
              <w:top w:val="single" w:sz="4" w:space="0" w:color="auto"/>
              <w:left w:val="nil"/>
              <w:bottom w:val="nil"/>
              <w:right w:val="nil"/>
            </w:tcBorders>
            <w:shd w:val="clear" w:color="000000" w:fill="F8CBAD"/>
            <w:noWrap/>
            <w:vAlign w:val="bottom"/>
            <w:hideMark/>
          </w:tcPr>
          <w:p w14:paraId="4591EE77" w14:textId="77777777" w:rsidR="00EC3A2F" w:rsidRPr="008D43DB" w:rsidRDefault="00EC3A2F" w:rsidP="00A62DEC">
            <w:pPr>
              <w:jc w:val="center"/>
              <w:rPr>
                <w:color w:val="000000"/>
              </w:rPr>
            </w:pPr>
            <w:r w:rsidRPr="008D43DB">
              <w:rPr>
                <w:color w:val="000000"/>
              </w:rPr>
              <w:t>FITC-Casein</w:t>
            </w:r>
          </w:p>
        </w:tc>
        <w:tc>
          <w:tcPr>
            <w:tcW w:w="1162" w:type="dxa"/>
            <w:tcBorders>
              <w:top w:val="single" w:sz="4" w:space="0" w:color="auto"/>
              <w:left w:val="nil"/>
              <w:bottom w:val="nil"/>
              <w:right w:val="nil"/>
            </w:tcBorders>
            <w:shd w:val="clear" w:color="000000" w:fill="F8CBAD"/>
            <w:noWrap/>
            <w:vAlign w:val="bottom"/>
            <w:hideMark/>
          </w:tcPr>
          <w:p w14:paraId="0A7624B3" w14:textId="77777777" w:rsidR="00EC3A2F" w:rsidRPr="008D43DB" w:rsidRDefault="00EC3A2F" w:rsidP="00A62DEC">
            <w:pPr>
              <w:jc w:val="center"/>
              <w:rPr>
                <w:color w:val="000000"/>
              </w:rPr>
            </w:pPr>
            <w:r w:rsidRPr="008D43DB">
              <w:rPr>
                <w:color w:val="000000"/>
              </w:rPr>
              <w:t>Hill slope</w:t>
            </w:r>
          </w:p>
        </w:tc>
      </w:tr>
      <w:tr w:rsidR="00EC3A2F" w:rsidRPr="008D43DB" w14:paraId="626D864E" w14:textId="77777777" w:rsidTr="00A62DEC">
        <w:trPr>
          <w:trHeight w:val="320"/>
          <w:jc w:val="center"/>
        </w:trPr>
        <w:tc>
          <w:tcPr>
            <w:tcW w:w="1300" w:type="dxa"/>
            <w:tcBorders>
              <w:top w:val="nil"/>
              <w:left w:val="nil"/>
              <w:bottom w:val="nil"/>
              <w:right w:val="nil"/>
            </w:tcBorders>
            <w:shd w:val="clear" w:color="auto" w:fill="auto"/>
            <w:noWrap/>
            <w:vAlign w:val="bottom"/>
            <w:hideMark/>
          </w:tcPr>
          <w:p w14:paraId="2103E08E" w14:textId="77777777" w:rsidR="00EC3A2F" w:rsidRPr="008D43DB" w:rsidRDefault="00EC3A2F" w:rsidP="00A62DEC">
            <w:pPr>
              <w:rPr>
                <w:color w:val="000000"/>
              </w:rPr>
            </w:pPr>
            <w:r w:rsidRPr="008D43DB">
              <w:rPr>
                <w:color w:val="000000"/>
              </w:rPr>
              <w:t>ADEP1</w:t>
            </w:r>
          </w:p>
        </w:tc>
        <w:tc>
          <w:tcPr>
            <w:tcW w:w="1200" w:type="dxa"/>
            <w:tcBorders>
              <w:top w:val="nil"/>
              <w:left w:val="nil"/>
              <w:bottom w:val="nil"/>
              <w:right w:val="nil"/>
            </w:tcBorders>
            <w:shd w:val="clear" w:color="auto" w:fill="auto"/>
            <w:noWrap/>
            <w:vAlign w:val="bottom"/>
            <w:hideMark/>
          </w:tcPr>
          <w:p w14:paraId="2CCA73F0" w14:textId="77777777" w:rsidR="00EC3A2F" w:rsidRPr="008D43DB" w:rsidRDefault="00EC3A2F" w:rsidP="00A62DEC">
            <w:pPr>
              <w:jc w:val="center"/>
              <w:rPr>
                <w:color w:val="000000"/>
              </w:rPr>
            </w:pPr>
            <w:r w:rsidRPr="008D43DB">
              <w:rPr>
                <w:color w:val="000000"/>
              </w:rPr>
              <w:t>0.1 ± 0.02</w:t>
            </w:r>
          </w:p>
        </w:tc>
        <w:tc>
          <w:tcPr>
            <w:tcW w:w="1538" w:type="dxa"/>
            <w:tcBorders>
              <w:top w:val="nil"/>
              <w:left w:val="nil"/>
              <w:bottom w:val="nil"/>
              <w:right w:val="nil"/>
            </w:tcBorders>
            <w:shd w:val="clear" w:color="auto" w:fill="auto"/>
            <w:noWrap/>
            <w:vAlign w:val="bottom"/>
            <w:hideMark/>
          </w:tcPr>
          <w:p w14:paraId="6DCE9B8C" w14:textId="55B6AD1A" w:rsidR="00EC3A2F" w:rsidRPr="008D43DB" w:rsidRDefault="00EC3A2F" w:rsidP="00A62DEC">
            <w:pPr>
              <w:jc w:val="center"/>
              <w:rPr>
                <w:color w:val="000000"/>
              </w:rPr>
            </w:pPr>
            <w:r w:rsidRPr="008D43DB">
              <w:rPr>
                <w:color w:val="000000"/>
              </w:rPr>
              <w:t xml:space="preserve">1.2 </w:t>
            </w:r>
            <w:r w:rsidR="005E441D">
              <w:rPr>
                <w:color w:val="000000"/>
              </w:rPr>
              <w:t>±</w:t>
            </w:r>
            <w:r w:rsidRPr="008D43DB">
              <w:rPr>
                <w:color w:val="000000"/>
              </w:rPr>
              <w:t xml:space="preserve"> 0.1</w:t>
            </w:r>
          </w:p>
        </w:tc>
        <w:tc>
          <w:tcPr>
            <w:tcW w:w="1162" w:type="dxa"/>
            <w:tcBorders>
              <w:top w:val="nil"/>
              <w:left w:val="nil"/>
              <w:bottom w:val="nil"/>
              <w:right w:val="nil"/>
            </w:tcBorders>
            <w:shd w:val="clear" w:color="auto" w:fill="auto"/>
            <w:noWrap/>
            <w:vAlign w:val="bottom"/>
            <w:hideMark/>
          </w:tcPr>
          <w:p w14:paraId="2A323023" w14:textId="77777777" w:rsidR="00EC3A2F" w:rsidRPr="008D43DB" w:rsidRDefault="00EC3A2F" w:rsidP="00A62DEC">
            <w:pPr>
              <w:jc w:val="center"/>
              <w:rPr>
                <w:color w:val="000000"/>
              </w:rPr>
            </w:pPr>
            <w:r w:rsidRPr="008D43DB">
              <w:rPr>
                <w:color w:val="000000"/>
              </w:rPr>
              <w:t>1.6/1.5</w:t>
            </w:r>
          </w:p>
        </w:tc>
      </w:tr>
      <w:tr w:rsidR="00EC3A2F" w:rsidRPr="008D43DB" w14:paraId="4F93D146" w14:textId="77777777" w:rsidTr="00A62DEC">
        <w:trPr>
          <w:trHeight w:val="320"/>
          <w:jc w:val="center"/>
        </w:trPr>
        <w:tc>
          <w:tcPr>
            <w:tcW w:w="1300" w:type="dxa"/>
            <w:tcBorders>
              <w:top w:val="nil"/>
              <w:left w:val="nil"/>
              <w:bottom w:val="nil"/>
              <w:right w:val="nil"/>
            </w:tcBorders>
            <w:shd w:val="clear" w:color="auto" w:fill="auto"/>
            <w:noWrap/>
            <w:vAlign w:val="bottom"/>
            <w:hideMark/>
          </w:tcPr>
          <w:p w14:paraId="1EC64524" w14:textId="77777777" w:rsidR="00EC3A2F" w:rsidRPr="008D43DB" w:rsidRDefault="00EC3A2F" w:rsidP="00A62DEC">
            <w:pPr>
              <w:rPr>
                <w:color w:val="000000"/>
              </w:rPr>
            </w:pPr>
            <w:r w:rsidRPr="008D43DB">
              <w:rPr>
                <w:color w:val="000000"/>
              </w:rPr>
              <w:t>ACP5</w:t>
            </w:r>
          </w:p>
        </w:tc>
        <w:tc>
          <w:tcPr>
            <w:tcW w:w="1200" w:type="dxa"/>
            <w:tcBorders>
              <w:top w:val="nil"/>
              <w:left w:val="nil"/>
              <w:bottom w:val="nil"/>
              <w:right w:val="nil"/>
            </w:tcBorders>
            <w:shd w:val="clear" w:color="auto" w:fill="auto"/>
            <w:noWrap/>
            <w:vAlign w:val="bottom"/>
            <w:hideMark/>
          </w:tcPr>
          <w:p w14:paraId="375731A6" w14:textId="77777777" w:rsidR="00EC3A2F" w:rsidRPr="008D43DB" w:rsidRDefault="00EC3A2F" w:rsidP="00A62DEC">
            <w:pPr>
              <w:jc w:val="center"/>
              <w:rPr>
                <w:color w:val="000000"/>
              </w:rPr>
            </w:pPr>
            <w:r w:rsidRPr="008D43DB">
              <w:rPr>
                <w:color w:val="000000"/>
              </w:rPr>
              <w:t>25.4 ± 3.6</w:t>
            </w:r>
          </w:p>
        </w:tc>
        <w:tc>
          <w:tcPr>
            <w:tcW w:w="1538" w:type="dxa"/>
            <w:tcBorders>
              <w:top w:val="nil"/>
              <w:left w:val="nil"/>
              <w:bottom w:val="nil"/>
              <w:right w:val="nil"/>
            </w:tcBorders>
            <w:shd w:val="clear" w:color="auto" w:fill="auto"/>
            <w:noWrap/>
            <w:vAlign w:val="bottom"/>
            <w:hideMark/>
          </w:tcPr>
          <w:p w14:paraId="2718704B" w14:textId="5C1BA09A" w:rsidR="00EC3A2F" w:rsidRPr="008D43DB" w:rsidRDefault="00EC3A2F" w:rsidP="00A62DEC">
            <w:pPr>
              <w:jc w:val="center"/>
              <w:rPr>
                <w:color w:val="000000"/>
              </w:rPr>
            </w:pPr>
            <w:r w:rsidRPr="008D43DB">
              <w:rPr>
                <w:color w:val="000000"/>
              </w:rPr>
              <w:t xml:space="preserve">22.2 </w:t>
            </w:r>
            <w:r w:rsidR="005E441D">
              <w:rPr>
                <w:color w:val="000000"/>
              </w:rPr>
              <w:t>±</w:t>
            </w:r>
            <w:r w:rsidRPr="008D43DB">
              <w:rPr>
                <w:color w:val="000000"/>
              </w:rPr>
              <w:t xml:space="preserve"> 2.3</w:t>
            </w:r>
          </w:p>
        </w:tc>
        <w:tc>
          <w:tcPr>
            <w:tcW w:w="1162" w:type="dxa"/>
            <w:tcBorders>
              <w:top w:val="nil"/>
              <w:left w:val="nil"/>
              <w:bottom w:val="nil"/>
              <w:right w:val="nil"/>
            </w:tcBorders>
            <w:shd w:val="clear" w:color="auto" w:fill="auto"/>
            <w:noWrap/>
            <w:vAlign w:val="bottom"/>
            <w:hideMark/>
          </w:tcPr>
          <w:p w14:paraId="6F98AF8E" w14:textId="77777777" w:rsidR="00EC3A2F" w:rsidRPr="008D43DB" w:rsidRDefault="00EC3A2F" w:rsidP="00A62DEC">
            <w:pPr>
              <w:jc w:val="center"/>
              <w:rPr>
                <w:color w:val="000000"/>
              </w:rPr>
            </w:pPr>
            <w:r w:rsidRPr="008D43DB">
              <w:rPr>
                <w:color w:val="000000"/>
              </w:rPr>
              <w:t>1.4/1.4</w:t>
            </w:r>
          </w:p>
        </w:tc>
      </w:tr>
      <w:tr w:rsidR="00EC3A2F" w:rsidRPr="008D43DB" w14:paraId="0F0A5C8D" w14:textId="77777777" w:rsidTr="00A62DEC">
        <w:trPr>
          <w:trHeight w:val="320"/>
          <w:jc w:val="center"/>
        </w:trPr>
        <w:tc>
          <w:tcPr>
            <w:tcW w:w="1300" w:type="dxa"/>
            <w:tcBorders>
              <w:top w:val="nil"/>
              <w:left w:val="nil"/>
              <w:bottom w:val="nil"/>
              <w:right w:val="nil"/>
            </w:tcBorders>
            <w:shd w:val="clear" w:color="auto" w:fill="auto"/>
            <w:noWrap/>
            <w:vAlign w:val="bottom"/>
            <w:hideMark/>
          </w:tcPr>
          <w:p w14:paraId="74D0397A" w14:textId="77777777" w:rsidR="00EC3A2F" w:rsidRPr="008D43DB" w:rsidRDefault="00EC3A2F" w:rsidP="00A62DEC">
            <w:pPr>
              <w:rPr>
                <w:color w:val="000000"/>
              </w:rPr>
            </w:pPr>
            <w:r w:rsidRPr="008D43DB">
              <w:rPr>
                <w:color w:val="000000"/>
              </w:rPr>
              <w:t>1</w:t>
            </w:r>
          </w:p>
        </w:tc>
        <w:tc>
          <w:tcPr>
            <w:tcW w:w="1200" w:type="dxa"/>
            <w:tcBorders>
              <w:top w:val="nil"/>
              <w:left w:val="nil"/>
              <w:bottom w:val="nil"/>
              <w:right w:val="nil"/>
            </w:tcBorders>
            <w:shd w:val="clear" w:color="auto" w:fill="auto"/>
            <w:noWrap/>
            <w:vAlign w:val="bottom"/>
            <w:hideMark/>
          </w:tcPr>
          <w:p w14:paraId="7339EF5C" w14:textId="77777777" w:rsidR="00EC3A2F" w:rsidRPr="008D43DB" w:rsidRDefault="00EC3A2F" w:rsidP="00A62DEC">
            <w:pPr>
              <w:jc w:val="center"/>
              <w:rPr>
                <w:color w:val="000000"/>
              </w:rPr>
            </w:pPr>
            <w:r w:rsidRPr="008D43DB">
              <w:rPr>
                <w:color w:val="000000"/>
              </w:rPr>
              <w:t>39.6 ± 4.9</w:t>
            </w:r>
          </w:p>
        </w:tc>
        <w:tc>
          <w:tcPr>
            <w:tcW w:w="1538" w:type="dxa"/>
            <w:tcBorders>
              <w:top w:val="nil"/>
              <w:left w:val="nil"/>
              <w:bottom w:val="nil"/>
              <w:right w:val="nil"/>
            </w:tcBorders>
            <w:shd w:val="clear" w:color="auto" w:fill="auto"/>
            <w:noWrap/>
            <w:vAlign w:val="bottom"/>
            <w:hideMark/>
          </w:tcPr>
          <w:p w14:paraId="10A087F2" w14:textId="77777777" w:rsidR="00EC3A2F" w:rsidRPr="008D43DB" w:rsidRDefault="00EC3A2F" w:rsidP="00A62DEC">
            <w:pPr>
              <w:jc w:val="center"/>
              <w:rPr>
                <w:color w:val="000000"/>
              </w:rPr>
            </w:pPr>
            <w:r w:rsidRPr="008D43DB">
              <w:rPr>
                <w:color w:val="000000"/>
              </w:rPr>
              <w:t>87.5 ± 5.0</w:t>
            </w:r>
          </w:p>
        </w:tc>
        <w:tc>
          <w:tcPr>
            <w:tcW w:w="1162" w:type="dxa"/>
            <w:tcBorders>
              <w:top w:val="nil"/>
              <w:left w:val="nil"/>
              <w:bottom w:val="nil"/>
              <w:right w:val="nil"/>
            </w:tcBorders>
            <w:shd w:val="clear" w:color="auto" w:fill="auto"/>
            <w:noWrap/>
            <w:vAlign w:val="bottom"/>
            <w:hideMark/>
          </w:tcPr>
          <w:p w14:paraId="798C1B90" w14:textId="77777777" w:rsidR="00EC3A2F" w:rsidRPr="008D43DB" w:rsidRDefault="00EC3A2F" w:rsidP="00F84079">
            <w:pPr>
              <w:keepNext/>
              <w:jc w:val="center"/>
              <w:rPr>
                <w:color w:val="000000"/>
              </w:rPr>
            </w:pPr>
            <w:r w:rsidRPr="008D43DB">
              <w:rPr>
                <w:color w:val="000000"/>
              </w:rPr>
              <w:t>2.6/1.9</w:t>
            </w:r>
          </w:p>
        </w:tc>
      </w:tr>
    </w:tbl>
    <w:p w14:paraId="1B8D3CCE" w14:textId="77777777" w:rsidR="00EC3A2F" w:rsidRDefault="00F84079" w:rsidP="00CE3437">
      <w:pPr>
        <w:pStyle w:val="Caption"/>
        <w:jc w:val="both"/>
      </w:pPr>
      <w:bookmarkStart w:id="104" w:name="_Toc5807389"/>
      <w:r>
        <w:t xml:space="preserve">Table </w:t>
      </w:r>
      <w:r w:rsidR="00C371B6">
        <w:t>4.1</w:t>
      </w:r>
      <w:r>
        <w:t xml:space="preserve"> </w:t>
      </w:r>
      <w:r w:rsidR="00EC3A2F" w:rsidRPr="00507910">
        <w:rPr>
          <w:b w:val="0"/>
        </w:rPr>
        <w:t>Dose-Response comparison of ADEP1, ACP5, and 1 for the Decapeptide (DFAPKMALVPY</w:t>
      </w:r>
      <w:r w:rsidR="00EC3A2F" w:rsidRPr="00507910">
        <w:rPr>
          <w:b w:val="0"/>
          <w:vertAlign w:val="superscript"/>
        </w:rPr>
        <w:t>NO2</w:t>
      </w:r>
      <w:r w:rsidR="00EC3A2F" w:rsidRPr="00507910">
        <w:rPr>
          <w:b w:val="0"/>
        </w:rPr>
        <w:t>) and unstructured protein (FITC-β-Casein) substrates.</w:t>
      </w:r>
      <w:bookmarkEnd w:id="104"/>
    </w:p>
    <w:p w14:paraId="14626B6D" w14:textId="77777777" w:rsidR="00EC3A2F" w:rsidRPr="007A131A" w:rsidRDefault="00EC3A2F" w:rsidP="00EC3A2F">
      <w:pPr>
        <w:contextualSpacing/>
        <w:jc w:val="both"/>
      </w:pPr>
    </w:p>
    <w:p w14:paraId="1EBFFE1B" w14:textId="77777777" w:rsidR="00C660CE" w:rsidRDefault="001A3FA6" w:rsidP="00C660CE">
      <w:pPr>
        <w:keepNext/>
        <w:jc w:val="both"/>
      </w:pPr>
      <w:r w:rsidRPr="00F9529F">
        <w:rPr>
          <w:noProof/>
        </w:rPr>
        <w:drawing>
          <wp:inline distT="0" distB="0" distL="0" distR="0" wp14:anchorId="6DF22C18" wp14:editId="7E928E2D">
            <wp:extent cx="5486400" cy="1517015"/>
            <wp:effectExtent l="0" t="0" r="0" b="0"/>
            <wp:docPr id="28"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86400" cy="1517015"/>
                    </a:xfrm>
                    <a:prstGeom prst="rect">
                      <a:avLst/>
                    </a:prstGeom>
                    <a:noFill/>
                    <a:ln>
                      <a:noFill/>
                    </a:ln>
                  </pic:spPr>
                </pic:pic>
              </a:graphicData>
            </a:graphic>
          </wp:inline>
        </w:drawing>
      </w:r>
    </w:p>
    <w:p w14:paraId="46840C8D" w14:textId="55B01E99" w:rsidR="00F84079" w:rsidRPr="00F84079" w:rsidRDefault="00C660CE" w:rsidP="00F84079">
      <w:pPr>
        <w:pStyle w:val="Caption"/>
        <w:jc w:val="both"/>
      </w:pPr>
      <w:bookmarkStart w:id="105" w:name="_Toc5807418"/>
      <w:r>
        <w:t xml:space="preserve">Figure </w:t>
      </w:r>
      <w:r w:rsidR="00C371B6">
        <w:t>4.5</w:t>
      </w:r>
      <w:r>
        <w:t xml:space="preserve"> </w:t>
      </w:r>
      <w:r w:rsidR="00EC3A2F">
        <w:t xml:space="preserve">SDS-PAGE degradation of </w:t>
      </w:r>
      <w:r w:rsidR="00EC3A2F" w:rsidRPr="00DD0D7E">
        <w:t>β</w:t>
      </w:r>
      <w:r w:rsidR="00EC3A2F" w:rsidRPr="00820D7E">
        <w:t>-casein by</w:t>
      </w:r>
      <w:r w:rsidR="00EC3A2F">
        <w:t xml:space="preserve"> ClpP in the presence of </w:t>
      </w:r>
      <w:r w:rsidR="00EC3A2F" w:rsidRPr="00CB3D1D">
        <w:t>1</w:t>
      </w:r>
      <w:bookmarkEnd w:id="105"/>
      <w:r w:rsidR="00EC3A2F">
        <w:t xml:space="preserve"> </w:t>
      </w:r>
    </w:p>
    <w:p w14:paraId="52E266A5" w14:textId="77777777" w:rsidR="00EC3A2F" w:rsidRPr="00753B06" w:rsidRDefault="00EC3A2F" w:rsidP="00EC3A2F">
      <w:pPr>
        <w:spacing w:line="240" w:lineRule="auto"/>
        <w:jc w:val="both"/>
        <w:rPr>
          <w:b/>
        </w:rPr>
      </w:pPr>
      <w:r>
        <w:t>SDS-PAGE analysis of ClpP homologue-dependent degradation of unlabeled β-casein by 1 (50 μM) in comparison to ADEP1 (1 μM).</w:t>
      </w:r>
    </w:p>
    <w:p w14:paraId="5288B795" w14:textId="77777777" w:rsidR="00EC3A2F" w:rsidRPr="009375AA" w:rsidRDefault="00EC3A2F" w:rsidP="00EC3A2F">
      <w:pPr>
        <w:jc w:val="both"/>
      </w:pPr>
    </w:p>
    <w:p w14:paraId="61F7C1B1" w14:textId="3007372D" w:rsidR="00EC3A2F" w:rsidRDefault="00EC3A2F" w:rsidP="00EC3A2F">
      <w:pPr>
        <w:ind w:firstLine="720"/>
        <w:jc w:val="both"/>
      </w:pPr>
      <w:r w:rsidRPr="009375AA">
        <w:t xml:space="preserve">Further validation of </w:t>
      </w:r>
      <w:r w:rsidRPr="009375AA">
        <w:rPr>
          <w:i/>
        </w:rPr>
        <w:t>Ec</w:t>
      </w:r>
      <w:r w:rsidRPr="009375AA">
        <w:t xml:space="preserve">ClpP activation by </w:t>
      </w:r>
      <w:r w:rsidRPr="009375AA">
        <w:rPr>
          <w:b/>
        </w:rPr>
        <w:t>1</w:t>
      </w:r>
      <w:r w:rsidRPr="009375AA">
        <w:t xml:space="preserve"> was confirmed by SDS-</w:t>
      </w:r>
      <w:r w:rsidR="00BB1F36">
        <w:t>PAGE</w:t>
      </w:r>
      <w:r w:rsidRPr="009375AA">
        <w:t xml:space="preserve"> analysis (</w:t>
      </w:r>
      <w:r w:rsidRPr="009375AA">
        <w:rPr>
          <w:b/>
        </w:rPr>
        <w:t xml:space="preserve">Figure </w:t>
      </w:r>
      <w:r>
        <w:rPr>
          <w:b/>
        </w:rPr>
        <w:t>4.</w:t>
      </w:r>
      <w:r w:rsidR="00C371B6">
        <w:rPr>
          <w:b/>
        </w:rPr>
        <w:t>5</w:t>
      </w:r>
      <w:r w:rsidRPr="009375AA">
        <w:t xml:space="preserve">), which demonstrates dose and time dependent activation of </w:t>
      </w:r>
      <w:r w:rsidRPr="009375AA">
        <w:rPr>
          <w:i/>
        </w:rPr>
        <w:t>Ec</w:t>
      </w:r>
      <w:r w:rsidRPr="009375AA">
        <w:t xml:space="preserve">ClpP and subsequent degradation of unlabeled β-casein. Interestingly, when </w:t>
      </w:r>
      <w:r w:rsidRPr="009375AA">
        <w:rPr>
          <w:b/>
        </w:rPr>
        <w:t>1</w:t>
      </w:r>
      <w:r w:rsidRPr="009375AA">
        <w:t xml:space="preserve"> was evaluated for its propensity to activate </w:t>
      </w:r>
      <w:r w:rsidRPr="009375AA">
        <w:rPr>
          <w:i/>
        </w:rPr>
        <w:t>B</w:t>
      </w:r>
      <w:r>
        <w:rPr>
          <w:i/>
        </w:rPr>
        <w:t>.</w:t>
      </w:r>
      <w:r w:rsidRPr="009375AA">
        <w:rPr>
          <w:i/>
        </w:rPr>
        <w:t xml:space="preserve"> subtilis </w:t>
      </w:r>
      <w:r w:rsidRPr="009375AA">
        <w:t>ClpP (</w:t>
      </w:r>
      <w:r w:rsidRPr="009375AA">
        <w:rPr>
          <w:i/>
        </w:rPr>
        <w:t>Bs</w:t>
      </w:r>
      <w:r w:rsidRPr="009375AA">
        <w:t>ClpP), no significant activation was observed (</w:t>
      </w:r>
      <w:r w:rsidRPr="009375AA">
        <w:rPr>
          <w:b/>
        </w:rPr>
        <w:t xml:space="preserve">Figure </w:t>
      </w:r>
      <w:r>
        <w:rPr>
          <w:b/>
        </w:rPr>
        <w:t>4.</w:t>
      </w:r>
      <w:r w:rsidR="00C371B6">
        <w:rPr>
          <w:b/>
        </w:rPr>
        <w:t>5</w:t>
      </w:r>
      <w:r w:rsidRPr="009375AA">
        <w:t xml:space="preserve">). This lack of </w:t>
      </w:r>
      <w:r w:rsidRPr="009375AA">
        <w:rPr>
          <w:i/>
        </w:rPr>
        <w:t>Bs</w:t>
      </w:r>
      <w:r w:rsidRPr="009375AA">
        <w:t>ClpP activation was noted in both fluorescence-based degradation assays and SDS-page analysis.</w:t>
      </w:r>
      <w:r w:rsidRPr="009375AA">
        <w:rPr>
          <w:i/>
        </w:rPr>
        <w:t xml:space="preserve"> </w:t>
      </w:r>
      <w:r w:rsidRPr="009375AA">
        <w:t xml:space="preserve">To our knowledge, this is the first example of a ClpP activator that demonstrates a noticeable selectivity between bacterial homologs and we are currently probing the utility of this observation. </w:t>
      </w:r>
    </w:p>
    <w:p w14:paraId="78CE9916" w14:textId="77777777" w:rsidR="00C660CE" w:rsidRDefault="001A3FA6" w:rsidP="00C660CE">
      <w:pPr>
        <w:keepNext/>
        <w:jc w:val="both"/>
      </w:pPr>
      <w:r>
        <w:rPr>
          <w:noProof/>
        </w:rPr>
        <w:lastRenderedPageBreak/>
        <mc:AlternateContent>
          <mc:Choice Requires="wpg">
            <w:drawing>
              <wp:inline distT="0" distB="0" distL="0" distR="0" wp14:anchorId="57653F1F" wp14:editId="62335BF4">
                <wp:extent cx="5486400" cy="3228340"/>
                <wp:effectExtent l="0" t="0" r="0" b="0"/>
                <wp:docPr id="5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3228340"/>
                          <a:chOff x="0" y="0"/>
                          <a:chExt cx="5486400" cy="3228286"/>
                        </a:xfrm>
                      </wpg:grpSpPr>
                      <pic:pic xmlns:pic="http://schemas.openxmlformats.org/drawingml/2006/picture">
                        <pic:nvPicPr>
                          <pic:cNvPr id="58" name="Picture 25" descr="A close up of a light&#10;&#10;Description automatically generated"/>
                          <pic:cNvPicPr>
                            <a:picLocks/>
                          </pic:cNvPicPr>
                        </pic:nvPicPr>
                        <pic:blipFill>
                          <a:blip r:embed="rId59" cstate="print">
                            <a:extLst>
                              <a:ext uri="{28A0092B-C50C-407E-A947-70E740481C1C}">
                                <a14:useLocalDpi xmlns:a14="http://schemas.microsoft.com/office/drawing/2010/main" val="0"/>
                              </a:ext>
                            </a:extLst>
                          </a:blip>
                          <a:stretch>
                            <a:fillRect/>
                          </a:stretch>
                        </pic:blipFill>
                        <pic:spPr>
                          <a:xfrm>
                            <a:off x="0" y="174571"/>
                            <a:ext cx="5486400" cy="3053715"/>
                          </a:xfrm>
                          <a:prstGeom prst="rect">
                            <a:avLst/>
                          </a:prstGeom>
                        </pic:spPr>
                      </pic:pic>
                      <wps:wsp>
                        <wps:cNvPr id="59" name="TextBox 21"/>
                        <wps:cNvSpPr txBox="1">
                          <a:spLocks/>
                        </wps:cNvSpPr>
                        <wps:spPr>
                          <a:xfrm>
                            <a:off x="0" y="20674"/>
                            <a:ext cx="301625" cy="500380"/>
                          </a:xfrm>
                          <a:prstGeom prst="rect">
                            <a:avLst/>
                          </a:prstGeom>
                          <a:noFill/>
                        </wps:spPr>
                        <wps:txbx>
                          <w:txbxContent>
                            <w:p w14:paraId="1285F398" w14:textId="77777777" w:rsidR="00FA6D16" w:rsidRDefault="00FA6D16" w:rsidP="00EC3A2F">
                              <w:r w:rsidRPr="008D43DB">
                                <w:rPr>
                                  <w:rFonts w:ascii="Arial" w:hAnsi="Arial" w:cs="Arial"/>
                                  <w:color w:val="000000"/>
                                  <w:kern w:val="24"/>
                                  <w:sz w:val="28"/>
                                  <w:szCs w:val="28"/>
                                </w:rPr>
                                <w:t>A</w:t>
                              </w:r>
                            </w:p>
                          </w:txbxContent>
                        </wps:txbx>
                        <wps:bodyPr wrap="none" rtlCol="0">
                          <a:spAutoFit/>
                        </wps:bodyPr>
                      </wps:wsp>
                      <wps:wsp>
                        <wps:cNvPr id="60" name="TextBox 22"/>
                        <wps:cNvSpPr txBox="1">
                          <a:spLocks/>
                        </wps:cNvSpPr>
                        <wps:spPr>
                          <a:xfrm>
                            <a:off x="2773726" y="0"/>
                            <a:ext cx="301625" cy="500380"/>
                          </a:xfrm>
                          <a:prstGeom prst="rect">
                            <a:avLst/>
                          </a:prstGeom>
                          <a:noFill/>
                        </wps:spPr>
                        <wps:txbx>
                          <w:txbxContent>
                            <w:p w14:paraId="7B7C9002" w14:textId="77777777" w:rsidR="00FA6D16" w:rsidRDefault="00FA6D16" w:rsidP="00EC3A2F">
                              <w:r w:rsidRPr="008D43DB">
                                <w:rPr>
                                  <w:rFonts w:ascii="Arial" w:hAnsi="Arial" w:cs="Arial"/>
                                  <w:color w:val="000000"/>
                                  <w:kern w:val="24"/>
                                  <w:sz w:val="28"/>
                                  <w:szCs w:val="28"/>
                                </w:rPr>
                                <w:t>B</w:t>
                              </w:r>
                            </w:p>
                          </w:txbxContent>
                        </wps:txbx>
                        <wps:bodyPr wrap="none" rtlCol="0">
                          <a:spAutoFit/>
                        </wps:bodyPr>
                      </wps:wsp>
                    </wpg:wgp>
                  </a:graphicData>
                </a:graphic>
              </wp:inline>
            </w:drawing>
          </mc:Choice>
          <mc:Fallback>
            <w:pict>
              <v:group w14:anchorId="57653F1F" id="Group 6" o:spid="_x0000_s1026" style="width:6in;height:254.2pt;mso-position-horizontal-relative:char;mso-position-vertical-relative:line" coordsize="54864,322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">
                <v:shape id="Picture 25" o:spid="_x0000_s1027" type="#_x0000_t75" alt="A close up of a light&#10;&#10;Description automatically generated" style="position:absolute;top:1745;width:54864;height:305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">
                  <v:imagedata r:id="rId60" o:title="A close up of a light&#10;&#10;Description automatically generated"/>
                  <o:lock v:ext="edit" aspectratio="f"/>
                </v:shape>
                <v:shapetype id="_x0000_t202" coordsize="21600,21600" o:spt="202" path="m,l,21600r21600,l21600,xe">
                  <v:stroke joinstyle="miter"/>
                  <v:path gradientshapeok="t" o:connecttype="rect"/>
                </v:shapetype>
                <v:shape id="TextBox 21" o:spid="_x0000_s1028" type="#_x0000_t202" style="position:absolute;top:206;width:3016;height:50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" filled="f" stroked="f">
                  <v:textbox style="mso-fit-shape-to-text:t">
                    <w:txbxContent>
                      <w:p w14:paraId="1285F398" w14:textId="77777777" w:rsidR="00FA6D16" w:rsidRDefault="00FA6D16" w:rsidP="00EC3A2F">
                        <w:r w:rsidRPr="008D43DB">
                          <w:rPr>
                            <w:rFonts w:ascii="Arial" w:hAnsi="Arial" w:cs="Arial"/>
                            <w:color w:val="000000"/>
                            <w:kern w:val="24"/>
                            <w:sz w:val="28"/>
                            <w:szCs w:val="28"/>
                          </w:rPr>
                          <w:t>A</w:t>
                        </w:r>
                      </w:p>
                    </w:txbxContent>
                  </v:textbox>
                </v:shape>
                <v:shape id="TextBox 22" o:spid="_x0000_s1029" type="#_x0000_t202" style="position:absolute;left:27737;width:3016;height:50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" filled="f" stroked="f">
                  <v:textbox style="mso-fit-shape-to-text:t">
                    <w:txbxContent>
                      <w:p w14:paraId="7B7C9002" w14:textId="77777777" w:rsidR="00FA6D16" w:rsidRDefault="00FA6D16" w:rsidP="00EC3A2F">
                        <w:r w:rsidRPr="008D43DB">
                          <w:rPr>
                            <w:rFonts w:ascii="Arial" w:hAnsi="Arial" w:cs="Arial"/>
                            <w:color w:val="000000"/>
                            <w:kern w:val="24"/>
                            <w:sz w:val="28"/>
                            <w:szCs w:val="28"/>
                          </w:rPr>
                          <w:t>B</w:t>
                        </w:r>
                      </w:p>
                    </w:txbxContent>
                  </v:textbox>
                </v:shape>
                <w10:anchorlock/>
              </v:group>
            </w:pict>
          </mc:Fallback>
        </mc:AlternateContent>
      </w:r>
    </w:p>
    <w:p w14:paraId="28D3CF83" w14:textId="11E4FB0E" w:rsidR="00F84079" w:rsidRPr="00F84079" w:rsidRDefault="00C660CE" w:rsidP="00F84079">
      <w:pPr>
        <w:pStyle w:val="Caption"/>
        <w:jc w:val="both"/>
      </w:pPr>
      <w:bookmarkStart w:id="106" w:name="_Toc5807419"/>
      <w:r>
        <w:t xml:space="preserve">Figure </w:t>
      </w:r>
      <w:r w:rsidR="00C371B6">
        <w:t>4.6</w:t>
      </w:r>
      <w:r>
        <w:t xml:space="preserve"> </w:t>
      </w:r>
      <w:r w:rsidR="00EC3A2F">
        <w:t>Initial paraherquamides structure-activity-relationships</w:t>
      </w:r>
      <w:bookmarkEnd w:id="106"/>
      <w:r w:rsidR="00EC3A2F">
        <w:t xml:space="preserve"> </w:t>
      </w:r>
    </w:p>
    <w:p w14:paraId="60CCAB6E" w14:textId="77777777" w:rsidR="00EC3A2F" w:rsidRDefault="00EC3A2F" w:rsidP="00EC3A2F">
      <w:pPr>
        <w:spacing w:line="240" w:lineRule="auto"/>
        <w:jc w:val="both"/>
        <w:rPr>
          <w:b/>
        </w:rPr>
      </w:pPr>
      <w:r w:rsidRPr="002E20D2">
        <w:t>(A) Additional</w:t>
      </w:r>
      <w:r w:rsidRPr="002E20D2">
        <w:rPr>
          <w:b/>
        </w:rPr>
        <w:t xml:space="preserve"> </w:t>
      </w:r>
      <w:r w:rsidRPr="002E20D2">
        <w:t>paraherquamide</w:t>
      </w:r>
      <w:r w:rsidRPr="002E20D2">
        <w:rPr>
          <w:b/>
        </w:rPr>
        <w:t xml:space="preserve"> </w:t>
      </w:r>
      <w:r w:rsidRPr="002E20D2">
        <w:t xml:space="preserve">related compounds present in the initial FITC-β-casein degradation screen (B) Relative ClpP activation of </w:t>
      </w:r>
      <w:r w:rsidRPr="002E20D2">
        <w:rPr>
          <w:b/>
        </w:rPr>
        <w:t>1</w:t>
      </w:r>
      <w:r w:rsidRPr="002E20D2">
        <w:t xml:space="preserve"> and related compounds.</w:t>
      </w:r>
    </w:p>
    <w:p w14:paraId="26D988CF" w14:textId="77777777" w:rsidR="00EC3A2F" w:rsidRPr="00EC3A2F" w:rsidRDefault="00EC3A2F" w:rsidP="00EC3A2F">
      <w:pPr>
        <w:spacing w:line="240" w:lineRule="auto"/>
        <w:jc w:val="both"/>
        <w:rPr>
          <w:b/>
        </w:rPr>
      </w:pPr>
    </w:p>
    <w:p w14:paraId="02622B9E" w14:textId="77777777" w:rsidR="00EC3A2F" w:rsidRPr="009375AA" w:rsidRDefault="00EC3A2F" w:rsidP="00EC3A2F">
      <w:pPr>
        <w:ind w:firstLine="720"/>
        <w:jc w:val="both"/>
      </w:pPr>
      <w:r w:rsidRPr="009375AA">
        <w:t>Upon reinvestigation of the screened compound set, we noted that six additional members of this family were included within the screen (</w:t>
      </w:r>
      <w:r w:rsidRPr="009375AA">
        <w:rPr>
          <w:b/>
        </w:rPr>
        <w:t>2</w:t>
      </w:r>
      <w:r w:rsidRPr="009375AA">
        <w:t>–</w:t>
      </w:r>
      <w:r w:rsidRPr="009375AA">
        <w:rPr>
          <w:b/>
        </w:rPr>
        <w:t>7</w:t>
      </w:r>
      <w:r w:rsidRPr="009375AA">
        <w:t xml:space="preserve">, </w:t>
      </w:r>
      <w:r w:rsidRPr="009375AA">
        <w:rPr>
          <w:b/>
        </w:rPr>
        <w:t xml:space="preserve">Figure </w:t>
      </w:r>
      <w:r>
        <w:rPr>
          <w:b/>
        </w:rPr>
        <w:t>4.</w:t>
      </w:r>
      <w:r w:rsidR="00C371B6">
        <w:rPr>
          <w:b/>
        </w:rPr>
        <w:t>6</w:t>
      </w:r>
      <w:r w:rsidRPr="009375AA">
        <w:rPr>
          <w:b/>
        </w:rPr>
        <w:t>A</w:t>
      </w:r>
      <w:r w:rsidRPr="009375AA">
        <w:t>). Interestingly, however, all six of these analogs fail to elicit ClpP activation to any significant extent (</w:t>
      </w:r>
      <w:r w:rsidRPr="009375AA">
        <w:rPr>
          <w:b/>
        </w:rPr>
        <w:t xml:space="preserve">Figure </w:t>
      </w:r>
      <w:r>
        <w:rPr>
          <w:b/>
        </w:rPr>
        <w:t>4.</w:t>
      </w:r>
      <w:r w:rsidR="00C371B6">
        <w:rPr>
          <w:b/>
        </w:rPr>
        <w:t>6</w:t>
      </w:r>
      <w:r w:rsidRPr="009375AA">
        <w:rPr>
          <w:b/>
        </w:rPr>
        <w:t>B</w:t>
      </w:r>
      <w:r w:rsidRPr="009375AA">
        <w:t>). Most notable from this group is notoamide B (</w:t>
      </w:r>
      <w:r w:rsidRPr="009375AA">
        <w:rPr>
          <w:b/>
        </w:rPr>
        <w:t>2</w:t>
      </w:r>
      <w:r w:rsidRPr="009375AA">
        <w:t>), which only lacks the C-10 α-oriented secondary hydroxyl group.</w:t>
      </w:r>
      <w:r>
        <w:fldChar w:fldCharType="begin"/>
      </w:r>
      <w:r>
        <w:instrText>ADDIN F1000_CSL_CITATION&lt;~#@#~&gt;[{"DOI":"10.1002/anie.200604381","First":false,"Last":false,"PMID":"17304611","author":[{"family":"Kato","given":"Hikaru"},{"family":"Yoshida","given":"Takushi"},{"family":"Tokue","given":"Takanori"},{"family":"Nojiri","given":"Yuka"},{"family":"Hirota","given":"Hiroshi"},{"family":"Ohta","given":"Tomihisa"},{"family":"Williams","given":"Robert M"},{"family":"Tsukamoto","given":"Sachiko"}],"authorYearDisplayFormat":false,"citation-label":"6766423","container-title":"Angewandte Chemie","container-title-short":"Angew Chem Int Ed Engl","id":"6766423","invisible":false,"issue":"13","issued":{"date-parts":[["2007","1","1"]]},"journalAbbreviation":"Angew Chem Int Ed Engl","page":"2254-2256","suppress-author":false,"title":"Notoamides A-D: prenylated indole alkaloids isolated from a marine-derived fungus, Aspergillus sp.","type":"article-journal","volume":"46"}]</w:instrText>
      </w:r>
      <w:r>
        <w:fldChar w:fldCharType="separate"/>
      </w:r>
      <w:r w:rsidRPr="009D2519">
        <w:rPr>
          <w:noProof/>
          <w:vertAlign w:val="superscript"/>
        </w:rPr>
        <w:t>44</w:t>
      </w:r>
      <w:r>
        <w:fldChar w:fldCharType="end"/>
      </w:r>
      <w:r w:rsidRPr="009375AA">
        <w:t xml:space="preserve"> This lack of activity by </w:t>
      </w:r>
      <w:r w:rsidRPr="009375AA">
        <w:rPr>
          <w:b/>
        </w:rPr>
        <w:t>2</w:t>
      </w:r>
      <w:r w:rsidRPr="009375AA">
        <w:t xml:space="preserve"> identifies the C-10 α-hydroxy motif as a necessary fixture in this natural product class for ClpP activation. In addition, the 3-dimensional attributes imparted by the spiroindolinone moiety seem to be important, as all other congeners exhibit a fused architecture and fail to activate ClpP.</w:t>
      </w:r>
    </w:p>
    <w:p w14:paraId="0B300BA4" w14:textId="77777777" w:rsidR="00EC3A2F" w:rsidRPr="002624BC" w:rsidRDefault="00EC3A2F" w:rsidP="00EC3A2F">
      <w:pPr>
        <w:ind w:firstLine="720"/>
        <w:jc w:val="both"/>
      </w:pPr>
      <w:r w:rsidRPr="009375AA">
        <w:t xml:space="preserve">Indicative of its relatively modest apparent binding affinity, </w:t>
      </w:r>
      <w:r w:rsidRPr="009375AA">
        <w:rPr>
          <w:b/>
        </w:rPr>
        <w:t>1</w:t>
      </w:r>
      <w:r w:rsidRPr="009375AA">
        <w:t xml:space="preserve"> failed to inhibit the growth (&gt; 100 µM) of permeabilized and efflux pump deficient </w:t>
      </w:r>
      <w:r w:rsidRPr="009375AA">
        <w:rPr>
          <w:i/>
        </w:rPr>
        <w:t>E. coli</w:t>
      </w:r>
      <w:r w:rsidRPr="009375AA">
        <w:t xml:space="preserve"> </w:t>
      </w:r>
      <w:r>
        <w:t xml:space="preserve">M5418 </w:t>
      </w:r>
      <w:r w:rsidRPr="00166959">
        <w:t>(</w:t>
      </w:r>
      <w:r w:rsidRPr="00166959">
        <w:rPr>
          <w:i/>
          <w:iCs/>
        </w:rPr>
        <w:t>ΔacrB, ΔacrD, ΔacrEF::spc ΔemrB ΔemrY ΔentS::cam ΔmacB ΔmdtC ΔmdtF</w:t>
      </w:r>
      <w:r w:rsidRPr="00166959">
        <w:t>)</w:t>
      </w:r>
      <w:r>
        <w:fldChar w:fldCharType="begin"/>
      </w:r>
      <w:r>
        <w:instrText>ADDIN F1000_CSL_CITATION&lt;~#@#~&gt;[{"DOI":"10.1128/JB.01996-12","First":false,"Last":false,"PMCID":"PMC3571319","PMID":"23264577","abstract":"Escherichia coli has nine inner membrane efflux pumps which complex with the outer membrane protein TolC and cognate membrane fusion proteins to form tripartite transperiplasmic pumps with diverse functions, including the expulsion of antibiotics. We recently observed that tolC mutants have elevated activities for three stress response regulators, MarA, SoxS, and Rob, and we suggested that TolC-dependent efflux is required to prevent the accumulation of stressful cellular metabolites. Here, we used spy::lacZ fusions to show that two systems for sensing/repairing extracytoplasmic stress, BaeRS and CpxARP, are activated in the absence of TolC-dependent efflux. In either tolC mutants or bacteria with mutations in the genes for four TolC-dependent efflux pumps, spy expression was increased 6- to 8-fold. spy encodes a periplasmic chaperone regulated by the BaeRS and CpxARP stress response systems. The overexpression of spy in tolC or multiple efflux pump mutants also depended on these systems. spy overexpression was not due to acetate, ethanol, or indole accumulation, since external acetate had only a minor effect on wild-type cells, ethanol had a large effect that was not CpxA dependent, and a tolC tnaA mutant which cannot accumulate internal indole overexpressed spy. We propose that, unless TolC-dependent pumps excrete certain metabolites, the metabolites accumulate and activate at least five different stress response systems.","author":[{"family":"Rosner","given":"Judah L"},{"family":"Martin","given":"Robert G"}],"authorYearDisplayFormat":false,"citation-label":"3448326","container-title":"Journal of Bacteriology","container-title-short":"J. Bacteriol.","id":"3448326","invisible":false,"issue":"5","issued":{"date-parts":[["2013","3"]]},"journalAbbreviation":"J. Bacteriol.","page":"1042-1050","suppress-author":false,"title":"Reduction of cellular stress by TolC-dependent efflux pumps in Escherichia coli indicated by BaeSR and CpxARP activation of spy in efflux mutants.","type":"article-journal","volume":"195"}]</w:instrText>
      </w:r>
      <w:r>
        <w:fldChar w:fldCharType="separate"/>
      </w:r>
      <w:r w:rsidRPr="009D2519">
        <w:rPr>
          <w:noProof/>
          <w:vertAlign w:val="superscript"/>
        </w:rPr>
        <w:t>45</w:t>
      </w:r>
      <w:r>
        <w:fldChar w:fldCharType="end"/>
      </w:r>
      <w:r>
        <w:t xml:space="preserve"> </w:t>
      </w:r>
      <w:r w:rsidRPr="009375AA">
        <w:t xml:space="preserve">and </w:t>
      </w:r>
      <w:r w:rsidRPr="009375AA">
        <w:rPr>
          <w:i/>
        </w:rPr>
        <w:t xml:space="preserve">Pseudomonas aeruginosa </w:t>
      </w:r>
      <w:r w:rsidRPr="00606E8D">
        <w:t>PAO1116 ((Δ</w:t>
      </w:r>
      <w:r w:rsidRPr="00606E8D">
        <w:rPr>
          <w:i/>
          <w:iCs/>
        </w:rPr>
        <w:t>mexAB-oprM</w:t>
      </w:r>
      <w:r w:rsidRPr="00606E8D">
        <w:t>), (Δ</w:t>
      </w:r>
      <w:r w:rsidRPr="00606E8D">
        <w:rPr>
          <w:i/>
          <w:iCs/>
        </w:rPr>
        <w:t>mexCD-oprJ</w:t>
      </w:r>
      <w:r w:rsidRPr="00606E8D">
        <w:t>), (Δ</w:t>
      </w:r>
      <w:r w:rsidRPr="00606E8D">
        <w:rPr>
          <w:i/>
          <w:iCs/>
        </w:rPr>
        <w:t>mexEF-oprN</w:t>
      </w:r>
      <w:r w:rsidRPr="00606E8D">
        <w:t xml:space="preserve">), </w:t>
      </w:r>
      <w:r w:rsidRPr="00606E8D">
        <w:lastRenderedPageBreak/>
        <w:t>(Δ</w:t>
      </w:r>
      <w:r w:rsidRPr="00606E8D">
        <w:rPr>
          <w:i/>
          <w:iCs/>
        </w:rPr>
        <w:t>mexJK</w:t>
      </w:r>
      <w:r w:rsidRPr="00606E8D">
        <w:t>), (Δ</w:t>
      </w:r>
      <w:r w:rsidRPr="00606E8D">
        <w:rPr>
          <w:i/>
          <w:iCs/>
        </w:rPr>
        <w:t>mexXY</w:t>
      </w:r>
      <w:r w:rsidRPr="00606E8D">
        <w:t>), and (Δ</w:t>
      </w:r>
      <w:r w:rsidRPr="00606E8D">
        <w:rPr>
          <w:i/>
          <w:iCs/>
        </w:rPr>
        <w:t>triABC</w:t>
      </w:r>
      <w:r w:rsidRPr="00606E8D">
        <w:t>))</w:t>
      </w:r>
      <w:r>
        <w:fldChar w:fldCharType="begin"/>
      </w:r>
      <w:r>
        <w:instrText>ADDIN F1000_CSL_CITATION&lt;~#@#~&gt;[{"First":false,"Last":false,"abstract":"Pseudomonas aeruginosa achieves high-level (MIC&gt; 1 mg/ml) triclosan resistance either by constitutive expression of MexAB-OprM, an efflux pump of the resistance nodulation cell division (RND) family, or expression of MexCD-OprJ, MexEF-OprN, and MexJK-OpmH in regulatory mutants. A triclosan-resistant target enzyme and perhaps other mechanisms probably act synergistically with efflux. To probe this notion, we exposed the susceptible Δ (mexAB-oprM) Δ (mexCD-oprJ) Δ (mexEF-oprN) Δ (mexJK) Δ (mexXY) strain PAO509 to …","author":[{"family":"Mima","given":"T"},{"family":"Joshi","given":"S"},{"family":"Gomez","given":"M"}],"authorYearDisplayFormat":false,"citation-label":"6766427","container-title":"Escalada…","container-title-short":"Escalada…","id":"6766427","invisible":false,"issued":{"date-parts":[[]]},"journalAbbreviation":"Escalada…","suppress-author":false,"title":"Identification and characterization of TriABC-OpmH, a triclosan efflux pump of Pseudomonas aeruginosa requiring two membrane fusion proteins","type":"article-journal"}]</w:instrText>
      </w:r>
      <w:r>
        <w:fldChar w:fldCharType="separate"/>
      </w:r>
      <w:r w:rsidRPr="009D2519">
        <w:rPr>
          <w:noProof/>
          <w:vertAlign w:val="superscript"/>
        </w:rPr>
        <w:t>46</w:t>
      </w:r>
      <w:r>
        <w:fldChar w:fldCharType="end"/>
      </w:r>
      <w:r>
        <w:t xml:space="preserve"> </w:t>
      </w:r>
      <w:r w:rsidRPr="009375AA">
        <w:t xml:space="preserve">proprietary strains. </w:t>
      </w:r>
      <w:r w:rsidRPr="002624BC">
        <w:t>These results suggest that although </w:t>
      </w:r>
      <w:r w:rsidRPr="002624BC">
        <w:rPr>
          <w:b/>
          <w:bCs/>
        </w:rPr>
        <w:t>1</w:t>
      </w:r>
      <w:r w:rsidRPr="002624BC">
        <w:t> is capable of activating recombinant </w:t>
      </w:r>
      <w:r w:rsidRPr="002624BC">
        <w:rPr>
          <w:i/>
          <w:iCs/>
        </w:rPr>
        <w:t>Ec</w:t>
      </w:r>
      <w:r w:rsidRPr="002624BC">
        <w:t>ClpP, improvement of potency is required for cellular target engagement and efficacy. Molecular dissection to identify the pharmacophore for this class of ClpP-activating natural products and X-ray cocrystallization studies are currently ongoing in our laboratory. Results from these studies will be communicated in due course and will contribute to structure-guided approaches aimed at improving upon the ClpP activation potency of this chemotype. Furthermore, the process outlined here will be expanded upon to enable the screening of natural product extracts, allowing for the interrogation of much larger chemical diversity.</w:t>
      </w:r>
    </w:p>
    <w:p w14:paraId="4D3B51BF" w14:textId="77777777" w:rsidR="00EC3A2F" w:rsidRDefault="00EC3A2F" w:rsidP="00EC3A2F">
      <w:pPr>
        <w:jc w:val="both"/>
      </w:pPr>
    </w:p>
    <w:p w14:paraId="77BBDB93" w14:textId="77777777" w:rsidR="00EC3A2F" w:rsidRPr="00372C19" w:rsidRDefault="00EC3A2F" w:rsidP="004E7821">
      <w:pPr>
        <w:pStyle w:val="Heading2"/>
      </w:pPr>
      <w:bookmarkStart w:id="107" w:name="_Toc8392788"/>
      <w:r w:rsidRPr="00372C19">
        <w:t>4.4 Discussion</w:t>
      </w:r>
      <w:bookmarkEnd w:id="107"/>
    </w:p>
    <w:p w14:paraId="7CE38717" w14:textId="2FF99FC6" w:rsidR="00EC3A2F" w:rsidRDefault="00EC3A2F" w:rsidP="002C3653">
      <w:pPr>
        <w:ind w:firstLine="720"/>
        <w:jc w:val="both"/>
      </w:pPr>
      <w:r>
        <w:t>Overall,</w:t>
      </w:r>
      <w:r w:rsidRPr="00252BA6">
        <w:t xml:space="preserve"> the utility of ClpP activation and inhibition has been established. To exploit ClpP as a target clinically, however, new chemical scaffolds are required. </w:t>
      </w:r>
      <w:r>
        <w:t>Leveraging our affiliation with the Institute of Natural Products Applications and Research Technologies (INPART) at the University of Oklahoma, we conducted the first reported natural products screen for new ClpP activators and identified the first non-peptide-based ClpP activator, sclerotiamide. While this compound lacks potency and fails to exhibit antibacterial activity at the concentrations tested, it provides a new scaffold for medicinal chemistry interrogation. Future studies are planned to synthesize new lead analogs, and attempts to gain structural information are ongoing.</w:t>
      </w:r>
    </w:p>
    <w:p w14:paraId="1673483F" w14:textId="77777777" w:rsidR="00CE3437" w:rsidRPr="00B9118A" w:rsidRDefault="00CE3437" w:rsidP="002C3653">
      <w:pPr>
        <w:ind w:firstLine="720"/>
        <w:jc w:val="both"/>
      </w:pPr>
    </w:p>
    <w:p w14:paraId="3FC284C0" w14:textId="3042122C" w:rsidR="00EC3A2F" w:rsidRDefault="00EC3A2F" w:rsidP="004E7821">
      <w:pPr>
        <w:pStyle w:val="Heading2"/>
      </w:pPr>
      <w:bookmarkStart w:id="108" w:name="_Toc8392789"/>
      <w:r w:rsidRPr="00372C19">
        <w:lastRenderedPageBreak/>
        <w:t>4.5 In Brief: Consequences of Depsipeptide Substitution on the ClpP Activation Activity of Antibacterial Acyldepsipeptides</w:t>
      </w:r>
      <w:r w:rsidR="00D104C9">
        <w:rPr>
          <w:rStyle w:val="FootnoteReference"/>
        </w:rPr>
        <w:footnoteReference w:id="5"/>
      </w:r>
      <w:bookmarkEnd w:id="108"/>
    </w:p>
    <w:p w14:paraId="71BFF993" w14:textId="28BC2BBE" w:rsidR="00D104C9" w:rsidRDefault="00D104C9" w:rsidP="0012418F">
      <w:pPr>
        <w:pStyle w:val="Heading3"/>
      </w:pPr>
      <w:bookmarkStart w:id="109" w:name="_Toc8392790"/>
      <w:r>
        <w:t>4.5.1 Abstract</w:t>
      </w:r>
      <w:bookmarkEnd w:id="109"/>
    </w:p>
    <w:p w14:paraId="48D2DC46" w14:textId="471A6933" w:rsidR="00D104C9" w:rsidRPr="00D104C9" w:rsidRDefault="00D104C9" w:rsidP="00D104C9">
      <w:pPr>
        <w:ind w:firstLine="720"/>
        <w:jc w:val="both"/>
      </w:pPr>
      <w:r w:rsidRPr="00D104C9">
        <w:t>The acyldepsipeptide (ADEP) antibiotics operate through a clinically unexploited mechanism of action and thus have attracted attention from several antibacterial development groups. The ADEP scaffold is synthetically tractable, and deep-seated modifications have produced extremely potent antibacterial leads against Gram-positive pathogens. Although newly identified ADEP analogs demonstrate remarkable antibacterial activity against bacterial isolates and in mouse models of bacterial infections, stability issues pertaining to the depsipeptide core remain. To date, no study has been reported on the natural ADEP scaffold that evaluates the sole importance of the macrocyclic linkage on target engagement, molecular conformation, and bioactivity. To address this gap in ADEP structure–activity relationships, we synthesized three ADEP analogs that only differ in the linkage motif (i.e., ester, amide, and N-methyl amide) and provide a side-by-side comparison of conformational behavior and biological activity. We demonstrate that while replacement of the naturally occurring ester linkage with a secondary amide maintains in vitro biochemical activity, this simple substitution results in a significant drop in whole-</w:t>
      </w:r>
      <w:r w:rsidRPr="00D104C9">
        <w:lastRenderedPageBreak/>
        <w:t>cell activity. This study provides direct evidence that ester</w:t>
      </w:r>
      <w:r>
        <w:t xml:space="preserve"> </w:t>
      </w:r>
      <w:r w:rsidRPr="00D104C9">
        <w:t>to amide linkage substitution is unlikely to provide a reasonable solution for ADEP instability.</w:t>
      </w:r>
    </w:p>
    <w:p w14:paraId="0F82EE18" w14:textId="2125F8FA" w:rsidR="00D104C9" w:rsidRDefault="00D104C9" w:rsidP="0012418F">
      <w:pPr>
        <w:pStyle w:val="Heading3"/>
      </w:pPr>
      <w:bookmarkStart w:id="110" w:name="_Toc8392791"/>
      <w:r>
        <w:t>4.5.2 Results</w:t>
      </w:r>
      <w:bookmarkEnd w:id="110"/>
    </w:p>
    <w:p w14:paraId="246B9C48" w14:textId="63B77150" w:rsidR="00EC3A2F" w:rsidRDefault="00EC3A2F" w:rsidP="00EC3A2F">
      <w:pPr>
        <w:ind w:firstLine="720"/>
        <w:jc w:val="both"/>
      </w:pPr>
      <w:r>
        <w:t>In addition to screening for new chemotypes, we have also attempted to address liabilities of the highly potent yet relatively unstable ADEPs. Unfortunately, we discovered that simply altering the depsipeptide linkage with a more stable amide linkage abolishes activity against bacteria, even though target-engagement seems undisturbed. We believe that this is attributed to a disruption of an intramolecular hydrogen bond, which is known to enhance molecular rigidity, a feature shown to be crucial for permeation of cyclic peptides and depsipeptides.</w:t>
      </w:r>
    </w:p>
    <w:p w14:paraId="4F574A86" w14:textId="77777777" w:rsidR="00EC3A2F" w:rsidRDefault="00EC3A2F" w:rsidP="00EC3A2F">
      <w:pPr>
        <w:ind w:firstLine="720"/>
        <w:jc w:val="both"/>
      </w:pPr>
    </w:p>
    <w:p w14:paraId="62D2E4BF" w14:textId="77777777" w:rsidR="00F84079" w:rsidRDefault="00EC3A2F" w:rsidP="00F84079">
      <w:pPr>
        <w:keepNext/>
        <w:jc w:val="center"/>
      </w:pPr>
      <w:r>
        <w:fldChar w:fldCharType="begin"/>
      </w:r>
      <w:r>
        <w:instrText xml:space="preserve"> INCLUDEPICTURE "https://pubs.acs.org/appl/literatum/publisher/achs/journals/content/amclct/2017/amclct.2017.8.issue-11/acsmedchemlett.7b00320/20171108/images/large/ml-2017-00320w_0002.jpeg" \* MERGEFORMATINET </w:instrText>
      </w:r>
      <w:r>
        <w:fldChar w:fldCharType="separate"/>
      </w:r>
      <w:r w:rsidR="001A3FA6" w:rsidRPr="00F9529F">
        <w:rPr>
          <w:noProof/>
        </w:rPr>
        <w:drawing>
          <wp:inline distT="0" distB="0" distL="0" distR="0" wp14:anchorId="675B9BB8" wp14:editId="4071DA41">
            <wp:extent cx="3829685" cy="3108960"/>
            <wp:effectExtent l="0" t="0" r="0" b="0"/>
            <wp:docPr id="30" name="Picture 46" descr="https://pubs.acs.org/appl/literatum/publisher/achs/journals/content/amclct/2017/amclct.2017.8.issue-11/acsmedchemlett.7b00320/20171108/images/large/ml-2017-00320w_000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descr="https://pubs.acs.org/appl/literatum/publisher/achs/journals/content/amclct/2017/amclct.2017.8.issue-11/acsmedchemlett.7b00320/20171108/images/large/ml-2017-00320w_0002.jpeg"/>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29685" cy="3108960"/>
                    </a:xfrm>
                    <a:prstGeom prst="rect">
                      <a:avLst/>
                    </a:prstGeom>
                    <a:noFill/>
                    <a:ln>
                      <a:noFill/>
                    </a:ln>
                  </pic:spPr>
                </pic:pic>
              </a:graphicData>
            </a:graphic>
          </wp:inline>
        </w:drawing>
      </w:r>
      <w:r>
        <w:fldChar w:fldCharType="end"/>
      </w:r>
    </w:p>
    <w:p w14:paraId="4F9E6D12" w14:textId="52389F1C" w:rsidR="00EC3A2F" w:rsidRPr="00C660CE" w:rsidRDefault="00F84079" w:rsidP="00C660CE">
      <w:pPr>
        <w:pStyle w:val="Caption"/>
      </w:pPr>
      <w:bookmarkStart w:id="111" w:name="_Toc5807420"/>
      <w:r>
        <w:t xml:space="preserve">Figure </w:t>
      </w:r>
      <w:r w:rsidR="00C371B6">
        <w:t>4.7</w:t>
      </w:r>
      <w:r w:rsidR="00C660CE">
        <w:t xml:space="preserve"> </w:t>
      </w:r>
      <w:r w:rsidR="00EC3A2F" w:rsidRPr="00F871F4">
        <w:t>A</w:t>
      </w:r>
      <w:r w:rsidR="00EC3A2F" w:rsidRPr="00507910">
        <w:rPr>
          <w:b w:val="0"/>
        </w:rPr>
        <w:t>) ADEP analogs synthesized and evaluated in this study. (B) Target fragments for the convergent synthesis of 1-3.</w:t>
      </w:r>
      <w:bookmarkEnd w:id="111"/>
      <w:r w:rsidR="00EC3A2F">
        <w:t xml:space="preserve"> </w:t>
      </w:r>
    </w:p>
    <w:p w14:paraId="0BCB24C8" w14:textId="77777777" w:rsidR="00EC3A2F" w:rsidRPr="00B9118A" w:rsidRDefault="00EC3A2F" w:rsidP="00EC3A2F">
      <w:pPr>
        <w:ind w:firstLine="720"/>
        <w:jc w:val="both"/>
      </w:pPr>
    </w:p>
    <w:p w14:paraId="0B4ECCF3" w14:textId="77777777" w:rsidR="00EC3A2F" w:rsidRPr="006864B4" w:rsidRDefault="00EC3A2F" w:rsidP="00EC3A2F">
      <w:pPr>
        <w:ind w:firstLine="720"/>
        <w:jc w:val="both"/>
      </w:pPr>
      <w:r w:rsidRPr="000F34E4">
        <w:lastRenderedPageBreak/>
        <w:t>Specifically, hydrolysis of the ADEP depsipeptide ester under basic or acidic conditions has been a major concern regarding this natural product family.</w:t>
      </w:r>
      <w:r>
        <w:fldChar w:fldCharType="begin"/>
      </w:r>
      <w:r>
        <w:instrText>ADDIN F1000_CSL_CITATION&lt;~#@#~&gt;[{"DOI":"10.1002/cmdc.200600055","First":false,"Last":false,"PMID":"16902918","author":[{"family":"Hinzen","given":"Berthold"},{"family":"Raddatz","given":"Siegfried"},{"family":"Paulsen","given":"Holger"},{"family":"Lampe","given":"Thomas"},{"family":"Schumacher","given":"Andreas"},{"family":"Häbich","given":"Dieter"},{"family":"Hellwig","given":"Veronica"},{"family":"Benet-Buchholz","given":"Jordi"},{"family":"Endermann","given":"Rainer"},{"family":"Labischinski","given":"Harald"},{"family":"Brötz-Oesterhelt","given":"Heike"}],"authorYearDisplayFormat":false,"citation-label":"5898249","container-title":"Chemmedchem","container-title-short":"ChemMedChem","id":"5898249","invisible":false,"issue":"7","issued":{"date-parts":[["2006","7"]]},"journalAbbreviation":"ChemMedChem","page":"689-693","suppress-author":false,"title":"Medicinal chemistry optimization of acyldepsipeptides of the enopeptin class antibiotics.","type":"article-journal","volume":"1"},{"DOI":"10.1111/mmi.13362","First":false,"Last":false,"PMCID":"PMC5469208","PMID":"26919556","abstract":"The Clp protease complex in Mycobacterium tuberculosis is unusual in its composition, functional importance and activation mechanism. Whilst most bacterial species contain a single ClpP protein that is dispensable for normal growth, mycobacteria have two ClpPs, ClpP1 and ClpP2, which are essential for viability and together form the ClpP1P2 tetradecamer. Acyldepsipeptide antibiotics of the ADEP class inhibit the growth of Gram-positive firmicutes by activating ClpP and causing unregulated protein degradation. Here we show that, in contrast, mycobacteria are killed by ADEP through inhibition of ClpP function. Although ADEPs can stimulate purified M. tuberculosis ClpP1P2 to degrade larger peptides and unstructured proteins, this effect is weaker than for ClpP from other bacteria and depends on the presence of an additional activating factor (e.g. the dipeptide benzyloxycarbonyl-leucyl-leucine in vitro) to form the active ClpP1P2 tetradecamer. The cell division protein FtsZ, which is a particularly sensitive target for ADEP-activated ClpP in firmicutes, is not degraded in mycobacteria. Depletion of the ClpP1P2 level in a conditional Mycobacterium bovis BCG mutant enhanced killing by ADEP unlike in other bacteria. In summary, ADEPs kill mycobacteria by preventing interaction of ClpP1P2 with the regulatory ATPases, ClpX or ClpC1, thus inhibiting essential ATP-dependent protein degradation.&lt;br&gt;&lt;br&gt;© 2016 The Authors Molecular Microbiology Published by John Wiley &amp; Sons Ltd.","author":[{"family":"Famulla","given":"Kirsten"},{"family":"Sass","given":"Peter"},{"family":"Malik","given":"Imran"},{"family":"Akopian","given":"Tatos"},{"family":"Kandror","given":"Olga"},{"family":"Alber","given":"Marina"},{"family":"Hinzen","given":"Berthold"},{"family":"Ruebsamen-Schaeff","given":"Helga"},{"family":"Kalscheuer","given":"Rainer"},{"family":"Goldberg","given":"Alfred L"},{"family":"Brötz-Oesterhelt","given":"Heike"}],"authorYearDisplayFormat":false,"citation-label":"5898196","container-title":"Molecular Microbiology","container-title-short":"Mol. Microbiol.","id":"5898196","invisible":false,"issue":"2","issued":{"date-parts":[["2016","4","1"]]},"journalAbbreviation":"Mol. Microbiol.","page":"194-209","suppress-author":false,"title":"Acyldepsipeptide antibiotics kill mycobacteria by preventing the physiological functions of the ClpP1P2 protease.","type":"article-journal","volume":"101"}]</w:instrText>
      </w:r>
      <w:r>
        <w:fldChar w:fldCharType="separate"/>
      </w:r>
      <w:r w:rsidRPr="009D2519">
        <w:rPr>
          <w:noProof/>
          <w:vertAlign w:val="superscript"/>
        </w:rPr>
        <w:t>20,47</w:t>
      </w:r>
      <w:r>
        <w:fldChar w:fldCharType="end"/>
      </w:r>
      <w:r w:rsidRPr="000F34E4">
        <w:t xml:space="preserve"> In fact, recent studies report </w:t>
      </w:r>
      <w:r>
        <w:t>near</w:t>
      </w:r>
      <w:r w:rsidRPr="000F34E4">
        <w:t xml:space="preserve"> </w:t>
      </w:r>
      <w:r>
        <w:t>total</w:t>
      </w:r>
      <w:r w:rsidRPr="000F34E4">
        <w:t xml:space="preserve"> degradation of various ADEPs in Mueller–Hinton broth within 24 h; a surprising claim given the benign nature of this broth.</w:t>
      </w:r>
      <w:r>
        <w:fldChar w:fldCharType="begin"/>
      </w:r>
      <w:r>
        <w:instrText>ADDIN F1000_CSL_CITATION&lt;~#@#~&gt;[{"DOI":"10.1111/mmi.13362","First":false,"Last":false,"PMCID":"PMC5469208","PMID":"26919556","abstract":"The Clp protease complex in Mycobacterium tuberculosis is unusual in its composition, functional importance and activation mechanism. Whilst most bacterial species contain a single ClpP protein that is dispensable for normal growth, mycobacteria have two ClpPs, ClpP1 and ClpP2, which are essential for viability and together form the ClpP1P2 tetradecamer. Acyldepsipeptide antibiotics of the ADEP class inhibit the growth of Gram-positive firmicutes by activating ClpP and causing unregulated protein degradation. Here we show that, in contrast, mycobacteria are killed by ADEP through inhibition of ClpP function. Although ADEPs can stimulate purified M. tuberculosis ClpP1P2 to degrade larger peptides and unstructured proteins, this effect is weaker than for ClpP from other bacteria and depends on the presence of an additional activating factor (e.g. the dipeptide benzyloxycarbonyl-leucyl-leucine in vitro) to form the active ClpP1P2 tetradecamer. The cell division protein FtsZ, which is a particularly sensitive target for ADEP-activated ClpP in firmicutes, is not degraded in mycobacteria. Depletion of the ClpP1P2 level in a conditional Mycobacterium bovis BCG mutant enhanced killing by ADEP unlike in other bacteria. In summary, ADEPs kill mycobacteria by preventing interaction of ClpP1P2 with the regulatory ATPases, ClpX or ClpC1, thus inhibiting essential ATP-dependent protein degradation.&lt;br&gt;&lt;br&gt;© 2016 The Authors Molecular Microbiology Published by John Wiley &amp; Sons Ltd.","author":[{"family":"Famulla","given":"Kirsten"},{"family":"Sass","given":"Peter"},{"family":"Malik","given":"Imran"},{"family":"Akopian","given":"Tatos"},{"family":"Kandror","given":"Olga"},{"family":"Alber","given":"Marina"},{"family":"Hinzen","given":"Berthold"},{"family":"Ruebsamen-Schaeff","given":"Helga"},{"family":"Kalscheuer","given":"Rainer"},{"family":"Goldberg","given":"Alfred L"},{"family":"Brötz-Oesterhelt","given":"Heike"}],"authorYearDisplayFormat":false,"citation-label":"5898196","container-title":"Molecular Microbiology","container-title-short":"Mol. Microbiol.","id":"5898196","invisible":false,"issue":"2","issued":{"date-parts":[["2016","4","1"]]},"journalAbbreviation":"Mol. Microbiol.","page":"194-209","suppress-author":false,"title":"Acyldepsipeptide antibiotics kill mycobacteria by preventing the physiological functions of the ClpP1P2 protease.","type":"article-journal","volume":"101"}]</w:instrText>
      </w:r>
      <w:r>
        <w:fldChar w:fldCharType="separate"/>
      </w:r>
      <w:r w:rsidRPr="009D2519">
        <w:rPr>
          <w:noProof/>
          <w:vertAlign w:val="superscript"/>
        </w:rPr>
        <w:t>47</w:t>
      </w:r>
      <w:r>
        <w:fldChar w:fldCharType="end"/>
      </w:r>
      <w:r w:rsidRPr="000F34E4">
        <w:t xml:space="preserve"> A common approach to improve the stability of ester linkages is to simply replace the ester with an amide or </w:t>
      </w:r>
      <w:r w:rsidRPr="000F34E4">
        <w:rPr>
          <w:i/>
          <w:iCs/>
        </w:rPr>
        <w:t>N</w:t>
      </w:r>
      <w:r w:rsidRPr="000F34E4">
        <w:t>-methyl amide. Ester to amide substitution has demonstrated utility to improve not only stability, but also to decrease off-target cytotoxicity and enhance permeability of cyclic lipodepsipeptides.</w:t>
      </w:r>
      <w:r>
        <w:fldChar w:fldCharType="begin"/>
      </w:r>
      <w:r>
        <w:instrText>ADDIN F1000_CSL_CITATION&lt;~#@#~&gt;[{"DOI":"10.1002/cmdc.201300173","First":false,"Last":false,"PMCID":"PMC3787707","PMID":"23780744","abstract":"Cyclic lipopeptides derived from the fusaricidin/LI-F family of naturally occurring antibiotics represent particularly attractive candidates for the development of new antibacterial agents. In comparison with natural products, these derivatives may offer better stability under physiologically relevant conditions and lower nonspecific toxicity, while preserving their antibacterial activity. In this study we assessed the ability of cyclic lipodepsipeptide 1 and its analogues-amide 2, N-methylamide 3, and linear peptide 4-to interact with the cytoplasmic membranes of selected Gram-positive bacteria. We also investigated their bacteriostatic/bactericidal modes of action and in vivo potency by using a Galleria mellonella model of MRSA infection. Cyclic lipopeptides 1 and 2 depolarize the cytoplasmic membranes of Gram-positive bacteria in a concentration-dependent manner. The degree of membrane depolarization was influenced by the structural and physical properties of 1 and 2, with the more flexible and hydrophobic peptide 1 being most efficient. However, membrane depolarization does not correlate with bacterial cell lethality, suggesting that membrane-targeting activity is not the main mode of action for this class of antibacterial peptides. Conversely, substitution of the depsipeptide bond in 1 with an N-methylamide bond in 3, or its hydrolysis to peptide 4, lead to a complete loss of antibacterial activity and indicate that the conformation of cyclic lipopeptides plays a role in their antibacterial activities. Cyclic lipopeptides 1 and 2 are also capable of improving the survival of G. mellonella larvae infected with MRSA at varying efficiencies, reflecting their in vitro activities. Gaining more insight into the structure-activity relationship and mode of action of these cyclic lipopeptides may enable the development of new antibiotics of this class with improved antibacterial activity.\n&lt;br /&gt;\n&lt;br /&gt;Copyright © 2013 WILEY-VCH Verlag GmbH &amp;amp; Co. KGaA, Weinheim.","author":[{"family":"Bionda","given":"Nina"},{"family":"Fleeman","given":"Renee M"},{"family":"Shaw","given":"Lindsey N"},{"family":"Cudic","given":"Predrag"}],"authorYearDisplayFormat":false,"citation-label":"6766490","container-title":"Chemmedchem","container-title-short":"ChemMedChem","id":"6766490","invisible":false,"issued":{"date-parts":[["2013","6","18"]]},"journalAbbreviation":"ChemMedChem","suppress-author":false,"title":"Effect of Ester to Amide or N-Methylamide Substitution on Bacterial Membrane Depolarization and Antibacterial Activity of Novel Cyclic Lipopeptides.","type":"article-journal"},{"First":false,"Last":false,"abstract":"Bacterial infections are becoming increasingly difficult to treat due to the development and spread of antibiotic resistance. Therefore, identifying novel antibacterial targets and new antibacterial agents capable of treating infections by drug‐resistant bacteria is of vital importance. The structurally simple yet potent fusaricidin or LI‐F class of natural products represents a particularly attractive source of candidates for the development of new antibacterial agents. We synthesized 18 fusaricidin/LI‐F analogues and investigated the …","author":[{"family":"Bionda","given":"N"},{"family":"Stawikowski","given":"M"},{"family":"Stawikowska","given":"R"}],"authorYearDisplayFormat":false,"citation-label":"6766492","container-title":"…","container-title-short":"…","id":"6766492","invisible":false,"issued":{"date-parts":[["2012"]]},"journalAbbreviation":"…","suppress-author":false,"title":"Effects of cyclic lipodepsipeptide structural modulation on stability, antibacterial activity, and human cell toxicity","type":"article-journal"}]</w:instrText>
      </w:r>
      <w:r>
        <w:fldChar w:fldCharType="separate"/>
      </w:r>
      <w:r w:rsidRPr="009D2519">
        <w:rPr>
          <w:noProof/>
          <w:vertAlign w:val="superscript"/>
        </w:rPr>
        <w:t>48,49</w:t>
      </w:r>
      <w:r>
        <w:fldChar w:fldCharType="end"/>
      </w:r>
      <w:r w:rsidRPr="000F34E4">
        <w:t> While ester to amide substitution has been investigated sporadically on ADEP analogs,</w:t>
      </w:r>
      <w:r>
        <w:fldChar w:fldCharType="begin"/>
      </w:r>
      <w:r>
        <w:instrText>ADDIN F1000_CSL_CITATION&lt;~#@#~&gt;[{"DOI":"10.1021/acs.jmedchem.5b01451","First":false,"Last":false,"PMID":"26818454","abstract":"The problem of antibiotic resistance has prompted the search for new antibiotics with novel mechanisms of action. Analogues of the A54556 cyclic acyldepsipeptides (ADEPs) represent an attractive class of antimicrobial agents that act through dysregulation of caseinolytic protease (ClpP). Previous studies have shown that ADEPs are active against Gram-positive bacteria (e.g., MRSA, VRE, PRSP (penicillin-resistant Streptococcus pneumoniae)); however, there are currently few studies examining Gram-negative bacteria. In this study, the synthesis and biological evaluation of 14 novel ADEPs against a variety of pathogenic Gram-negative and Gram-positive organisms is outlined. Optimization of the macrocyclic core residues and N-acyl side chain culminated in the development of 26, which shows potent activity against the Gram-negative species Neisseria meningitidis and Neisseria gonorrheae and improved activity against the Gram-positive organisms Staphylococcus aureus and Enterococcus faecalis in comparison with known analogues. In addition, the co-crystal structure of an ADEP-ClpP complex derived from N. meningitidis was solved.","author":[{"family":"Goodreid","given":"Jordan D"},{"family":"Janetzko","given":"John"},{"family":"Santa Maria","given":"John P"},{"family":"Wong","given":"Keith S"},{"family":"Leung","given":"Elisa"},{"family":"Eger","given":"Bryan T"},{"family":"Bryson","given":"Steve"},{"family":"Pai","given":"Emil F"},{"family":"Gray-Owen","given":"Scott D"},{"family":"Walker","given":"Suzanne"},{"family":"Houry","given":"Walid A"},{"family":"Batey","given":"Robert A"}],"authorYearDisplayFormat":false,"citation-label":"6764905","container-title":"Journal of Medicinal Chemistry","container-title-short":"J. Med. Chem.","id":"6764905","invisible":false,"issue":"2","issued":{"date-parts":[["2016","1","28"]]},"journalAbbreviation":"J. Med. Chem.","page":"624-646","suppress-author":false,"title":"Development and Characterization of Potent Cyclic Acyldepsipeptide Analogues with Increased Antimicrobial Activity.","type":"article-journal","volume":"59"},{"First":false,"Last":false,"abstract":"Disclosed herein are methods and compositions for the eradication of bacterial infections. In particular, methods and compositions are disclosed for the eradication of persister and slow growing bacterial cell populations. In particular embodiments, the methods and compositions disclosed herein are useful for eradication of biofilms.","author":[{"family":"Lewis","given":"K"},{"family":"Conlon","given":"B"},{"family":"Nelson","given":"M L"}],"authorYearDisplayFormat":false,"citation-label":"6766495","container-title":"US Patent App. 14 …","container-title-short":"US Patent App. 14 …","id":"6766495","invisible":false,"issued":{"date-parts":[["2014"]]},"journalAbbreviation":"US Patent App. 14 …","suppress-author":false,"title":"Methods of eradicating bacterial cell populations","type":"article-journal"}]</w:instrText>
      </w:r>
      <w:r>
        <w:fldChar w:fldCharType="separate"/>
      </w:r>
      <w:r w:rsidRPr="009D2519">
        <w:rPr>
          <w:noProof/>
          <w:vertAlign w:val="superscript"/>
        </w:rPr>
        <w:t>50,51</w:t>
      </w:r>
      <w:r>
        <w:fldChar w:fldCharType="end"/>
      </w:r>
      <w:r w:rsidRPr="000F34E4">
        <w:t> no direct systematic comparison of compounds differing in only the macrocyclic linkage type (i.e., −O–, −NH–, −NMe−) has been reported. Furthermore, all linkage substitutions reported to date have been conducted on “pre-rigidified” ADEP analogs, in which unnatural amino acids have been introduced into the macrocyclic core to enhance structural rigidity.</w:t>
      </w:r>
      <w:r>
        <w:fldChar w:fldCharType="begin"/>
      </w:r>
      <w:r>
        <w:instrText>ADDIN F1000_CSL_CITATION&lt;~#@#~&gt;[{"DOI":"10.1021/acs.jmedchem.5b01451","First":false,"Last":false,"PMID":"26818454","abstract":"The problem of antibiotic resistance has prompted the search for new antibiotics with novel mechanisms of action. Analogues of the A54556 cyclic acyldepsipeptides (ADEPs) represent an attractive class of antimicrobial agents that act through dysregulation of caseinolytic protease (ClpP). Previous studies have shown that ADEPs are active against Gram-positive bacteria (e.g., MRSA, VRE, PRSP (penicillin-resistant Streptococcus pneumoniae)); however, there are currently few studies examining Gram-negative bacteria. In this study, the synthesis and biological evaluation of 14 novel ADEPs against a variety of pathogenic Gram-negative and Gram-positive organisms is outlined. Optimization of the macrocyclic core residues and N-acyl side chain culminated in the development of 26, which shows potent activity against the Gram-negative species Neisseria meningitidis and Neisseria gonorrheae and improved activity against the Gram-positive organisms Staphylococcus aureus and Enterococcus faecalis in comparison with known analogues. In addition, the co-crystal structure of an ADEP-ClpP complex derived from N. meningitidis was solved.","author":[{"family":"Goodreid","given":"Jordan D"},{"family":"Janetzko","given":"John"},{"family":"Santa Maria","given":"John P"},{"family":"Wong","given":"Keith S"},{"family":"Leung","given":"Elisa"},{"family":"Eger","given":"Bryan T"},{"family":"Bryson","given":"Steve"},{"family":"Pai","given":"Emil F"},{"family":"Gray-Owen","given":"Scott D"},{"family":"Walker","given":"Suzanne"},{"family":"Houry","given":"Walid A"},{"family":"Batey","given":"Robert A"}],"authorYearDisplayFormat":false,"citation-label":"6764905","container-title":"Journal of Medicinal Chemistry","container-title-short":"J. Med. Chem.","id":"6764905","invisible":false,"issue":"2","issued":{"date-parts":[["2016","1","28"]]},"journalAbbreviation":"J. Med. Chem.","page":"624-646","suppress-author":false,"title":"Development and Characterization of Potent Cyclic Acyldepsipeptide Analogues with Increased Antimicrobial Activity.","type":"article-journal","volume":"59"},{"First":false,"Last":false,"abstract":"Disclosed herein are methods and compositions for the eradication of bacterial infections. In particular, methods and compositions are disclosed for the eradication of persister and slow growing bacterial cell populations. In particular embodiments, the methods and compositions disclosed herein are useful for eradication of biofilms.","author":[{"family":"Lewis","given":"K"},{"family":"Conlon","given":"B"},{"family":"Nelson","given":"M L"}],"authorYearDisplayFormat":false,"citation-label":"6766495","container-title":"US Patent App. 14 …","container-title-short":"US Patent App. 14 …","id":"6766495","invisible":false,"issued":{"date-parts":[["2014"]]},"journalAbbreviation":"US Patent App. 14 …","suppress-author":false,"title":"Methods of eradicating bacterial cell populations","type":"article-journal"}]</w:instrText>
      </w:r>
      <w:r>
        <w:fldChar w:fldCharType="separate"/>
      </w:r>
      <w:r w:rsidRPr="009D2519">
        <w:rPr>
          <w:noProof/>
          <w:vertAlign w:val="superscript"/>
        </w:rPr>
        <w:t>50,51</w:t>
      </w:r>
      <w:r>
        <w:fldChar w:fldCharType="end"/>
      </w:r>
      <w:r w:rsidRPr="000F34E4">
        <w:t xml:space="preserve"> Incorporation of unnatural rigidification in addition to macrocyclic linkage substitution imparts a multivariable effect, which may introduce conflicting conformational strains and make it difficult to delineate the specific effect of linkage substitution. As such, to determine the sole effect of the linker on the naturally occurring ADEP macrocyclic core, we have synthesized three ADEP analogs that differ only in the linkage type and have evaluated these analogs to provide insight regarding target engagement, molecular conformation, permeation, and antibacterial activity</w:t>
      </w:r>
      <w:r>
        <w:t xml:space="preserve"> (</w:t>
      </w:r>
      <w:r w:rsidRPr="00717C4D">
        <w:rPr>
          <w:b/>
        </w:rPr>
        <w:t>Figure 4.</w:t>
      </w:r>
      <w:r w:rsidR="00C371B6">
        <w:rPr>
          <w:b/>
        </w:rPr>
        <w:t>7</w:t>
      </w:r>
      <w:r>
        <w:t>)</w:t>
      </w:r>
      <w:r w:rsidRPr="000F34E4">
        <w:t>.</w:t>
      </w:r>
    </w:p>
    <w:p w14:paraId="691933E8" w14:textId="08D9483A" w:rsidR="00EC3A2F" w:rsidRPr="00C660CE" w:rsidRDefault="00C660CE" w:rsidP="0012418F">
      <w:pPr>
        <w:pStyle w:val="Heading3"/>
      </w:pPr>
      <w:bookmarkStart w:id="112" w:name="_Toc8392792"/>
      <w:r w:rsidRPr="00C660CE">
        <w:t>4.5.</w:t>
      </w:r>
      <w:r w:rsidR="00D104C9">
        <w:t>3</w:t>
      </w:r>
      <w:r w:rsidRPr="00C660CE">
        <w:t xml:space="preserve"> </w:t>
      </w:r>
      <w:r w:rsidR="00EC3A2F" w:rsidRPr="00C660CE">
        <w:t>Bioactivity Evaluation</w:t>
      </w:r>
      <w:bookmarkEnd w:id="112"/>
    </w:p>
    <w:p w14:paraId="06E93CE0" w14:textId="4C263BA5" w:rsidR="00EC3A2F" w:rsidRPr="0081213D" w:rsidRDefault="00EC3A2F" w:rsidP="00EC3A2F">
      <w:pPr>
        <w:ind w:firstLine="720"/>
        <w:jc w:val="both"/>
      </w:pPr>
      <w:r w:rsidRPr="00770166">
        <w:t>Similar to the natural cochaperones, ADEP binding results in the reorganization of ClpP and a subsequent widening of the proteolytic chamber.</w:t>
      </w:r>
      <w:r>
        <w:fldChar w:fldCharType="begin"/>
      </w:r>
      <w:r>
        <w:instrText>ADDIN F1000_CSL_CITATION&lt;~#@#~&gt;[{"First":false,"Last":false,"abstract":"Here we show that a new class of antibiotics—acyldepsipeptides—has antibacterial activity against Gram-positive bacteria in vitro and in several rodent models of bacterial infection. The acyldepsipeptides are active against isolates that are resistant to antibiotics in clinical …","author":[{"family":"Brötz","given":"H"}],"authorYearDisplayFormat":false,"citation-label":"6766497","container-title":"Oesterhelt","container-title-short":"Oesterhelt","id":"6766497","invisible":false,"issued":{"date-parts":[[]]},"journalAbbreviation":"Oesterhelt","suppress-author":false,"title":"Dysregulation of bacterial proteolytic machinery by a new class of antibiotics","type":"article-journal"},{"DOI":"10.1038/nsmb.1787","First":false,"Last":false,"PMID":"20305655","abstract":"Clp-family proteins are prototypes for studying the mechanism of ATP-dependent proteases because the proteolytic activity of the ClpP core is tightly regulated by activating Clp-ATPases. Nonetheless, the proteolytic activation mechanism has remained elusive because of the lack of a complex structure. Acyldepsipeptides (ADEPs), a recently discovered class of antibiotics, activate and disregulate ClpP. Here we have elucidated the structural changes underlying the ClpP activation process by ADEPs. We present the structures of Bacillus subtilis ClpP alone and in complex with ADEP1 and ADEP2. The structures show the closed-to-open-gate transition of the ClpP N-terminal segments upon activation as well as conformational changes restricted to the upper portion of ClpP. The direction of the conformational movement and the hydrophobic clustering that stabilizes the closed structure are markedly different from those of other ATP-dependent proteases, providing unprecedented insights into the activation of ClpP.","author":[{"family":"Lee","given":"Byung-Gil"},{"family":"Park","given":"Eun Young"},{"family":"Lee","given":"Kyung-Eun"},{"family":"Jeon","given":"Hyesung"},{"family":"Sung","given":"Kwang Hoon"},{"family":"Paulsen","given":"Holger"},{"family":"Rübsamen-Schaeff","given":"Helga"},{"family":"Brötz-Oesterhelt","given":"Heike"},{"family":"Song","given":"Hyun Kyu"}],"authorYearDisplayFormat":false,"citation-label":"5829011","container-title":"Nature Structural &amp; Molecular Biology","container-title-short":"Nat. Struct. Mol. Biol.","id":"5829011","invisible":false,"issue":"4","issued":{"date-parts":[["2010","4"]]},"journalAbbreviation":"Nat. Struct. Mol. Biol.","page":"471-478","suppress-author":false,"title":"Structures of ClpP in complex with acyldepsipeptide antibiotics reveal its activation mechanism.","type":"article-journal","volume":"17"}]</w:instrText>
      </w:r>
      <w:r>
        <w:fldChar w:fldCharType="separate"/>
      </w:r>
      <w:r w:rsidRPr="009D2519">
        <w:rPr>
          <w:noProof/>
          <w:vertAlign w:val="superscript"/>
        </w:rPr>
        <w:t>52,53</w:t>
      </w:r>
      <w:r>
        <w:fldChar w:fldCharType="end"/>
      </w:r>
      <w:r w:rsidRPr="00770166">
        <w:t xml:space="preserve"> Upon chemoactivation of ClpP, however, proteolysis is hyper-activated and unregulated and thus detrimental to </w:t>
      </w:r>
      <w:r w:rsidRPr="00770166">
        <w:lastRenderedPageBreak/>
        <w:t>bacterial survival. To biochemically compare the ClpP activation potential of each analog, we evaluated the ability of </w:t>
      </w:r>
      <w:r w:rsidRPr="00770166">
        <w:rPr>
          <w:bCs/>
        </w:rPr>
        <w:t>1</w:t>
      </w:r>
      <w:r w:rsidRPr="00770166">
        <w:t>–</w:t>
      </w:r>
      <w:r w:rsidRPr="00770166">
        <w:rPr>
          <w:bCs/>
        </w:rPr>
        <w:t>3</w:t>
      </w:r>
      <w:r w:rsidRPr="00770166">
        <w:t> to induce degradation of a self-quenching decapeptide (Abz-DFAPKMALVPY</w:t>
      </w:r>
      <w:r w:rsidRPr="00770166">
        <w:rPr>
          <w:vertAlign w:val="superscript"/>
        </w:rPr>
        <w:t>NO2</w:t>
      </w:r>
      <w:r w:rsidRPr="00770166">
        <w:t>).</w:t>
      </w:r>
      <w:r>
        <w:fldChar w:fldCharType="begin"/>
      </w:r>
      <w:r>
        <w:instrText>ADDIN F1000_CSL_CITATION&lt;~#@#~&gt;[{"DOI":"10.1021/ja410385c","First":false,"Last":false,"PMCID":"PMC4004210","PMID":"24422534","abstract":"The cyclic acyldepsipeptide (ADEP) antibiotics are a new class of antibacterial agents that kill bacteria via a mechanism that is distinct from all clinically used drugs. These molecules bind and dysregulate the activity of the ClpP peptidase. The potential of these antibiotics as antibacterial drugs has been enhanced by the elimination of pharmacological liabilities through medicinal chemistry efforts. Here, we demonstrate that the ADEP conformation observed in the ADEP-ClpP crystal structure is fortified by transannular hydrogen bonding and can be further stabilized by judicious replacement of constituent amino acids within the peptidolactone core structure with more conformationally constrained counterparts. Evidence supporting constraint of the molecule into the bioactive conformer was obtained by measurements of deuterium-exchange kinetics of hydrogens that were proposed to be engaged in transannular hydrogen bonds. We show that the rigidified ADEP analogs bind and activate ClpP at lower concentrations in vitro. Remarkably, these compounds have up to 1200-fold enhanced antibacterial activity when compared to those with the peptidolactone core structure common to two ADEP natural products. This study compellingly demonstrates how rational modulation of conformational dynamics may be used to improve the bioactivities of natural products. ","author":[{"family":"Carney","given":"Daniel W"},{"family":"Schmitz","given":"Karl R"},{"family":"Truong","given":"Jonathan V"},{"family":"Sauer","given":"Robert T"},{"family":"Sello","given":"Jason K"}],"authorYearDisplayFormat":false,"citation-label":"472546","container-title":"Journal of the American Chemical Society","container-title-short":"J. Am. Chem. Soc.","id":"472546","invisible":false,"issue":"5","issued":{"date-parts":[["2014","2","5"]]},"journalAbbreviation":"J. Am. Chem. Soc.","page":"1922-1929","suppress-author":false,"title":"Restriction of the conformational dynamics of the cyclic acyldepsipeptide antibiotics improves their antibacterial activity.","type":"article-journal","volume":"136"}]</w:instrText>
      </w:r>
      <w:r>
        <w:fldChar w:fldCharType="separate"/>
      </w:r>
      <w:r w:rsidRPr="009D2519">
        <w:rPr>
          <w:noProof/>
          <w:vertAlign w:val="superscript"/>
        </w:rPr>
        <w:t>23</w:t>
      </w:r>
      <w:r>
        <w:fldChar w:fldCharType="end"/>
      </w:r>
      <w:r w:rsidRPr="00770166">
        <w:t> ClpP-induced cleavage of the decapeptide between the aminobenzoic acid fluorophore (Abz) and 2-nitrotyrosine quencher releases fluorescence, which can be quantified with a fluorimeter. Compounds </w:t>
      </w:r>
      <w:r w:rsidRPr="00770166">
        <w:rPr>
          <w:bCs/>
        </w:rPr>
        <w:t>1</w:t>
      </w:r>
      <w:r w:rsidRPr="00770166">
        <w:t>–</w:t>
      </w:r>
      <w:r w:rsidRPr="00770166">
        <w:rPr>
          <w:bCs/>
        </w:rPr>
        <w:t>3</w:t>
      </w:r>
      <w:r w:rsidRPr="00770166">
        <w:t> were evaluated over an 11-point dose range to determine an apparent binding constant (</w:t>
      </w:r>
      <w:r w:rsidRPr="00770166">
        <w:rPr>
          <w:i/>
          <w:iCs/>
        </w:rPr>
        <w:t>K</w:t>
      </w:r>
      <w:r w:rsidRPr="00770166">
        <w:rPr>
          <w:vertAlign w:val="subscript"/>
        </w:rPr>
        <w:t>app</w:t>
      </w:r>
      <w:r w:rsidRPr="00770166">
        <w:t>) for ClpP activation. As shown in Table 1, the order of potency is </w:t>
      </w:r>
      <w:r w:rsidRPr="00770166">
        <w:rPr>
          <w:bCs/>
        </w:rPr>
        <w:t>1</w:t>
      </w:r>
      <w:r w:rsidRPr="00770166">
        <w:t> &gt; </w:t>
      </w:r>
      <w:r w:rsidRPr="00770166">
        <w:rPr>
          <w:bCs/>
        </w:rPr>
        <w:t>2</w:t>
      </w:r>
      <w:r w:rsidRPr="00770166">
        <w:t>&gt; </w:t>
      </w:r>
      <w:r w:rsidRPr="00770166">
        <w:rPr>
          <w:bCs/>
        </w:rPr>
        <w:t>3</w:t>
      </w:r>
      <w:r w:rsidRPr="00770166">
        <w:t xml:space="preserve">, with a </w:t>
      </w:r>
      <w:r w:rsidRPr="00770166">
        <w:rPr>
          <w:rFonts w:ascii="Cambria Math" w:hAnsi="Cambria Math" w:cs="Cambria Math"/>
        </w:rPr>
        <w:t>∼</w:t>
      </w:r>
      <w:r w:rsidRPr="00770166">
        <w:t>two-fold difference in potency between </w:t>
      </w:r>
      <w:r w:rsidRPr="00770166">
        <w:rPr>
          <w:bCs/>
        </w:rPr>
        <w:t>1</w:t>
      </w:r>
      <w:r w:rsidRPr="00770166">
        <w:t> and </w:t>
      </w:r>
      <w:r w:rsidRPr="00770166">
        <w:rPr>
          <w:bCs/>
        </w:rPr>
        <w:t>2</w:t>
      </w:r>
      <w:r w:rsidRPr="00770166">
        <w:t xml:space="preserve"> and an additional </w:t>
      </w:r>
      <w:r w:rsidRPr="00770166">
        <w:rPr>
          <w:rFonts w:ascii="Cambria Math" w:hAnsi="Cambria Math" w:cs="Cambria Math"/>
        </w:rPr>
        <w:t>∼</w:t>
      </w:r>
      <w:r w:rsidRPr="00770166">
        <w:t>50-fold drop between compounds </w:t>
      </w:r>
      <w:r w:rsidRPr="00770166">
        <w:rPr>
          <w:bCs/>
        </w:rPr>
        <w:t>2</w:t>
      </w:r>
      <w:r w:rsidRPr="00770166">
        <w:t> and </w:t>
      </w:r>
      <w:r w:rsidRPr="00770166">
        <w:rPr>
          <w:bCs/>
        </w:rPr>
        <w:t>3</w:t>
      </w:r>
      <w:r w:rsidRPr="00770166">
        <w:t>. This demonstrates a significant SAR for the ADEP cyclic peptide linkage on ClpP activation potency. However, it also suggests that substitution may be allowable, as a respectable level of activity is maintained, especially when comparing the ester (</w:t>
      </w:r>
      <w:r w:rsidRPr="00770166">
        <w:rPr>
          <w:bCs/>
        </w:rPr>
        <w:t>1</w:t>
      </w:r>
      <w:r w:rsidRPr="00770166">
        <w:t>) with the secondary amide (</w:t>
      </w:r>
      <w:r w:rsidRPr="00770166">
        <w:rPr>
          <w:bCs/>
        </w:rPr>
        <w:t>2</w:t>
      </w:r>
      <w:r w:rsidRPr="00770166">
        <w:t>) linkage. All three analogs exhibit a Hill Slope coefficient &gt;1, suggesting modest positive cooperativity in ClpP binding, a phenomenon indicative of ClpP activators that bind competitively to the cochaperone IGF loop binding pocket.</w:t>
      </w:r>
      <w:r>
        <w:fldChar w:fldCharType="begin"/>
      </w:r>
      <w:r>
        <w:instrText>ADDIN F1000_CSL_CITATION&lt;~#@#~&gt;[{"DOI":"10.1016/j.chembiol.2010.07.008","First":false,"Last":false,"PMCID":"PMC2955292","PMID":"20851345","abstract":"In ClpXP and ClpAP complexes, ClpA and ClpX use the energy of ATP hydrolysis to unfold proteins and translocate them into the self-compartmentalized ClpP protease. ClpP requires the ATPases to degrade folded or unfolded substrates, but binding of acyldepsipeptide antibiotics (ADEPs) to ClpP bypasses this requirement with unfolded proteins. We present the crystal structure of Escherichia coli ClpP bound to ADEP1 and report the structural changes underlying ClpP activation. ADEP1 binds in the hydrophobic groove that serves as the primary docking site for ClpP ATPases. Binding of ADEP1 locks the N-terminal loops of ClpP in a β-hairpin conformation, generating a stable pore through which extended polypeptides can be threaded. This structure serves as a model for ClpP in the holoenzyme ClpAP and ClpXP complexes and provides critical information to further develop this class of antibiotics.&lt;br&gt;&lt;br&gt;Copyright © 2010 Elsevier Ltd. All rights reserved.","author":[{"family":"Li","given":"Dominic Him Shun"},{"family":"Chung","given":"Yu Seon"},{"family":"Gloyd","given":"Melanie"},{"family":"Joseph","given":"Ebenezer"},{"family":"Ghirlando","given":"Rodolfo"},{"family":"Wright","given":"Gerard D"},{"family":"Cheng","given":"Yi-Qiang"},{"family":"Maurizi","given":"Michael R"},{"family":"Guarné","given":"Alba"},{"family":"Ortega","given":"Joaquin"}],"authorYearDisplayFormat":false,"citation-label":"5898323","container-title":"Chemistry &amp; Biology","container-title-short":"Chem. Biol.","id":"5898323","invisible":false,"issue":"9","issued":{"date-parts":[["2010","9","24"]]},"journalAbbreviation":"Chem. Biol.","page":"959-969","suppress-author":false,"title":"Acyldepsipeptide antibiotics induce the formation of a structured axial channel in ClpP: A model for the ClpX/ClpA-bound state of ClpP.","type":"article-journal","volume":"17"}]</w:instrText>
      </w:r>
      <w:r>
        <w:fldChar w:fldCharType="separate"/>
      </w:r>
      <w:r w:rsidRPr="009D2519">
        <w:rPr>
          <w:noProof/>
          <w:vertAlign w:val="superscript"/>
        </w:rPr>
        <w:t>14</w:t>
      </w:r>
      <w:r>
        <w:fldChar w:fldCharType="end"/>
      </w:r>
      <w:r w:rsidRPr="00770166">
        <w:t> As shown in </w:t>
      </w:r>
      <w:r w:rsidRPr="00423AC7">
        <w:rPr>
          <w:b/>
        </w:rPr>
        <w:t>Table </w:t>
      </w:r>
      <w:r>
        <w:rPr>
          <w:b/>
        </w:rPr>
        <w:t>4.</w:t>
      </w:r>
      <w:r w:rsidR="00C371B6">
        <w:rPr>
          <w:b/>
        </w:rPr>
        <w:t>2</w:t>
      </w:r>
      <w:r w:rsidRPr="00770166">
        <w:t>, the ester linked ADEP (</w:t>
      </w:r>
      <w:r w:rsidRPr="00770166">
        <w:rPr>
          <w:bCs/>
        </w:rPr>
        <w:t>1</w:t>
      </w:r>
      <w:r w:rsidRPr="00770166">
        <w:t>) exhibits an improved stabilization of ClpP in melt experiments relative to both the −NH– (</w:t>
      </w:r>
      <w:r w:rsidRPr="00770166">
        <w:rPr>
          <w:bCs/>
        </w:rPr>
        <w:t>2</w:t>
      </w:r>
      <w:r w:rsidRPr="00770166">
        <w:t>) and −NMe– (</w:t>
      </w:r>
      <w:r w:rsidRPr="00770166">
        <w:rPr>
          <w:bCs/>
        </w:rPr>
        <w:t>3</w:t>
      </w:r>
      <w:r w:rsidRPr="00770166">
        <w:t xml:space="preserve">) compounds. This result is in </w:t>
      </w:r>
      <w:r>
        <w:t>agreement</w:t>
      </w:r>
      <w:r w:rsidRPr="00770166">
        <w:t xml:space="preserve"> with the </w:t>
      </w:r>
      <w:r w:rsidRPr="00770166">
        <w:rPr>
          <w:i/>
          <w:iCs/>
        </w:rPr>
        <w:t>K</w:t>
      </w:r>
      <w:r w:rsidRPr="00770166">
        <w:rPr>
          <w:vertAlign w:val="subscript"/>
        </w:rPr>
        <w:t>app</w:t>
      </w:r>
      <w:r w:rsidRPr="00770166">
        <w:t> values determined in the decapeptide degradation assay.</w:t>
      </w:r>
    </w:p>
    <w:tbl>
      <w:tblPr>
        <w:tblW w:w="0" w:type="auto"/>
        <w:jc w:val="center"/>
        <w:tblLook w:val="04A0" w:firstRow="1" w:lastRow="0" w:firstColumn="1" w:lastColumn="0" w:noHBand="0" w:noVBand="1"/>
      </w:tblPr>
      <w:tblGrid>
        <w:gridCol w:w="1364"/>
        <w:gridCol w:w="1548"/>
        <w:gridCol w:w="1710"/>
        <w:gridCol w:w="1136"/>
        <w:gridCol w:w="2126"/>
      </w:tblGrid>
      <w:tr w:rsidR="00EC3A2F" w:rsidRPr="008D43DB" w14:paraId="566DEA92" w14:textId="77777777" w:rsidTr="00A62DEC">
        <w:trPr>
          <w:trHeight w:val="400"/>
          <w:jc w:val="center"/>
        </w:trPr>
        <w:tc>
          <w:tcPr>
            <w:tcW w:w="0" w:type="auto"/>
            <w:tcBorders>
              <w:top w:val="nil"/>
              <w:left w:val="nil"/>
              <w:bottom w:val="single" w:sz="4" w:space="0" w:color="auto"/>
              <w:right w:val="nil"/>
            </w:tcBorders>
            <w:shd w:val="clear" w:color="auto" w:fill="auto"/>
            <w:noWrap/>
            <w:vAlign w:val="bottom"/>
            <w:hideMark/>
          </w:tcPr>
          <w:p w14:paraId="3CD11EF0" w14:textId="77777777" w:rsidR="00EC3A2F" w:rsidRPr="008D43DB" w:rsidRDefault="00EC3A2F" w:rsidP="00A62DEC">
            <w:pPr>
              <w:rPr>
                <w:b/>
                <w:bCs/>
                <w:color w:val="000000"/>
              </w:rPr>
            </w:pPr>
            <w:r w:rsidRPr="008D43DB">
              <w:rPr>
                <w:b/>
                <w:bCs/>
                <w:color w:val="000000"/>
              </w:rPr>
              <w:t>Compound</w:t>
            </w:r>
          </w:p>
        </w:tc>
        <w:tc>
          <w:tcPr>
            <w:tcW w:w="0" w:type="auto"/>
            <w:tcBorders>
              <w:top w:val="nil"/>
              <w:left w:val="nil"/>
              <w:bottom w:val="single" w:sz="4" w:space="0" w:color="auto"/>
              <w:right w:val="nil"/>
            </w:tcBorders>
            <w:shd w:val="clear" w:color="auto" w:fill="auto"/>
            <w:noWrap/>
            <w:vAlign w:val="bottom"/>
            <w:hideMark/>
          </w:tcPr>
          <w:p w14:paraId="3D9CB48E" w14:textId="77777777" w:rsidR="00EC3A2F" w:rsidRPr="008D43DB" w:rsidRDefault="00EC3A2F" w:rsidP="00A62DEC">
            <w:pPr>
              <w:jc w:val="center"/>
              <w:rPr>
                <w:b/>
                <w:bCs/>
                <w:i/>
                <w:iCs/>
                <w:color w:val="000000"/>
              </w:rPr>
            </w:pPr>
            <w:r w:rsidRPr="008D43DB">
              <w:rPr>
                <w:b/>
                <w:bCs/>
                <w:i/>
                <w:iCs/>
                <w:color w:val="000000"/>
              </w:rPr>
              <w:t>K</w:t>
            </w:r>
            <w:r w:rsidRPr="008D43DB">
              <w:rPr>
                <w:b/>
                <w:bCs/>
                <w:color w:val="000000"/>
                <w:vertAlign w:val="subscript"/>
              </w:rPr>
              <w:t>app</w:t>
            </w:r>
            <w:r w:rsidRPr="008D43DB">
              <w:rPr>
                <w:b/>
                <w:bCs/>
                <w:color w:val="000000"/>
              </w:rPr>
              <w:t> (μM)</w:t>
            </w:r>
          </w:p>
        </w:tc>
        <w:tc>
          <w:tcPr>
            <w:tcW w:w="0" w:type="auto"/>
            <w:tcBorders>
              <w:top w:val="nil"/>
              <w:left w:val="nil"/>
              <w:bottom w:val="single" w:sz="4" w:space="0" w:color="auto"/>
              <w:right w:val="nil"/>
            </w:tcBorders>
            <w:shd w:val="clear" w:color="auto" w:fill="auto"/>
            <w:noWrap/>
            <w:vAlign w:val="bottom"/>
            <w:hideMark/>
          </w:tcPr>
          <w:p w14:paraId="3FC77D7C" w14:textId="77777777" w:rsidR="00EC3A2F" w:rsidRPr="008D43DB" w:rsidRDefault="00EC3A2F" w:rsidP="00A62DEC">
            <w:pPr>
              <w:jc w:val="center"/>
              <w:rPr>
                <w:b/>
                <w:bCs/>
                <w:color w:val="000000"/>
              </w:rPr>
            </w:pPr>
            <w:r w:rsidRPr="008D43DB">
              <w:rPr>
                <w:b/>
                <w:bCs/>
                <w:color w:val="000000"/>
              </w:rPr>
              <w:t>H/D exchange </w:t>
            </w:r>
          </w:p>
          <w:p w14:paraId="6325C5FA" w14:textId="77777777" w:rsidR="00EC3A2F" w:rsidRPr="008D43DB" w:rsidRDefault="00EC3A2F" w:rsidP="00A62DEC">
            <w:pPr>
              <w:jc w:val="center"/>
              <w:rPr>
                <w:b/>
                <w:bCs/>
                <w:color w:val="000000"/>
              </w:rPr>
            </w:pPr>
            <w:r w:rsidRPr="008D43DB">
              <w:rPr>
                <w:b/>
                <w:bCs/>
                <w:color w:val="000000"/>
              </w:rPr>
              <w:t>t</w:t>
            </w:r>
            <w:r w:rsidRPr="008D43DB">
              <w:rPr>
                <w:b/>
                <w:bCs/>
                <w:color w:val="000000"/>
                <w:vertAlign w:val="subscript"/>
              </w:rPr>
              <w:t>1/2</w:t>
            </w:r>
            <w:r w:rsidRPr="008D43DB">
              <w:rPr>
                <w:b/>
                <w:bCs/>
                <w:color w:val="000000"/>
              </w:rPr>
              <w:t> (min)</w:t>
            </w:r>
            <w:r w:rsidRPr="008D43DB">
              <w:rPr>
                <w:b/>
                <w:bCs/>
                <w:color w:val="000000"/>
                <w:vertAlign w:val="superscript"/>
              </w:rPr>
              <w:t>a</w:t>
            </w:r>
          </w:p>
        </w:tc>
        <w:tc>
          <w:tcPr>
            <w:tcW w:w="0" w:type="auto"/>
            <w:tcBorders>
              <w:top w:val="nil"/>
              <w:left w:val="nil"/>
              <w:bottom w:val="single" w:sz="4" w:space="0" w:color="auto"/>
              <w:right w:val="nil"/>
            </w:tcBorders>
            <w:shd w:val="clear" w:color="auto" w:fill="auto"/>
            <w:noWrap/>
            <w:vAlign w:val="bottom"/>
            <w:hideMark/>
          </w:tcPr>
          <w:p w14:paraId="3B28F00C" w14:textId="77777777" w:rsidR="00EC3A2F" w:rsidRPr="008D43DB" w:rsidRDefault="00EC3A2F" w:rsidP="00A62DEC">
            <w:pPr>
              <w:jc w:val="center"/>
              <w:rPr>
                <w:b/>
                <w:bCs/>
                <w:color w:val="000000"/>
              </w:rPr>
            </w:pPr>
            <w:r w:rsidRPr="008D43DB">
              <w:rPr>
                <w:b/>
                <w:bCs/>
                <w:color w:val="000000"/>
              </w:rPr>
              <w:t>Δ</w:t>
            </w:r>
            <w:r w:rsidRPr="008D43DB">
              <w:rPr>
                <w:b/>
                <w:bCs/>
                <w:i/>
                <w:iCs/>
                <w:color w:val="000000"/>
              </w:rPr>
              <w:t>T</w:t>
            </w:r>
            <w:r w:rsidRPr="008D43DB">
              <w:rPr>
                <w:b/>
                <w:bCs/>
                <w:color w:val="000000"/>
                <w:vertAlign w:val="subscript"/>
              </w:rPr>
              <w:t>m</w:t>
            </w:r>
            <w:r w:rsidRPr="008D43DB">
              <w:rPr>
                <w:b/>
                <w:bCs/>
                <w:color w:val="000000"/>
              </w:rPr>
              <w:t> (°C)</w:t>
            </w:r>
          </w:p>
        </w:tc>
        <w:tc>
          <w:tcPr>
            <w:tcW w:w="0" w:type="auto"/>
            <w:tcBorders>
              <w:top w:val="nil"/>
              <w:left w:val="nil"/>
              <w:bottom w:val="single" w:sz="4" w:space="0" w:color="auto"/>
              <w:right w:val="nil"/>
            </w:tcBorders>
            <w:shd w:val="clear" w:color="auto" w:fill="auto"/>
            <w:noWrap/>
            <w:vAlign w:val="bottom"/>
            <w:hideMark/>
          </w:tcPr>
          <w:p w14:paraId="2C8DC93D" w14:textId="77777777" w:rsidR="00EC3A2F" w:rsidRPr="008D43DB" w:rsidRDefault="00EC3A2F" w:rsidP="00A62DEC">
            <w:pPr>
              <w:jc w:val="center"/>
              <w:rPr>
                <w:b/>
                <w:bCs/>
                <w:color w:val="000000"/>
              </w:rPr>
            </w:pPr>
            <w:r w:rsidRPr="008D43DB">
              <w:rPr>
                <w:b/>
                <w:bCs/>
                <w:color w:val="000000"/>
              </w:rPr>
              <w:t>MIC (μM:μg/mL)</w:t>
            </w:r>
            <w:r w:rsidRPr="008D43DB">
              <w:rPr>
                <w:b/>
                <w:bCs/>
                <w:color w:val="000000"/>
                <w:vertAlign w:val="superscript"/>
              </w:rPr>
              <w:t>c</w:t>
            </w:r>
          </w:p>
        </w:tc>
      </w:tr>
      <w:tr w:rsidR="00EC3A2F" w:rsidRPr="008D43DB" w14:paraId="5194A0E4" w14:textId="77777777" w:rsidTr="00A62DEC">
        <w:trPr>
          <w:trHeight w:val="360"/>
          <w:jc w:val="center"/>
        </w:trPr>
        <w:tc>
          <w:tcPr>
            <w:tcW w:w="0" w:type="auto"/>
            <w:tcBorders>
              <w:top w:val="nil"/>
              <w:left w:val="nil"/>
              <w:bottom w:val="nil"/>
              <w:right w:val="nil"/>
            </w:tcBorders>
            <w:shd w:val="clear" w:color="auto" w:fill="auto"/>
            <w:noWrap/>
            <w:vAlign w:val="bottom"/>
            <w:hideMark/>
          </w:tcPr>
          <w:p w14:paraId="51CCD2D5" w14:textId="77777777" w:rsidR="00EC3A2F" w:rsidRPr="008D43DB" w:rsidRDefault="00EC3A2F" w:rsidP="00A62DEC">
            <w:pPr>
              <w:rPr>
                <w:b/>
                <w:bCs/>
                <w:color w:val="000000"/>
              </w:rPr>
            </w:pPr>
            <w:r w:rsidRPr="008D43DB">
              <w:rPr>
                <w:b/>
                <w:bCs/>
                <w:color w:val="000000"/>
              </w:rPr>
              <w:t>1</w:t>
            </w:r>
            <w:r w:rsidRPr="008D43DB">
              <w:rPr>
                <w:color w:val="000000"/>
              </w:rPr>
              <w:t> (−O−)</w:t>
            </w:r>
          </w:p>
        </w:tc>
        <w:tc>
          <w:tcPr>
            <w:tcW w:w="0" w:type="auto"/>
            <w:tcBorders>
              <w:top w:val="nil"/>
              <w:left w:val="nil"/>
              <w:bottom w:val="nil"/>
              <w:right w:val="nil"/>
            </w:tcBorders>
            <w:shd w:val="clear" w:color="auto" w:fill="auto"/>
            <w:noWrap/>
            <w:vAlign w:val="bottom"/>
            <w:hideMark/>
          </w:tcPr>
          <w:p w14:paraId="39C10F85" w14:textId="77777777" w:rsidR="00EC3A2F" w:rsidRPr="008D43DB" w:rsidRDefault="00EC3A2F" w:rsidP="00A62DEC">
            <w:pPr>
              <w:jc w:val="center"/>
              <w:rPr>
                <w:color w:val="000000"/>
              </w:rPr>
            </w:pPr>
            <w:r w:rsidRPr="008D43DB">
              <w:rPr>
                <w:color w:val="000000"/>
              </w:rPr>
              <w:t>0.037 ± 0.005</w:t>
            </w:r>
          </w:p>
        </w:tc>
        <w:tc>
          <w:tcPr>
            <w:tcW w:w="0" w:type="auto"/>
            <w:tcBorders>
              <w:top w:val="nil"/>
              <w:left w:val="nil"/>
              <w:bottom w:val="nil"/>
              <w:right w:val="nil"/>
            </w:tcBorders>
            <w:shd w:val="clear" w:color="auto" w:fill="auto"/>
            <w:noWrap/>
            <w:vAlign w:val="bottom"/>
            <w:hideMark/>
          </w:tcPr>
          <w:p w14:paraId="3E7D2880" w14:textId="77777777" w:rsidR="00EC3A2F" w:rsidRPr="008D43DB" w:rsidRDefault="00EC3A2F" w:rsidP="00A62DEC">
            <w:pPr>
              <w:jc w:val="center"/>
              <w:rPr>
                <w:color w:val="000000"/>
              </w:rPr>
            </w:pPr>
            <w:r w:rsidRPr="008D43DB">
              <w:rPr>
                <w:color w:val="000000"/>
              </w:rPr>
              <w:t>38</w:t>
            </w:r>
          </w:p>
        </w:tc>
        <w:tc>
          <w:tcPr>
            <w:tcW w:w="0" w:type="auto"/>
            <w:tcBorders>
              <w:top w:val="nil"/>
              <w:left w:val="nil"/>
              <w:bottom w:val="nil"/>
              <w:right w:val="nil"/>
            </w:tcBorders>
            <w:shd w:val="clear" w:color="auto" w:fill="auto"/>
            <w:noWrap/>
            <w:vAlign w:val="center"/>
            <w:hideMark/>
          </w:tcPr>
          <w:p w14:paraId="62877F67" w14:textId="77777777" w:rsidR="00EC3A2F" w:rsidRPr="008D43DB" w:rsidRDefault="00EC3A2F" w:rsidP="00A62DEC">
            <w:pPr>
              <w:jc w:val="center"/>
              <w:rPr>
                <w:color w:val="000000"/>
              </w:rPr>
            </w:pPr>
            <w:r w:rsidRPr="008D43DB">
              <w:rPr>
                <w:color w:val="000000"/>
              </w:rPr>
              <w:t>29.1</w:t>
            </w:r>
          </w:p>
        </w:tc>
        <w:tc>
          <w:tcPr>
            <w:tcW w:w="0" w:type="auto"/>
            <w:tcBorders>
              <w:top w:val="nil"/>
              <w:left w:val="nil"/>
              <w:bottom w:val="nil"/>
              <w:right w:val="nil"/>
            </w:tcBorders>
            <w:shd w:val="clear" w:color="auto" w:fill="auto"/>
            <w:noWrap/>
            <w:vAlign w:val="center"/>
            <w:hideMark/>
          </w:tcPr>
          <w:p w14:paraId="032F8882" w14:textId="77777777" w:rsidR="00EC3A2F" w:rsidRPr="008D43DB" w:rsidRDefault="00EC3A2F" w:rsidP="00A62DEC">
            <w:pPr>
              <w:jc w:val="center"/>
              <w:rPr>
                <w:color w:val="000000"/>
              </w:rPr>
            </w:pPr>
            <w:r w:rsidRPr="008D43DB">
              <w:rPr>
                <w:color w:val="000000"/>
              </w:rPr>
              <w:t>0.037:0.027</w:t>
            </w:r>
          </w:p>
        </w:tc>
      </w:tr>
      <w:tr w:rsidR="00EC3A2F" w:rsidRPr="008D43DB" w14:paraId="6F3A1ADA" w14:textId="77777777" w:rsidTr="00A62DEC">
        <w:trPr>
          <w:trHeight w:val="360"/>
          <w:jc w:val="center"/>
        </w:trPr>
        <w:tc>
          <w:tcPr>
            <w:tcW w:w="0" w:type="auto"/>
            <w:tcBorders>
              <w:top w:val="nil"/>
              <w:left w:val="nil"/>
              <w:bottom w:val="nil"/>
              <w:right w:val="nil"/>
            </w:tcBorders>
            <w:shd w:val="clear" w:color="auto" w:fill="auto"/>
            <w:noWrap/>
            <w:vAlign w:val="bottom"/>
            <w:hideMark/>
          </w:tcPr>
          <w:p w14:paraId="4DED377A" w14:textId="77777777" w:rsidR="00EC3A2F" w:rsidRPr="008D43DB" w:rsidRDefault="00EC3A2F" w:rsidP="00A62DEC">
            <w:pPr>
              <w:rPr>
                <w:b/>
                <w:bCs/>
                <w:color w:val="000000"/>
              </w:rPr>
            </w:pPr>
            <w:r w:rsidRPr="008D43DB">
              <w:rPr>
                <w:b/>
                <w:bCs/>
                <w:color w:val="000000"/>
              </w:rPr>
              <w:t>2</w:t>
            </w:r>
            <w:r w:rsidRPr="008D43DB">
              <w:rPr>
                <w:color w:val="000000"/>
              </w:rPr>
              <w:t> (−NH−)</w:t>
            </w:r>
          </w:p>
        </w:tc>
        <w:tc>
          <w:tcPr>
            <w:tcW w:w="0" w:type="auto"/>
            <w:tcBorders>
              <w:top w:val="nil"/>
              <w:left w:val="nil"/>
              <w:bottom w:val="nil"/>
              <w:right w:val="nil"/>
            </w:tcBorders>
            <w:shd w:val="clear" w:color="auto" w:fill="auto"/>
            <w:noWrap/>
            <w:vAlign w:val="bottom"/>
            <w:hideMark/>
          </w:tcPr>
          <w:p w14:paraId="20761C56" w14:textId="77777777" w:rsidR="00EC3A2F" w:rsidRPr="008D43DB" w:rsidRDefault="00EC3A2F" w:rsidP="00A62DEC">
            <w:pPr>
              <w:jc w:val="center"/>
              <w:rPr>
                <w:color w:val="000000"/>
              </w:rPr>
            </w:pPr>
            <w:r w:rsidRPr="008D43DB">
              <w:rPr>
                <w:color w:val="000000"/>
              </w:rPr>
              <w:t>0.085 ± 0.01</w:t>
            </w:r>
          </w:p>
        </w:tc>
        <w:tc>
          <w:tcPr>
            <w:tcW w:w="0" w:type="auto"/>
            <w:tcBorders>
              <w:top w:val="nil"/>
              <w:left w:val="nil"/>
              <w:bottom w:val="nil"/>
              <w:right w:val="nil"/>
            </w:tcBorders>
            <w:shd w:val="clear" w:color="auto" w:fill="auto"/>
            <w:noWrap/>
            <w:vAlign w:val="bottom"/>
            <w:hideMark/>
          </w:tcPr>
          <w:p w14:paraId="6E29E0FD" w14:textId="77777777" w:rsidR="00EC3A2F" w:rsidRPr="008D43DB" w:rsidRDefault="00EC3A2F" w:rsidP="00A62DEC">
            <w:pPr>
              <w:jc w:val="center"/>
              <w:rPr>
                <w:color w:val="000000"/>
              </w:rPr>
            </w:pPr>
            <w:r w:rsidRPr="008D43DB">
              <w:rPr>
                <w:color w:val="000000"/>
              </w:rPr>
              <w:t>&lt;4b</w:t>
            </w:r>
          </w:p>
        </w:tc>
        <w:tc>
          <w:tcPr>
            <w:tcW w:w="0" w:type="auto"/>
            <w:tcBorders>
              <w:top w:val="nil"/>
              <w:left w:val="nil"/>
              <w:bottom w:val="nil"/>
              <w:right w:val="nil"/>
            </w:tcBorders>
            <w:shd w:val="clear" w:color="auto" w:fill="auto"/>
            <w:noWrap/>
            <w:vAlign w:val="center"/>
            <w:hideMark/>
          </w:tcPr>
          <w:p w14:paraId="57A92A44" w14:textId="77777777" w:rsidR="00EC3A2F" w:rsidRPr="008D43DB" w:rsidRDefault="00EC3A2F" w:rsidP="00A62DEC">
            <w:pPr>
              <w:jc w:val="center"/>
              <w:rPr>
                <w:color w:val="000000"/>
              </w:rPr>
            </w:pPr>
            <w:r w:rsidRPr="008D43DB">
              <w:rPr>
                <w:color w:val="000000"/>
              </w:rPr>
              <w:t>22.8</w:t>
            </w:r>
          </w:p>
        </w:tc>
        <w:tc>
          <w:tcPr>
            <w:tcW w:w="0" w:type="auto"/>
            <w:tcBorders>
              <w:top w:val="nil"/>
              <w:left w:val="nil"/>
              <w:bottom w:val="nil"/>
              <w:right w:val="nil"/>
            </w:tcBorders>
            <w:shd w:val="clear" w:color="auto" w:fill="auto"/>
            <w:noWrap/>
            <w:vAlign w:val="center"/>
            <w:hideMark/>
          </w:tcPr>
          <w:p w14:paraId="0FC76353" w14:textId="77777777" w:rsidR="00EC3A2F" w:rsidRPr="008D43DB" w:rsidRDefault="00EC3A2F" w:rsidP="00A62DEC">
            <w:pPr>
              <w:jc w:val="center"/>
              <w:rPr>
                <w:color w:val="000000"/>
              </w:rPr>
            </w:pPr>
            <w:r w:rsidRPr="008D43DB">
              <w:rPr>
                <w:color w:val="000000"/>
              </w:rPr>
              <w:t>6.25:4.6</w:t>
            </w:r>
          </w:p>
        </w:tc>
      </w:tr>
      <w:tr w:rsidR="00EC3A2F" w:rsidRPr="008D43DB" w14:paraId="57A969AC" w14:textId="77777777" w:rsidTr="00A62DEC">
        <w:trPr>
          <w:trHeight w:val="360"/>
          <w:jc w:val="center"/>
        </w:trPr>
        <w:tc>
          <w:tcPr>
            <w:tcW w:w="0" w:type="auto"/>
            <w:tcBorders>
              <w:top w:val="nil"/>
              <w:left w:val="nil"/>
              <w:bottom w:val="nil"/>
              <w:right w:val="nil"/>
            </w:tcBorders>
            <w:shd w:val="clear" w:color="auto" w:fill="auto"/>
            <w:noWrap/>
            <w:vAlign w:val="bottom"/>
            <w:hideMark/>
          </w:tcPr>
          <w:p w14:paraId="232503C6" w14:textId="77777777" w:rsidR="00EC3A2F" w:rsidRPr="008D43DB" w:rsidRDefault="00EC3A2F" w:rsidP="00A62DEC">
            <w:pPr>
              <w:rPr>
                <w:b/>
                <w:bCs/>
                <w:color w:val="000000"/>
              </w:rPr>
            </w:pPr>
            <w:r w:rsidRPr="008D43DB">
              <w:rPr>
                <w:b/>
                <w:bCs/>
                <w:color w:val="000000"/>
              </w:rPr>
              <w:t>3</w:t>
            </w:r>
            <w:r w:rsidRPr="008D43DB">
              <w:rPr>
                <w:color w:val="000000"/>
              </w:rPr>
              <w:t> (−NMe−)</w:t>
            </w:r>
          </w:p>
        </w:tc>
        <w:tc>
          <w:tcPr>
            <w:tcW w:w="0" w:type="auto"/>
            <w:tcBorders>
              <w:top w:val="nil"/>
              <w:left w:val="nil"/>
              <w:bottom w:val="nil"/>
              <w:right w:val="nil"/>
            </w:tcBorders>
            <w:shd w:val="clear" w:color="auto" w:fill="auto"/>
            <w:noWrap/>
            <w:vAlign w:val="bottom"/>
            <w:hideMark/>
          </w:tcPr>
          <w:p w14:paraId="5E0E9008" w14:textId="77777777" w:rsidR="00EC3A2F" w:rsidRPr="008D43DB" w:rsidRDefault="00EC3A2F" w:rsidP="00A62DEC">
            <w:pPr>
              <w:jc w:val="center"/>
              <w:rPr>
                <w:color w:val="000000"/>
              </w:rPr>
            </w:pPr>
            <w:r w:rsidRPr="008D43DB">
              <w:rPr>
                <w:color w:val="000000"/>
              </w:rPr>
              <w:t>4.39 ± 0.60</w:t>
            </w:r>
          </w:p>
        </w:tc>
        <w:tc>
          <w:tcPr>
            <w:tcW w:w="0" w:type="auto"/>
            <w:tcBorders>
              <w:top w:val="nil"/>
              <w:left w:val="nil"/>
              <w:bottom w:val="nil"/>
              <w:right w:val="nil"/>
            </w:tcBorders>
            <w:shd w:val="clear" w:color="auto" w:fill="auto"/>
            <w:noWrap/>
            <w:vAlign w:val="bottom"/>
            <w:hideMark/>
          </w:tcPr>
          <w:p w14:paraId="6FB85939" w14:textId="77777777" w:rsidR="00EC3A2F" w:rsidRPr="008D43DB" w:rsidRDefault="00EC3A2F" w:rsidP="00A62DEC">
            <w:pPr>
              <w:jc w:val="center"/>
              <w:rPr>
                <w:color w:val="000000"/>
              </w:rPr>
            </w:pPr>
            <w:r w:rsidRPr="008D43DB">
              <w:rPr>
                <w:color w:val="000000"/>
              </w:rPr>
              <w:t>&lt;4b</w:t>
            </w:r>
          </w:p>
        </w:tc>
        <w:tc>
          <w:tcPr>
            <w:tcW w:w="0" w:type="auto"/>
            <w:tcBorders>
              <w:top w:val="nil"/>
              <w:left w:val="nil"/>
              <w:bottom w:val="nil"/>
              <w:right w:val="nil"/>
            </w:tcBorders>
            <w:shd w:val="clear" w:color="auto" w:fill="auto"/>
            <w:noWrap/>
            <w:vAlign w:val="center"/>
            <w:hideMark/>
          </w:tcPr>
          <w:p w14:paraId="0E43C324" w14:textId="77777777" w:rsidR="00EC3A2F" w:rsidRPr="008D43DB" w:rsidRDefault="00EC3A2F" w:rsidP="00A62DEC">
            <w:pPr>
              <w:jc w:val="center"/>
              <w:rPr>
                <w:color w:val="000000"/>
              </w:rPr>
            </w:pPr>
            <w:r w:rsidRPr="008D43DB">
              <w:rPr>
                <w:color w:val="000000"/>
              </w:rPr>
              <w:t>12.7</w:t>
            </w:r>
          </w:p>
        </w:tc>
        <w:tc>
          <w:tcPr>
            <w:tcW w:w="0" w:type="auto"/>
            <w:tcBorders>
              <w:top w:val="nil"/>
              <w:left w:val="nil"/>
              <w:bottom w:val="nil"/>
              <w:right w:val="nil"/>
            </w:tcBorders>
            <w:shd w:val="clear" w:color="auto" w:fill="auto"/>
            <w:noWrap/>
            <w:vAlign w:val="center"/>
            <w:hideMark/>
          </w:tcPr>
          <w:p w14:paraId="58A1F10D" w14:textId="77777777" w:rsidR="00EC3A2F" w:rsidRPr="008D43DB" w:rsidRDefault="00EC3A2F" w:rsidP="00C660CE">
            <w:pPr>
              <w:keepNext/>
              <w:jc w:val="center"/>
              <w:rPr>
                <w:color w:val="000000"/>
              </w:rPr>
            </w:pPr>
            <w:r w:rsidRPr="008D43DB">
              <w:rPr>
                <w:color w:val="000000"/>
              </w:rPr>
              <w:t>&gt;25:&gt;18.6</w:t>
            </w:r>
          </w:p>
        </w:tc>
      </w:tr>
    </w:tbl>
    <w:p w14:paraId="1947BF2F" w14:textId="77777777" w:rsidR="00EC3A2F" w:rsidRDefault="00C660CE" w:rsidP="00C660CE">
      <w:pPr>
        <w:pStyle w:val="Caption"/>
      </w:pPr>
      <w:bookmarkStart w:id="113" w:name="_Toc5807390"/>
      <w:r>
        <w:t xml:space="preserve">Table </w:t>
      </w:r>
      <w:r w:rsidR="00C371B6">
        <w:t>4.2</w:t>
      </w:r>
      <w:r>
        <w:t xml:space="preserve"> </w:t>
      </w:r>
      <w:r w:rsidR="00EC3A2F" w:rsidRPr="00CC6D1D">
        <w:t>Activity comparison between ADEP analogs</w:t>
      </w:r>
      <w:r w:rsidR="00EC3A2F">
        <w:t>.</w:t>
      </w:r>
      <w:bookmarkEnd w:id="113"/>
      <w:r w:rsidR="00EC3A2F">
        <w:t xml:space="preserve"> </w:t>
      </w:r>
    </w:p>
    <w:p w14:paraId="707E1D6D" w14:textId="77777777" w:rsidR="00EC3A2F" w:rsidRDefault="00EC3A2F" w:rsidP="00EC3A2F">
      <w:pPr>
        <w:spacing w:line="240" w:lineRule="auto"/>
        <w:contextualSpacing/>
        <w:jc w:val="both"/>
      </w:pPr>
      <w:r w:rsidRPr="00ED345D">
        <w:rPr>
          <w:vertAlign w:val="superscript"/>
        </w:rPr>
        <w:t>a</w:t>
      </w:r>
      <w:r>
        <w:t xml:space="preserve">Amide hydrogen of the alanine residue within the cyclic peptidolactone/peptidolactam core at 40 </w:t>
      </w:r>
      <w:r>
        <w:rPr>
          <w:vertAlign w:val="superscript"/>
        </w:rPr>
        <w:sym w:font="Symbol" w:char="F0B0"/>
      </w:r>
      <w:r>
        <w:t>C in CD</w:t>
      </w:r>
      <w:r>
        <w:rPr>
          <w:vertAlign w:val="subscript"/>
        </w:rPr>
        <w:t>3</w:t>
      </w:r>
      <w:r>
        <w:t xml:space="preserve">OD. </w:t>
      </w:r>
    </w:p>
    <w:p w14:paraId="313BD702" w14:textId="77777777" w:rsidR="00EC3A2F" w:rsidRDefault="00EC3A2F" w:rsidP="00EC3A2F">
      <w:pPr>
        <w:spacing w:line="240" w:lineRule="auto"/>
        <w:contextualSpacing/>
        <w:jc w:val="both"/>
      </w:pPr>
      <w:r w:rsidRPr="00C03E53">
        <w:rPr>
          <w:vertAlign w:val="superscript"/>
        </w:rPr>
        <w:lastRenderedPageBreak/>
        <w:t>b</w:t>
      </w:r>
      <w:r>
        <w:t xml:space="preserve">Exchange was complete prior to the first scan. </w:t>
      </w:r>
    </w:p>
    <w:p w14:paraId="5FB43DAB" w14:textId="77777777" w:rsidR="00EC3A2F" w:rsidRDefault="00EC3A2F" w:rsidP="00C371B6">
      <w:pPr>
        <w:spacing w:line="240" w:lineRule="auto"/>
        <w:contextualSpacing/>
        <w:jc w:val="both"/>
      </w:pPr>
      <w:r w:rsidRPr="00C03E53">
        <w:rPr>
          <w:vertAlign w:val="superscript"/>
        </w:rPr>
        <w:t>c</w:t>
      </w:r>
      <w:r>
        <w:rPr>
          <w:i/>
        </w:rPr>
        <w:t xml:space="preserve">B. subtilis </w:t>
      </w:r>
      <w:r>
        <w:t>(ATCC 6051).</w:t>
      </w:r>
    </w:p>
    <w:p w14:paraId="20AEB013" w14:textId="77777777" w:rsidR="00C371B6" w:rsidRPr="00C371B6" w:rsidRDefault="00C371B6" w:rsidP="00C371B6">
      <w:pPr>
        <w:spacing w:line="240" w:lineRule="auto"/>
        <w:contextualSpacing/>
        <w:jc w:val="both"/>
      </w:pPr>
    </w:p>
    <w:p w14:paraId="68A59268" w14:textId="611BE7CF" w:rsidR="00EC3A2F" w:rsidRDefault="00EC3A2F" w:rsidP="00EC3A2F">
      <w:pPr>
        <w:ind w:firstLine="720"/>
        <w:jc w:val="both"/>
      </w:pPr>
      <w:r w:rsidRPr="002B3B26">
        <w:t>All three compounds were evaluated in broth microdilution minimum inhibitory concentration (MIC) assays against </w:t>
      </w:r>
      <w:r w:rsidRPr="002B3B26">
        <w:rPr>
          <w:i/>
          <w:iCs/>
        </w:rPr>
        <w:t>B</w:t>
      </w:r>
      <w:r>
        <w:rPr>
          <w:i/>
          <w:iCs/>
        </w:rPr>
        <w:t>.</w:t>
      </w:r>
      <w:r w:rsidRPr="002B3B26">
        <w:rPr>
          <w:i/>
          <w:iCs/>
        </w:rPr>
        <w:t xml:space="preserve"> subtilis</w:t>
      </w:r>
      <w:r w:rsidRPr="002B3B26">
        <w:t>. As shown in </w:t>
      </w:r>
      <w:r w:rsidRPr="00423AC7">
        <w:rPr>
          <w:b/>
        </w:rPr>
        <w:t>Table 4.</w:t>
      </w:r>
      <w:r w:rsidR="001F6171">
        <w:rPr>
          <w:b/>
        </w:rPr>
        <w:t>2</w:t>
      </w:r>
      <w:r w:rsidRPr="002B3B26">
        <w:t>, the ester exhibited the greatest whole-cell activity (37 nM) followed by the amide (6.25 μM) and then the </w:t>
      </w:r>
      <w:r w:rsidRPr="002B3B26">
        <w:rPr>
          <w:i/>
          <w:iCs/>
        </w:rPr>
        <w:t>N</w:t>
      </w:r>
      <w:r w:rsidRPr="002B3B26">
        <w:t>-methyl amide (&gt;25 μM). Therefore, while the biochemical activity and thermal stabilization studies suggest −NH– macrocyclic substitution to be commensurate with the natural depsipeptide (</w:t>
      </w:r>
      <w:r w:rsidRPr="002B3B26">
        <w:rPr>
          <w:rFonts w:ascii="Cambria Math" w:hAnsi="Cambria Math" w:cs="Cambria Math"/>
        </w:rPr>
        <w:t>∼</w:t>
      </w:r>
      <w:r w:rsidRPr="002B3B26">
        <w:t>two-fold difference), the whole-cell activity demonstrates a significant difference in efficacy (&gt;150-fold difference), presumably due to a decrease in the efficiency of membrane permeation.</w:t>
      </w:r>
      <w:r>
        <w:fldChar w:fldCharType="begin"/>
      </w:r>
      <w:r>
        <w:instrText>ADDIN F1000_CSL_CITATION&lt;~#@#~&gt;[{"DOI":"10.1021/ja063076p","First":false,"Last":false,"PMID":"17061890","abstract":"We report an atomistic physical model for the passive membrane permeability of cyclic peptides. The computational modeling was performed in advance of the experiments and did not involve the use of \"training data\". The model explicitly treats the conformational flexibility of the peptides by extensive conformational sampling in low (membrane) and high (water) dielectric environments. The passive membrane permeabilities of 11 cyclic peptides were obtained experimentally using a parallel artificial membrane permeability assay (PAMPA) and showed a linear correlation with the computational results with R(2) = 0.96. In general, the results support the hypothesis, already well established in the literature, that the ability to form internal hydrogen bonds is critical for passive membrane permeability and can be the distinguishing factor among closely related compounds, such as those studied here. However, we have found that the number of internal hydrogen bonds that can form in the membrane and the solvent-exposed polar surface area correlate more poorly with PAMPA permeability than our model, which quantitatively estimates the solvation free energy losses upon moving from high-dielectric water to the low-dielectric interior of a membrane.","author":[{"family":"Rezai","given":"Taha"},{"family":"Bock","given":"Jonathan E"},{"family":"Zhou","given":"Mai V"},{"family":"Kalyanaraman","given":"Chakrapani"},{"family":"Lokey","given":"R Scott"},{"family":"Jacobson","given":"Matthew P"}],"authorYearDisplayFormat":false,"citation-label":"4529652","container-title":"Journal of the American Chemical Society","container-title-short":"J. Am. Chem. Soc.","id":"4529652","invisible":false,"issue":"43","issued":{"date-parts":[["2006","11","1"]]},"journalAbbreviation":"J. Am. Chem. Soc.","page":"14073-14080","suppress-author":false,"title":"Conformational flexibility, internal hydrogen bonding, and passive membrane permeability: successful in silico prediction of the relative permeabilities of cyclic peptides.","type":"article-journal","volume":"128"},{"DOI":"10.1021/ja0563455","First":false,"Last":false,"PMID":"16492015","abstract":"Little is known about the effect of conformation on passive membrane diffusion rates in small molecules. Evidence suggests that intramolecular hydrogen bonding may play a role by reducing the energetic cost of desolvating hydrogen bond donors, especially amide N-H groups. We set out to test this hypothesis by investigating the passive membrane diffusion characteristics of a series of cyclic peptide diastereomers based on the sequence cyclo[Leu-Leu-Leu-Leu-Pro-Tyr]. We identified two cyclic hexapeptide diastereomers based on this sequence, whose membrane diffusion rates differed by nearly two log units. Results of solution NMR studies and hydrogen/deuterium (H/D) exchange experiments showed that membrane diffusion rates correlated with the degree of intramolecular hydrogen bonding and H/D exchange rates. The most permeable diastereomer, cyclo[d-Leu-d-Leu-Leu-d-Leu-Pro-Tyr] (1), exhibited a passive membrane diffusion rate comparable to that of the orally available drug cyclosporine A.","author":[{"family":"Rezai","given":"Taha"},{"family":"Yu","given":"Bin"},{"family":"Millhauser","given":"Glenn L"},{"family":"Jacobson","given":"Matthew P"},{"family":"Lokey","given":"R Scott"}],"authorYearDisplayFormat":false,"citation-label":"5197563","container-title":"Journal of the American Chemical Society","container-title-short":"J. Am. Chem. Soc.","id":"5197563","invisible":false,"issue":"8","issued":{"date-parts":[["2006","3","1"]]},"journalAbbreviation":"J. Am. Chem. Soc.","page":"2510-2511","suppress-author":false,"title":"Testing the conformational hypothesis of passive membrane permeability using synthetic cyclic peptide diastereomers.","type":"article-journal","volume":"128"}]</w:instrText>
      </w:r>
      <w:r>
        <w:fldChar w:fldCharType="separate"/>
      </w:r>
      <w:r w:rsidRPr="009D2519">
        <w:rPr>
          <w:noProof/>
          <w:vertAlign w:val="superscript"/>
        </w:rPr>
        <w:t>54,55</w:t>
      </w:r>
      <w:r>
        <w:fldChar w:fldCharType="end"/>
      </w:r>
    </w:p>
    <w:p w14:paraId="32EE80E4" w14:textId="77777777" w:rsidR="00EC3A2F" w:rsidRPr="002B3B26" w:rsidRDefault="00EC3A2F" w:rsidP="00EC3A2F">
      <w:pPr>
        <w:ind w:firstLine="720"/>
        <w:jc w:val="both"/>
      </w:pPr>
      <w:r w:rsidRPr="00F67586">
        <w:t>Inspection of the published ADEP1·ClpP (PDB ID: 3KTI) and ADEP2·ClpP (PDB ID: 3KTK) cocrystal structures reveals that the oxygen comprising the ester linkage of the depsipeptide is not involved in either intramolecular or intermolecular interactions when bound to ClpP.</w:t>
      </w:r>
      <w:r>
        <w:fldChar w:fldCharType="begin"/>
      </w:r>
      <w:r>
        <w:instrText>ADDIN F1000_CSL_CITATION&lt;~#@#~&gt;[{"DOI":"10.1038/nsmb.1787","First":false,"Last":false,"PMID":"20305655","abstract":"Clp-family proteins are prototypes for studying the mechanism of ATP-dependent proteases because the proteolytic activity of the ClpP core is tightly regulated by activating Clp-ATPases. Nonetheless, the proteolytic activation mechanism has remained elusive because of the lack of a complex structure. Acyldepsipeptides (ADEPs), a recently discovered class of antibiotics, activate and disregulate ClpP. Here we have elucidated the structural changes underlying the ClpP activation process by ADEPs. We present the structures of Bacillus subtilis ClpP alone and in complex with ADEP1 and ADEP2. The structures show the closed-to-open-gate transition of the ClpP N-terminal segments upon activation as well as conformational changes restricted to the upper portion of ClpP. The direction of the conformational movement and the hydrophobic clustering that stabilizes the closed structure are markedly different from those of other ATP-dependent proteases, providing unprecedented insights into the activation of ClpP.","author":[{"family":"Lee","given":"Byung-Gil"},{"family":"Park","given":"Eun Young"},{"family":"Lee","given":"Kyung-Eun"},{"family":"Jeon","given":"Hyesung"},{"family":"Sung","given":"Kwang Hoon"},{"family":"Paulsen","given":"Holger"},{"family":"Rübsamen-Schaeff","given":"Helga"},{"family":"Brötz-Oesterhelt","given":"Heike"},{"family":"Song","given":"Hyun Kyu"}],"authorYearDisplayFormat":false,"citation-label":"5829011","container-title":"Nature Structural &amp; Molecular Biology","container-title-short":"Nat. Struct. Mol. Biol.","id":"5829011","invisible":false,"issue":"4","issued":{"date-parts":[["2010","4"]]},"journalAbbreviation":"Nat. Struct. Mol. Biol.","page":"471-478","suppress-author":false,"title":"Structures of ClpP in complex with acyldepsipeptide antibiotics reveal its activation mechanism.","type":"article-journal","volume":"17"},{"DOI":"10.1002/cmdc.200600055","First":false,"Last":false,"PMID":"16902918","author":[{"family":"Hinzen","given":"Berthold"},{"family":"Raddatz","given":"Siegfried"},{"family":"Paulsen","given":"Holger"},{"family":"Lampe","given":"Thomas"},{"family":"Schumacher","given":"Andreas"},{"family":"Häbich","given":"Dieter"},{"family":"Hellwig","given":"Veronica"},{"family":"Benet-Buchholz","given":"Jordi"},{"family":"Endermann","given":"Rainer"},{"family":"Labischinski","given":"Harald"},{"family":"Brötz-Oesterhelt","given":"Heike"}],"authorYearDisplayFormat":false,"citation-label":"5898249","container-title":"Chemmedchem","container-title-short":"ChemMedChem","id":"5898249","invisible":false,"issue":"7","issued":{"date-parts":[["2006","7"]]},"journalAbbreviation":"ChemMedChem","page":"689-693","suppress-author":false,"title":"Medicinal chemistry optimization of acyldepsipeptides of the enopeptin class antibiotics.","type":"article-journal","volume":"1"}]</w:instrText>
      </w:r>
      <w:r>
        <w:fldChar w:fldCharType="separate"/>
      </w:r>
      <w:r w:rsidRPr="009D2519">
        <w:rPr>
          <w:noProof/>
          <w:vertAlign w:val="superscript"/>
        </w:rPr>
        <w:t>20,53</w:t>
      </w:r>
      <w:r>
        <w:fldChar w:fldCharType="end"/>
      </w:r>
      <w:r w:rsidRPr="00F67586">
        <w:t> As such, we hypothesized that any observed differences in biological activity, especially between the −O– and −NH– linkages likely arises from conformational differences. To evaluate the effect of linkage substitution on the conformational dynamics of the cyclic peptidolactone/peptidolactam cores, we conducted hydrogen–deuterium exchange experiments. Specifically of interest were the H/D exchange properties of the alanine residue within the cyclic peptidolactone/peptidolactam cores. Intramolecular hydrogen bonding of the alanine −NH– and the extracyclic 3,5-difluorophenylalanine carbonyl is observed in ADEP·ClpP cocrystal structures and thus has been postulated as an important feature in ADEP binding.</w:t>
      </w:r>
      <w:r>
        <w:fldChar w:fldCharType="begin"/>
      </w:r>
      <w:r>
        <w:instrText>ADDIN F1000_CSL_CITATION&lt;~#@#~&gt;[{"DOI":"10.1021/ja410385c","First":false,"Last":false,"PMCID":"PMC4004210","PMID":"24422534","abstract":"The cyclic acyldepsipeptide (ADEP) antibiotics are a new class of antibacterial agents that kill bacteria via a mechanism that is distinct from all clinically used drugs. These molecules bind and dysregulate the activity of the ClpP peptidase. The potential of these antibiotics as antibacterial drugs has been enhanced by the elimination of pharmacological liabilities through medicinal chemistry efforts. Here, we demonstrate that the ADEP conformation observed in the ADEP-ClpP crystal structure is fortified by transannular hydrogen bonding and can be further stabilized by judicious replacement of constituent amino acids within the peptidolactone core structure with more conformationally constrained counterparts. Evidence supporting constraint of the molecule into the bioactive conformer was obtained by measurements of deuterium-exchange kinetics of hydrogens that were proposed to be engaged in transannular hydrogen bonds. We show that the rigidified ADEP analogs bind and activate ClpP at lower concentrations in vitro. Remarkably, these compounds have up to 1200-fold enhanced antibacterial activity when compared to those with the peptidolactone core structure common to two ADEP natural products. This study compellingly demonstrates how rational modulation of conformational dynamics may be used to improve the bioactivities of natural products. ","author":[{"family":"Carney","given":"Daniel W"},{"family":"Schmitz","given":"Karl R"},{"family":"Truong","given":"Jonathan V"},{"family":"Sauer","given":"Robert T"},{"family":"Sello","given":"Jason K"}],"authorYearDisplayFormat":false,"citation-label":"472546","container-title":"Journal of the American Chemical Society","container-title-short":"J. Am. Chem. Soc.","id":"472546","invisible":false,"issue":"5","issued":{"date-parts":[["2014","2","5"]]},"journalAbbreviation":"J. Am. Chem. Soc.","page":"1922-1929","suppress-author":false,"title":"Restriction of the conformational dynamics of the cyclic acyldepsipeptide antibiotics improves their antibacterial activity.","type":"article-journal","volume":"136"},{"DOI":"10.1002/cmdc.200600055","First":false,"Last":false,"PMID":"16902918","author":[{"family":"Hinzen","given":"Berthold"},{"family":"Raddatz","given":"Siegfried"},{"family":"Paulsen","given":"Holger"},{"family":"Lampe","given":"Thomas"},{"family":"Schumacher","given":"Andreas"},{"family":"Häbich","given":"Dieter"},{"family":"Hellwig","given":"Veronica"},{"family":"Benet-Buchholz","given":"Jordi"},{"family":"Endermann","given":"Rainer"},{"family":"Labischinski","given":"Harald"},{"family":"Brötz-Oesterhelt","given":"Heike"}],"authorYearDisplayFormat":false,"citation-label":"5898249","container-title":"Chemmedchem","container-title-short":"ChemMedChem","id":"5898249","invisible":false,"issue":"7","issued":{"date-parts":[["2006","7"]]},"journalAbbreviation":"ChemMedChem","page":"689-693","suppress-author":false,"title":"Medicinal chemistry optimization of acyldepsipeptides of the enopeptin class antibiotics.","type":"article-journal","volume":"1"}]</w:instrText>
      </w:r>
      <w:r>
        <w:fldChar w:fldCharType="separate"/>
      </w:r>
      <w:r w:rsidRPr="009D2519">
        <w:rPr>
          <w:noProof/>
          <w:vertAlign w:val="superscript"/>
        </w:rPr>
        <w:t>20,23</w:t>
      </w:r>
      <w:r>
        <w:fldChar w:fldCharType="end"/>
      </w:r>
      <w:r w:rsidRPr="00F67586">
        <w:t xml:space="preserve"> Strengthening this intramolecular hydrogen bond interaction can be accomplished by incorporation of a pipecolate residue in the depsipeptide core.</w:t>
      </w:r>
      <w:r>
        <w:fldChar w:fldCharType="begin"/>
      </w:r>
      <w:r>
        <w:instrText>ADDIN F1000_CSL_CITATION&lt;~#@#~&gt;[{"DOI":"10.1021/ja410385c","First":false,"Last":false,"PMCID":"PMC4004210","PMID":"24422534","abstract":"The cyclic acyldepsipeptide (ADEP) antibiotics are a new class of antibacterial agents that kill bacteria via a mechanism that is distinct from all clinically used drugs. These molecules bind and dysregulate the activity of the ClpP peptidase. The potential of these antibiotics as antibacterial drugs has been enhanced by the elimination of pharmacological liabilities through medicinal chemistry efforts. Here, we demonstrate that the ADEP conformation observed in the ADEP-ClpP crystal structure is fortified by transannular hydrogen bonding and can be further stabilized by judicious replacement of constituent amino acids within the peptidolactone core structure with more conformationally constrained counterparts. Evidence supporting constraint of the molecule into the bioactive conformer was obtained by measurements of deuterium-exchange kinetics of hydrogens that were proposed to be engaged in transannular hydrogen bonds. We show that the rigidified ADEP analogs bind and activate ClpP at lower concentrations in vitro. Remarkably, these compounds have up to 1200-fold enhanced antibacterial activity when compared to those with the peptidolactone core structure common to two ADEP natural products. This study compellingly demonstrates how rational modulation of conformational dynamics may be used to improve the bioactivities of natural products. ","author":[{"family":"Carney","given":"Daniel W"},{"family":"Schmitz","given":"Karl R"},{"family":"Truong","given":"Jonathan V"},{"family":"Sauer","given":"Robert T"},{"family":"Sello","given":"Jason K"}],"authorYearDisplayFormat":false,"citation-label":"472546","container-title":"Journal of the American Chemical Society","container-title-short":"J. Am. Chem. Soc.","id":"472546","invisible":false,"issue":"5","issued":{"date-parts":[["2014","2","5"]]},"journalAbbreviation":"J. Am. Chem. Soc.","page":"1922-1929","suppress-author":false,"title":"Restriction of the conformational dynamics of the cyclic acyldepsipeptide antibiotics improves their antibacterial activity.","type":"article-journal","volume":"136"}]</w:instrText>
      </w:r>
      <w:r>
        <w:fldChar w:fldCharType="separate"/>
      </w:r>
      <w:r w:rsidRPr="009D2519">
        <w:rPr>
          <w:noProof/>
          <w:vertAlign w:val="superscript"/>
        </w:rPr>
        <w:t>23</w:t>
      </w:r>
      <w:r>
        <w:fldChar w:fldCharType="end"/>
      </w:r>
      <w:r w:rsidRPr="00F67586">
        <w:t xml:space="preserve"> This structural modification leads to more rigidified analogs that </w:t>
      </w:r>
      <w:r w:rsidRPr="00F67586">
        <w:lastRenderedPageBreak/>
        <w:t>mimic the bound conformation and thus reduces entropic binding penalties, resulting in the observed improvement in potency for rigidified ADEPs.</w:t>
      </w:r>
      <w:r>
        <w:fldChar w:fldCharType="begin"/>
      </w:r>
      <w:r>
        <w:instrText>ADDIN F1000_CSL_CITATION&lt;~#@#~&gt;[{"DOI":"10.1021/ja410385c","First":false,"Last":false,"PMCID":"PMC4004210","PMID":"24422534","abstract":"The cyclic acyldepsipeptide (ADEP) antibiotics are a new class of antibacterial agents that kill bacteria via a mechanism that is distinct from all clinically used drugs. These molecules bind and dysregulate the activity of the ClpP peptidase. The potential of these antibiotics as antibacterial drugs has been enhanced by the elimination of pharmacological liabilities through medicinal chemistry efforts. Here, we demonstrate that the ADEP conformation observed in the ADEP-ClpP crystal structure is fortified by transannular hydrogen bonding and can be further stabilized by judicious replacement of constituent amino acids within the peptidolactone core structure with more conformationally constrained counterparts. Evidence supporting constraint of the molecule into the bioactive conformer was obtained by measurements of deuterium-exchange kinetics of hydrogens that were proposed to be engaged in transannular hydrogen bonds. We show that the rigidified ADEP analogs bind and activate ClpP at lower concentrations in vitro. Remarkably, these compounds have up to 1200-fold enhanced antibacterial activity when compared to those with the peptidolactone core structure common to two ADEP natural products. This study compellingly demonstrates how rational modulation of conformational dynamics may be used to improve the bioactivities of natural products. ","author":[{"family":"Carney","given":"Daniel W"},{"family":"Schmitz","given":"Karl R"},{"family":"Truong","given":"Jonathan V"},{"family":"Sauer","given":"Robert T"},{"family":"Sello","given":"Jason K"}],"authorYearDisplayFormat":false,"citation-label":"472546","container-title":"Journal of the American Chemical Society","container-title-short":"J. Am. Chem. Soc.","id":"472546","invisible":false,"issue":"5","issued":{"date-parts":[["2014","2","5"]]},"journalAbbreviation":"J. Am. Chem. Soc.","page":"1922-1929","suppress-author":false,"title":"Restriction of the conformational dynamics of the cyclic acyldepsipeptide antibiotics improves their antibacterial activity.","type":"article-journal","volume":"136"}]</w:instrText>
      </w:r>
      <w:r>
        <w:fldChar w:fldCharType="separate"/>
      </w:r>
      <w:r w:rsidRPr="009D2519">
        <w:rPr>
          <w:noProof/>
          <w:vertAlign w:val="superscript"/>
        </w:rPr>
        <w:t>23</w:t>
      </w:r>
      <w:r>
        <w:fldChar w:fldCharType="end"/>
      </w:r>
    </w:p>
    <w:p w14:paraId="02D36DE5" w14:textId="77777777" w:rsidR="00EC3A2F" w:rsidRDefault="00EC3A2F" w:rsidP="00EC3A2F">
      <w:pPr>
        <w:ind w:firstLine="720"/>
        <w:jc w:val="both"/>
      </w:pPr>
      <w:r w:rsidRPr="0080080B">
        <w:t>The −O-linked compound (</w:t>
      </w:r>
      <w:r w:rsidRPr="0080080B">
        <w:rPr>
          <w:bCs/>
        </w:rPr>
        <w:t>1</w:t>
      </w:r>
      <w:r w:rsidRPr="0080080B">
        <w:t>) exhibited a much longer H/D exchange rate (</w:t>
      </w:r>
      <w:r w:rsidRPr="0080080B">
        <w:rPr>
          <w:i/>
          <w:iCs/>
        </w:rPr>
        <w:t>t</w:t>
      </w:r>
      <w:r w:rsidRPr="0080080B">
        <w:rPr>
          <w:vertAlign w:val="subscript"/>
        </w:rPr>
        <w:t>1/2</w:t>
      </w:r>
      <w:r w:rsidRPr="0080080B">
        <w:t> = 38 min) than the −NH– (</w:t>
      </w:r>
      <w:r w:rsidRPr="0080080B">
        <w:rPr>
          <w:bCs/>
        </w:rPr>
        <w:t>2</w:t>
      </w:r>
      <w:r w:rsidRPr="0080080B">
        <w:t>) and −NMe– (</w:t>
      </w:r>
      <w:r w:rsidRPr="0080080B">
        <w:rPr>
          <w:bCs/>
        </w:rPr>
        <w:t>3</w:t>
      </w:r>
      <w:r w:rsidRPr="0080080B">
        <w:t>) compounds, both of which revealed complete H/D exchange within the time required to setup the experiment (</w:t>
      </w:r>
      <w:r w:rsidRPr="0080080B">
        <w:rPr>
          <w:i/>
          <w:iCs/>
        </w:rPr>
        <w:t>t</w:t>
      </w:r>
      <w:r w:rsidRPr="0080080B">
        <w:rPr>
          <w:vertAlign w:val="subscript"/>
        </w:rPr>
        <w:t>1/2</w:t>
      </w:r>
      <w:r w:rsidRPr="0080080B">
        <w:t> &lt; 4 min). This suggests that both the −NH− and −NMe− linkages perturb the macrocyclic conformation enough to disrupt the important intramolecular hydrogen bonding interaction between the alanine −NH− and the carbonyl of the 3,5-difluorophenylalanine. This is noteworthy in regards to the whole-cell activity, as intramolecular hydrogen bonding of macrocycles has been shown to enhance permeation through lipid bilayers, presumably by decreasing energetic penalties for desolvation of hydrogen bond donors, especially NH groups.</w:t>
      </w:r>
      <w:r>
        <w:fldChar w:fldCharType="begin"/>
      </w:r>
      <w:r>
        <w:instrText>ADDIN F1000_CSL_CITATION&lt;~#@#~&gt;[{"DOI":"10.1021/ja063076p","First":false,"Last":false,"PMID":"17061890","abstract":"We report an atomistic physical model for the passive membrane permeability of cyclic peptides. The computational modeling was performed in advance of the experiments and did not involve the use of \"training data\". The model explicitly treats the conformational flexibility of the peptides by extensive conformational sampling in low (membrane) and high (water) dielectric environments. The passive membrane permeabilities of 11 cyclic peptides were obtained experimentally using a parallel artificial membrane permeability assay (PAMPA) and showed a linear correlation with the computational results with R(2) = 0.96. In general, the results support the hypothesis, already well established in the literature, that the ability to form internal hydrogen bonds is critical for passive membrane permeability and can be the distinguishing factor among closely related compounds, such as those studied here. However, we have found that the number of internal hydrogen bonds that can form in the membrane and the solvent-exposed polar surface area correlate more poorly with PAMPA permeability than our model, which quantitatively estimates the solvation free energy losses upon moving from high-dielectric water to the low-dielectric interior of a membrane.","author":[{"family":"Rezai","given":"Taha"},{"family":"Bock","given":"Jonathan E"},{"family":"Zhou","given":"Mai V"},{"family":"Kalyanaraman","given":"Chakrapani"},{"family":"Lokey","given":"R Scott"},{"family":"Jacobson","given":"Matthew P"}],"authorYearDisplayFormat":false,"citation-label":"4529652","container-title":"Journal of the American Chemical Society","container-title-short":"J. Am. Chem. Soc.","id":"4529652","invisible":false,"issue":"43","issued":{"date-parts":[["2006","11","1"]]},"journalAbbreviation":"J. Am. Chem. Soc.","page":"14073-14080","suppress-author":false,"title":"Conformational flexibility, internal hydrogen bonding, and passive membrane permeability: successful in silico prediction of the relative permeabilities of cyclic peptides.","type":"article-journal","volume":"128"},{"DOI":"10.1021/ja0563455","First":false,"Last":false,"PMID":"16492015","abstract":"Little is known about the effect of conformation on passive membrane diffusion rates in small molecules. Evidence suggests that intramolecular hydrogen bonding may play a role by reducing the energetic cost of desolvating hydrogen bond donors, especially amide N-H groups. We set out to test this hypothesis by investigating the passive membrane diffusion characteristics of a series of cyclic peptide diastereomers based on the sequence cyclo[Leu-Leu-Leu-Leu-Pro-Tyr]. We identified two cyclic hexapeptide diastereomers based on this sequence, whose membrane diffusion rates differed by nearly two log units. Results of solution NMR studies and hydrogen/deuterium (H/D) exchange experiments showed that membrane diffusion rates correlated with the degree of intramolecular hydrogen bonding and H/D exchange rates. The most permeable diastereomer, cyclo[d-Leu-d-Leu-Leu-d-Leu-Pro-Tyr] (1), exhibited a passive membrane diffusion rate comparable to that of the orally available drug cyclosporine A.","author":[{"family":"Rezai","given":"Taha"},{"family":"Yu","given":"Bin"},{"family":"Millhauser","given":"Glenn L"},{"family":"Jacobson","given":"Matthew P"},{"family":"Lokey","given":"R Scott"}],"authorYearDisplayFormat":false,"citation-label":"5197563","container-title":"Journal of the American Chemical Society","container-title-short":"J. Am. Chem. Soc.","id":"5197563","invisible":false,"issue":"8","issued":{"date-parts":[["2006","3","1"]]},"journalAbbreviation":"J. Am. Chem. Soc.","page":"2510-2511","suppress-author":false,"title":"Testing the conformational hypothesis of passive membrane permeability using synthetic cyclic peptide diastereomers.","type":"article-journal","volume":"128"}]</w:instrText>
      </w:r>
      <w:r>
        <w:fldChar w:fldCharType="separate"/>
      </w:r>
      <w:r w:rsidRPr="009D2519">
        <w:rPr>
          <w:noProof/>
          <w:vertAlign w:val="superscript"/>
        </w:rPr>
        <w:t>54,55</w:t>
      </w:r>
      <w:r>
        <w:fldChar w:fldCharType="end"/>
      </w:r>
      <w:r w:rsidRPr="0080080B">
        <w:t xml:space="preserve"> Thus, although the overall effect of macrocyclic conformation for −O– to −NH– substitution in the linker is relatively small and can be easily overcome in the biochemical assay, it is plausible that the disruption of this intramolecular hydrogen bond negatively affects permeation and contributes significantly to the decreased whole-cell activity of </w:t>
      </w:r>
      <w:r w:rsidRPr="0080080B">
        <w:rPr>
          <w:bCs/>
        </w:rPr>
        <w:t>2</w:t>
      </w:r>
      <w:r w:rsidRPr="0080080B">
        <w:t>.</w:t>
      </w:r>
    </w:p>
    <w:p w14:paraId="042B8D1D" w14:textId="77777777" w:rsidR="00EC3A2F" w:rsidRPr="0080080B" w:rsidRDefault="00EC3A2F" w:rsidP="00EC3A2F">
      <w:pPr>
        <w:jc w:val="both"/>
      </w:pPr>
      <w:r w:rsidRPr="0080080B">
        <w:t>Not surprisingly, the −NMe– linkage results in more drastic deviations from the optimal macrocyclic conformation, disrupting the intramolecular hydrogen bonding and likely producing a large amount of </w:t>
      </w:r>
      <w:r w:rsidRPr="0080080B">
        <w:rPr>
          <w:i/>
          <w:iCs/>
        </w:rPr>
        <w:t>cis</w:t>
      </w:r>
      <w:r w:rsidRPr="0080080B">
        <w:t> amide conformer</w:t>
      </w:r>
      <w:r>
        <w:t>.</w:t>
      </w:r>
      <w:r w:rsidRPr="0080080B">
        <w:t xml:space="preserve"> </w:t>
      </w:r>
      <w:r>
        <w:t>This</w:t>
      </w:r>
      <w:r w:rsidRPr="0080080B">
        <w:t xml:space="preserve"> cannot easily be overcome during binding, thus resulting in significant decreases in both potency and whole-cell activity. Indeed, our NMR analysis strongly indicates a conformational mixture of multiple highly populated conformations for </w:t>
      </w:r>
      <w:r w:rsidRPr="0080080B">
        <w:rPr>
          <w:bCs/>
        </w:rPr>
        <w:t>3</w:t>
      </w:r>
      <w:r>
        <w:t>.</w:t>
      </w:r>
    </w:p>
    <w:p w14:paraId="15D13761" w14:textId="36A58452" w:rsidR="00EC3A2F" w:rsidRPr="00C371B6" w:rsidRDefault="00C371B6" w:rsidP="0012418F">
      <w:pPr>
        <w:pStyle w:val="Heading3"/>
      </w:pPr>
      <w:bookmarkStart w:id="114" w:name="_Toc8392793"/>
      <w:r w:rsidRPr="00C371B6">
        <w:t>4.5.</w:t>
      </w:r>
      <w:r w:rsidR="00D104C9">
        <w:t>4</w:t>
      </w:r>
      <w:r w:rsidRPr="00C371B6">
        <w:t xml:space="preserve"> </w:t>
      </w:r>
      <w:r w:rsidR="00EC3A2F" w:rsidRPr="00C371B6">
        <w:t>Conclusion</w:t>
      </w:r>
      <w:bookmarkEnd w:id="114"/>
    </w:p>
    <w:p w14:paraId="1646444C" w14:textId="77777777" w:rsidR="00EC3A2F" w:rsidRDefault="00EC3A2F" w:rsidP="00EC3A2F">
      <w:pPr>
        <w:ind w:firstLine="720"/>
        <w:jc w:val="both"/>
      </w:pPr>
      <w:r w:rsidRPr="008B78BD">
        <w:t xml:space="preserve">In summary, we have synthesized and biochemically evaluated three ADEP analogs that only differ in the type of linkage (i.e., −O–, −NH–, and −NMe−). This </w:t>
      </w:r>
      <w:r w:rsidRPr="008B78BD">
        <w:lastRenderedPageBreak/>
        <w:t>systematic study allowed for the direct comparison of linkage substitution on target engagement, conformation, and whole-cell activity. In biochemical activity assays, the −O-linked analog (</w:t>
      </w:r>
      <w:r w:rsidRPr="008B78BD">
        <w:rPr>
          <w:b/>
          <w:bCs/>
        </w:rPr>
        <w:t>1</w:t>
      </w:r>
      <w:r w:rsidRPr="008B78BD">
        <w:t xml:space="preserve">) exhibits </w:t>
      </w:r>
      <w:r w:rsidRPr="008B78BD">
        <w:rPr>
          <w:rFonts w:ascii="Cambria Math" w:hAnsi="Cambria Math" w:cs="Cambria Math"/>
        </w:rPr>
        <w:t>∼</w:t>
      </w:r>
      <w:r w:rsidRPr="008B78BD">
        <w:t xml:space="preserve">two-fold and </w:t>
      </w:r>
      <w:r w:rsidRPr="008B78BD">
        <w:rPr>
          <w:rFonts w:ascii="Cambria Math" w:hAnsi="Cambria Math" w:cs="Cambria Math"/>
        </w:rPr>
        <w:t>∼</w:t>
      </w:r>
      <w:r w:rsidRPr="008B78BD">
        <w:t>100-fold better potency than the −NH– (</w:t>
      </w:r>
      <w:r w:rsidRPr="008B78BD">
        <w:rPr>
          <w:b/>
          <w:bCs/>
        </w:rPr>
        <w:t>2</w:t>
      </w:r>
      <w:r w:rsidRPr="008B78BD">
        <w:t>) and −NMe– (</w:t>
      </w:r>
      <w:r w:rsidRPr="008B78BD">
        <w:rPr>
          <w:b/>
          <w:bCs/>
        </w:rPr>
        <w:t>3</w:t>
      </w:r>
      <w:r w:rsidRPr="008B78BD">
        <w:t>) analogs, respectively. In MIC experiments against </w:t>
      </w:r>
      <w:r w:rsidRPr="008B78BD">
        <w:rPr>
          <w:i/>
          <w:iCs/>
        </w:rPr>
        <w:t>B</w:t>
      </w:r>
      <w:r>
        <w:rPr>
          <w:i/>
          <w:iCs/>
        </w:rPr>
        <w:t>.</w:t>
      </w:r>
      <w:r w:rsidRPr="008B78BD">
        <w:rPr>
          <w:i/>
          <w:iCs/>
        </w:rPr>
        <w:t xml:space="preserve"> subtilis</w:t>
      </w:r>
      <w:r w:rsidRPr="008B78BD">
        <w:t>, </w:t>
      </w:r>
      <w:r w:rsidRPr="008B78BD">
        <w:rPr>
          <w:b/>
          <w:bCs/>
        </w:rPr>
        <w:t>1</w:t>
      </w:r>
      <w:r w:rsidRPr="008B78BD">
        <w:t xml:space="preserve"> is </w:t>
      </w:r>
      <w:r w:rsidRPr="008B78BD">
        <w:rPr>
          <w:rFonts w:ascii="Cambria Math" w:hAnsi="Cambria Math" w:cs="Cambria Math"/>
        </w:rPr>
        <w:t>∼</w:t>
      </w:r>
      <w:r w:rsidRPr="008B78BD">
        <w:t>170-fold and &gt;650-fold more active than </w:t>
      </w:r>
      <w:r w:rsidRPr="008B78BD">
        <w:rPr>
          <w:b/>
          <w:bCs/>
        </w:rPr>
        <w:t>2</w:t>
      </w:r>
      <w:r w:rsidRPr="008B78BD">
        <w:t> and </w:t>
      </w:r>
      <w:r w:rsidRPr="008B78BD">
        <w:rPr>
          <w:b/>
          <w:bCs/>
        </w:rPr>
        <w:t>3</w:t>
      </w:r>
      <w:r w:rsidRPr="008B78BD">
        <w:t>, respectively. In all biochemical assays in which these derivatives were evaluated, this </w:t>
      </w:r>
      <w:r w:rsidRPr="008B78BD">
        <w:rPr>
          <w:b/>
          <w:bCs/>
        </w:rPr>
        <w:t>1</w:t>
      </w:r>
      <w:r w:rsidRPr="008B78BD">
        <w:t> &gt; </w:t>
      </w:r>
      <w:r w:rsidRPr="008B78BD">
        <w:rPr>
          <w:b/>
          <w:bCs/>
        </w:rPr>
        <w:t>2</w:t>
      </w:r>
      <w:r w:rsidRPr="008B78BD">
        <w:t> &gt; </w:t>
      </w:r>
      <w:r w:rsidRPr="008B78BD">
        <w:rPr>
          <w:b/>
          <w:bCs/>
        </w:rPr>
        <w:t>3</w:t>
      </w:r>
      <w:r w:rsidRPr="008B78BD">
        <w:t> trend of activity was observed. Computational and spectroscopic analyses revealed that conformation is likely the key factor in differentiating target engagement and whole-cell activity. We demonstrate that simple replacement of the naturally occurring ester linkage with a secondary amide may not severely compromise the </w:t>
      </w:r>
      <w:r w:rsidRPr="008B78BD">
        <w:rPr>
          <w:i/>
          <w:iCs/>
        </w:rPr>
        <w:t>in vitro</w:t>
      </w:r>
      <w:r w:rsidRPr="008B78BD">
        <w:t> biochemical activity (target engagement), but results in a significant drop in whole-cell activity, presumably due to a disruption of a key hydrogen bonding interaction that is critical to cell permeation. As such, the excellent potency exhibited by rigidified ADEPs may not only arise from the preorganization of the depsipeptide core into a conformation optimized for ClpP binding, but also from an enhanced permeation profile. This study provides direct evidence that ester to amide linkage substitution is unlikely to yield a solution to ADEP instability and further highlights the need to continue the exploration for new ClpP activating chemotypes.</w:t>
      </w:r>
    </w:p>
    <w:p w14:paraId="20B6C774" w14:textId="77777777" w:rsidR="00EC3A2F" w:rsidRPr="00C03E53" w:rsidRDefault="00EC3A2F" w:rsidP="00EC3A2F">
      <w:pPr>
        <w:ind w:firstLine="720"/>
        <w:jc w:val="both"/>
      </w:pPr>
    </w:p>
    <w:p w14:paraId="1F0E72F0" w14:textId="708FE90E" w:rsidR="00EC3A2F" w:rsidRPr="00EC3A2F" w:rsidRDefault="00EC3A2F" w:rsidP="004E7821">
      <w:pPr>
        <w:pStyle w:val="Heading2"/>
      </w:pPr>
      <w:bookmarkStart w:id="115" w:name="_Toc8392794"/>
      <w:r w:rsidRPr="00EC3A2F">
        <w:t xml:space="preserve">4.6 </w:t>
      </w:r>
      <w:r w:rsidR="00F964B6">
        <w:t xml:space="preserve">Materials and </w:t>
      </w:r>
      <w:r w:rsidRPr="00EC3A2F">
        <w:t>Methods</w:t>
      </w:r>
      <w:bookmarkEnd w:id="115"/>
    </w:p>
    <w:p w14:paraId="085C2F74" w14:textId="77777777" w:rsidR="00EC3A2F" w:rsidRPr="00D60ECC" w:rsidRDefault="00EC3A2F" w:rsidP="0012418F">
      <w:pPr>
        <w:pStyle w:val="Heading3"/>
      </w:pPr>
      <w:bookmarkStart w:id="116" w:name="_Toc8392795"/>
      <w:r w:rsidRPr="00D60ECC">
        <w:t>4.6.1 General Experimental Procedures</w:t>
      </w:r>
      <w:bookmarkEnd w:id="116"/>
      <w:r w:rsidRPr="00D60ECC">
        <w:t xml:space="preserve"> </w:t>
      </w:r>
    </w:p>
    <w:p w14:paraId="53953132" w14:textId="77777777" w:rsidR="00EC3A2F" w:rsidRDefault="00EC3A2F" w:rsidP="00EC3A2F">
      <w:pPr>
        <w:ind w:firstLine="720"/>
        <w:jc w:val="both"/>
      </w:pPr>
      <w:r w:rsidRPr="002C14FA">
        <w:t xml:space="preserve">Positive controls were purchased from commercial sources and include enopeptin A (Santa Cruz Biotechnology, #sc-397311A), ADEP1 (Cayman Chemical, #15305), and ACP5 (Chembridge #5107473). ClpP substrates were purchased from commercial vendors and include FITC-β-casein (Sigma-Aldrich, C3777, 20−50 μg FITC per mg solid) and </w:t>
      </w:r>
      <w:r w:rsidRPr="007E6BDF">
        <w:t>Abz</w:t>
      </w:r>
      <w:r>
        <w:t>-</w:t>
      </w:r>
      <w:r w:rsidRPr="002C14FA">
        <w:lastRenderedPageBreak/>
        <w:t>DFAPKMALVPY</w:t>
      </w:r>
      <w:r w:rsidRPr="007E6BDF">
        <w:rPr>
          <w:vertAlign w:val="superscript"/>
        </w:rPr>
        <w:t>NO2</w:t>
      </w:r>
      <w:r w:rsidRPr="002C14FA">
        <w:t xml:space="preserve"> (Biomatik). Fluorescence readings were recorded on an i-TECAN Infinite M200 plate reader. Gel images were acquired on a Bio-Rad ChemiDoc MP CCD imaging system. All data analyses were performed with GraphPad Prism.</w:t>
      </w:r>
    </w:p>
    <w:p w14:paraId="1D8D2844" w14:textId="77777777" w:rsidR="00EC3A2F" w:rsidRPr="00EC3A2F" w:rsidRDefault="00EC3A2F" w:rsidP="0012418F">
      <w:pPr>
        <w:pStyle w:val="Heading3"/>
      </w:pPr>
      <w:bookmarkStart w:id="117" w:name="_Toc8392796"/>
      <w:r w:rsidRPr="00EC3A2F">
        <w:t>4.6.2 Protein Purification</w:t>
      </w:r>
      <w:bookmarkEnd w:id="117"/>
      <w:r w:rsidRPr="00EC3A2F">
        <w:t xml:space="preserve"> </w:t>
      </w:r>
    </w:p>
    <w:p w14:paraId="4B4E7372" w14:textId="77777777" w:rsidR="00EC3A2F" w:rsidRDefault="00EC3A2F" w:rsidP="00EC3A2F">
      <w:pPr>
        <w:ind w:firstLine="720"/>
        <w:jc w:val="both"/>
      </w:pPr>
      <w:r w:rsidRPr="002C14FA">
        <w:t xml:space="preserve">Two different E. coli cell strains were used for overexpression. </w:t>
      </w:r>
      <w:r w:rsidRPr="007E6BDF">
        <w:rPr>
          <w:i/>
        </w:rPr>
        <w:t>Ec</w:t>
      </w:r>
      <w:r w:rsidRPr="002C14FA">
        <w:t xml:space="preserve">ClpP was overexpressed in BLR (DE3) from Novagen and </w:t>
      </w:r>
      <w:r w:rsidRPr="007E6BDF">
        <w:rPr>
          <w:i/>
        </w:rPr>
        <w:t>Bs</w:t>
      </w:r>
      <w:r w:rsidRPr="002C14FA">
        <w:t>ClpP in BL21 (DE3) from New England Biolabs. Overexpression and purification conditions for both proteins were similar. Cell strains transformed with the relevant plasmids were grown at 37 °C to an OD600 of 0.7 followed by induction with 1 mM isopropyl β-D-thiogalactopyranoside and overnight overexpression at 25 °C. Cell pellets were resuspended in 20 mM Tris and 150 mM NaCl (pH 8.0) and lysed using an Avestin C3 Emulsiflex. Lysates were clarified by centrifugation at 12 000 rpm for 30 min and incubated with Ni-NTA (Qiagen) resin pre-equilibrated with 20 mM Tris and 150 mM NaCl (pH 8.0). Protein was eluted from Ni-NTA resin with 20 mM Tris, 150 mM NaCl, and 500 mM imidazole (pH 8.0) and concentrated. Gel filtration, using a Superdex 200 Increase size exclusion column (GE Healthcare), was used as a final purification step for both proteins. Gel filtration buffer conditions were 25 mM Tris, 100 mM KCl, and 10% glycerol (pH 7.5)</w:t>
      </w:r>
      <w:r>
        <w:fldChar w:fldCharType="begin"/>
      </w:r>
      <w:r>
        <w:instrText>ADDIN F1000_CSL_CITATION&lt;~#@#~&gt;[{"DOI":"10.1021/bi00034a025","First":false,"Last":false,"PMID":"7662672","abstract":"The Escherichia coli ATP-dependent caseinolytic protease (Clp) is composed of two distinct subunits; protease, ClpP, and ATPase, ClpA. Active ClpP has been overexpressed to approximately 50% of soluble protein in E. coli, and purified to homogeneity. Direct mass determination of individual particles using scanning transmission electron microscopy (STEM) yields a mean native molecular mass of 305 +/- 9 kDa for the ClpP oligomer, suggesting that it has a tetradecameric structure. Small-angle X-ray scattering (SAXS) curves were determined for ClpP in solution at concentrations of 1-10 mg/mL. A combination of STEM and SAXS data was used to derive a model for ClpP, comprising a cylindrical oligomer about 100 A in diameter and about 75 A in height with an axial pore about 32-36 A in diameter. The volume of the pore is estimated to be approximately 70,000 A3, similar in size to those found in chaperone proteins, and is large enough to accommodate unfolded polypeptide chains, although most globular folded proteins would be excluded.","author":[{"family":"Flanagan","given":"J M"},{"family":"Wall","given":"J S"},{"family":"Capel","given":"M S"},{"family":"Schneider","given":"D K"},{"family":"Shanklin","given":"J"}],"authorYearDisplayFormat":false,"citation-label":"5898169","container-title":"Biochemistry","container-title-short":"Biochemistry","id":"5898169","invisible":false,"issue":"34","issued":{"date-parts":[["1995","8","29"]]},"journalAbbreviation":"Biochemistry","page":"10910-10917","suppress-author":false,"title":"Scanning transmission electron microscopy and small-angle scattering provide evidence that native Escherichia coli ClpP is a tetradecamer with an axial pore.","type":"article-journal","volume":"34"}]</w:instrText>
      </w:r>
      <w:r>
        <w:fldChar w:fldCharType="separate"/>
      </w:r>
      <w:r w:rsidRPr="009D2519">
        <w:rPr>
          <w:noProof/>
          <w:vertAlign w:val="superscript"/>
        </w:rPr>
        <w:t>56</w:t>
      </w:r>
      <w:r>
        <w:fldChar w:fldCharType="end"/>
      </w:r>
      <w:r w:rsidRPr="002C14FA">
        <w:t xml:space="preserve"> for </w:t>
      </w:r>
      <w:r w:rsidRPr="007E6BDF">
        <w:rPr>
          <w:i/>
        </w:rPr>
        <w:t>Ec</w:t>
      </w:r>
      <w:r w:rsidRPr="002C14FA">
        <w:t>ClpP and 25 mM HEPES, 100 mM KCl, 20 mM MgCl2, 1 mM EDTA, and 10% glycerol (pH 7.6)</w:t>
      </w:r>
      <w:r>
        <w:fldChar w:fldCharType="begin"/>
      </w:r>
      <w:r>
        <w:instrText>ADDIN F1000_CSL_CITATION&lt;~#@#~&gt;[{"DOI":"10.1016/j.molcel.2007.05.024","First":false,"Last":false,"PMCID":"PMC2074893","PMID":"17612489","abstract":"In the ClpXP proteolytic machine, ClpX uses the energy of ATP hydrolysis to unfold protein substrates and translocate them through a central pore and into the degradation chamber of ClpP. Here, we demonstrate a bipartite system of ClpX-ClpP interactions that serves multiple functional roles. High-affinity contacts between six loops near the periphery of the hexameric ClpX ring and a ClpP ring establish correct positioning and increase degradation activity but are insensitive to nucleotide state. These static peripheral interactions maintain a stable ClpXP complex, while other parts of this machine change conformation hundreds of times per minute. By contrast, relatively weak axial contacts between loops at the bottom of the ClpX central channel and N-terminal loops of ClpP vary dynamically with the nucleotide state of individual ClpX subunits, control ATP-hydrolysis rates, and facilitate efficient protein unfolding. Thus, discrete static and dynamic interactions mediate binding and communication between ClpX and ClpP.","author":[{"family":"Martin","given":"Andreas"},{"family":"Baker","given":"Tania A"},{"family":"Sauer","given":"Robert T"}],"authorYearDisplayFormat":false,"citation-label":"5898202","container-title":"Molecular Cell","container-title-short":"Mol. Cell","id":"5898202","invisible":false,"issue":"1","issued":{"date-parts":[["2007","7","6"]]},"journalAbbreviation":"Mol. Cell","page":"41-52","suppress-author":false,"title":"Distinct static and dynamic interactions control ATPase-peptidase communication in a AAA+ protease.","type":"article-journal","volume":"27"}]</w:instrText>
      </w:r>
      <w:r>
        <w:fldChar w:fldCharType="separate"/>
      </w:r>
      <w:r w:rsidRPr="009D2519">
        <w:rPr>
          <w:noProof/>
          <w:vertAlign w:val="superscript"/>
        </w:rPr>
        <w:t>57</w:t>
      </w:r>
      <w:r>
        <w:fldChar w:fldCharType="end"/>
      </w:r>
      <w:r w:rsidRPr="002C14FA">
        <w:t xml:space="preserve"> for </w:t>
      </w:r>
      <w:r w:rsidRPr="007E6BDF">
        <w:rPr>
          <w:i/>
        </w:rPr>
        <w:t>Bs</w:t>
      </w:r>
      <w:r w:rsidRPr="002C14FA">
        <w:t>ClpP. Protein concentrations were determined using the calculated molar extinction coefficient in 6 M guanidinium hydrochloride.</w:t>
      </w:r>
      <w:r>
        <w:fldChar w:fldCharType="begin"/>
      </w:r>
      <w:r>
        <w:instrText>ADDIN F1000_CSL_CITATION&lt;~#@#~&gt;[{"DOI":"10.1016/0003-2697(89)90602-7","First":false,"Last":false,"PMID":"2610349","abstract":"Quantitative study of protein-protein and protein-ligand interactions in solution requires accurate determination of protein concentration. Often, for proteins available only in \"molecular biological\" amounts, it is difficult or impossible to make an accurate experimental measurement of the molar extinction coefficient of the protein. Yet without a reliable value of this parameter, one cannot determine protein concentrations by the usual uv spectroscopic means. Fortunately, knowledge of amino acid residue sequence and promoter molecular weight (and thus also of amino acid composition) is generally available through the DNA sequence, which is usually accurately known for most such proteins. In this paper we present a method for calculating accurate (to +/- 5% in most cases) molar extinction coefficients for proteins at 280 nm, simply from knowledge of the amino acid composition. The method is calibrated against 18 \"normal\" globular proteins whose molar extinction coefficients are accurately known, and the assumptions underlying the method, as well as its limitations, are discussed.","author":[{"family":"Gill","given":"S C"},{"family":"von Hippel","given":"P H"}],"authorYearDisplayFormat":false,"citation-label":"3282086","container-title":"Analytical Biochemistry","container-title-short":"Anal. Biochem.","id":"3282086","invisible":false,"issue":"2","issued":{"date-parts":[["1989","11","1"]]},"journalAbbreviation":"Anal. Biochem.","page":"319-326","suppress-author":false,"title":"Calculation of protein extinction coefficients from amino acid sequence data.","type":"article-journal","volume":"182"}]</w:instrText>
      </w:r>
      <w:r>
        <w:fldChar w:fldCharType="separate"/>
      </w:r>
      <w:r w:rsidRPr="009D2519">
        <w:rPr>
          <w:noProof/>
          <w:vertAlign w:val="superscript"/>
        </w:rPr>
        <w:t>58</w:t>
      </w:r>
      <w:r>
        <w:fldChar w:fldCharType="end"/>
      </w:r>
    </w:p>
    <w:p w14:paraId="1BAFC5D7" w14:textId="77777777" w:rsidR="00EC3A2F" w:rsidRPr="00D60ECC" w:rsidRDefault="00EC3A2F" w:rsidP="0012418F">
      <w:pPr>
        <w:pStyle w:val="Heading3"/>
      </w:pPr>
      <w:bookmarkStart w:id="118" w:name="_Toc8392797"/>
      <w:r w:rsidRPr="00D60ECC">
        <w:t>4.6.3 FITC-Casein Screening Assay</w:t>
      </w:r>
      <w:bookmarkEnd w:id="118"/>
      <w:r w:rsidRPr="00D60ECC">
        <w:t xml:space="preserve"> </w:t>
      </w:r>
    </w:p>
    <w:p w14:paraId="41459263" w14:textId="77777777" w:rsidR="00EC3A2F" w:rsidRPr="00627218" w:rsidRDefault="00EC3A2F" w:rsidP="00EC3A2F">
      <w:pPr>
        <w:ind w:firstLine="720"/>
        <w:jc w:val="both"/>
      </w:pPr>
      <w:r w:rsidRPr="00627218">
        <w:t xml:space="preserve">300 nM tetradecameric </w:t>
      </w:r>
      <w:r w:rsidRPr="00627218">
        <w:rPr>
          <w:i/>
        </w:rPr>
        <w:t>Ec</w:t>
      </w:r>
      <w:r w:rsidRPr="00627218">
        <w:t>ClpP in buffer A (25 mM Tris-HCl, pH 7.5, and 100 mM KCl) was incubated with compounds (50 µM) at 37</w:t>
      </w:r>
      <w:r>
        <w:t xml:space="preserve"> </w:t>
      </w:r>
      <w:r w:rsidRPr="00627218">
        <w:t>°C for 15 minutes in flat bottom, non-binding, non-sterile, white polystyrene 96-well plates (Corning 3990). After the pre-</w:t>
      </w:r>
      <w:r w:rsidRPr="00627218">
        <w:lastRenderedPageBreak/>
        <w:t>incubation period, 1 µL of a 19.2 mM FITC-β-casein solution (Sigma-Aldrich, C3777, 20-50 µg FITC per mg solid) in buffer A, was added to each assay well to give a final assay concentration of 192 µM FITC-β-casein and final assay volume of 100 µL. Assay plates were incubated at 37 °C and hydrolysis of the fluorogenic peptide was monitored via a TECAN Infinite M200 plate reader (excitation: 485 nm; emission: 538 nm). Readings were taken every 30 minutes for 6 hours. All compounds, along with Enopeptin A (25 µM, positive control) and 1% DMSO (negative control) were normalized relative to background FITC-β-casein fluorescence. Data analysis was executed with GraphPad Prism.</w:t>
      </w:r>
    </w:p>
    <w:p w14:paraId="250DAC2B" w14:textId="77777777" w:rsidR="00EC3A2F" w:rsidRPr="00D60ECC" w:rsidRDefault="00EC3A2F" w:rsidP="0012418F">
      <w:pPr>
        <w:pStyle w:val="Heading3"/>
      </w:pPr>
      <w:bookmarkStart w:id="119" w:name="_Toc8392798"/>
      <w:r w:rsidRPr="00D60ECC">
        <w:t>4.6.4 Decapeptide Degradation Assay</w:t>
      </w:r>
      <w:bookmarkEnd w:id="119"/>
      <w:r w:rsidRPr="00D60ECC">
        <w:t xml:space="preserve"> </w:t>
      </w:r>
    </w:p>
    <w:p w14:paraId="1892BD0C" w14:textId="77777777" w:rsidR="00EC3A2F" w:rsidRPr="00627218" w:rsidRDefault="00EC3A2F" w:rsidP="00EC3A2F">
      <w:pPr>
        <w:ind w:firstLine="720"/>
        <w:jc w:val="both"/>
      </w:pPr>
      <w:r w:rsidRPr="00627218">
        <w:t>As described previously,</w:t>
      </w:r>
      <w:r>
        <w:fldChar w:fldCharType="begin"/>
      </w:r>
      <w:r>
        <w:instrText>ADDIN F1000_CSL_CITATION&lt;~#@#~&gt;[{"DOI":"10.1002/cbic.201402358","First":false,"Last":false,"PMCID":"PMC4343535","PMID":"25212124","abstract":"The development of new antibacterial agents, particularly those with unique biological targets, is essential to keep pace with the inevitable emergence of drug resistance in pathogenic bacteria. We identified the minimal structural component of the cyclic acyldepsipeptide (ADEP) antibiotics that exhibits antibacterial activity. We found that N-acyldifluorophenylalanine fragments function via the same mechanism of action as ADEPs, as evidenced by the requirement of ClpP for the fragments' antibacterial activity, the ability of fragments to activate Bacillus subtilis ClpP in vitro, and the capacity of an N-acyldifluorophenylalanine affinity matrix to capture ClpP from B. subtilis cell lysates. N-acyldifluorophenylalanine fragments are much simpler in structure than the full ADEPs and are also highly amenable to structural diversification. Thus, the stage has been set for the development of non-peptide activators of ClpP that can be used as antibacterial agents. &lt;br&gt;&lt;br&gt;© 2014 WILEY-VCH Verlag GmbH &amp; Co. KGaA, Weinheim.","author":[{"family":"Carney","given":"Daniel W"},{"family":"Compton","given":"Corey L"},{"family":"Schmitz","given":"Karl R"},{"family":"Stevens","given":"Julia P"},{"family":"Sauer","given":"Robert T"},{"family":"Sello","given":"Jason K"}],"authorYearDisplayFormat":false,"citation-label":"5898247","container-title":"Chembiochem","container-title-short":"Chembiochem","id":"5898247","invisible":false,"issue":"15","issued":{"date-parts":[["2014","10","13"]]},"journalAbbreviation":"Chembiochem","page":"2216-2220","suppress-author":false,"title":"A simple fragment of cyclic acyldepsipeptides is necessary and sufficient for ClpP activation and antibacterial activity.","type":"article-journal","volume":"15"}]</w:instrText>
      </w:r>
      <w:r>
        <w:fldChar w:fldCharType="separate"/>
      </w:r>
      <w:r w:rsidRPr="009D2519">
        <w:rPr>
          <w:noProof/>
          <w:vertAlign w:val="superscript"/>
        </w:rPr>
        <w:t>22</w:t>
      </w:r>
      <w:r>
        <w:fldChar w:fldCharType="end"/>
      </w:r>
      <w:r w:rsidRPr="00627218">
        <w:t xml:space="preserve"> 25 nM tetradecameric </w:t>
      </w:r>
      <w:r w:rsidRPr="00627218">
        <w:rPr>
          <w:i/>
        </w:rPr>
        <w:t>Ec</w:t>
      </w:r>
      <w:r w:rsidRPr="00627218">
        <w:t>ClpP in buffer B (25 mM HEPES, pH 7.5, 100 mM KCl, 5 mM MgCl</w:t>
      </w:r>
      <w:r w:rsidRPr="00627218">
        <w:rPr>
          <w:vertAlign w:val="subscript"/>
        </w:rPr>
        <w:t>2</w:t>
      </w:r>
      <w:r w:rsidRPr="00627218">
        <w:t>, 10% glycerol, and 1 mM DTT) was incubated with the compound of interest over a range of concentrations at 30 °C for 15 minutes in flat bottom, non-binding, non-sterile, white polystyrene 96-well plate (Corning 3990). After the pre-incubation period 1µL of a 1.5 mM Abz-DFAPKMALVPY</w:t>
      </w:r>
      <w:r w:rsidRPr="00627218">
        <w:rPr>
          <w:vertAlign w:val="superscript"/>
        </w:rPr>
        <w:t>NO2</w:t>
      </w:r>
      <w:r w:rsidRPr="00627218">
        <w:t xml:space="preserve"> (Biomatik) solution was added to each assay well to give a final assay concentration of 15 µM fluorogenic decapeptide and final assay volume of 100 µL. Assay plates were incubated at 30 °C and hydrolysis of the fluorogenic peptide was monitored via an TECAN Infinite M200 plate reader (excitation: 320 nm; emission: 420 nm). Readings were taken every 30 minutes for 2 hours. All compounds, along with ADEP1 (positive control) and 1% DMSO (negative control) were normalized relative to background Abz-DFAPKMALVPY</w:t>
      </w:r>
      <w:r w:rsidRPr="00627218">
        <w:rPr>
          <w:vertAlign w:val="superscript"/>
        </w:rPr>
        <w:t>NO2</w:t>
      </w:r>
      <w:r w:rsidRPr="00627218">
        <w:t xml:space="preserve"> fluorescence. Data analysis was executed with GraphPad Prism.</w:t>
      </w:r>
    </w:p>
    <w:p w14:paraId="506B3D84" w14:textId="77777777" w:rsidR="00EC3A2F" w:rsidRPr="00D60ECC" w:rsidRDefault="00EC3A2F" w:rsidP="0012418F">
      <w:pPr>
        <w:pStyle w:val="Heading3"/>
      </w:pPr>
      <w:bookmarkStart w:id="120" w:name="_Toc8392799"/>
      <w:r w:rsidRPr="00D60ECC">
        <w:t>4.6.5 FITC-Casein Degradation Assay</w:t>
      </w:r>
      <w:bookmarkEnd w:id="120"/>
      <w:r w:rsidRPr="00D60ECC">
        <w:t xml:space="preserve"> </w:t>
      </w:r>
    </w:p>
    <w:p w14:paraId="3D23C7B8" w14:textId="77777777" w:rsidR="00EC3A2F" w:rsidRPr="00627218" w:rsidRDefault="00EC3A2F" w:rsidP="00EC3A2F">
      <w:pPr>
        <w:ind w:firstLine="720"/>
        <w:jc w:val="both"/>
      </w:pPr>
      <w:r w:rsidRPr="00627218">
        <w:t xml:space="preserve">257 nM tetradecameric </w:t>
      </w:r>
      <w:r w:rsidRPr="00627218">
        <w:rPr>
          <w:i/>
        </w:rPr>
        <w:t>Ec</w:t>
      </w:r>
      <w:r w:rsidRPr="00627218">
        <w:t xml:space="preserve">ClpP in buffer A (25 mM Tris-HCl, pH 7.5, and 100 mM KCl) was incubated with the compound of interest over a range of concentrations at 37 °C </w:t>
      </w:r>
      <w:r w:rsidRPr="00627218">
        <w:lastRenderedPageBreak/>
        <w:t>for 15 minutes in flat bottom, non-binding, non-sterile, white polystyrene 96-well plate (Corning 3990). After the pre-incubation period 1 µL of a 0.45 mM FITC-β-casein (Sigma-Aldrich, C3777, 20-50 µg FITC per mg solid) solution in buffer A was added to each assay well to give a final assay concentration of 4.5 µM fluorogenic decapeptide and final assay volume of 100 µL. Assay plates were incubated at 37 °C and hydrolysis of the fluorogenic peptide was monitored via an TECAN Infinite M200 plate reader (excitation: 485 nm; emission: 538 nm). Readings were taken every 30 minutes for 6 hours. All compounds, along with ADEP1 (positive control) and 1% DMSO (negative control) were normalized relative to background FITC-β-casein fluorescence. Data analysis was executed with GraphPad Prism.</w:t>
      </w:r>
      <w:r w:rsidRPr="00627218">
        <w:rPr>
          <w:b/>
        </w:rPr>
        <w:t xml:space="preserve"> </w:t>
      </w:r>
    </w:p>
    <w:p w14:paraId="20B1C4B9" w14:textId="77777777" w:rsidR="00EC3A2F" w:rsidRPr="00D60ECC" w:rsidRDefault="00EC3A2F" w:rsidP="0012418F">
      <w:pPr>
        <w:pStyle w:val="Heading3"/>
      </w:pPr>
      <w:bookmarkStart w:id="121" w:name="_Toc8392800"/>
      <w:r w:rsidRPr="00D60ECC">
        <w:t>4.6.6 SDS-P</w:t>
      </w:r>
      <w:r>
        <w:t>AGE</w:t>
      </w:r>
      <w:r w:rsidRPr="00D60ECC">
        <w:t xml:space="preserve"> Analysis</w:t>
      </w:r>
      <w:bookmarkEnd w:id="121"/>
      <w:r w:rsidRPr="00D60ECC">
        <w:t xml:space="preserve"> </w:t>
      </w:r>
    </w:p>
    <w:p w14:paraId="5ED4AFBE" w14:textId="7BEBF786" w:rsidR="00EC3A2F" w:rsidRDefault="00EC3A2F" w:rsidP="00EC3A2F">
      <w:pPr>
        <w:ind w:firstLine="720"/>
        <w:jc w:val="both"/>
      </w:pPr>
      <w:r w:rsidRPr="00627218">
        <w:t xml:space="preserve">420 nM tetradecameric </w:t>
      </w:r>
      <w:r w:rsidRPr="00627218">
        <w:rPr>
          <w:i/>
        </w:rPr>
        <w:t>Ec</w:t>
      </w:r>
      <w:r w:rsidRPr="00627218">
        <w:t xml:space="preserve">ClpP or </w:t>
      </w:r>
      <w:r w:rsidRPr="00627218">
        <w:rPr>
          <w:i/>
        </w:rPr>
        <w:t>Bs</w:t>
      </w:r>
      <w:r w:rsidRPr="00627218">
        <w:t>ClpP in buffer A (59 µL) was incubated with the compound of interest at the desired concentration for 15 minutes at 37</w:t>
      </w:r>
      <w:r>
        <w:t xml:space="preserve"> </w:t>
      </w:r>
      <w:r w:rsidRPr="00627218">
        <w:t>°C in Eppendorf tubes. 16 µL of a bovine β-casein (Sigma-Aldrich C6905, Bio-Ultra ≥ 98%) solution in buffer A was then added for a final substrate concentration of 7.5 µM and a final assay volume of 75 µL. The reaction was quenched with 25 µL of Laemmli loading buffer (Alfa Aesar J60015) at 80</w:t>
      </w:r>
      <w:r w:rsidR="00F561E3">
        <w:t xml:space="preserve"> </w:t>
      </w:r>
      <w:r w:rsidRPr="00627218">
        <w:t>°C. Individual reactions were quenched after 5 m, 30 m, 1 h, and/or 2 h depending on the compound. The samples were then boiled for approximately 1 minute prior to loading. Time-dependent degradation of the β-casein band visualized using SDS-P</w:t>
      </w:r>
      <w:r>
        <w:t>AGE</w:t>
      </w:r>
      <w:r w:rsidRPr="00627218">
        <w:t xml:space="preserve"> </w:t>
      </w:r>
      <w:r>
        <w:t>performed on a</w:t>
      </w:r>
      <w:r w:rsidRPr="00627218">
        <w:t xml:space="preserve"> 10% acrylamide Bis-Tris gel.</w:t>
      </w:r>
    </w:p>
    <w:p w14:paraId="2066F141" w14:textId="77777777" w:rsidR="00EC3A2F" w:rsidRPr="00EC3A2F" w:rsidRDefault="00EC3A2F" w:rsidP="0012418F">
      <w:pPr>
        <w:pStyle w:val="Heading3"/>
      </w:pPr>
      <w:bookmarkStart w:id="122" w:name="_Toc8392801"/>
      <w:r w:rsidRPr="00EC3A2F">
        <w:t>4.5.7 MIC Determination</w:t>
      </w:r>
      <w:bookmarkEnd w:id="122"/>
      <w:r w:rsidRPr="00EC3A2F">
        <w:t xml:space="preserve"> </w:t>
      </w:r>
    </w:p>
    <w:p w14:paraId="28420D4D" w14:textId="77777777" w:rsidR="00EC3A2F" w:rsidRDefault="00EC3A2F" w:rsidP="00EC3A2F">
      <w:pPr>
        <w:ind w:firstLine="720"/>
        <w:jc w:val="both"/>
      </w:pPr>
      <w:r w:rsidRPr="005C569B">
        <w:t xml:space="preserve">Using the 2-fold dilution technique in 96-well microtiter plates, cells were subcultured (1:100 dilution) in fresh LB media (tryptone 10 g/L, yeast extract 5 g/L, and NaCl 5 g/L) and grown to an OD600 of </w:t>
      </w:r>
      <w:r w:rsidRPr="005C569B">
        <w:rPr>
          <w:rFonts w:ascii="Cambria Math" w:hAnsi="Cambria Math" w:cs="Cambria Math"/>
        </w:rPr>
        <w:t>∼</w:t>
      </w:r>
      <w:r w:rsidRPr="005C569B">
        <w:t xml:space="preserve">1.0. Cells were inoculated at a density of 105 </w:t>
      </w:r>
      <w:r w:rsidRPr="005C569B">
        <w:lastRenderedPageBreak/>
        <w:t>cells per mL into LB media in the presence of 2-fold increasing concentrations of 1. MIC values were determined visually after incubation of the microtiter plates at 37 °C for 18 h</w:t>
      </w:r>
      <w:r>
        <w:t>.</w:t>
      </w:r>
    </w:p>
    <w:p w14:paraId="09050FC7" w14:textId="77777777" w:rsidR="00EC3A2F" w:rsidRPr="00D60ECC" w:rsidRDefault="00EC3A2F" w:rsidP="0012418F">
      <w:pPr>
        <w:pStyle w:val="Heading3"/>
      </w:pPr>
      <w:bookmarkStart w:id="123" w:name="_Toc8392802"/>
      <w:r w:rsidRPr="00D60ECC">
        <w:t xml:space="preserve">4.6.8 </w:t>
      </w:r>
      <w:r w:rsidRPr="00565877">
        <w:t>Thermal Shift Assay</w:t>
      </w:r>
      <w:bookmarkEnd w:id="123"/>
      <w:r w:rsidRPr="00565877">
        <w:t xml:space="preserve"> </w:t>
      </w:r>
    </w:p>
    <w:p w14:paraId="223AFFBD" w14:textId="77777777" w:rsidR="00EC3A2F" w:rsidRPr="00565877" w:rsidRDefault="00EC3A2F" w:rsidP="0007262D">
      <w:pPr>
        <w:ind w:firstLine="720"/>
        <w:jc w:val="both"/>
      </w:pPr>
      <w:r w:rsidRPr="00565877">
        <w:t xml:space="preserve">All compounds were evaluated at a final assay concentration of 50 µM. 1 µM </w:t>
      </w:r>
      <w:r w:rsidRPr="00565877">
        <w:rPr>
          <w:i/>
        </w:rPr>
        <w:t>Bs</w:t>
      </w:r>
      <w:r w:rsidRPr="00565877">
        <w:t>ClpP monomer (71.4 nM tetradecamer) and 2 µL of 5 mM compound of interest prepared in activity buffer 2 (20 mM HEPES pH = 7.0, 100 mM NaCl) in 1.5 mL Eppendorf tubes. SYPRO baseline control and DMSO negative control were prepared similarly. Protein and controls were pre-incubated for 30 min at 25 °C. After pre-incubation, 2 µL of 100X SYPRO Orange Protein Gel Stain, prepared in 100% DMSO and stored in light-free desiccator at 25 °C, was added to the samples and mixed thoroughly for a total volume of 200 µL. The large 200 µL samples were split into 3 x 50 µL wells in 96-well, Hard Shell®, thin-wall PCR Plates (BioRad HSP9601) sealed with optically clear Microseal® ‘B’ adhesive seals (BioRad MSB1001). The resulting plates were spun in a tabletop PCR plate spinner (VWR 89184-608) in 15 sec intervals until all bubbles were removed. Samples rested in the dark for 10 min and were then evaluated using BioRad CFX96 TM Real-Time System. Melt curves were prepared in increments of 0.3 °C per minute over a range of 25 °C to 85 °C, with FRET readings taken after a 1-minute hold at each temperature. Melting temperatures were determined by nonlinear fitting to a Boltzmann Sigmoidal Curve using GraphPad Prism.</w:t>
      </w:r>
    </w:p>
    <w:p w14:paraId="4C71C336" w14:textId="77777777" w:rsidR="00EC3A2F" w:rsidRPr="00D60ECC" w:rsidRDefault="00EC3A2F" w:rsidP="0012418F">
      <w:pPr>
        <w:pStyle w:val="Heading3"/>
      </w:pPr>
      <w:bookmarkStart w:id="124" w:name="_Toc8392803"/>
      <w:r w:rsidRPr="00D60ECC">
        <w:t>4.6.9 MIC Determination</w:t>
      </w:r>
      <w:bookmarkEnd w:id="124"/>
      <w:r w:rsidRPr="00D60ECC">
        <w:t xml:space="preserve"> </w:t>
      </w:r>
    </w:p>
    <w:p w14:paraId="435AC862" w14:textId="77777777" w:rsidR="00EC3A2F" w:rsidRPr="00746E71" w:rsidRDefault="00EC3A2F" w:rsidP="00EC3A2F">
      <w:pPr>
        <w:ind w:firstLine="720"/>
        <w:jc w:val="both"/>
        <w:rPr>
          <w:b/>
        </w:rPr>
      </w:pPr>
      <w:r w:rsidRPr="00746E71">
        <w:rPr>
          <w:i/>
        </w:rPr>
        <w:t>B</w:t>
      </w:r>
      <w:r>
        <w:rPr>
          <w:i/>
        </w:rPr>
        <w:t>.</w:t>
      </w:r>
      <w:r w:rsidRPr="00746E71">
        <w:rPr>
          <w:i/>
        </w:rPr>
        <w:t xml:space="preserve"> subtil</w:t>
      </w:r>
      <w:r>
        <w:rPr>
          <w:i/>
        </w:rPr>
        <w:t>i</w:t>
      </w:r>
      <w:r w:rsidRPr="00746E71">
        <w:rPr>
          <w:i/>
        </w:rPr>
        <w:t>s</w:t>
      </w:r>
      <w:r>
        <w:t xml:space="preserve"> ATCC 6051 was streaked onto an LB agar plate and grown overnight at 37 °C. Pre-warmed (37 °C) Mueller–Hinton broth (5 mL) was inoculated with 3–5 colonies of </w:t>
      </w:r>
      <w:r w:rsidRPr="00B00302">
        <w:rPr>
          <w:i/>
        </w:rPr>
        <w:t>B. subtilis</w:t>
      </w:r>
      <w:r>
        <w:t xml:space="preserve">. The culture was incubated at 37 °C shaking at 250 rpm overnight. The resulting overnight stock solution of </w:t>
      </w:r>
      <w:r w:rsidRPr="00746E71">
        <w:rPr>
          <w:i/>
        </w:rPr>
        <w:t>B. subtilis</w:t>
      </w:r>
      <w:r>
        <w:t xml:space="preserve"> was diluted 1:100 to provide the assay stock </w:t>
      </w:r>
      <w:r>
        <w:lastRenderedPageBreak/>
        <w:t xml:space="preserve">solution. Following standard microdilution protocol1 compounds 1–3 were serially diluted to provide a final well volume of 200 µL. Briefly, 2 µL of compound stock was added to 198 µL of Mueller-Hinton broth. This was then serially diluted 2-fold down the plate by taking 100 µL and transferring to the subsequent well that contained 100 µL of Mueller–Hinton broth. To each well was then added 100 µL of the 1:100 dilution </w:t>
      </w:r>
      <w:r w:rsidRPr="00746E71">
        <w:rPr>
          <w:i/>
        </w:rPr>
        <w:t>B. subtilis</w:t>
      </w:r>
      <w:r>
        <w:t xml:space="preserve"> assay culture to obtain a final well volume of 200 µL. Plates were incubated overnight at 37 °C and after 16 h, MIC values were determined by visual inspection. Reported MIC values indicate the concentration of the last well containing no visible cell growth. Ampicillin and Kanamycin were used as positive controls. DMSO treatment was used as a negative control. Buffer only wells were included as a control/indicator of bacterial contamination. Each compound was tested in triplicate. Top concentrations for each compound evaluated: Ampicillin (125 µg/mL, 357.7 µM), Kanamycin (125 µg/mL, 258.0 µM), 1 (0.183 µg/mL, 250 nM). 2 (18.25 µg/mL, 25 µM), 3 (18.60 µg/mL, 25 µM). Stock solutions for each compound evaluated: Ampicillin (71.5 mM), Kanamycin (51.6 mM), 1 (50 µM), 2 (5 mM), and 3 (5 mM). </w:t>
      </w:r>
    </w:p>
    <w:p w14:paraId="0CC6224F" w14:textId="77777777" w:rsidR="00EC3A2F" w:rsidRPr="00D60ECC" w:rsidRDefault="00EC3A2F" w:rsidP="0012418F">
      <w:pPr>
        <w:pStyle w:val="Heading3"/>
      </w:pPr>
      <w:bookmarkStart w:id="125" w:name="_Toc8392804"/>
      <w:r w:rsidRPr="00D60ECC">
        <w:t>4.6.10 Hydrogen-Deuterium Exchange</w:t>
      </w:r>
      <w:bookmarkEnd w:id="125"/>
      <w:r w:rsidRPr="00D60ECC">
        <w:t xml:space="preserve"> </w:t>
      </w:r>
    </w:p>
    <w:p w14:paraId="281EE7D9" w14:textId="77777777" w:rsidR="00EC3A2F" w:rsidRDefault="00EC3A2F" w:rsidP="00EC3A2F">
      <w:pPr>
        <w:ind w:firstLine="720"/>
        <w:jc w:val="both"/>
      </w:pPr>
      <w:r>
        <w:t>Purified ADEPs 1 and 2 were stored in a desiccator for one week at 25 °C prior to H/D exchange experiments. The NMR probe was pre-equilibrated to either 25 °C or 40 °C before introduction of the NMR sample. NMR samples were prepared by dissolving compound 1 or 2 in ampule sealed CD</w:t>
      </w:r>
      <w:r w:rsidRPr="00B00302">
        <w:rPr>
          <w:vertAlign w:val="subscript"/>
        </w:rPr>
        <w:t>3</w:t>
      </w:r>
      <w:r>
        <w:t xml:space="preserve">OD at a concentration of 2 mM. The samples were mixed and promptly transferred to a clean NMR tube. 1H-NMR spectra were acquired at 500 MHz with 8 scans, 1 second delay, sweep width of 8012.8 Hz and 16384 complex points. Timing of each kinetic run was carefully started upon sample mixing. The time of the first collected spectra was designated as t1. Subsequent spectra were collected at 300 </w:t>
      </w:r>
      <w:r>
        <w:lastRenderedPageBreak/>
        <w:t xml:space="preserve">second intervals with a 24 second acquisition time. The kinetic runs were terminated when the amide peaks were completely exchanged and no longer visible. The data was processed in MestReNova software. The data was zero filled to 65536 points with a 0.70 Hz exponential function and baseline correction applied upon processing. The integration of the exchanging amide signal of interest was calibrated to a non-exchanging reference peak and converted to concentration. The concentration versus time data was analyzed using PRISM software. </w:t>
      </w:r>
    </w:p>
    <w:p w14:paraId="44B13DAF" w14:textId="77777777" w:rsidR="00EC3A2F" w:rsidRDefault="00EC3A2F" w:rsidP="00EC3A2F">
      <w:pPr>
        <w:ind w:firstLine="720"/>
        <w:jc w:val="both"/>
      </w:pPr>
    </w:p>
    <w:p w14:paraId="5E9831D9" w14:textId="77777777" w:rsidR="00EC3A2F" w:rsidRPr="00EC3A2F" w:rsidRDefault="00EC3A2F" w:rsidP="004E7821">
      <w:pPr>
        <w:pStyle w:val="Heading2"/>
      </w:pPr>
      <w:bookmarkStart w:id="126" w:name="_Toc8392805"/>
      <w:r w:rsidRPr="00EC3A2F">
        <w:t>4.7 References</w:t>
      </w:r>
      <w:bookmarkEnd w:id="126"/>
      <w:r>
        <w:fldChar w:fldCharType="begin"/>
      </w:r>
      <w:r w:rsidRPr="000522D0">
        <w:instrText>ADDIN F1000_CSL_BIBLIOGRAPHY</w:instrText>
      </w:r>
      <w:r>
        <w:fldChar w:fldCharType="separate"/>
      </w:r>
    </w:p>
    <w:p w14:paraId="0FBD326B" w14:textId="77777777" w:rsidR="00EC3A2F" w:rsidRDefault="00EC3A2F" w:rsidP="00D42184">
      <w:pPr>
        <w:widowControl w:val="0"/>
        <w:autoSpaceDE w:val="0"/>
        <w:autoSpaceDN w:val="0"/>
        <w:adjustRightInd w:val="0"/>
        <w:ind w:left="540" w:hanging="540"/>
        <w:jc w:val="both"/>
        <w:rPr>
          <w:noProof/>
        </w:rPr>
      </w:pPr>
      <w:r>
        <w:rPr>
          <w:noProof/>
        </w:rPr>
        <w:t>1.</w:t>
      </w:r>
      <w:r>
        <w:rPr>
          <w:noProof/>
        </w:rPr>
        <w:tab/>
        <w:t xml:space="preserve">Gersch, M. </w:t>
      </w:r>
      <w:r>
        <w:rPr>
          <w:i/>
          <w:iCs/>
          <w:noProof/>
        </w:rPr>
        <w:t>et al.</w:t>
      </w:r>
      <w:r>
        <w:rPr>
          <w:noProof/>
        </w:rPr>
        <w:t xml:space="preserve"> AAA+ chaperones and acyldepsipeptides activate the ClpP protease via conformational control. </w:t>
      </w:r>
      <w:r>
        <w:rPr>
          <w:i/>
          <w:iCs/>
          <w:noProof/>
        </w:rPr>
        <w:t>Nat. Commun.</w:t>
      </w:r>
      <w:r>
        <w:rPr>
          <w:noProof/>
        </w:rPr>
        <w:t xml:space="preserve"> </w:t>
      </w:r>
      <w:r>
        <w:rPr>
          <w:b/>
          <w:bCs/>
          <w:noProof/>
        </w:rPr>
        <w:t>6,</w:t>
      </w:r>
      <w:r>
        <w:rPr>
          <w:noProof/>
        </w:rPr>
        <w:t xml:space="preserve"> 6320 (2015).</w:t>
      </w:r>
    </w:p>
    <w:p w14:paraId="6843EB84" w14:textId="3E1F218E" w:rsidR="00EC3A2F" w:rsidRDefault="00EC3A2F" w:rsidP="00D42184">
      <w:pPr>
        <w:widowControl w:val="0"/>
        <w:autoSpaceDE w:val="0"/>
        <w:autoSpaceDN w:val="0"/>
        <w:adjustRightInd w:val="0"/>
        <w:ind w:left="540" w:hanging="540"/>
        <w:jc w:val="both"/>
        <w:rPr>
          <w:noProof/>
        </w:rPr>
      </w:pPr>
      <w:r>
        <w:rPr>
          <w:noProof/>
        </w:rPr>
        <w:t>2.</w:t>
      </w:r>
      <w:r>
        <w:rPr>
          <w:noProof/>
        </w:rPr>
        <w:tab/>
        <w:t xml:space="preserve">Bhandari, V. </w:t>
      </w:r>
      <w:r>
        <w:rPr>
          <w:i/>
          <w:iCs/>
          <w:noProof/>
        </w:rPr>
        <w:t>et al.</w:t>
      </w:r>
      <w:r>
        <w:rPr>
          <w:noProof/>
        </w:rPr>
        <w:t xml:space="preserve"> The role of </w:t>
      </w:r>
      <w:r w:rsidR="003F1CCD">
        <w:rPr>
          <w:noProof/>
        </w:rPr>
        <w:t>C</w:t>
      </w:r>
      <w:r>
        <w:rPr>
          <w:noProof/>
        </w:rPr>
        <w:t>lp</w:t>
      </w:r>
      <w:r w:rsidR="003F1CCD">
        <w:rPr>
          <w:noProof/>
        </w:rPr>
        <w:t>P</w:t>
      </w:r>
      <w:r>
        <w:rPr>
          <w:noProof/>
        </w:rPr>
        <w:t xml:space="preserve"> protease in bacterial pathogenesis and human diseases. </w:t>
      </w:r>
      <w:r>
        <w:rPr>
          <w:i/>
          <w:iCs/>
          <w:noProof/>
        </w:rPr>
        <w:t>ACS Chem. Biol.</w:t>
      </w:r>
      <w:r>
        <w:rPr>
          <w:noProof/>
        </w:rPr>
        <w:t xml:space="preserve"> </w:t>
      </w:r>
      <w:r>
        <w:rPr>
          <w:b/>
          <w:bCs/>
          <w:noProof/>
        </w:rPr>
        <w:t>13,</w:t>
      </w:r>
      <w:r>
        <w:rPr>
          <w:noProof/>
        </w:rPr>
        <w:t xml:space="preserve"> 1413–1425 (2018).</w:t>
      </w:r>
    </w:p>
    <w:p w14:paraId="10AF0D15" w14:textId="77777777" w:rsidR="00EC3A2F" w:rsidRDefault="00EC3A2F" w:rsidP="00D42184">
      <w:pPr>
        <w:widowControl w:val="0"/>
        <w:autoSpaceDE w:val="0"/>
        <w:autoSpaceDN w:val="0"/>
        <w:adjustRightInd w:val="0"/>
        <w:ind w:left="540" w:hanging="540"/>
        <w:jc w:val="both"/>
        <w:rPr>
          <w:noProof/>
        </w:rPr>
      </w:pPr>
      <w:r>
        <w:rPr>
          <w:noProof/>
        </w:rPr>
        <w:t>3.</w:t>
      </w:r>
      <w:r>
        <w:rPr>
          <w:noProof/>
        </w:rPr>
        <w:tab/>
        <w:t xml:space="preserve">Böttcher, T. &amp; Sieber, S. A. Beta-lactones as specific inhibitors of ClpP attenuate the production of extracellular virulence factors of </w:t>
      </w:r>
      <w:r w:rsidRPr="003F1CCD">
        <w:rPr>
          <w:i/>
          <w:noProof/>
        </w:rPr>
        <w:t>Staphylococcus aureus</w:t>
      </w:r>
      <w:r>
        <w:rPr>
          <w:noProof/>
        </w:rPr>
        <w:t xml:space="preserve">. </w:t>
      </w:r>
      <w:r>
        <w:rPr>
          <w:i/>
          <w:iCs/>
          <w:noProof/>
        </w:rPr>
        <w:t>J. Am. Chem. Soc.</w:t>
      </w:r>
      <w:r>
        <w:rPr>
          <w:noProof/>
        </w:rPr>
        <w:t xml:space="preserve"> </w:t>
      </w:r>
      <w:r>
        <w:rPr>
          <w:b/>
          <w:bCs/>
          <w:noProof/>
        </w:rPr>
        <w:t>130,</w:t>
      </w:r>
      <w:r>
        <w:rPr>
          <w:noProof/>
        </w:rPr>
        <w:t xml:space="preserve"> 14400–14401 (2008).</w:t>
      </w:r>
    </w:p>
    <w:p w14:paraId="2695A836" w14:textId="77777777" w:rsidR="00EC3A2F" w:rsidRDefault="00EC3A2F" w:rsidP="00D42184">
      <w:pPr>
        <w:widowControl w:val="0"/>
        <w:autoSpaceDE w:val="0"/>
        <w:autoSpaceDN w:val="0"/>
        <w:adjustRightInd w:val="0"/>
        <w:ind w:left="540" w:hanging="540"/>
        <w:jc w:val="both"/>
        <w:rPr>
          <w:noProof/>
        </w:rPr>
      </w:pPr>
      <w:r>
        <w:rPr>
          <w:noProof/>
        </w:rPr>
        <w:t>4.</w:t>
      </w:r>
      <w:r>
        <w:rPr>
          <w:noProof/>
        </w:rPr>
        <w:tab/>
        <w:t xml:space="preserve">Gersch, M. </w:t>
      </w:r>
      <w:r>
        <w:rPr>
          <w:i/>
          <w:iCs/>
          <w:noProof/>
        </w:rPr>
        <w:t>et al.</w:t>
      </w:r>
      <w:r>
        <w:rPr>
          <w:noProof/>
        </w:rPr>
        <w:t xml:space="preserve"> The mechanism of caseinolytic protease (ClpP) inhibition. </w:t>
      </w:r>
      <w:r>
        <w:rPr>
          <w:i/>
          <w:iCs/>
          <w:noProof/>
        </w:rPr>
        <w:t>Angew. Chem. Int. Ed. Engl.</w:t>
      </w:r>
      <w:r>
        <w:rPr>
          <w:noProof/>
        </w:rPr>
        <w:t xml:space="preserve"> </w:t>
      </w:r>
      <w:r>
        <w:rPr>
          <w:b/>
          <w:bCs/>
          <w:noProof/>
        </w:rPr>
        <w:t>52,</w:t>
      </w:r>
      <w:r>
        <w:rPr>
          <w:noProof/>
        </w:rPr>
        <w:t xml:space="preserve"> 3009–3014 (2013).</w:t>
      </w:r>
    </w:p>
    <w:p w14:paraId="5662E154" w14:textId="77777777" w:rsidR="00EC3A2F" w:rsidRDefault="00EC3A2F" w:rsidP="00D42184">
      <w:pPr>
        <w:widowControl w:val="0"/>
        <w:autoSpaceDE w:val="0"/>
        <w:autoSpaceDN w:val="0"/>
        <w:adjustRightInd w:val="0"/>
        <w:ind w:left="540" w:hanging="540"/>
        <w:jc w:val="both"/>
        <w:rPr>
          <w:noProof/>
        </w:rPr>
      </w:pPr>
      <w:r>
        <w:rPr>
          <w:noProof/>
        </w:rPr>
        <w:t>5.</w:t>
      </w:r>
      <w:r>
        <w:rPr>
          <w:noProof/>
        </w:rPr>
        <w:tab/>
        <w:t xml:space="preserve">Böttcher, T. &amp; Sieber, S. A. Beta-lactones as specific inhibitors of ClpP attenuate the production of extracellular virulence factors of </w:t>
      </w:r>
      <w:r w:rsidRPr="003F1CCD">
        <w:rPr>
          <w:i/>
          <w:noProof/>
        </w:rPr>
        <w:t>Staphylococcus aureus</w:t>
      </w:r>
      <w:r>
        <w:rPr>
          <w:noProof/>
        </w:rPr>
        <w:t xml:space="preserve">. </w:t>
      </w:r>
      <w:r>
        <w:rPr>
          <w:i/>
          <w:iCs/>
          <w:noProof/>
        </w:rPr>
        <w:t>J. Am. Chem. Soc.</w:t>
      </w:r>
      <w:r>
        <w:rPr>
          <w:noProof/>
        </w:rPr>
        <w:t xml:space="preserve"> </w:t>
      </w:r>
      <w:r>
        <w:rPr>
          <w:b/>
          <w:bCs/>
          <w:noProof/>
        </w:rPr>
        <w:t>130,</w:t>
      </w:r>
      <w:r>
        <w:rPr>
          <w:noProof/>
        </w:rPr>
        <w:t xml:space="preserve"> 14400–14401 (2008).</w:t>
      </w:r>
    </w:p>
    <w:p w14:paraId="2A6B38D2" w14:textId="77777777" w:rsidR="00EC3A2F" w:rsidRDefault="00EC3A2F" w:rsidP="00D42184">
      <w:pPr>
        <w:widowControl w:val="0"/>
        <w:autoSpaceDE w:val="0"/>
        <w:autoSpaceDN w:val="0"/>
        <w:adjustRightInd w:val="0"/>
        <w:ind w:left="540" w:hanging="540"/>
        <w:jc w:val="both"/>
        <w:rPr>
          <w:noProof/>
        </w:rPr>
      </w:pPr>
      <w:r>
        <w:rPr>
          <w:noProof/>
        </w:rPr>
        <w:t>6.</w:t>
      </w:r>
      <w:r>
        <w:rPr>
          <w:noProof/>
        </w:rPr>
        <w:tab/>
        <w:t xml:space="preserve">Ollinger, J., O’Malley, T., Kesicki, E. A., Odingo, J. &amp; Parish, T. Validation of the essential ClpP protease in </w:t>
      </w:r>
      <w:r w:rsidRPr="003F1CCD">
        <w:rPr>
          <w:i/>
          <w:noProof/>
        </w:rPr>
        <w:t>Mycobacterium tuberculosis</w:t>
      </w:r>
      <w:r>
        <w:rPr>
          <w:noProof/>
        </w:rPr>
        <w:t xml:space="preserve"> as a novel drug target. </w:t>
      </w:r>
      <w:r>
        <w:rPr>
          <w:i/>
          <w:iCs/>
          <w:noProof/>
        </w:rPr>
        <w:t>J. Bacteriol.</w:t>
      </w:r>
      <w:r>
        <w:rPr>
          <w:noProof/>
        </w:rPr>
        <w:t xml:space="preserve"> </w:t>
      </w:r>
      <w:r>
        <w:rPr>
          <w:b/>
          <w:bCs/>
          <w:noProof/>
        </w:rPr>
        <w:t>194,</w:t>
      </w:r>
      <w:r>
        <w:rPr>
          <w:noProof/>
        </w:rPr>
        <w:t xml:space="preserve"> 663–668 (2012).</w:t>
      </w:r>
    </w:p>
    <w:p w14:paraId="6E6F99F1" w14:textId="77777777" w:rsidR="00EC3A2F" w:rsidRDefault="00EC3A2F" w:rsidP="00D42184">
      <w:pPr>
        <w:widowControl w:val="0"/>
        <w:autoSpaceDE w:val="0"/>
        <w:autoSpaceDN w:val="0"/>
        <w:adjustRightInd w:val="0"/>
        <w:ind w:left="540" w:hanging="540"/>
        <w:jc w:val="both"/>
        <w:rPr>
          <w:noProof/>
        </w:rPr>
      </w:pPr>
      <w:r>
        <w:rPr>
          <w:noProof/>
        </w:rPr>
        <w:lastRenderedPageBreak/>
        <w:t>7.</w:t>
      </w:r>
      <w:r>
        <w:rPr>
          <w:noProof/>
        </w:rPr>
        <w:tab/>
        <w:t xml:space="preserve">Compton, C. L., Schmitz, K. R., Sauer, R. T. &amp; Sello, J. K. Antibacterial activity of and resistance to small molecule inhibitors of the ClpP peptidase. </w:t>
      </w:r>
      <w:r>
        <w:rPr>
          <w:i/>
          <w:iCs/>
          <w:noProof/>
        </w:rPr>
        <w:t>ACS Chem. Biol.</w:t>
      </w:r>
      <w:r>
        <w:rPr>
          <w:noProof/>
        </w:rPr>
        <w:t xml:space="preserve"> </w:t>
      </w:r>
      <w:r>
        <w:rPr>
          <w:b/>
          <w:bCs/>
          <w:noProof/>
        </w:rPr>
        <w:t>8,</w:t>
      </w:r>
      <w:r>
        <w:rPr>
          <w:noProof/>
        </w:rPr>
        <w:t xml:space="preserve"> 2669–2677 (2013).</w:t>
      </w:r>
    </w:p>
    <w:p w14:paraId="4A71A198" w14:textId="77777777" w:rsidR="00EC3A2F" w:rsidRDefault="00EC3A2F" w:rsidP="00D42184">
      <w:pPr>
        <w:widowControl w:val="0"/>
        <w:autoSpaceDE w:val="0"/>
        <w:autoSpaceDN w:val="0"/>
        <w:adjustRightInd w:val="0"/>
        <w:ind w:left="540" w:hanging="540"/>
        <w:jc w:val="both"/>
        <w:rPr>
          <w:noProof/>
        </w:rPr>
      </w:pPr>
      <w:r>
        <w:rPr>
          <w:noProof/>
        </w:rPr>
        <w:t>8.</w:t>
      </w:r>
      <w:r>
        <w:rPr>
          <w:noProof/>
        </w:rPr>
        <w:tab/>
        <w:t xml:space="preserve">Hackl, M. W. </w:t>
      </w:r>
      <w:r>
        <w:rPr>
          <w:i/>
          <w:iCs/>
          <w:noProof/>
        </w:rPr>
        <w:t>et al.</w:t>
      </w:r>
      <w:r>
        <w:rPr>
          <w:noProof/>
        </w:rPr>
        <w:t xml:space="preserve"> Phenyl esters are potent inhibitors of caseinolytic protease P and reveal a stereogenic switch for deoligomerization. </w:t>
      </w:r>
      <w:r>
        <w:rPr>
          <w:i/>
          <w:iCs/>
          <w:noProof/>
        </w:rPr>
        <w:t>J. Am. Chem. Soc.</w:t>
      </w:r>
      <w:r>
        <w:rPr>
          <w:noProof/>
        </w:rPr>
        <w:t xml:space="preserve"> </w:t>
      </w:r>
      <w:r>
        <w:rPr>
          <w:b/>
          <w:bCs/>
          <w:noProof/>
        </w:rPr>
        <w:t>137,</w:t>
      </w:r>
      <w:r>
        <w:rPr>
          <w:noProof/>
        </w:rPr>
        <w:t xml:space="preserve"> 8475–8483 (2015).</w:t>
      </w:r>
    </w:p>
    <w:p w14:paraId="0451258E" w14:textId="77777777" w:rsidR="00EC3A2F" w:rsidRDefault="00EC3A2F" w:rsidP="00D42184">
      <w:pPr>
        <w:widowControl w:val="0"/>
        <w:autoSpaceDE w:val="0"/>
        <w:autoSpaceDN w:val="0"/>
        <w:adjustRightInd w:val="0"/>
        <w:ind w:left="540" w:hanging="540"/>
        <w:jc w:val="both"/>
        <w:rPr>
          <w:noProof/>
        </w:rPr>
      </w:pPr>
      <w:r>
        <w:rPr>
          <w:noProof/>
        </w:rPr>
        <w:t>9.</w:t>
      </w:r>
      <w:r>
        <w:rPr>
          <w:noProof/>
        </w:rPr>
        <w:tab/>
        <w:t xml:space="preserve">Cole, A. </w:t>
      </w:r>
      <w:r>
        <w:rPr>
          <w:i/>
          <w:iCs/>
          <w:noProof/>
        </w:rPr>
        <w:t>et al.</w:t>
      </w:r>
      <w:r>
        <w:rPr>
          <w:noProof/>
        </w:rPr>
        <w:t xml:space="preserve"> Inhibition of the mitochondrial protease clpp as a therapeutic strategy for human acute myeloid leukemia. </w:t>
      </w:r>
      <w:r>
        <w:rPr>
          <w:i/>
          <w:iCs/>
          <w:noProof/>
        </w:rPr>
        <w:t>Cancer Cell</w:t>
      </w:r>
      <w:r>
        <w:rPr>
          <w:noProof/>
        </w:rPr>
        <w:t xml:space="preserve"> </w:t>
      </w:r>
      <w:r>
        <w:rPr>
          <w:b/>
          <w:bCs/>
          <w:noProof/>
        </w:rPr>
        <w:t>27,</w:t>
      </w:r>
      <w:r>
        <w:rPr>
          <w:noProof/>
        </w:rPr>
        <w:t xml:space="preserve"> 864–876 (2015).</w:t>
      </w:r>
    </w:p>
    <w:p w14:paraId="381A6A30" w14:textId="77777777" w:rsidR="00EC3A2F" w:rsidRDefault="00EC3A2F" w:rsidP="00D42184">
      <w:pPr>
        <w:widowControl w:val="0"/>
        <w:autoSpaceDE w:val="0"/>
        <w:autoSpaceDN w:val="0"/>
        <w:adjustRightInd w:val="0"/>
        <w:ind w:left="540" w:hanging="540"/>
        <w:jc w:val="both"/>
        <w:rPr>
          <w:noProof/>
        </w:rPr>
      </w:pPr>
      <w:r>
        <w:rPr>
          <w:noProof/>
        </w:rPr>
        <w:t>10.</w:t>
      </w:r>
      <w:r>
        <w:rPr>
          <w:noProof/>
        </w:rPr>
        <w:tab/>
        <w:t xml:space="preserve">Evans, M. J. &amp; Cravatt, B. F. Mechanism-based profiling of enzyme families. </w:t>
      </w:r>
      <w:r>
        <w:rPr>
          <w:i/>
          <w:iCs/>
          <w:noProof/>
        </w:rPr>
        <w:t>Chem. Rev.</w:t>
      </w:r>
      <w:r>
        <w:rPr>
          <w:noProof/>
        </w:rPr>
        <w:t xml:space="preserve"> </w:t>
      </w:r>
      <w:r>
        <w:rPr>
          <w:b/>
          <w:bCs/>
          <w:noProof/>
        </w:rPr>
        <w:t>106,</w:t>
      </w:r>
      <w:r>
        <w:rPr>
          <w:noProof/>
        </w:rPr>
        <w:t xml:space="preserve"> 3279–3301 (2006).</w:t>
      </w:r>
    </w:p>
    <w:p w14:paraId="686896B7" w14:textId="77777777" w:rsidR="00EC3A2F" w:rsidRDefault="00EC3A2F" w:rsidP="00D42184">
      <w:pPr>
        <w:widowControl w:val="0"/>
        <w:autoSpaceDE w:val="0"/>
        <w:autoSpaceDN w:val="0"/>
        <w:adjustRightInd w:val="0"/>
        <w:ind w:left="540" w:hanging="540"/>
        <w:jc w:val="both"/>
        <w:rPr>
          <w:noProof/>
        </w:rPr>
      </w:pPr>
      <w:r>
        <w:rPr>
          <w:noProof/>
        </w:rPr>
        <w:t>11.</w:t>
      </w:r>
      <w:r>
        <w:rPr>
          <w:noProof/>
        </w:rPr>
        <w:tab/>
        <w:t xml:space="preserve">Brötz-Oesterhelt, H. </w:t>
      </w:r>
      <w:r>
        <w:rPr>
          <w:i/>
          <w:iCs/>
          <w:noProof/>
        </w:rPr>
        <w:t>et al.</w:t>
      </w:r>
      <w:r>
        <w:rPr>
          <w:noProof/>
        </w:rPr>
        <w:t xml:space="preserve"> Dysregulation of bacterial proteolytic machinery by a new class of antibiotics. </w:t>
      </w:r>
      <w:r>
        <w:rPr>
          <w:i/>
          <w:iCs/>
          <w:noProof/>
        </w:rPr>
        <w:t>Nat. Med.</w:t>
      </w:r>
      <w:r>
        <w:rPr>
          <w:noProof/>
        </w:rPr>
        <w:t xml:space="preserve"> </w:t>
      </w:r>
      <w:r>
        <w:rPr>
          <w:b/>
          <w:bCs/>
          <w:noProof/>
        </w:rPr>
        <w:t>11,</w:t>
      </w:r>
      <w:r>
        <w:rPr>
          <w:noProof/>
        </w:rPr>
        <w:t xml:space="preserve"> 1082–1087 (2005).</w:t>
      </w:r>
    </w:p>
    <w:p w14:paraId="0F6ADE2C" w14:textId="77777777" w:rsidR="00EC3A2F" w:rsidRDefault="00EC3A2F" w:rsidP="00D42184">
      <w:pPr>
        <w:widowControl w:val="0"/>
        <w:autoSpaceDE w:val="0"/>
        <w:autoSpaceDN w:val="0"/>
        <w:adjustRightInd w:val="0"/>
        <w:ind w:left="540" w:hanging="540"/>
        <w:jc w:val="both"/>
        <w:rPr>
          <w:noProof/>
        </w:rPr>
      </w:pPr>
      <w:r>
        <w:rPr>
          <w:noProof/>
        </w:rPr>
        <w:t>12.</w:t>
      </w:r>
      <w:r>
        <w:rPr>
          <w:noProof/>
        </w:rPr>
        <w:tab/>
        <w:t xml:space="preserve">Michel, K. H. &amp; Kastner, R. E. A54556 antibiotics and process for production thereof. </w:t>
      </w:r>
      <w:r>
        <w:rPr>
          <w:i/>
          <w:iCs/>
          <w:noProof/>
        </w:rPr>
        <w:t>US Patent 4</w:t>
      </w:r>
      <w:r>
        <w:rPr>
          <w:noProof/>
        </w:rPr>
        <w:t xml:space="preserve"> (492AD).</w:t>
      </w:r>
    </w:p>
    <w:p w14:paraId="11DA02D9" w14:textId="77777777" w:rsidR="00EC3A2F" w:rsidRDefault="00EC3A2F" w:rsidP="00D42184">
      <w:pPr>
        <w:widowControl w:val="0"/>
        <w:autoSpaceDE w:val="0"/>
        <w:autoSpaceDN w:val="0"/>
        <w:adjustRightInd w:val="0"/>
        <w:ind w:left="540" w:hanging="540"/>
        <w:jc w:val="both"/>
        <w:rPr>
          <w:noProof/>
        </w:rPr>
      </w:pPr>
      <w:r>
        <w:rPr>
          <w:noProof/>
        </w:rPr>
        <w:t>13.</w:t>
      </w:r>
      <w:r>
        <w:rPr>
          <w:noProof/>
        </w:rPr>
        <w:tab/>
        <w:t xml:space="preserve">Bewley, M. C., Graziano, V., Griffin, K. &amp; Flanagan, J. M. Turned on for degradation: ATPase-independent degradation by ClpP. </w:t>
      </w:r>
      <w:r>
        <w:rPr>
          <w:i/>
          <w:iCs/>
          <w:noProof/>
        </w:rPr>
        <w:t>J. Struct. Biol.</w:t>
      </w:r>
      <w:r>
        <w:rPr>
          <w:noProof/>
        </w:rPr>
        <w:t xml:space="preserve"> </w:t>
      </w:r>
      <w:r>
        <w:rPr>
          <w:b/>
          <w:bCs/>
          <w:noProof/>
        </w:rPr>
        <w:t>165,</w:t>
      </w:r>
      <w:r>
        <w:rPr>
          <w:noProof/>
        </w:rPr>
        <w:t xml:space="preserve"> 118–125 (2009).</w:t>
      </w:r>
    </w:p>
    <w:p w14:paraId="73ABEF88" w14:textId="77777777" w:rsidR="00EC3A2F" w:rsidRDefault="00EC3A2F" w:rsidP="00D42184">
      <w:pPr>
        <w:widowControl w:val="0"/>
        <w:autoSpaceDE w:val="0"/>
        <w:autoSpaceDN w:val="0"/>
        <w:adjustRightInd w:val="0"/>
        <w:ind w:left="540" w:hanging="540"/>
        <w:jc w:val="both"/>
        <w:rPr>
          <w:noProof/>
        </w:rPr>
      </w:pPr>
      <w:r>
        <w:rPr>
          <w:noProof/>
        </w:rPr>
        <w:t>14.</w:t>
      </w:r>
      <w:r>
        <w:rPr>
          <w:noProof/>
        </w:rPr>
        <w:tab/>
        <w:t xml:space="preserve">Li, D. H. S. </w:t>
      </w:r>
      <w:r>
        <w:rPr>
          <w:i/>
          <w:iCs/>
          <w:noProof/>
        </w:rPr>
        <w:t>et al.</w:t>
      </w:r>
      <w:r>
        <w:rPr>
          <w:noProof/>
        </w:rPr>
        <w:t xml:space="preserve"> Acyldepsipeptide antibiotics induce the formation of a structured axial channel in ClpP: A model for the ClpX/ClpA-bound state of ClpP. </w:t>
      </w:r>
      <w:r>
        <w:rPr>
          <w:i/>
          <w:iCs/>
          <w:noProof/>
        </w:rPr>
        <w:t>Chem. Biol.</w:t>
      </w:r>
      <w:r>
        <w:rPr>
          <w:noProof/>
        </w:rPr>
        <w:t xml:space="preserve"> </w:t>
      </w:r>
      <w:r>
        <w:rPr>
          <w:b/>
          <w:bCs/>
          <w:noProof/>
        </w:rPr>
        <w:t>17,</w:t>
      </w:r>
      <w:r>
        <w:rPr>
          <w:noProof/>
        </w:rPr>
        <w:t xml:space="preserve"> 959–969 (2010).</w:t>
      </w:r>
    </w:p>
    <w:p w14:paraId="26113728" w14:textId="77777777" w:rsidR="00EC3A2F" w:rsidRDefault="00EC3A2F" w:rsidP="00D42184">
      <w:pPr>
        <w:widowControl w:val="0"/>
        <w:autoSpaceDE w:val="0"/>
        <w:autoSpaceDN w:val="0"/>
        <w:adjustRightInd w:val="0"/>
        <w:ind w:left="540" w:hanging="540"/>
        <w:jc w:val="both"/>
        <w:rPr>
          <w:noProof/>
        </w:rPr>
      </w:pPr>
      <w:r>
        <w:rPr>
          <w:noProof/>
        </w:rPr>
        <w:t>15.</w:t>
      </w:r>
      <w:r>
        <w:rPr>
          <w:noProof/>
        </w:rPr>
        <w:tab/>
        <w:t xml:space="preserve">Lee, B.-G., Kim, M. K. &amp; Song, H. K. Structural insights into the conformational diversity of ClpP from </w:t>
      </w:r>
      <w:r w:rsidRPr="003F1CCD">
        <w:rPr>
          <w:i/>
          <w:noProof/>
        </w:rPr>
        <w:t>Bacillus subtilis</w:t>
      </w:r>
      <w:r>
        <w:rPr>
          <w:noProof/>
        </w:rPr>
        <w:t xml:space="preserve">. </w:t>
      </w:r>
      <w:r>
        <w:rPr>
          <w:i/>
          <w:iCs/>
          <w:noProof/>
        </w:rPr>
        <w:t>Mol. Cells</w:t>
      </w:r>
      <w:r>
        <w:rPr>
          <w:noProof/>
        </w:rPr>
        <w:t xml:space="preserve"> </w:t>
      </w:r>
      <w:r>
        <w:rPr>
          <w:b/>
          <w:bCs/>
          <w:noProof/>
        </w:rPr>
        <w:t>32,</w:t>
      </w:r>
      <w:r>
        <w:rPr>
          <w:noProof/>
        </w:rPr>
        <w:t xml:space="preserve"> 589–595 (2011).</w:t>
      </w:r>
    </w:p>
    <w:p w14:paraId="7D7DD205" w14:textId="77777777" w:rsidR="00EC3A2F" w:rsidRDefault="00EC3A2F" w:rsidP="00D42184">
      <w:pPr>
        <w:widowControl w:val="0"/>
        <w:autoSpaceDE w:val="0"/>
        <w:autoSpaceDN w:val="0"/>
        <w:adjustRightInd w:val="0"/>
        <w:ind w:left="540" w:hanging="540"/>
        <w:jc w:val="both"/>
        <w:rPr>
          <w:noProof/>
        </w:rPr>
      </w:pPr>
      <w:r>
        <w:rPr>
          <w:noProof/>
        </w:rPr>
        <w:t>16.</w:t>
      </w:r>
      <w:r>
        <w:rPr>
          <w:noProof/>
        </w:rPr>
        <w:tab/>
        <w:t xml:space="preserve">Joshi, S. A., Hersch, G. L., Baker, T. A. &amp; Sauer, R. T. Communication between ClpX and ClpP during substrate processing and degradation. </w:t>
      </w:r>
      <w:r>
        <w:rPr>
          <w:i/>
          <w:iCs/>
          <w:noProof/>
        </w:rPr>
        <w:t>Nat. Struct. Mol. Biol.</w:t>
      </w:r>
      <w:r>
        <w:rPr>
          <w:noProof/>
        </w:rPr>
        <w:t xml:space="preserve"> </w:t>
      </w:r>
      <w:r>
        <w:rPr>
          <w:b/>
          <w:bCs/>
          <w:noProof/>
        </w:rPr>
        <w:lastRenderedPageBreak/>
        <w:t>11,</w:t>
      </w:r>
      <w:r>
        <w:rPr>
          <w:noProof/>
        </w:rPr>
        <w:t xml:space="preserve"> 404–411 (2004).</w:t>
      </w:r>
    </w:p>
    <w:p w14:paraId="5EEEF783" w14:textId="77777777" w:rsidR="00EC3A2F" w:rsidRDefault="00EC3A2F" w:rsidP="00D42184">
      <w:pPr>
        <w:widowControl w:val="0"/>
        <w:autoSpaceDE w:val="0"/>
        <w:autoSpaceDN w:val="0"/>
        <w:adjustRightInd w:val="0"/>
        <w:ind w:left="540" w:hanging="540"/>
        <w:jc w:val="both"/>
        <w:rPr>
          <w:noProof/>
        </w:rPr>
      </w:pPr>
      <w:r>
        <w:rPr>
          <w:noProof/>
        </w:rPr>
        <w:t>17.</w:t>
      </w:r>
      <w:r>
        <w:rPr>
          <w:noProof/>
        </w:rPr>
        <w:tab/>
        <w:t xml:space="preserve">Lee, M. E., Baker, T. A. &amp; Sauer, R. T. Control of substrate gating and translocation into ClpP by channel residues and ClpX binding. </w:t>
      </w:r>
      <w:r>
        <w:rPr>
          <w:i/>
          <w:iCs/>
          <w:noProof/>
        </w:rPr>
        <w:t>J. Mol. Biol.</w:t>
      </w:r>
      <w:r>
        <w:rPr>
          <w:noProof/>
        </w:rPr>
        <w:t xml:space="preserve"> </w:t>
      </w:r>
      <w:r>
        <w:rPr>
          <w:b/>
          <w:bCs/>
          <w:noProof/>
        </w:rPr>
        <w:t>399,</w:t>
      </w:r>
      <w:r>
        <w:rPr>
          <w:noProof/>
        </w:rPr>
        <w:t xml:space="preserve"> 707–718 (2010).</w:t>
      </w:r>
    </w:p>
    <w:p w14:paraId="109A336F" w14:textId="77777777" w:rsidR="00EC3A2F" w:rsidRDefault="00EC3A2F" w:rsidP="00D42184">
      <w:pPr>
        <w:widowControl w:val="0"/>
        <w:autoSpaceDE w:val="0"/>
        <w:autoSpaceDN w:val="0"/>
        <w:adjustRightInd w:val="0"/>
        <w:ind w:left="540" w:hanging="540"/>
        <w:jc w:val="both"/>
        <w:rPr>
          <w:noProof/>
        </w:rPr>
      </w:pPr>
      <w:r>
        <w:rPr>
          <w:noProof/>
        </w:rPr>
        <w:t>18.</w:t>
      </w:r>
      <w:r>
        <w:rPr>
          <w:noProof/>
        </w:rPr>
        <w:tab/>
        <w:t xml:space="preserve">Carney, D. W., Schmitz, K. R., Scruse, A. C., Sauer, R. T. &amp; Sello, J. K. Examination of a Structural Model of Peptidomimicry by Cyclic Acyldepsipeptide Antibiotics in Their Interaction with the ClpP Peptidase. </w:t>
      </w:r>
      <w:r>
        <w:rPr>
          <w:i/>
          <w:iCs/>
          <w:noProof/>
        </w:rPr>
        <w:t>Chembiochem</w:t>
      </w:r>
      <w:r>
        <w:rPr>
          <w:noProof/>
        </w:rPr>
        <w:t xml:space="preserve"> </w:t>
      </w:r>
      <w:r>
        <w:rPr>
          <w:b/>
          <w:bCs/>
          <w:noProof/>
        </w:rPr>
        <w:t>16,</w:t>
      </w:r>
      <w:r>
        <w:rPr>
          <w:noProof/>
        </w:rPr>
        <w:t xml:space="preserve"> 1875–1879 (2015).</w:t>
      </w:r>
    </w:p>
    <w:p w14:paraId="06B3F0CF" w14:textId="77777777" w:rsidR="00EC3A2F" w:rsidRDefault="00EC3A2F" w:rsidP="00D42184">
      <w:pPr>
        <w:widowControl w:val="0"/>
        <w:autoSpaceDE w:val="0"/>
        <w:autoSpaceDN w:val="0"/>
        <w:adjustRightInd w:val="0"/>
        <w:ind w:left="540" w:hanging="540"/>
        <w:jc w:val="both"/>
        <w:rPr>
          <w:noProof/>
        </w:rPr>
      </w:pPr>
      <w:r>
        <w:rPr>
          <w:noProof/>
        </w:rPr>
        <w:t>19.</w:t>
      </w:r>
      <w:r>
        <w:rPr>
          <w:noProof/>
        </w:rPr>
        <w:tab/>
        <w:t xml:space="preserve">Gominet, M., Seghezzi, N. &amp; Mazodier, P. Acyl depsipeptide (ADEP) resistance in </w:t>
      </w:r>
      <w:r w:rsidRPr="003F1CCD">
        <w:rPr>
          <w:i/>
          <w:noProof/>
        </w:rPr>
        <w:t>Streptomyces</w:t>
      </w:r>
      <w:r>
        <w:rPr>
          <w:noProof/>
        </w:rPr>
        <w:t xml:space="preserve">. </w:t>
      </w:r>
      <w:r>
        <w:rPr>
          <w:i/>
          <w:iCs/>
          <w:noProof/>
        </w:rPr>
        <w:t>Microbiology (Reading, Engl.)</w:t>
      </w:r>
      <w:r>
        <w:rPr>
          <w:noProof/>
        </w:rPr>
        <w:t xml:space="preserve"> </w:t>
      </w:r>
      <w:r>
        <w:rPr>
          <w:b/>
          <w:bCs/>
          <w:noProof/>
        </w:rPr>
        <w:t>157,</w:t>
      </w:r>
      <w:r>
        <w:rPr>
          <w:noProof/>
        </w:rPr>
        <w:t xml:space="preserve"> 2226–2234 (2011).</w:t>
      </w:r>
    </w:p>
    <w:p w14:paraId="4029F39D" w14:textId="77777777" w:rsidR="00EC3A2F" w:rsidRDefault="00EC3A2F" w:rsidP="00D42184">
      <w:pPr>
        <w:widowControl w:val="0"/>
        <w:autoSpaceDE w:val="0"/>
        <w:autoSpaceDN w:val="0"/>
        <w:adjustRightInd w:val="0"/>
        <w:ind w:left="540" w:hanging="540"/>
        <w:jc w:val="both"/>
        <w:rPr>
          <w:noProof/>
        </w:rPr>
      </w:pPr>
      <w:r>
        <w:rPr>
          <w:noProof/>
        </w:rPr>
        <w:t>20.</w:t>
      </w:r>
      <w:r>
        <w:rPr>
          <w:noProof/>
        </w:rPr>
        <w:tab/>
        <w:t xml:space="preserve">Hinzen, B. </w:t>
      </w:r>
      <w:r>
        <w:rPr>
          <w:i/>
          <w:iCs/>
          <w:noProof/>
        </w:rPr>
        <w:t>et al.</w:t>
      </w:r>
      <w:r>
        <w:rPr>
          <w:noProof/>
        </w:rPr>
        <w:t xml:space="preserve"> Medicinal chemistry optimization of acyldepsipeptides of the enopeptin class antibiotics. </w:t>
      </w:r>
      <w:r>
        <w:rPr>
          <w:i/>
          <w:iCs/>
          <w:noProof/>
        </w:rPr>
        <w:t>ChemMedChem</w:t>
      </w:r>
      <w:r>
        <w:rPr>
          <w:noProof/>
        </w:rPr>
        <w:t xml:space="preserve"> </w:t>
      </w:r>
      <w:r>
        <w:rPr>
          <w:b/>
          <w:bCs/>
          <w:noProof/>
        </w:rPr>
        <w:t>1,</w:t>
      </w:r>
      <w:r>
        <w:rPr>
          <w:noProof/>
        </w:rPr>
        <w:t xml:space="preserve"> 689–693 (2006).</w:t>
      </w:r>
    </w:p>
    <w:p w14:paraId="2473B3A4" w14:textId="77777777" w:rsidR="00EC3A2F" w:rsidRDefault="00EC3A2F" w:rsidP="00D42184">
      <w:pPr>
        <w:widowControl w:val="0"/>
        <w:autoSpaceDE w:val="0"/>
        <w:autoSpaceDN w:val="0"/>
        <w:adjustRightInd w:val="0"/>
        <w:ind w:left="540" w:hanging="540"/>
        <w:jc w:val="both"/>
        <w:rPr>
          <w:noProof/>
        </w:rPr>
      </w:pPr>
      <w:r>
        <w:rPr>
          <w:noProof/>
        </w:rPr>
        <w:t>21.</w:t>
      </w:r>
      <w:r>
        <w:rPr>
          <w:noProof/>
        </w:rPr>
        <w:tab/>
        <w:t xml:space="preserve">Conlon, B. P. </w:t>
      </w:r>
      <w:r>
        <w:rPr>
          <w:i/>
          <w:iCs/>
          <w:noProof/>
        </w:rPr>
        <w:t>et al.</w:t>
      </w:r>
      <w:r>
        <w:rPr>
          <w:noProof/>
        </w:rPr>
        <w:t xml:space="preserve"> Activated ClpP kills persisters and eradicates a chronic biofilm infection. </w:t>
      </w:r>
      <w:r>
        <w:rPr>
          <w:i/>
          <w:iCs/>
          <w:noProof/>
        </w:rPr>
        <w:t>Nature</w:t>
      </w:r>
      <w:r>
        <w:rPr>
          <w:noProof/>
        </w:rPr>
        <w:t xml:space="preserve"> </w:t>
      </w:r>
      <w:r>
        <w:rPr>
          <w:b/>
          <w:bCs/>
          <w:noProof/>
        </w:rPr>
        <w:t>503,</w:t>
      </w:r>
      <w:r>
        <w:rPr>
          <w:noProof/>
        </w:rPr>
        <w:t xml:space="preserve"> 365–370 (2013).</w:t>
      </w:r>
    </w:p>
    <w:p w14:paraId="05BF59BF" w14:textId="77777777" w:rsidR="00EC3A2F" w:rsidRDefault="00EC3A2F" w:rsidP="00D42184">
      <w:pPr>
        <w:widowControl w:val="0"/>
        <w:autoSpaceDE w:val="0"/>
        <w:autoSpaceDN w:val="0"/>
        <w:adjustRightInd w:val="0"/>
        <w:ind w:left="540" w:hanging="540"/>
        <w:jc w:val="both"/>
        <w:rPr>
          <w:noProof/>
        </w:rPr>
      </w:pPr>
      <w:r>
        <w:rPr>
          <w:noProof/>
        </w:rPr>
        <w:t>22.</w:t>
      </w:r>
      <w:r>
        <w:rPr>
          <w:noProof/>
        </w:rPr>
        <w:tab/>
        <w:t xml:space="preserve">Carney, D. W. </w:t>
      </w:r>
      <w:r>
        <w:rPr>
          <w:i/>
          <w:iCs/>
          <w:noProof/>
        </w:rPr>
        <w:t>et al.</w:t>
      </w:r>
      <w:r>
        <w:rPr>
          <w:noProof/>
        </w:rPr>
        <w:t xml:space="preserve"> A simple fragment of cyclic acyldepsipeptides is necessary and sufficient for ClpP activation and antibacterial activity. </w:t>
      </w:r>
      <w:r>
        <w:rPr>
          <w:i/>
          <w:iCs/>
          <w:noProof/>
        </w:rPr>
        <w:t>Chembiochem</w:t>
      </w:r>
      <w:r>
        <w:rPr>
          <w:noProof/>
        </w:rPr>
        <w:t xml:space="preserve"> </w:t>
      </w:r>
      <w:r>
        <w:rPr>
          <w:b/>
          <w:bCs/>
          <w:noProof/>
        </w:rPr>
        <w:t>15,</w:t>
      </w:r>
      <w:r>
        <w:rPr>
          <w:noProof/>
        </w:rPr>
        <w:t xml:space="preserve"> 2216–2220 (2014).</w:t>
      </w:r>
    </w:p>
    <w:p w14:paraId="18E2AC96" w14:textId="77777777" w:rsidR="00EC3A2F" w:rsidRDefault="00EC3A2F" w:rsidP="00D42184">
      <w:pPr>
        <w:widowControl w:val="0"/>
        <w:autoSpaceDE w:val="0"/>
        <w:autoSpaceDN w:val="0"/>
        <w:adjustRightInd w:val="0"/>
        <w:ind w:left="540" w:hanging="540"/>
        <w:jc w:val="both"/>
        <w:rPr>
          <w:noProof/>
        </w:rPr>
      </w:pPr>
      <w:r>
        <w:rPr>
          <w:noProof/>
        </w:rPr>
        <w:t>23.</w:t>
      </w:r>
      <w:r>
        <w:rPr>
          <w:noProof/>
        </w:rPr>
        <w:tab/>
        <w:t xml:space="preserve">Carney, D. W., Schmitz, K. R., Truong, J. V., Sauer, R. T. &amp; Sello, J. K. Restriction of the conformational dynamics of the cyclic acyldepsipeptide antibiotics improves their antibacterial activity. </w:t>
      </w:r>
      <w:r>
        <w:rPr>
          <w:i/>
          <w:iCs/>
          <w:noProof/>
        </w:rPr>
        <w:t>J. Am. Chem. Soc.</w:t>
      </w:r>
      <w:r>
        <w:rPr>
          <w:noProof/>
        </w:rPr>
        <w:t xml:space="preserve"> </w:t>
      </w:r>
      <w:r>
        <w:rPr>
          <w:b/>
          <w:bCs/>
          <w:noProof/>
        </w:rPr>
        <w:t>136,</w:t>
      </w:r>
      <w:r>
        <w:rPr>
          <w:noProof/>
        </w:rPr>
        <w:t xml:space="preserve"> 1922–1929 (2014).</w:t>
      </w:r>
    </w:p>
    <w:p w14:paraId="4B03B2CF" w14:textId="77777777" w:rsidR="00EC3A2F" w:rsidRDefault="00EC3A2F" w:rsidP="00D42184">
      <w:pPr>
        <w:widowControl w:val="0"/>
        <w:autoSpaceDE w:val="0"/>
        <w:autoSpaceDN w:val="0"/>
        <w:adjustRightInd w:val="0"/>
        <w:ind w:left="540" w:hanging="540"/>
        <w:jc w:val="both"/>
        <w:rPr>
          <w:noProof/>
        </w:rPr>
      </w:pPr>
      <w:r>
        <w:rPr>
          <w:noProof/>
        </w:rPr>
        <w:t>24.</w:t>
      </w:r>
      <w:r>
        <w:rPr>
          <w:noProof/>
        </w:rPr>
        <w:tab/>
        <w:t xml:space="preserve">Socha, A. M., Tan, N. Y., LaPlante, K. L. &amp; Sello, J. K. Diversity-oriented synthesis of cyclic acyldepsipeptides leads to the discovery of a potent antibacterial agent. </w:t>
      </w:r>
      <w:r>
        <w:rPr>
          <w:i/>
          <w:iCs/>
          <w:noProof/>
        </w:rPr>
        <w:t>Bioorg. Med. Chem.</w:t>
      </w:r>
      <w:r>
        <w:rPr>
          <w:noProof/>
        </w:rPr>
        <w:t xml:space="preserve"> </w:t>
      </w:r>
      <w:r>
        <w:rPr>
          <w:b/>
          <w:bCs/>
          <w:noProof/>
        </w:rPr>
        <w:t>18,</w:t>
      </w:r>
      <w:r>
        <w:rPr>
          <w:noProof/>
        </w:rPr>
        <w:t xml:space="preserve"> 7193–7202 (2010).</w:t>
      </w:r>
    </w:p>
    <w:p w14:paraId="67EF9181" w14:textId="77777777" w:rsidR="00EC3A2F" w:rsidRDefault="00EC3A2F" w:rsidP="00D42184">
      <w:pPr>
        <w:widowControl w:val="0"/>
        <w:autoSpaceDE w:val="0"/>
        <w:autoSpaceDN w:val="0"/>
        <w:adjustRightInd w:val="0"/>
        <w:ind w:left="540" w:hanging="540"/>
        <w:jc w:val="both"/>
        <w:rPr>
          <w:noProof/>
        </w:rPr>
      </w:pPr>
      <w:r>
        <w:rPr>
          <w:noProof/>
        </w:rPr>
        <w:t>25.</w:t>
      </w:r>
      <w:r>
        <w:rPr>
          <w:noProof/>
        </w:rPr>
        <w:tab/>
        <w:t xml:space="preserve">Brötz, H. Dysregulation of bacterial proteolytic machinery by a new class of antibiotics. </w:t>
      </w:r>
      <w:r>
        <w:rPr>
          <w:i/>
          <w:iCs/>
          <w:noProof/>
        </w:rPr>
        <w:t>Oesterhelt</w:t>
      </w:r>
    </w:p>
    <w:p w14:paraId="6CADE7B0" w14:textId="77777777" w:rsidR="00EC3A2F" w:rsidRDefault="00EC3A2F" w:rsidP="00D42184">
      <w:pPr>
        <w:widowControl w:val="0"/>
        <w:autoSpaceDE w:val="0"/>
        <w:autoSpaceDN w:val="0"/>
        <w:adjustRightInd w:val="0"/>
        <w:ind w:left="540" w:hanging="540"/>
        <w:jc w:val="both"/>
        <w:rPr>
          <w:noProof/>
        </w:rPr>
      </w:pPr>
      <w:r>
        <w:rPr>
          <w:noProof/>
        </w:rPr>
        <w:t>26.</w:t>
      </w:r>
      <w:r>
        <w:rPr>
          <w:noProof/>
        </w:rPr>
        <w:tab/>
        <w:t xml:space="preserve">Leung, E. </w:t>
      </w:r>
      <w:r>
        <w:rPr>
          <w:i/>
          <w:iCs/>
          <w:noProof/>
        </w:rPr>
        <w:t>et al.</w:t>
      </w:r>
      <w:r>
        <w:rPr>
          <w:noProof/>
        </w:rPr>
        <w:t xml:space="preserve"> Activators of cylindrical proteases as antimicrobials: identification </w:t>
      </w:r>
      <w:r>
        <w:rPr>
          <w:noProof/>
        </w:rPr>
        <w:lastRenderedPageBreak/>
        <w:t xml:space="preserve">and development of small molecule activators of ClpP protease. </w:t>
      </w:r>
      <w:r>
        <w:rPr>
          <w:i/>
          <w:iCs/>
          <w:noProof/>
        </w:rPr>
        <w:t>Chem. Biol.</w:t>
      </w:r>
      <w:r>
        <w:rPr>
          <w:noProof/>
        </w:rPr>
        <w:t xml:space="preserve"> </w:t>
      </w:r>
      <w:r>
        <w:rPr>
          <w:b/>
          <w:bCs/>
          <w:noProof/>
        </w:rPr>
        <w:t>18,</w:t>
      </w:r>
      <w:r>
        <w:rPr>
          <w:noProof/>
        </w:rPr>
        <w:t xml:space="preserve"> 1167–1178 (2011).</w:t>
      </w:r>
    </w:p>
    <w:p w14:paraId="669E455E" w14:textId="77777777" w:rsidR="00EC3A2F" w:rsidRDefault="00EC3A2F" w:rsidP="00D42184">
      <w:pPr>
        <w:widowControl w:val="0"/>
        <w:autoSpaceDE w:val="0"/>
        <w:autoSpaceDN w:val="0"/>
        <w:adjustRightInd w:val="0"/>
        <w:ind w:left="540" w:hanging="540"/>
        <w:jc w:val="both"/>
        <w:rPr>
          <w:noProof/>
        </w:rPr>
      </w:pPr>
      <w:r>
        <w:rPr>
          <w:noProof/>
        </w:rPr>
        <w:t>27.</w:t>
      </w:r>
      <w:r>
        <w:rPr>
          <w:noProof/>
        </w:rPr>
        <w:tab/>
        <w:t xml:space="preserve">Gottesman, S., Roche, E., Zhou, Y. &amp; Sauer, R. T. The ClpXP and ClpAP proteases degrade proteins with carboxy-terminal peptide tails added by the SsrA-tagging system. </w:t>
      </w:r>
      <w:r>
        <w:rPr>
          <w:i/>
          <w:iCs/>
          <w:noProof/>
        </w:rPr>
        <w:t>Genes Dev.</w:t>
      </w:r>
      <w:r>
        <w:rPr>
          <w:noProof/>
        </w:rPr>
        <w:t xml:space="preserve"> </w:t>
      </w:r>
      <w:r>
        <w:rPr>
          <w:b/>
          <w:bCs/>
          <w:noProof/>
        </w:rPr>
        <w:t>12,</w:t>
      </w:r>
      <w:r>
        <w:rPr>
          <w:noProof/>
        </w:rPr>
        <w:t xml:space="preserve"> 1338–1347 (1998).</w:t>
      </w:r>
    </w:p>
    <w:p w14:paraId="60D81FDB" w14:textId="77777777" w:rsidR="00EC3A2F" w:rsidRDefault="00EC3A2F" w:rsidP="00D42184">
      <w:pPr>
        <w:widowControl w:val="0"/>
        <w:autoSpaceDE w:val="0"/>
        <w:autoSpaceDN w:val="0"/>
        <w:adjustRightInd w:val="0"/>
        <w:ind w:left="540" w:hanging="540"/>
        <w:jc w:val="both"/>
        <w:rPr>
          <w:noProof/>
        </w:rPr>
      </w:pPr>
      <w:r>
        <w:rPr>
          <w:noProof/>
        </w:rPr>
        <w:t>28.</w:t>
      </w:r>
      <w:r>
        <w:rPr>
          <w:noProof/>
        </w:rPr>
        <w:tab/>
        <w:t xml:space="preserve">Lavey, N. P., Coker, J. A., Ruben, E. A. &amp; Duerfeldt, A. S. Sclerotiamide: The First Non-Peptide-Based Natural Product Activator of Bacterial Caseinolytic Protease P. </w:t>
      </w:r>
      <w:r>
        <w:rPr>
          <w:i/>
          <w:iCs/>
          <w:noProof/>
        </w:rPr>
        <w:t>J. Nat. Prod.</w:t>
      </w:r>
      <w:r>
        <w:rPr>
          <w:noProof/>
        </w:rPr>
        <w:t xml:space="preserve"> </w:t>
      </w:r>
      <w:r>
        <w:rPr>
          <w:b/>
          <w:bCs/>
          <w:noProof/>
        </w:rPr>
        <w:t>79,</w:t>
      </w:r>
      <w:r>
        <w:rPr>
          <w:noProof/>
        </w:rPr>
        <w:t xml:space="preserve"> 1193–1197 (2016).</w:t>
      </w:r>
    </w:p>
    <w:p w14:paraId="5E4B064C" w14:textId="77777777" w:rsidR="00EC3A2F" w:rsidRDefault="00EC3A2F" w:rsidP="00D42184">
      <w:pPr>
        <w:widowControl w:val="0"/>
        <w:autoSpaceDE w:val="0"/>
        <w:autoSpaceDN w:val="0"/>
        <w:adjustRightInd w:val="0"/>
        <w:ind w:left="540" w:hanging="540"/>
        <w:jc w:val="both"/>
        <w:rPr>
          <w:noProof/>
        </w:rPr>
      </w:pPr>
      <w:r>
        <w:rPr>
          <w:noProof/>
        </w:rPr>
        <w:t>29.</w:t>
      </w:r>
      <w:r>
        <w:rPr>
          <w:noProof/>
        </w:rPr>
        <w:tab/>
        <w:t xml:space="preserve">Du, L. </w:t>
      </w:r>
      <w:r>
        <w:rPr>
          <w:i/>
          <w:iCs/>
          <w:noProof/>
        </w:rPr>
        <w:t>et al.</w:t>
      </w:r>
      <w:r>
        <w:rPr>
          <w:noProof/>
        </w:rPr>
        <w:t xml:space="preserve"> Crowdsourcing Natural Products Discovery to Access Uncharted Dimensions of Fungal Metabolite Diversity. </w:t>
      </w:r>
      <w:r>
        <w:rPr>
          <w:i/>
          <w:iCs/>
          <w:noProof/>
        </w:rPr>
        <w:t>Angew. Chem. Int. Ed. Engl.</w:t>
      </w:r>
      <w:r>
        <w:rPr>
          <w:noProof/>
        </w:rPr>
        <w:t xml:space="preserve"> (2013). doi:10.1002/anie.201306549</w:t>
      </w:r>
    </w:p>
    <w:p w14:paraId="7F3D8778" w14:textId="77777777" w:rsidR="00EC3A2F" w:rsidRDefault="00EC3A2F" w:rsidP="00D42184">
      <w:pPr>
        <w:widowControl w:val="0"/>
        <w:autoSpaceDE w:val="0"/>
        <w:autoSpaceDN w:val="0"/>
        <w:adjustRightInd w:val="0"/>
        <w:ind w:left="540" w:hanging="540"/>
        <w:jc w:val="both"/>
        <w:rPr>
          <w:noProof/>
        </w:rPr>
      </w:pPr>
      <w:r>
        <w:rPr>
          <w:noProof/>
        </w:rPr>
        <w:t>30.</w:t>
      </w:r>
      <w:r>
        <w:rPr>
          <w:noProof/>
        </w:rPr>
        <w:tab/>
        <w:t xml:space="preserve">Niu, G. </w:t>
      </w:r>
      <w:r>
        <w:rPr>
          <w:i/>
          <w:iCs/>
          <w:noProof/>
        </w:rPr>
        <w:t>et al.</w:t>
      </w:r>
      <w:r>
        <w:rPr>
          <w:noProof/>
        </w:rPr>
        <w:t xml:space="preserve"> Targeting mosquito FREP1 with a fungal metabolite blocks malaria transmission. </w:t>
      </w:r>
      <w:r>
        <w:rPr>
          <w:i/>
          <w:iCs/>
          <w:noProof/>
        </w:rPr>
        <w:t>Sci. Rep.</w:t>
      </w:r>
      <w:r>
        <w:rPr>
          <w:noProof/>
        </w:rPr>
        <w:t xml:space="preserve"> </w:t>
      </w:r>
      <w:r>
        <w:rPr>
          <w:b/>
          <w:bCs/>
          <w:noProof/>
        </w:rPr>
        <w:t>5,</w:t>
      </w:r>
      <w:r>
        <w:rPr>
          <w:noProof/>
        </w:rPr>
        <w:t xml:space="preserve"> 14694 (2015).</w:t>
      </w:r>
    </w:p>
    <w:p w14:paraId="7682FC14" w14:textId="77777777" w:rsidR="00EC3A2F" w:rsidRDefault="00EC3A2F" w:rsidP="00D42184">
      <w:pPr>
        <w:widowControl w:val="0"/>
        <w:autoSpaceDE w:val="0"/>
        <w:autoSpaceDN w:val="0"/>
        <w:adjustRightInd w:val="0"/>
        <w:ind w:left="540" w:hanging="540"/>
        <w:jc w:val="both"/>
        <w:rPr>
          <w:noProof/>
        </w:rPr>
      </w:pPr>
      <w:r>
        <w:rPr>
          <w:noProof/>
        </w:rPr>
        <w:t>31.</w:t>
      </w:r>
      <w:r>
        <w:rPr>
          <w:noProof/>
        </w:rPr>
        <w:tab/>
        <w:t xml:space="preserve">Wang, B., You, J., King, J. B., Cai, S. &amp; Park, E. Polyketide Glycosides from Bionectria ochroleuca Inhibit Candida albicans Biofilm Formation. </w:t>
      </w:r>
      <w:r>
        <w:rPr>
          <w:i/>
          <w:iCs/>
          <w:noProof/>
        </w:rPr>
        <w:t>Journal of natural …</w:t>
      </w:r>
      <w:r>
        <w:rPr>
          <w:noProof/>
        </w:rPr>
        <w:t xml:space="preserve"> (2014).</w:t>
      </w:r>
    </w:p>
    <w:p w14:paraId="1A0D8447" w14:textId="77777777" w:rsidR="00EC3A2F" w:rsidRDefault="00EC3A2F" w:rsidP="00D42184">
      <w:pPr>
        <w:widowControl w:val="0"/>
        <w:autoSpaceDE w:val="0"/>
        <w:autoSpaceDN w:val="0"/>
        <w:adjustRightInd w:val="0"/>
        <w:ind w:left="540" w:hanging="540"/>
        <w:jc w:val="both"/>
        <w:rPr>
          <w:noProof/>
        </w:rPr>
      </w:pPr>
      <w:r>
        <w:rPr>
          <w:noProof/>
        </w:rPr>
        <w:t>32.</w:t>
      </w:r>
      <w:r>
        <w:rPr>
          <w:noProof/>
        </w:rPr>
        <w:tab/>
        <w:t xml:space="preserve">Du, L., Risinger, A. L., King, J. B., Powell, D. R. &amp; Cichewicz, R. H. A potent HDAC inhibitor, 1-alaninechlamydocin, from a Tolypocladium sp. induces G2/M cell cycle arrest and apoptosis in MIA PaCa-2 cells. </w:t>
      </w:r>
      <w:r>
        <w:rPr>
          <w:i/>
          <w:iCs/>
          <w:noProof/>
        </w:rPr>
        <w:t>J. Nat. Prod.</w:t>
      </w:r>
      <w:r>
        <w:rPr>
          <w:noProof/>
        </w:rPr>
        <w:t xml:space="preserve"> </w:t>
      </w:r>
      <w:r>
        <w:rPr>
          <w:b/>
          <w:bCs/>
          <w:noProof/>
        </w:rPr>
        <w:t>77,</w:t>
      </w:r>
      <w:r>
        <w:rPr>
          <w:noProof/>
        </w:rPr>
        <w:t xml:space="preserve"> 1753–1757 (2014).</w:t>
      </w:r>
    </w:p>
    <w:p w14:paraId="139858C2" w14:textId="77777777" w:rsidR="00EC3A2F" w:rsidRDefault="00EC3A2F" w:rsidP="00D42184">
      <w:pPr>
        <w:widowControl w:val="0"/>
        <w:autoSpaceDE w:val="0"/>
        <w:autoSpaceDN w:val="0"/>
        <w:adjustRightInd w:val="0"/>
        <w:ind w:left="540" w:hanging="540"/>
        <w:jc w:val="both"/>
        <w:rPr>
          <w:noProof/>
        </w:rPr>
      </w:pPr>
      <w:r>
        <w:rPr>
          <w:noProof/>
        </w:rPr>
        <w:t>33.</w:t>
      </w:r>
      <w:r>
        <w:rPr>
          <w:noProof/>
        </w:rPr>
        <w:tab/>
        <w:t xml:space="preserve">Du, L., Robles, A. J., King, J. B., Mooberry, S. L. &amp; Cichewicz, R. H. Cytotoxic dimeric epipolythiodiketopiperazines from the ascomycetous fungus Preussia typharum. </w:t>
      </w:r>
      <w:r>
        <w:rPr>
          <w:i/>
          <w:iCs/>
          <w:noProof/>
        </w:rPr>
        <w:t>J. Nat. Prod.</w:t>
      </w:r>
      <w:r>
        <w:rPr>
          <w:noProof/>
        </w:rPr>
        <w:t xml:space="preserve"> </w:t>
      </w:r>
      <w:r>
        <w:rPr>
          <w:b/>
          <w:bCs/>
          <w:noProof/>
        </w:rPr>
        <w:t>77,</w:t>
      </w:r>
      <w:r>
        <w:rPr>
          <w:noProof/>
        </w:rPr>
        <w:t xml:space="preserve"> 1459–1466 (2014).</w:t>
      </w:r>
    </w:p>
    <w:p w14:paraId="5691D075" w14:textId="77777777" w:rsidR="00EC3A2F" w:rsidRDefault="00EC3A2F" w:rsidP="00D42184">
      <w:pPr>
        <w:widowControl w:val="0"/>
        <w:autoSpaceDE w:val="0"/>
        <w:autoSpaceDN w:val="0"/>
        <w:adjustRightInd w:val="0"/>
        <w:ind w:left="540" w:hanging="540"/>
        <w:jc w:val="both"/>
        <w:rPr>
          <w:noProof/>
        </w:rPr>
      </w:pPr>
      <w:r>
        <w:rPr>
          <w:noProof/>
        </w:rPr>
        <w:t>34.</w:t>
      </w:r>
      <w:r>
        <w:rPr>
          <w:noProof/>
        </w:rPr>
        <w:tab/>
        <w:t xml:space="preserve">Osada, H., Yano, T. &amp; Koshino, H. Enopeptin A, a novel depsipeptide antibiotic with anti-bacteriophage activity. </w:t>
      </w:r>
      <w:r>
        <w:rPr>
          <w:i/>
          <w:iCs/>
          <w:noProof/>
        </w:rPr>
        <w:t>The Journal of …</w:t>
      </w:r>
      <w:r>
        <w:rPr>
          <w:noProof/>
        </w:rPr>
        <w:t xml:space="preserve"> (1991).</w:t>
      </w:r>
    </w:p>
    <w:p w14:paraId="32F70B5F" w14:textId="77777777" w:rsidR="00EC3A2F" w:rsidRDefault="00EC3A2F" w:rsidP="00D42184">
      <w:pPr>
        <w:widowControl w:val="0"/>
        <w:autoSpaceDE w:val="0"/>
        <w:autoSpaceDN w:val="0"/>
        <w:adjustRightInd w:val="0"/>
        <w:ind w:left="540" w:hanging="540"/>
        <w:jc w:val="both"/>
        <w:rPr>
          <w:noProof/>
        </w:rPr>
      </w:pPr>
      <w:r>
        <w:rPr>
          <w:noProof/>
        </w:rPr>
        <w:lastRenderedPageBreak/>
        <w:t>35.</w:t>
      </w:r>
      <w:r>
        <w:rPr>
          <w:noProof/>
        </w:rPr>
        <w:tab/>
        <w:t xml:space="preserve">Koshino, H., Osada, H., Yano, T., Uzawa, J. &amp; Isono, K. The structure of enopeptins A and B, novel depsipeptide antibiotics. </w:t>
      </w:r>
      <w:r>
        <w:rPr>
          <w:i/>
          <w:iCs/>
          <w:noProof/>
        </w:rPr>
        <w:t>Tetrahedron Lett.</w:t>
      </w:r>
      <w:r>
        <w:rPr>
          <w:noProof/>
        </w:rPr>
        <w:t xml:space="preserve"> </w:t>
      </w:r>
      <w:r>
        <w:rPr>
          <w:b/>
          <w:bCs/>
          <w:noProof/>
        </w:rPr>
        <w:t>32,</w:t>
      </w:r>
      <w:r>
        <w:rPr>
          <w:noProof/>
        </w:rPr>
        <w:t xml:space="preserve"> 7707–7710 (1991).</w:t>
      </w:r>
    </w:p>
    <w:p w14:paraId="4A7C0072" w14:textId="77777777" w:rsidR="00EC3A2F" w:rsidRDefault="00EC3A2F" w:rsidP="00D42184">
      <w:pPr>
        <w:widowControl w:val="0"/>
        <w:autoSpaceDE w:val="0"/>
        <w:autoSpaceDN w:val="0"/>
        <w:adjustRightInd w:val="0"/>
        <w:ind w:left="540" w:hanging="540"/>
        <w:jc w:val="both"/>
        <w:rPr>
          <w:noProof/>
        </w:rPr>
      </w:pPr>
      <w:r>
        <w:rPr>
          <w:noProof/>
        </w:rPr>
        <w:t>36.</w:t>
      </w:r>
      <w:r>
        <w:rPr>
          <w:noProof/>
        </w:rPr>
        <w:tab/>
        <w:t xml:space="preserve">Brideau, C., Gunter, B., Pikounis, B. &amp; Liaw, A. Improved statistical methods for hit selection in high-throughput screening. </w:t>
      </w:r>
      <w:r>
        <w:rPr>
          <w:i/>
          <w:iCs/>
          <w:noProof/>
        </w:rPr>
        <w:t>J. Biomol. Screen.</w:t>
      </w:r>
      <w:r>
        <w:rPr>
          <w:noProof/>
        </w:rPr>
        <w:t xml:space="preserve"> </w:t>
      </w:r>
      <w:r>
        <w:rPr>
          <w:b/>
          <w:bCs/>
          <w:noProof/>
        </w:rPr>
        <w:t>8,</w:t>
      </w:r>
      <w:r>
        <w:rPr>
          <w:noProof/>
        </w:rPr>
        <w:t xml:space="preserve"> 634–647 (2003).</w:t>
      </w:r>
    </w:p>
    <w:p w14:paraId="1229F374" w14:textId="77777777" w:rsidR="00EC3A2F" w:rsidRDefault="00EC3A2F" w:rsidP="00D42184">
      <w:pPr>
        <w:widowControl w:val="0"/>
        <w:autoSpaceDE w:val="0"/>
        <w:autoSpaceDN w:val="0"/>
        <w:adjustRightInd w:val="0"/>
        <w:ind w:left="540" w:hanging="540"/>
        <w:jc w:val="both"/>
        <w:rPr>
          <w:noProof/>
        </w:rPr>
      </w:pPr>
      <w:r>
        <w:rPr>
          <w:noProof/>
        </w:rPr>
        <w:t>37.</w:t>
      </w:r>
      <w:r>
        <w:rPr>
          <w:noProof/>
        </w:rPr>
        <w:tab/>
        <w:t xml:space="preserve">Pelz, O., Gilsdorf, M. &amp; Boutros, M. web cellHTS2: a web-application for the analysis of high-throughput screening data. </w:t>
      </w:r>
      <w:r>
        <w:rPr>
          <w:i/>
          <w:iCs/>
          <w:noProof/>
        </w:rPr>
        <w:t>BMC Bioinformatics</w:t>
      </w:r>
      <w:r>
        <w:rPr>
          <w:noProof/>
        </w:rPr>
        <w:t xml:space="preserve"> </w:t>
      </w:r>
      <w:r>
        <w:rPr>
          <w:b/>
          <w:bCs/>
          <w:noProof/>
        </w:rPr>
        <w:t>11,</w:t>
      </w:r>
      <w:r>
        <w:rPr>
          <w:noProof/>
        </w:rPr>
        <w:t xml:space="preserve"> 185 (2010).</w:t>
      </w:r>
    </w:p>
    <w:p w14:paraId="6E6D5B0A" w14:textId="77777777" w:rsidR="00EC3A2F" w:rsidRDefault="00EC3A2F" w:rsidP="00D42184">
      <w:pPr>
        <w:widowControl w:val="0"/>
        <w:autoSpaceDE w:val="0"/>
        <w:autoSpaceDN w:val="0"/>
        <w:adjustRightInd w:val="0"/>
        <w:ind w:left="540" w:hanging="540"/>
        <w:jc w:val="both"/>
        <w:rPr>
          <w:noProof/>
        </w:rPr>
      </w:pPr>
      <w:r>
        <w:rPr>
          <w:noProof/>
        </w:rPr>
        <w:t>38.</w:t>
      </w:r>
      <w:r>
        <w:rPr>
          <w:noProof/>
        </w:rPr>
        <w:tab/>
        <w:t xml:space="preserve">Whyte, A. C., Gloer, J. B., Wicklow, D. T. &amp; Dowdw, P. F. Sclerotiamide: a new member of the paraherquamide class with potent antiinsectan activity from the sclerotia of </w:t>
      </w:r>
      <w:r w:rsidRPr="003F1CCD">
        <w:rPr>
          <w:i/>
          <w:noProof/>
        </w:rPr>
        <w:t>Aspergillus sclerotiorum</w:t>
      </w:r>
      <w:r>
        <w:rPr>
          <w:noProof/>
        </w:rPr>
        <w:t xml:space="preserve">. </w:t>
      </w:r>
      <w:r>
        <w:rPr>
          <w:i/>
          <w:iCs/>
          <w:noProof/>
        </w:rPr>
        <w:t>J. Nat. Prod.</w:t>
      </w:r>
      <w:r>
        <w:rPr>
          <w:noProof/>
        </w:rPr>
        <w:t xml:space="preserve"> </w:t>
      </w:r>
      <w:r>
        <w:rPr>
          <w:b/>
          <w:bCs/>
          <w:noProof/>
        </w:rPr>
        <w:t>59,</w:t>
      </w:r>
      <w:r>
        <w:rPr>
          <w:noProof/>
        </w:rPr>
        <w:t xml:space="preserve"> 1093–1095 (1996).</w:t>
      </w:r>
    </w:p>
    <w:p w14:paraId="744A8DC9" w14:textId="77777777" w:rsidR="00EC3A2F" w:rsidRDefault="00EC3A2F" w:rsidP="00D42184">
      <w:pPr>
        <w:widowControl w:val="0"/>
        <w:autoSpaceDE w:val="0"/>
        <w:autoSpaceDN w:val="0"/>
        <w:adjustRightInd w:val="0"/>
        <w:ind w:left="540" w:hanging="540"/>
        <w:jc w:val="both"/>
        <w:rPr>
          <w:noProof/>
        </w:rPr>
      </w:pPr>
      <w:r>
        <w:rPr>
          <w:noProof/>
        </w:rPr>
        <w:t>39.</w:t>
      </w:r>
      <w:r>
        <w:rPr>
          <w:noProof/>
        </w:rPr>
        <w:tab/>
        <w:t xml:space="preserve">Thompson, M. W. &amp; Maurizi, M. R. Activity and specificity of </w:t>
      </w:r>
      <w:r w:rsidRPr="003F1CCD">
        <w:rPr>
          <w:i/>
          <w:noProof/>
        </w:rPr>
        <w:t>Escherichia coli</w:t>
      </w:r>
      <w:r>
        <w:rPr>
          <w:noProof/>
        </w:rPr>
        <w:t xml:space="preserve"> ClpAP protease in cleaving model peptide substrates. </w:t>
      </w:r>
      <w:r>
        <w:rPr>
          <w:i/>
          <w:iCs/>
          <w:noProof/>
        </w:rPr>
        <w:t>J. Biol. Chem.</w:t>
      </w:r>
      <w:r>
        <w:rPr>
          <w:noProof/>
        </w:rPr>
        <w:t xml:space="preserve"> </w:t>
      </w:r>
      <w:r>
        <w:rPr>
          <w:b/>
          <w:bCs/>
          <w:noProof/>
        </w:rPr>
        <w:t>269,</w:t>
      </w:r>
      <w:r>
        <w:rPr>
          <w:noProof/>
        </w:rPr>
        <w:t xml:space="preserve"> 18201–18208 (1994).</w:t>
      </w:r>
    </w:p>
    <w:p w14:paraId="6B2E3B4C" w14:textId="77777777" w:rsidR="00EC3A2F" w:rsidRDefault="00EC3A2F" w:rsidP="00D42184">
      <w:pPr>
        <w:widowControl w:val="0"/>
        <w:autoSpaceDE w:val="0"/>
        <w:autoSpaceDN w:val="0"/>
        <w:adjustRightInd w:val="0"/>
        <w:ind w:left="540" w:hanging="540"/>
        <w:jc w:val="both"/>
        <w:rPr>
          <w:noProof/>
        </w:rPr>
      </w:pPr>
      <w:r>
        <w:rPr>
          <w:noProof/>
        </w:rPr>
        <w:t>40.</w:t>
      </w:r>
      <w:r>
        <w:rPr>
          <w:noProof/>
        </w:rPr>
        <w:tab/>
        <w:t xml:space="preserve">Finefield, J. M. </w:t>
      </w:r>
      <w:r>
        <w:rPr>
          <w:i/>
          <w:iCs/>
          <w:noProof/>
        </w:rPr>
        <w:t>et al.</w:t>
      </w:r>
      <w:r>
        <w:rPr>
          <w:noProof/>
        </w:rPr>
        <w:t xml:space="preserve"> Biosynthetic studies of the notoamides: isotopic synthesis of stephacidin A and incorporation into notoamide B and sclerotiamide. </w:t>
      </w:r>
      <w:r>
        <w:rPr>
          <w:i/>
          <w:iCs/>
          <w:noProof/>
        </w:rPr>
        <w:t>Org. Lett.</w:t>
      </w:r>
      <w:r>
        <w:rPr>
          <w:noProof/>
        </w:rPr>
        <w:t xml:space="preserve"> </w:t>
      </w:r>
      <w:r>
        <w:rPr>
          <w:b/>
          <w:bCs/>
          <w:noProof/>
        </w:rPr>
        <w:t>13,</w:t>
      </w:r>
      <w:r>
        <w:rPr>
          <w:noProof/>
        </w:rPr>
        <w:t xml:space="preserve"> 3802–3805 (2011).</w:t>
      </w:r>
    </w:p>
    <w:p w14:paraId="67A5C65F" w14:textId="77777777" w:rsidR="00EC3A2F" w:rsidRDefault="00EC3A2F" w:rsidP="00D42184">
      <w:pPr>
        <w:widowControl w:val="0"/>
        <w:autoSpaceDE w:val="0"/>
        <w:autoSpaceDN w:val="0"/>
        <w:adjustRightInd w:val="0"/>
        <w:ind w:left="540" w:hanging="540"/>
        <w:jc w:val="both"/>
        <w:rPr>
          <w:noProof/>
        </w:rPr>
      </w:pPr>
      <w:r>
        <w:rPr>
          <w:noProof/>
        </w:rPr>
        <w:t>41.</w:t>
      </w:r>
      <w:r>
        <w:rPr>
          <w:noProof/>
        </w:rPr>
        <w:tab/>
        <w:t xml:space="preserve">Mercado, E. V. Total synthesis and isolation of citrinalin and cyclopiamine congeners. </w:t>
      </w:r>
      <w:r>
        <w:rPr>
          <w:i/>
          <w:iCs/>
          <w:noProof/>
        </w:rPr>
        <w:t>Marin</w:t>
      </w:r>
    </w:p>
    <w:p w14:paraId="5DB81CC7" w14:textId="77777777" w:rsidR="00EC3A2F" w:rsidRDefault="00EC3A2F" w:rsidP="00D42184">
      <w:pPr>
        <w:widowControl w:val="0"/>
        <w:autoSpaceDE w:val="0"/>
        <w:autoSpaceDN w:val="0"/>
        <w:adjustRightInd w:val="0"/>
        <w:ind w:left="540" w:hanging="540"/>
        <w:jc w:val="both"/>
        <w:rPr>
          <w:noProof/>
        </w:rPr>
      </w:pPr>
      <w:r>
        <w:rPr>
          <w:noProof/>
        </w:rPr>
        <w:t>42.</w:t>
      </w:r>
      <w:r>
        <w:rPr>
          <w:noProof/>
        </w:rPr>
        <w:tab/>
        <w:t xml:space="preserve">Finefield, J. M., Frisvad, J. C., Sherman, D. H. &amp; Williams, R. M. Fungal origins of the bicyclo[2.2.2]diazaoctane ring system of prenylated indole alkaloids. </w:t>
      </w:r>
      <w:r>
        <w:rPr>
          <w:i/>
          <w:iCs/>
          <w:noProof/>
        </w:rPr>
        <w:t>J. Nat. Prod.</w:t>
      </w:r>
      <w:r>
        <w:rPr>
          <w:noProof/>
        </w:rPr>
        <w:t xml:space="preserve"> </w:t>
      </w:r>
      <w:r>
        <w:rPr>
          <w:b/>
          <w:bCs/>
          <w:noProof/>
        </w:rPr>
        <w:t>75,</w:t>
      </w:r>
      <w:r>
        <w:rPr>
          <w:noProof/>
        </w:rPr>
        <w:t xml:space="preserve"> 812–833 (2012).</w:t>
      </w:r>
    </w:p>
    <w:p w14:paraId="7B34D834" w14:textId="77777777" w:rsidR="00EC3A2F" w:rsidRDefault="00EC3A2F" w:rsidP="00D42184">
      <w:pPr>
        <w:widowControl w:val="0"/>
        <w:autoSpaceDE w:val="0"/>
        <w:autoSpaceDN w:val="0"/>
        <w:adjustRightInd w:val="0"/>
        <w:ind w:left="540" w:hanging="540"/>
        <w:jc w:val="both"/>
        <w:rPr>
          <w:noProof/>
        </w:rPr>
      </w:pPr>
      <w:r>
        <w:rPr>
          <w:noProof/>
        </w:rPr>
        <w:t>43.</w:t>
      </w:r>
      <w:r>
        <w:rPr>
          <w:noProof/>
        </w:rPr>
        <w:tab/>
        <w:t xml:space="preserve">Peng, J., Zhang, X.-Y., Tu, Z.-C., Xu, X.-Y. &amp; Qi, S.-H. Alkaloids from the deep-sea-derived fungus </w:t>
      </w:r>
      <w:r w:rsidRPr="003F1CCD">
        <w:rPr>
          <w:i/>
          <w:noProof/>
        </w:rPr>
        <w:t>Aspergillus</w:t>
      </w:r>
      <w:r>
        <w:rPr>
          <w:noProof/>
        </w:rPr>
        <w:t xml:space="preserve"> </w:t>
      </w:r>
      <w:r w:rsidRPr="003F1CCD">
        <w:rPr>
          <w:i/>
          <w:noProof/>
        </w:rPr>
        <w:t>westerdijkiae</w:t>
      </w:r>
      <w:r>
        <w:rPr>
          <w:noProof/>
        </w:rPr>
        <w:t xml:space="preserve"> DFFSCS013. </w:t>
      </w:r>
      <w:r>
        <w:rPr>
          <w:i/>
          <w:iCs/>
          <w:noProof/>
        </w:rPr>
        <w:t>J. Nat. Prod.</w:t>
      </w:r>
      <w:r>
        <w:rPr>
          <w:noProof/>
        </w:rPr>
        <w:t xml:space="preserve"> </w:t>
      </w:r>
      <w:r>
        <w:rPr>
          <w:b/>
          <w:bCs/>
          <w:noProof/>
        </w:rPr>
        <w:t>76,</w:t>
      </w:r>
      <w:r>
        <w:rPr>
          <w:noProof/>
        </w:rPr>
        <w:t xml:space="preserve"> 983–987 (2013).</w:t>
      </w:r>
    </w:p>
    <w:p w14:paraId="355741E5" w14:textId="77777777" w:rsidR="00EC3A2F" w:rsidRDefault="00EC3A2F" w:rsidP="00D42184">
      <w:pPr>
        <w:widowControl w:val="0"/>
        <w:autoSpaceDE w:val="0"/>
        <w:autoSpaceDN w:val="0"/>
        <w:adjustRightInd w:val="0"/>
        <w:ind w:left="540" w:hanging="540"/>
        <w:jc w:val="both"/>
        <w:rPr>
          <w:noProof/>
        </w:rPr>
      </w:pPr>
      <w:r>
        <w:rPr>
          <w:noProof/>
        </w:rPr>
        <w:t>44.</w:t>
      </w:r>
      <w:r>
        <w:rPr>
          <w:noProof/>
        </w:rPr>
        <w:tab/>
        <w:t xml:space="preserve">Kato, H. </w:t>
      </w:r>
      <w:r>
        <w:rPr>
          <w:i/>
          <w:iCs/>
          <w:noProof/>
        </w:rPr>
        <w:t>et al.</w:t>
      </w:r>
      <w:r>
        <w:rPr>
          <w:noProof/>
        </w:rPr>
        <w:t xml:space="preserve"> Notoamides A-D: prenylated indole alkaloids isolated from a marine-</w:t>
      </w:r>
      <w:r>
        <w:rPr>
          <w:noProof/>
        </w:rPr>
        <w:lastRenderedPageBreak/>
        <w:t xml:space="preserve">derived fungus, </w:t>
      </w:r>
      <w:r w:rsidRPr="003F1CCD">
        <w:rPr>
          <w:i/>
          <w:noProof/>
        </w:rPr>
        <w:t>Aspergillus</w:t>
      </w:r>
      <w:r>
        <w:rPr>
          <w:noProof/>
        </w:rPr>
        <w:t xml:space="preserve"> sp. </w:t>
      </w:r>
      <w:r>
        <w:rPr>
          <w:i/>
          <w:iCs/>
          <w:noProof/>
        </w:rPr>
        <w:t>Angew. Chem. Int. Ed. Engl.</w:t>
      </w:r>
      <w:r>
        <w:rPr>
          <w:noProof/>
        </w:rPr>
        <w:t xml:space="preserve"> </w:t>
      </w:r>
      <w:r>
        <w:rPr>
          <w:b/>
          <w:bCs/>
          <w:noProof/>
        </w:rPr>
        <w:t>46,</w:t>
      </w:r>
      <w:r>
        <w:rPr>
          <w:noProof/>
        </w:rPr>
        <w:t xml:space="preserve"> 2254–2256 (2007).</w:t>
      </w:r>
    </w:p>
    <w:p w14:paraId="6F87C388" w14:textId="77777777" w:rsidR="00EC3A2F" w:rsidRDefault="00EC3A2F" w:rsidP="00D42184">
      <w:pPr>
        <w:widowControl w:val="0"/>
        <w:autoSpaceDE w:val="0"/>
        <w:autoSpaceDN w:val="0"/>
        <w:adjustRightInd w:val="0"/>
        <w:ind w:left="540" w:hanging="540"/>
        <w:jc w:val="both"/>
        <w:rPr>
          <w:noProof/>
        </w:rPr>
      </w:pPr>
      <w:r>
        <w:rPr>
          <w:noProof/>
        </w:rPr>
        <w:t>45.</w:t>
      </w:r>
      <w:r>
        <w:rPr>
          <w:noProof/>
        </w:rPr>
        <w:tab/>
        <w:t xml:space="preserve">Rosner, J. L. &amp; Martin, R. G. Reduction of cellular stress by TolC-dependent efflux pumps in </w:t>
      </w:r>
      <w:r w:rsidRPr="003F1CCD">
        <w:rPr>
          <w:i/>
          <w:noProof/>
        </w:rPr>
        <w:t>Escherichia</w:t>
      </w:r>
      <w:r>
        <w:rPr>
          <w:noProof/>
        </w:rPr>
        <w:t xml:space="preserve"> </w:t>
      </w:r>
      <w:r w:rsidRPr="003F1CCD">
        <w:rPr>
          <w:i/>
          <w:noProof/>
        </w:rPr>
        <w:t>coli</w:t>
      </w:r>
      <w:r>
        <w:rPr>
          <w:noProof/>
        </w:rPr>
        <w:t xml:space="preserve"> indicated by BaeSR and CpxARP activation of spy in efflux mutants. </w:t>
      </w:r>
      <w:r>
        <w:rPr>
          <w:i/>
          <w:iCs/>
          <w:noProof/>
        </w:rPr>
        <w:t>J. Bacteriol.</w:t>
      </w:r>
      <w:r>
        <w:rPr>
          <w:noProof/>
        </w:rPr>
        <w:t xml:space="preserve"> </w:t>
      </w:r>
      <w:r>
        <w:rPr>
          <w:b/>
          <w:bCs/>
          <w:noProof/>
        </w:rPr>
        <w:t>195,</w:t>
      </w:r>
      <w:r>
        <w:rPr>
          <w:noProof/>
        </w:rPr>
        <w:t xml:space="preserve"> 1042–1050 (2013).</w:t>
      </w:r>
    </w:p>
    <w:p w14:paraId="46653456" w14:textId="77777777" w:rsidR="00EC3A2F" w:rsidRDefault="00EC3A2F" w:rsidP="00D42184">
      <w:pPr>
        <w:widowControl w:val="0"/>
        <w:autoSpaceDE w:val="0"/>
        <w:autoSpaceDN w:val="0"/>
        <w:adjustRightInd w:val="0"/>
        <w:ind w:left="540" w:hanging="540"/>
        <w:jc w:val="both"/>
        <w:rPr>
          <w:noProof/>
        </w:rPr>
      </w:pPr>
      <w:r>
        <w:rPr>
          <w:noProof/>
        </w:rPr>
        <w:t>46.</w:t>
      </w:r>
      <w:r>
        <w:rPr>
          <w:noProof/>
        </w:rPr>
        <w:tab/>
        <w:t xml:space="preserve">Mima, T., Joshi, S. &amp; Gomez, M. Identification and characterization of TriABC-OpmH, a triclosan efflux pump of </w:t>
      </w:r>
      <w:r w:rsidRPr="003F1CCD">
        <w:rPr>
          <w:i/>
          <w:noProof/>
        </w:rPr>
        <w:t>Pseudomonas aeruginosa</w:t>
      </w:r>
      <w:r>
        <w:rPr>
          <w:noProof/>
        </w:rPr>
        <w:t xml:space="preserve"> requiring two membrane fusion proteins. </w:t>
      </w:r>
      <w:r>
        <w:rPr>
          <w:i/>
          <w:iCs/>
          <w:noProof/>
        </w:rPr>
        <w:t>Escalada…</w:t>
      </w:r>
    </w:p>
    <w:p w14:paraId="3395B1DE" w14:textId="77777777" w:rsidR="00EC3A2F" w:rsidRDefault="00EC3A2F" w:rsidP="00D42184">
      <w:pPr>
        <w:widowControl w:val="0"/>
        <w:autoSpaceDE w:val="0"/>
        <w:autoSpaceDN w:val="0"/>
        <w:adjustRightInd w:val="0"/>
        <w:ind w:left="540" w:hanging="540"/>
        <w:jc w:val="both"/>
        <w:rPr>
          <w:noProof/>
        </w:rPr>
      </w:pPr>
      <w:r>
        <w:rPr>
          <w:noProof/>
        </w:rPr>
        <w:t>47.</w:t>
      </w:r>
      <w:r>
        <w:rPr>
          <w:noProof/>
        </w:rPr>
        <w:tab/>
        <w:t xml:space="preserve">Famulla, K. </w:t>
      </w:r>
      <w:r>
        <w:rPr>
          <w:i/>
          <w:iCs/>
          <w:noProof/>
        </w:rPr>
        <w:t>et al.</w:t>
      </w:r>
      <w:r>
        <w:rPr>
          <w:noProof/>
        </w:rPr>
        <w:t xml:space="preserve"> Acyldepsipeptide antibiotics kill mycobacteria by preventing the physiological functions of the ClpP1P2 protease. </w:t>
      </w:r>
      <w:r>
        <w:rPr>
          <w:i/>
          <w:iCs/>
          <w:noProof/>
        </w:rPr>
        <w:t>Mol. Microbiol.</w:t>
      </w:r>
      <w:r>
        <w:rPr>
          <w:noProof/>
        </w:rPr>
        <w:t xml:space="preserve"> </w:t>
      </w:r>
      <w:r>
        <w:rPr>
          <w:b/>
          <w:bCs/>
          <w:noProof/>
        </w:rPr>
        <w:t>101,</w:t>
      </w:r>
      <w:r>
        <w:rPr>
          <w:noProof/>
        </w:rPr>
        <w:t xml:space="preserve"> 194–209 (2016).</w:t>
      </w:r>
    </w:p>
    <w:p w14:paraId="10D55756" w14:textId="77777777" w:rsidR="00EC3A2F" w:rsidRDefault="00EC3A2F" w:rsidP="00D42184">
      <w:pPr>
        <w:widowControl w:val="0"/>
        <w:autoSpaceDE w:val="0"/>
        <w:autoSpaceDN w:val="0"/>
        <w:adjustRightInd w:val="0"/>
        <w:ind w:left="540" w:hanging="540"/>
        <w:jc w:val="both"/>
        <w:rPr>
          <w:noProof/>
        </w:rPr>
      </w:pPr>
      <w:r>
        <w:rPr>
          <w:noProof/>
        </w:rPr>
        <w:t>48.</w:t>
      </w:r>
      <w:r>
        <w:rPr>
          <w:noProof/>
        </w:rPr>
        <w:tab/>
        <w:t xml:space="preserve">Bionda, N., Fleeman, R. M., Shaw, L. N. &amp; Cudic, P. Effect of Ester to Amide or N-Methylamide Substitution on Bacterial Membrane Depolarization and Antibacterial Activity of Novel Cyclic Lipopeptides. </w:t>
      </w:r>
      <w:r>
        <w:rPr>
          <w:i/>
          <w:iCs/>
          <w:noProof/>
        </w:rPr>
        <w:t>ChemMedChem</w:t>
      </w:r>
      <w:r>
        <w:rPr>
          <w:noProof/>
        </w:rPr>
        <w:t xml:space="preserve"> (2013). doi:10.1002/cmdc.201300173</w:t>
      </w:r>
    </w:p>
    <w:p w14:paraId="63842EDE" w14:textId="77777777" w:rsidR="00EC3A2F" w:rsidRDefault="00EC3A2F" w:rsidP="00D42184">
      <w:pPr>
        <w:widowControl w:val="0"/>
        <w:autoSpaceDE w:val="0"/>
        <w:autoSpaceDN w:val="0"/>
        <w:adjustRightInd w:val="0"/>
        <w:ind w:left="540" w:hanging="540"/>
        <w:jc w:val="both"/>
        <w:rPr>
          <w:noProof/>
        </w:rPr>
      </w:pPr>
      <w:r>
        <w:rPr>
          <w:noProof/>
        </w:rPr>
        <w:t>49.</w:t>
      </w:r>
      <w:r>
        <w:rPr>
          <w:noProof/>
        </w:rPr>
        <w:tab/>
        <w:t>Bionda, N., Stawikowski, M. &amp; Stawikowska, R. Effects of cyclic lipodepsipeptide structural modulation on stability, antibacterial activity, and human cell toxicity. … (2012).</w:t>
      </w:r>
    </w:p>
    <w:p w14:paraId="6106F66E" w14:textId="77777777" w:rsidR="00EC3A2F" w:rsidRDefault="00EC3A2F" w:rsidP="00D42184">
      <w:pPr>
        <w:widowControl w:val="0"/>
        <w:autoSpaceDE w:val="0"/>
        <w:autoSpaceDN w:val="0"/>
        <w:adjustRightInd w:val="0"/>
        <w:ind w:left="540" w:hanging="540"/>
        <w:jc w:val="both"/>
        <w:rPr>
          <w:noProof/>
        </w:rPr>
      </w:pPr>
      <w:r>
        <w:rPr>
          <w:noProof/>
        </w:rPr>
        <w:t>50.</w:t>
      </w:r>
      <w:r>
        <w:rPr>
          <w:noProof/>
        </w:rPr>
        <w:tab/>
        <w:t xml:space="preserve">Goodreid, J. D. </w:t>
      </w:r>
      <w:r>
        <w:rPr>
          <w:i/>
          <w:iCs/>
          <w:noProof/>
        </w:rPr>
        <w:t>et al.</w:t>
      </w:r>
      <w:r>
        <w:rPr>
          <w:noProof/>
        </w:rPr>
        <w:t xml:space="preserve"> Development and Characterization of Potent Cyclic Acyldepsipeptide Analogues with Increased Antimicrobial Activity. </w:t>
      </w:r>
      <w:r>
        <w:rPr>
          <w:i/>
          <w:iCs/>
          <w:noProof/>
        </w:rPr>
        <w:t>J. Med. Chem.</w:t>
      </w:r>
      <w:r>
        <w:rPr>
          <w:noProof/>
        </w:rPr>
        <w:t xml:space="preserve"> </w:t>
      </w:r>
      <w:r>
        <w:rPr>
          <w:b/>
          <w:bCs/>
          <w:noProof/>
        </w:rPr>
        <w:t>59,</w:t>
      </w:r>
      <w:r>
        <w:rPr>
          <w:noProof/>
        </w:rPr>
        <w:t xml:space="preserve"> 624–646 (2016).</w:t>
      </w:r>
    </w:p>
    <w:p w14:paraId="6328B67F" w14:textId="77777777" w:rsidR="00EC3A2F" w:rsidRDefault="00EC3A2F" w:rsidP="00D42184">
      <w:pPr>
        <w:widowControl w:val="0"/>
        <w:autoSpaceDE w:val="0"/>
        <w:autoSpaceDN w:val="0"/>
        <w:adjustRightInd w:val="0"/>
        <w:ind w:left="540" w:hanging="540"/>
        <w:jc w:val="both"/>
        <w:rPr>
          <w:noProof/>
        </w:rPr>
      </w:pPr>
      <w:r>
        <w:rPr>
          <w:noProof/>
        </w:rPr>
        <w:t>51.</w:t>
      </w:r>
      <w:r>
        <w:rPr>
          <w:noProof/>
        </w:rPr>
        <w:tab/>
        <w:t xml:space="preserve">Lewis, K., Conlon, B. &amp; Nelson, M. L. Methods of eradicating bacterial cell populations. </w:t>
      </w:r>
      <w:r>
        <w:rPr>
          <w:i/>
          <w:iCs/>
          <w:noProof/>
        </w:rPr>
        <w:t>US Patent App. 14 …</w:t>
      </w:r>
      <w:r>
        <w:rPr>
          <w:noProof/>
        </w:rPr>
        <w:t xml:space="preserve"> (2014).</w:t>
      </w:r>
    </w:p>
    <w:p w14:paraId="2BEE0C7E" w14:textId="77777777" w:rsidR="00EC3A2F" w:rsidRDefault="00EC3A2F" w:rsidP="00D42184">
      <w:pPr>
        <w:widowControl w:val="0"/>
        <w:autoSpaceDE w:val="0"/>
        <w:autoSpaceDN w:val="0"/>
        <w:adjustRightInd w:val="0"/>
        <w:ind w:left="540" w:hanging="540"/>
        <w:jc w:val="both"/>
        <w:rPr>
          <w:noProof/>
        </w:rPr>
      </w:pPr>
      <w:r>
        <w:rPr>
          <w:noProof/>
        </w:rPr>
        <w:t>52.</w:t>
      </w:r>
      <w:r>
        <w:rPr>
          <w:noProof/>
        </w:rPr>
        <w:tab/>
        <w:t xml:space="preserve">Brötz, H. Dysregulation of bacterial proteolytic machinery by a new class of antibiotics. </w:t>
      </w:r>
      <w:r>
        <w:rPr>
          <w:i/>
          <w:iCs/>
          <w:noProof/>
        </w:rPr>
        <w:t>Oesterhelt</w:t>
      </w:r>
    </w:p>
    <w:p w14:paraId="6661F5E5" w14:textId="77777777" w:rsidR="00EC3A2F" w:rsidRDefault="00EC3A2F" w:rsidP="00D42184">
      <w:pPr>
        <w:widowControl w:val="0"/>
        <w:autoSpaceDE w:val="0"/>
        <w:autoSpaceDN w:val="0"/>
        <w:adjustRightInd w:val="0"/>
        <w:ind w:left="540" w:hanging="540"/>
        <w:jc w:val="both"/>
        <w:rPr>
          <w:noProof/>
        </w:rPr>
      </w:pPr>
      <w:r>
        <w:rPr>
          <w:noProof/>
        </w:rPr>
        <w:lastRenderedPageBreak/>
        <w:t>53.</w:t>
      </w:r>
      <w:r>
        <w:rPr>
          <w:noProof/>
        </w:rPr>
        <w:tab/>
        <w:t xml:space="preserve">Lee, B.-G. </w:t>
      </w:r>
      <w:r>
        <w:rPr>
          <w:i/>
          <w:iCs/>
          <w:noProof/>
        </w:rPr>
        <w:t>et al.</w:t>
      </w:r>
      <w:r>
        <w:rPr>
          <w:noProof/>
        </w:rPr>
        <w:t xml:space="preserve"> Structures of ClpP in complex with acyldepsipeptide antibiotics reveal its activation mechanism. </w:t>
      </w:r>
      <w:r>
        <w:rPr>
          <w:i/>
          <w:iCs/>
          <w:noProof/>
        </w:rPr>
        <w:t>Nat. Struct. Mol. Biol.</w:t>
      </w:r>
      <w:r>
        <w:rPr>
          <w:noProof/>
        </w:rPr>
        <w:t xml:space="preserve"> </w:t>
      </w:r>
      <w:r>
        <w:rPr>
          <w:b/>
          <w:bCs/>
          <w:noProof/>
        </w:rPr>
        <w:t>17,</w:t>
      </w:r>
      <w:r>
        <w:rPr>
          <w:noProof/>
        </w:rPr>
        <w:t xml:space="preserve"> 471–478 (2010).</w:t>
      </w:r>
    </w:p>
    <w:p w14:paraId="57232DE7" w14:textId="77777777" w:rsidR="00EC3A2F" w:rsidRDefault="00EC3A2F" w:rsidP="00D42184">
      <w:pPr>
        <w:widowControl w:val="0"/>
        <w:autoSpaceDE w:val="0"/>
        <w:autoSpaceDN w:val="0"/>
        <w:adjustRightInd w:val="0"/>
        <w:ind w:left="540" w:hanging="540"/>
        <w:jc w:val="both"/>
        <w:rPr>
          <w:noProof/>
        </w:rPr>
      </w:pPr>
      <w:r>
        <w:rPr>
          <w:noProof/>
        </w:rPr>
        <w:t>54.</w:t>
      </w:r>
      <w:r>
        <w:rPr>
          <w:noProof/>
        </w:rPr>
        <w:tab/>
        <w:t xml:space="preserve">Rezai, T. </w:t>
      </w:r>
      <w:r>
        <w:rPr>
          <w:i/>
          <w:iCs/>
          <w:noProof/>
        </w:rPr>
        <w:t>et al.</w:t>
      </w:r>
      <w:r>
        <w:rPr>
          <w:noProof/>
        </w:rPr>
        <w:t xml:space="preserve"> Conformational flexibility, internal hydrogen bonding, and passive membrane permeability: successful in silico prediction of the relative permeabilities of cyclic peptides. </w:t>
      </w:r>
      <w:r>
        <w:rPr>
          <w:i/>
          <w:iCs/>
          <w:noProof/>
        </w:rPr>
        <w:t>J. Am. Chem. Soc.</w:t>
      </w:r>
      <w:r>
        <w:rPr>
          <w:noProof/>
        </w:rPr>
        <w:t xml:space="preserve"> </w:t>
      </w:r>
      <w:r>
        <w:rPr>
          <w:b/>
          <w:bCs/>
          <w:noProof/>
        </w:rPr>
        <w:t>128,</w:t>
      </w:r>
      <w:r>
        <w:rPr>
          <w:noProof/>
        </w:rPr>
        <w:t xml:space="preserve"> 14073–14080 (2006).</w:t>
      </w:r>
    </w:p>
    <w:p w14:paraId="7BA4DD57" w14:textId="77777777" w:rsidR="00EC3A2F" w:rsidRDefault="00EC3A2F" w:rsidP="00D42184">
      <w:pPr>
        <w:widowControl w:val="0"/>
        <w:autoSpaceDE w:val="0"/>
        <w:autoSpaceDN w:val="0"/>
        <w:adjustRightInd w:val="0"/>
        <w:ind w:left="540" w:hanging="540"/>
        <w:jc w:val="both"/>
        <w:rPr>
          <w:noProof/>
        </w:rPr>
      </w:pPr>
      <w:r>
        <w:rPr>
          <w:noProof/>
        </w:rPr>
        <w:t>55.</w:t>
      </w:r>
      <w:r>
        <w:rPr>
          <w:noProof/>
        </w:rPr>
        <w:tab/>
        <w:t xml:space="preserve">Rezai, T., Yu, B., Millhauser, G. L., Jacobson, M. P. &amp; Lokey, R. S. Testing the conformational hypothesis of passive membrane permeability using synthetic cyclic peptide diastereomers. </w:t>
      </w:r>
      <w:r>
        <w:rPr>
          <w:i/>
          <w:iCs/>
          <w:noProof/>
        </w:rPr>
        <w:t>J. Am. Chem. Soc.</w:t>
      </w:r>
      <w:r>
        <w:rPr>
          <w:noProof/>
        </w:rPr>
        <w:t xml:space="preserve"> </w:t>
      </w:r>
      <w:r>
        <w:rPr>
          <w:b/>
          <w:bCs/>
          <w:noProof/>
        </w:rPr>
        <w:t>128,</w:t>
      </w:r>
      <w:r>
        <w:rPr>
          <w:noProof/>
        </w:rPr>
        <w:t xml:space="preserve"> 2510–2511 (2006).</w:t>
      </w:r>
    </w:p>
    <w:p w14:paraId="7ECC5E6B" w14:textId="77777777" w:rsidR="00EC3A2F" w:rsidRDefault="00EC3A2F" w:rsidP="00D42184">
      <w:pPr>
        <w:widowControl w:val="0"/>
        <w:autoSpaceDE w:val="0"/>
        <w:autoSpaceDN w:val="0"/>
        <w:adjustRightInd w:val="0"/>
        <w:ind w:left="540" w:hanging="540"/>
        <w:jc w:val="both"/>
        <w:rPr>
          <w:noProof/>
        </w:rPr>
      </w:pPr>
      <w:r>
        <w:rPr>
          <w:noProof/>
        </w:rPr>
        <w:t>56.</w:t>
      </w:r>
      <w:r>
        <w:rPr>
          <w:noProof/>
        </w:rPr>
        <w:tab/>
        <w:t xml:space="preserve">Flanagan, J. M., Wall, J. S., Capel, M. S., Schneider, D. K. &amp; Shanklin, J. Scanning transmission electron microscopy and small-angle scattering provide evidence that native </w:t>
      </w:r>
      <w:r w:rsidRPr="003F1CCD">
        <w:rPr>
          <w:i/>
          <w:noProof/>
        </w:rPr>
        <w:t>Escherichia coli</w:t>
      </w:r>
      <w:r>
        <w:rPr>
          <w:noProof/>
        </w:rPr>
        <w:t xml:space="preserve"> ClpP is a tetradecamer with an axial pore. </w:t>
      </w:r>
      <w:r>
        <w:rPr>
          <w:i/>
          <w:iCs/>
          <w:noProof/>
        </w:rPr>
        <w:t>Biochemistry</w:t>
      </w:r>
      <w:r>
        <w:rPr>
          <w:noProof/>
        </w:rPr>
        <w:t xml:space="preserve"> </w:t>
      </w:r>
      <w:r>
        <w:rPr>
          <w:b/>
          <w:bCs/>
          <w:noProof/>
        </w:rPr>
        <w:t>34,</w:t>
      </w:r>
      <w:r>
        <w:rPr>
          <w:noProof/>
        </w:rPr>
        <w:t xml:space="preserve"> 10910–10917 (1995).</w:t>
      </w:r>
    </w:p>
    <w:p w14:paraId="014F2CFB" w14:textId="77777777" w:rsidR="00EC3A2F" w:rsidRDefault="00EC3A2F" w:rsidP="00D42184">
      <w:pPr>
        <w:widowControl w:val="0"/>
        <w:autoSpaceDE w:val="0"/>
        <w:autoSpaceDN w:val="0"/>
        <w:adjustRightInd w:val="0"/>
        <w:ind w:left="540" w:hanging="540"/>
        <w:jc w:val="both"/>
        <w:rPr>
          <w:noProof/>
        </w:rPr>
      </w:pPr>
      <w:r>
        <w:rPr>
          <w:noProof/>
        </w:rPr>
        <w:t>57.</w:t>
      </w:r>
      <w:r>
        <w:rPr>
          <w:noProof/>
        </w:rPr>
        <w:tab/>
        <w:t xml:space="preserve">Martin, A., Baker, T. A. &amp; Sauer, R. T. Distinct static and dynamic interactions control ATPase-peptidase communication in a AAA+ protease. </w:t>
      </w:r>
      <w:r>
        <w:rPr>
          <w:i/>
          <w:iCs/>
          <w:noProof/>
        </w:rPr>
        <w:t>Mol. Cell</w:t>
      </w:r>
      <w:r>
        <w:rPr>
          <w:noProof/>
        </w:rPr>
        <w:t xml:space="preserve"> </w:t>
      </w:r>
      <w:r>
        <w:rPr>
          <w:b/>
          <w:bCs/>
          <w:noProof/>
        </w:rPr>
        <w:t>27,</w:t>
      </w:r>
      <w:r>
        <w:rPr>
          <w:noProof/>
        </w:rPr>
        <w:t xml:space="preserve"> 41–52 (2007).</w:t>
      </w:r>
    </w:p>
    <w:p w14:paraId="0575E7EB" w14:textId="0F0A5FC0" w:rsidR="00DF0FA1" w:rsidRDefault="00EC3A2F" w:rsidP="00D42184">
      <w:pPr>
        <w:ind w:left="540" w:hanging="540"/>
        <w:rPr>
          <w:noProof/>
        </w:rPr>
      </w:pPr>
      <w:r>
        <w:rPr>
          <w:noProof/>
        </w:rPr>
        <w:t>58.</w:t>
      </w:r>
      <w:r>
        <w:rPr>
          <w:noProof/>
        </w:rPr>
        <w:tab/>
        <w:t xml:space="preserve">Gill, S. C. &amp; von Hippel, P. H. Calculation of protein extinction coefficients from amino acid sequence data. </w:t>
      </w:r>
      <w:r>
        <w:rPr>
          <w:i/>
          <w:iCs/>
          <w:noProof/>
        </w:rPr>
        <w:t>Anal. Biochem.</w:t>
      </w:r>
      <w:r>
        <w:rPr>
          <w:noProof/>
        </w:rPr>
        <w:t xml:space="preserve"> </w:t>
      </w:r>
      <w:r>
        <w:rPr>
          <w:b/>
          <w:bCs/>
          <w:noProof/>
        </w:rPr>
        <w:t>182,</w:t>
      </w:r>
      <w:r>
        <w:rPr>
          <w:noProof/>
        </w:rPr>
        <w:t xml:space="preserve"> 319–326 (1989)</w:t>
      </w:r>
      <w:r w:rsidR="00D42184">
        <w:rPr>
          <w:noProof/>
        </w:rPr>
        <w:br w:type="page"/>
      </w:r>
    </w:p>
    <w:p w14:paraId="1994664E" w14:textId="77777777" w:rsidR="002C3C08" w:rsidRDefault="00EC3A2F" w:rsidP="002C3C08">
      <w:pPr>
        <w:widowControl w:val="0"/>
        <w:autoSpaceDE w:val="0"/>
        <w:autoSpaceDN w:val="0"/>
        <w:adjustRightInd w:val="0"/>
        <w:jc w:val="center"/>
      </w:pPr>
      <w:r>
        <w:lastRenderedPageBreak/>
        <w:fldChar w:fldCharType="end"/>
      </w:r>
    </w:p>
    <w:p w14:paraId="5077EB24" w14:textId="77777777" w:rsidR="002C3C08" w:rsidRDefault="002C3C08">
      <w:pPr>
        <w:spacing w:line="240" w:lineRule="auto"/>
      </w:pPr>
      <w:r>
        <w:br w:type="page"/>
      </w:r>
    </w:p>
    <w:p w14:paraId="65F01752" w14:textId="77777777" w:rsidR="0096243D" w:rsidRPr="00747F9A" w:rsidRDefault="0096243D" w:rsidP="007D5BF8">
      <w:pPr>
        <w:pStyle w:val="Heading1"/>
      </w:pPr>
      <w:bookmarkStart w:id="127" w:name="_Toc8392806"/>
      <w:r w:rsidRPr="00747F9A">
        <w:lastRenderedPageBreak/>
        <w:t>Chapter 5</w:t>
      </w:r>
      <w:bookmarkEnd w:id="127"/>
      <w:r w:rsidRPr="00747F9A">
        <w:t xml:space="preserve"> </w:t>
      </w:r>
    </w:p>
    <w:p w14:paraId="46BB8FA3" w14:textId="77777777" w:rsidR="0096243D" w:rsidRPr="000F50E4" w:rsidRDefault="0096243D" w:rsidP="007D5BF8">
      <w:pPr>
        <w:pStyle w:val="Heading1"/>
      </w:pPr>
      <w:bookmarkStart w:id="128" w:name="_Toc8392807"/>
      <w:r w:rsidRPr="00747F9A">
        <w:t xml:space="preserve">The Crystallographic Structure of Caseinolytic Protease P1 from </w:t>
      </w:r>
      <w:r w:rsidRPr="00747F9A">
        <w:rPr>
          <w:i/>
        </w:rPr>
        <w:t>Clostridium difficile</w:t>
      </w:r>
      <w:r>
        <w:t xml:space="preserve"> 630</w:t>
      </w:r>
      <w:r w:rsidRPr="002C080E">
        <w:rPr>
          <w:rStyle w:val="FootnoteReference"/>
        </w:rPr>
        <w:footnoteReference w:id="6"/>
      </w:r>
      <w:bookmarkEnd w:id="128"/>
    </w:p>
    <w:p w14:paraId="24823ACE" w14:textId="77777777" w:rsidR="0096243D" w:rsidRPr="00747F9A" w:rsidRDefault="0096243D" w:rsidP="0096243D">
      <w:pPr>
        <w:pStyle w:val="Heading2"/>
      </w:pPr>
      <w:bookmarkStart w:id="129" w:name="_Toc8392808"/>
      <w:r w:rsidRPr="00747F9A">
        <w:t>5.1 Abstract</w:t>
      </w:r>
      <w:bookmarkEnd w:id="129"/>
    </w:p>
    <w:p w14:paraId="3316BB77" w14:textId="77777777" w:rsidR="0096243D" w:rsidRDefault="0096243D" w:rsidP="0096243D">
      <w:pPr>
        <w:contextualSpacing/>
        <w:jc w:val="both"/>
      </w:pPr>
      <w:r w:rsidRPr="00747F9A">
        <w:tab/>
      </w:r>
      <w:r>
        <w:t xml:space="preserve">We sought to determine the structure of each caseinolytic protease P (ClpP) isoform in </w:t>
      </w:r>
      <w:r>
        <w:rPr>
          <w:i/>
        </w:rPr>
        <w:t>Clostridium difficile</w:t>
      </w:r>
      <w:r>
        <w:t xml:space="preserve"> to provide structural evidence to better understand why ClpP1 is susceptible to acyldepsipeptide activation, while ClpP2 was not. Furthermore, the structural information obtained would allow us to tailor chemical modulators to each isoform. Our efforts resulted in producing crystals of each isoform, eventually yielding the crystallographic structure of ClpP1 at 2.5Å resolution. Herein, the crystallization and structural solution of ClpP1 will be discussed.</w:t>
      </w:r>
    </w:p>
    <w:p w14:paraId="0A229AC7" w14:textId="77777777" w:rsidR="0096243D" w:rsidRPr="00747F9A" w:rsidRDefault="0096243D" w:rsidP="0096243D">
      <w:r>
        <w:br w:type="page"/>
      </w:r>
    </w:p>
    <w:p w14:paraId="6C986FE6" w14:textId="77777777" w:rsidR="0096243D" w:rsidRDefault="0096243D" w:rsidP="0096243D">
      <w:pPr>
        <w:pStyle w:val="Heading2"/>
        <w:rPr>
          <w:b w:val="0"/>
        </w:rPr>
      </w:pPr>
      <w:bookmarkStart w:id="130" w:name="_Toc8392809"/>
      <w:r w:rsidRPr="00747F9A">
        <w:lastRenderedPageBreak/>
        <w:t>5.2 Results</w:t>
      </w:r>
      <w:bookmarkEnd w:id="130"/>
    </w:p>
    <w:p w14:paraId="2F09BFD2" w14:textId="77777777" w:rsidR="0096243D" w:rsidRDefault="0096243D" w:rsidP="0096243D">
      <w:pPr>
        <w:ind w:firstLine="720"/>
        <w:jc w:val="both"/>
      </w:pPr>
      <w:r w:rsidRPr="005835CC">
        <w:t xml:space="preserve">Broad screen crystallization trials were performed in order to find suitable crystallization conditions that would yield large, high quality crystals of each ClpP isoform (Appendix </w:t>
      </w:r>
      <w:r>
        <w:t>C</w:t>
      </w:r>
      <w:r w:rsidRPr="005835CC">
        <w:t>).</w:t>
      </w:r>
      <w:r>
        <w:t xml:space="preserve"> ClpP1 was overexpressed in JK10 cells and purified as described in Chapter 2. Sitting drop crystallization experiments were conducted with ClpP1 at a concentration of 4.5 mg/mL, aliquoted into 96-well plates in 1:1 or 2:1 to crystallization buffer. ClpP1 readily crystallized in several different conditions at room temperature, with 2.6M sodium malonate at pH 7.0 providing large crystals in a relatively short period of time (&lt;4 days). We chose sodium malonate as our primary condition to optimize because sodium malonate is an excellent cryoprotectant, making this step much easier in the future.</w:t>
      </w:r>
      <w:r>
        <w:fldChar w:fldCharType="begin"/>
      </w:r>
      <w:r>
        <w:instrText>ADDIN F1000_CSL_CITATION&lt;~#@#~&gt;[{"First":false,"Last":false,"abstract":"… Concentrations greater than 3.0 M in this screen were also found to be suitable cryoprotectants. 2.2 … γ-Chymotrypsin crystals were observed to be stable in 50–60% sodium malonate, which in addition to acting as a suitable cryoprotectant also eliminated problems with crystal …","author":[{"family":"Holyoak","given":"T"},{"family":"Fenn","given":"T D"},{"family":"Wilson","given":"M A"},{"family":"Moulin","given":"A G"}],"authorYearDisplayFormat":false,"citation-label":"6900963","container-title":"… Section D: Biological …","container-title-short":"… Section D: Biological …","id":"6900963","invisible":false,"issued":{"date-parts":[["2003"]]},"journalAbbreviation":"… Section D: Biological …","suppress-author":false,"title":"Malonate: a versatile cryoprotectant and stabilizing solution for salt-grown macromolecular crystals","type":"article-journal"}]</w:instrText>
      </w:r>
      <w:r>
        <w:fldChar w:fldCharType="separate"/>
      </w:r>
      <w:r w:rsidRPr="00D108DE">
        <w:rPr>
          <w:noProof/>
          <w:vertAlign w:val="superscript"/>
        </w:rPr>
        <w:t>1</w:t>
      </w:r>
      <w:r>
        <w:fldChar w:fldCharType="end"/>
      </w:r>
      <w:r>
        <w:t xml:space="preserve"> To optimize this condition, we performed hanging drop crystallization experiments in 24-well plates over a range of sodium malonate concentrations, and varying pH. 2.4M sodium malonate at pH 6.0 yielded the largest crystals in approximately 2 days, and this was routinely reproduced successfully. These crystals were then screened for diffraction at the Macromolecular Core Laboratory (MCL) before being sent to the Stanford Synchrotron Radiation Lightsource (SSRL).</w:t>
      </w:r>
    </w:p>
    <w:p w14:paraId="2410991B" w14:textId="77777777" w:rsidR="0096243D" w:rsidRPr="002E7A0F" w:rsidRDefault="0096243D" w:rsidP="0096243D">
      <w:pPr>
        <w:ind w:firstLine="720"/>
        <w:jc w:val="both"/>
      </w:pPr>
      <w:r>
        <w:t>The ClpP1 crystals provided diffraction patterns of sufficient quality which were processed in HKL2000 for scaling and merging. These datasets were then processed in PHENIX  with Molecular Replacement (MR) to provide the initial structural solution.</w:t>
      </w:r>
      <w:r>
        <w:fldChar w:fldCharType="begin"/>
      </w:r>
      <w:r>
        <w:instrText>ADDIN F1000_CSL_CITATION&lt;~#@#~&gt;[{"First":false,"Last":false,"abstract":"Macromolecular X-ray crystallography is routinely applied to understand biological processes at a molecular level. However, significant time and effort are still required to solve and complete many of these structures because of the need for manual interpretation of …","author":[{"family":"Adams","given":"P D"},{"family":"Afonine","given":"P V"},{"family":"Bunkóczi","given":"G"}],"authorYearDisplayFormat":false,"citation-label":"6900966","container-title":"… Section D: Biological …","container-title-short":"… Section D: Biological …","id":"6900966","invisible":false,"issued":{"date-parts":[["2010"]]},"journalAbbreviation":"… Section D: Biological …","suppress-author":false,"title":"PHENIX: a comprehensive Python-based system for macromolecular structure solution","type":"article-journal"}]</w:instrText>
      </w:r>
      <w:r>
        <w:fldChar w:fldCharType="separate"/>
      </w:r>
      <w:r w:rsidRPr="00D108DE">
        <w:rPr>
          <w:noProof/>
          <w:vertAlign w:val="superscript"/>
        </w:rPr>
        <w:t>2</w:t>
      </w:r>
      <w:r>
        <w:fldChar w:fldCharType="end"/>
      </w:r>
      <w:r>
        <w:t xml:space="preserve"> The individual datasets lacked sufficient completeness (&gt;95%), requiring two datasets in the P1 space group to be combined with BLEND.</w:t>
      </w:r>
      <w:r>
        <w:fldChar w:fldCharType="begin"/>
      </w:r>
      <w:r>
        <w:instrText>ADDIN F1000_CSL_CITATION&lt;~#@#~&gt;[{"DOI":"10.3390/cryst7080242","First":false,"Last":false,"PMCID":"PMC5813789","PMID":"29456874","abstract":"The present article describes how to use the computer programBLENDto help assemble complete datasets for the solution of macromolecular structures, starting from partial or complete datasets, derived from data collection from multiple crystals. The program is demonstrated on more than two hundred X-ray diffraction datasets obtained from 50 crystals of a complex formed between the SRF transcription factor, its cognate DNA, and a peptide from the SRF cofactor MRTF-A. This structure is currently in the process of being fully solved. While full details of the structure are not yet available, the repeated application ofBLENDon data from this structure, as they have become available, has made it possible to produce electron density maps clear enough to visualise the potential location of MRTF sequences.","author":[{"family":"Mylona","given":"Anastasia"},{"family":"Carr","given":"Stephen"},{"family":"Aller","given":"Pierre"},{"family":"Moraes","given":"Isabel"},{"family":"Treisman","given":"Richard"},{"family":"Evans","given":"Gwyndaf"},{"family":"Foadi","given":"James"}],"authorYearDisplayFormat":false,"citation-label":"6900968","container-title":"Crystals","container-title-short":"Crystals","id":"6900968","invisible":false,"issue":"8","issued":{"date-parts":[["2017","8","4"]]},"journalAbbreviation":"Crystals","page":"242","suppress-author":false,"title":"A Novel Approach to Data Collection for Difficult Structures: Data Management for Large Numbers of Crystals with the BLEND Software","type":"article-journal","volume":"7"},{"First":false,"Last":false,"abstract":"The CCP4 (Collaborative Computational Project, Number 4) software suite is a collection of programs and associated data and software libraries which can be used for macromolecular structure determination by X-ray crystallography. The suite is designed to be flexible …","author":[{"family":"Winn","given":"M D"},{"family":"Ballard","given":"C C"},{"family":"Cowtan","given":"K D"}],"authorYearDisplayFormat":false,"citation-label":"6900975","container-title":"… Section D: Biological …","container-title-short":"… Section D: Biological …","id":"6900975","invisible":false,"issued":{"date-parts":[["2011"]]},"journalAbbreviation":"… Section D: Biological …","suppress-author":false,"title":"Overview of the CCP4 suite and current developments","type":"article-journal"}]</w:instrText>
      </w:r>
      <w:r>
        <w:fldChar w:fldCharType="separate"/>
      </w:r>
      <w:r w:rsidRPr="00D108DE">
        <w:rPr>
          <w:noProof/>
          <w:vertAlign w:val="superscript"/>
        </w:rPr>
        <w:t>3,4</w:t>
      </w:r>
      <w:r>
        <w:fldChar w:fldCharType="end"/>
      </w:r>
      <w:r>
        <w:t xml:space="preserve"> After the datasets were combined, scaled, and merged, the structural solution via MR yielded the structure of ClpP1 in the active extended conformation (</w:t>
      </w:r>
      <w:r w:rsidRPr="008E6C2A">
        <w:rPr>
          <w:b/>
        </w:rPr>
        <w:t>Figure 5.1</w:t>
      </w:r>
      <w:r>
        <w:t>).</w:t>
      </w:r>
    </w:p>
    <w:p w14:paraId="2BCE7508" w14:textId="77777777" w:rsidR="0096243D" w:rsidRDefault="0096243D" w:rsidP="0096243D">
      <w:r>
        <w:rPr>
          <w:noProof/>
        </w:rPr>
        <w:lastRenderedPageBreak/>
        <w:drawing>
          <wp:inline distT="0" distB="0" distL="0" distR="0" wp14:anchorId="60FFE013" wp14:editId="53441776">
            <wp:extent cx="5435593" cy="2462603"/>
            <wp:effectExtent l="0" t="0" r="0" b="1270"/>
            <wp:docPr id="1" name="Picture 1" descr="A picture containing ani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pSide.png"/>
                    <pic:cNvPicPr/>
                  </pic:nvPicPr>
                  <pic:blipFill rotWithShape="1">
                    <a:blip r:embed="rId62" cstate="print">
                      <a:extLst>
                        <a:ext uri="{28A0092B-C50C-407E-A947-70E740481C1C}">
                          <a14:useLocalDpi xmlns:a14="http://schemas.microsoft.com/office/drawing/2010/main" val="0"/>
                        </a:ext>
                      </a:extLst>
                    </a:blip>
                    <a:srcRect r="8517"/>
                    <a:stretch/>
                  </pic:blipFill>
                  <pic:spPr bwMode="auto">
                    <a:xfrm>
                      <a:off x="0" y="0"/>
                      <a:ext cx="5532242" cy="2506390"/>
                    </a:xfrm>
                    <a:prstGeom prst="rect">
                      <a:avLst/>
                    </a:prstGeom>
                    <a:ln>
                      <a:noFill/>
                    </a:ln>
                    <a:extLst>
                      <a:ext uri="{53640926-AAD7-44D8-BBD7-CCE9431645EC}">
                        <a14:shadowObscured xmlns:a14="http://schemas.microsoft.com/office/drawing/2010/main"/>
                      </a:ext>
                    </a:extLst>
                  </pic:spPr>
                </pic:pic>
              </a:graphicData>
            </a:graphic>
          </wp:inline>
        </w:drawing>
      </w:r>
    </w:p>
    <w:p w14:paraId="2A6C6DAD" w14:textId="77777777" w:rsidR="0096243D" w:rsidRPr="0096243D" w:rsidRDefault="0096243D" w:rsidP="0096243D">
      <w:pPr>
        <w:pStyle w:val="Caption"/>
        <w:contextualSpacing/>
        <w:rPr>
          <w:color w:val="000000" w:themeColor="text1"/>
          <w:szCs w:val="24"/>
        </w:rPr>
      </w:pPr>
      <w:r w:rsidRPr="0096243D">
        <w:rPr>
          <w:color w:val="000000" w:themeColor="text1"/>
          <w:szCs w:val="24"/>
        </w:rPr>
        <w:t>Figure 5.</w:t>
      </w:r>
      <w:r w:rsidRPr="0096243D">
        <w:rPr>
          <w:color w:val="000000" w:themeColor="text1"/>
          <w:szCs w:val="24"/>
        </w:rPr>
        <w:fldChar w:fldCharType="begin"/>
      </w:r>
      <w:r w:rsidRPr="0096243D">
        <w:rPr>
          <w:color w:val="000000" w:themeColor="text1"/>
          <w:szCs w:val="24"/>
        </w:rPr>
        <w:instrText xml:space="preserve"> SEQ Figure \* ARABIC </w:instrText>
      </w:r>
      <w:r w:rsidRPr="0096243D">
        <w:rPr>
          <w:color w:val="000000" w:themeColor="text1"/>
          <w:szCs w:val="24"/>
        </w:rPr>
        <w:fldChar w:fldCharType="separate"/>
      </w:r>
      <w:r w:rsidRPr="0096243D">
        <w:rPr>
          <w:noProof/>
          <w:color w:val="000000" w:themeColor="text1"/>
          <w:szCs w:val="24"/>
        </w:rPr>
        <w:t>1</w:t>
      </w:r>
      <w:r w:rsidRPr="0096243D">
        <w:rPr>
          <w:color w:val="000000" w:themeColor="text1"/>
          <w:szCs w:val="24"/>
        </w:rPr>
        <w:fldChar w:fldCharType="end"/>
      </w:r>
      <w:r w:rsidRPr="0096243D">
        <w:rPr>
          <w:color w:val="000000" w:themeColor="text1"/>
          <w:szCs w:val="24"/>
        </w:rPr>
        <w:t xml:space="preserve"> - Structure of ClpP1 in the Active Extended Conformation</w:t>
      </w:r>
    </w:p>
    <w:p w14:paraId="687DD1A2" w14:textId="7E0FA8F5" w:rsidR="0096243D" w:rsidRDefault="0096243D" w:rsidP="0096243D">
      <w:pPr>
        <w:spacing w:line="240" w:lineRule="auto"/>
        <w:contextualSpacing/>
        <w:jc w:val="both"/>
      </w:pPr>
      <w:r>
        <w:t xml:space="preserve">The structure of ClpP1 in the active extended conformation was solved via MR, and further refined in PHENIX before deposition in the Protein Database (PDB) under 6MX2. The biological unit is shown above in the side pose (left) and the top pose (right). The data collection and refinement statistics are listed in </w:t>
      </w:r>
      <w:r w:rsidRPr="0071523A">
        <w:rPr>
          <w:b/>
        </w:rPr>
        <w:t>Appendix C.</w:t>
      </w:r>
      <w:r w:rsidR="0071523A" w:rsidRPr="0071523A">
        <w:rPr>
          <w:b/>
        </w:rPr>
        <w:t>2</w:t>
      </w:r>
      <w:r w:rsidR="0071523A">
        <w:t>.</w:t>
      </w:r>
      <w:r>
        <w:t xml:space="preserve">  </w:t>
      </w:r>
    </w:p>
    <w:p w14:paraId="5811ABDD" w14:textId="77777777" w:rsidR="0096243D" w:rsidRPr="00D07E41" w:rsidRDefault="0096243D" w:rsidP="0096243D">
      <w:pPr>
        <w:spacing w:line="240" w:lineRule="auto"/>
        <w:contextualSpacing/>
        <w:jc w:val="both"/>
      </w:pPr>
    </w:p>
    <w:p w14:paraId="3DE0218C" w14:textId="5457BEA4" w:rsidR="0096243D" w:rsidRDefault="0096243D" w:rsidP="0096243D">
      <w:pPr>
        <w:ind w:firstLine="720"/>
        <w:contextualSpacing/>
        <w:jc w:val="both"/>
      </w:pPr>
      <w:r>
        <w:t xml:space="preserve">The structure of ClpP1 from </w:t>
      </w:r>
      <w:r>
        <w:rPr>
          <w:i/>
        </w:rPr>
        <w:t>C. difficile</w:t>
      </w:r>
      <w:r>
        <w:t xml:space="preserve"> possessed no obvious differences from other known structures of ClpP listed in the PDB. This was anticipated as the structure of ClpP is highly conserved, even when compared to other isoforms with low sequence similarity. By itself, the structure of ClpP1 is not particularly useful nor impactful to report within the field. The structure serves to confirm our initial results in Chapter 2, in that ClpP1 forms a stable tetradecameric complex that is not contaminated with </w:t>
      </w:r>
      <w:r>
        <w:rPr>
          <w:i/>
        </w:rPr>
        <w:t xml:space="preserve">E. coli </w:t>
      </w:r>
      <w:r>
        <w:t>ClpP.</w:t>
      </w:r>
    </w:p>
    <w:p w14:paraId="4539804E" w14:textId="77777777" w:rsidR="006D0C5F" w:rsidRPr="00DB3FFC" w:rsidRDefault="006D0C5F" w:rsidP="0096243D">
      <w:pPr>
        <w:ind w:firstLine="720"/>
        <w:contextualSpacing/>
        <w:jc w:val="both"/>
      </w:pPr>
    </w:p>
    <w:p w14:paraId="5A73CEB3" w14:textId="77777777" w:rsidR="0096243D" w:rsidRDefault="0096243D" w:rsidP="0096243D">
      <w:pPr>
        <w:pStyle w:val="Heading2"/>
        <w:contextualSpacing/>
      </w:pPr>
      <w:bookmarkStart w:id="131" w:name="_Toc8392810"/>
      <w:r w:rsidRPr="00747F9A">
        <w:t xml:space="preserve">5.3 </w:t>
      </w:r>
      <w:r>
        <w:t>Future Directions</w:t>
      </w:r>
      <w:bookmarkEnd w:id="131"/>
    </w:p>
    <w:p w14:paraId="27CD96E0" w14:textId="49FC0B4C" w:rsidR="0096243D" w:rsidRDefault="0096243D" w:rsidP="009120E4">
      <w:pPr>
        <w:contextualSpacing/>
        <w:jc w:val="both"/>
      </w:pPr>
      <w:r>
        <w:tab/>
      </w:r>
      <w:r w:rsidR="004535AE">
        <w:t xml:space="preserve">Our future directions are immediately concerned with obtaining the crystal structure of ClpP2 in the active extended conformation. Currently, we are able to produce crystals of ClpP2 in several different conditions that successfully diffract. Unfortunately, these datasets severely lack completeness and are poor in quality. Optimizing our initial crystallization conditions will aid in obtaining higher quality datasets </w:t>
      </w:r>
      <w:r w:rsidR="009120E4">
        <w:t xml:space="preserve">for ClpP2, and these </w:t>
      </w:r>
      <w:r w:rsidR="009120E4">
        <w:lastRenderedPageBreak/>
        <w:t>experiments are currently underway. As stated initially, obtaining a crystallographic structure of ClpP2 will provide the structural evidence for why ClpP1 and ClpP2 differ in susceptibility to ADEPs and aid in structure guided optimization of future chemical modulators.</w:t>
      </w:r>
    </w:p>
    <w:p w14:paraId="654A5014" w14:textId="77777777" w:rsidR="006D0C5F" w:rsidRPr="00B42ED7" w:rsidRDefault="006D0C5F" w:rsidP="009120E4">
      <w:pPr>
        <w:contextualSpacing/>
        <w:jc w:val="both"/>
      </w:pPr>
    </w:p>
    <w:p w14:paraId="1521CDCB" w14:textId="48AA0ABF" w:rsidR="0096243D" w:rsidRDefault="0096243D" w:rsidP="0096243D">
      <w:pPr>
        <w:pStyle w:val="Heading2"/>
        <w:contextualSpacing/>
      </w:pPr>
      <w:bookmarkStart w:id="132" w:name="_Toc8392811"/>
      <w:r w:rsidRPr="00747F9A">
        <w:t>5.4 Materials and Methods</w:t>
      </w:r>
      <w:bookmarkEnd w:id="132"/>
    </w:p>
    <w:p w14:paraId="3E6B2C4F" w14:textId="51368B02" w:rsidR="009120E4" w:rsidRDefault="009120E4" w:rsidP="0012418F">
      <w:pPr>
        <w:pStyle w:val="Heading3"/>
      </w:pPr>
      <w:bookmarkStart w:id="133" w:name="_Toc8392812"/>
      <w:r>
        <w:t xml:space="preserve">5.4.1 Protein </w:t>
      </w:r>
      <w:r w:rsidR="004C5D1A">
        <w:t>P</w:t>
      </w:r>
      <w:r>
        <w:t xml:space="preserve">roduction and </w:t>
      </w:r>
      <w:r w:rsidR="004C5D1A">
        <w:t>P</w:t>
      </w:r>
      <w:r>
        <w:t>urification</w:t>
      </w:r>
      <w:bookmarkEnd w:id="133"/>
    </w:p>
    <w:p w14:paraId="43AED64F" w14:textId="53E555E7" w:rsidR="009120E4" w:rsidRPr="009120E4" w:rsidRDefault="009120E4" w:rsidP="009120E4">
      <w:pPr>
        <w:jc w:val="both"/>
      </w:pPr>
      <w:r>
        <w:tab/>
        <w:t>ClpP1 and ClpP2 were overexpressed and purified as described in Chapter 2 of this dissertation, and were similarly kept in activity buffer for crystallization. We found that transferring to a simple crystallization buffer (50mM Tris pH 7.6, 100mM NaCl, 10% glycerol) triggered rapid precipitation of the protein.</w:t>
      </w:r>
    </w:p>
    <w:p w14:paraId="326F08AB" w14:textId="0E3897FC" w:rsidR="009120E4" w:rsidRDefault="009120E4" w:rsidP="0012418F">
      <w:pPr>
        <w:pStyle w:val="Heading3"/>
      </w:pPr>
      <w:bookmarkStart w:id="134" w:name="_Toc8392813"/>
      <w:r>
        <w:t xml:space="preserve">5.4.2 Crystallization and </w:t>
      </w:r>
      <w:r w:rsidR="004C5D1A">
        <w:t>St</w:t>
      </w:r>
      <w:r>
        <w:t xml:space="preserve">ructure </w:t>
      </w:r>
      <w:r w:rsidR="004C5D1A">
        <w:t>S</w:t>
      </w:r>
      <w:r>
        <w:t>olution</w:t>
      </w:r>
      <w:bookmarkEnd w:id="134"/>
    </w:p>
    <w:p w14:paraId="24B4302E" w14:textId="12D58DD3" w:rsidR="009120E4" w:rsidRDefault="009120E4" w:rsidP="006D0C5F">
      <w:pPr>
        <w:jc w:val="both"/>
      </w:pPr>
      <w:r>
        <w:tab/>
        <w:t>ClpP1 and ClpP2 were each subjected to several commercial broad screen crystallization kits in a 96-well format at room temperature</w:t>
      </w:r>
      <w:r w:rsidR="0071523A">
        <w:t xml:space="preserve"> (</w:t>
      </w:r>
      <w:r w:rsidR="0071523A" w:rsidRPr="0071523A">
        <w:rPr>
          <w:b/>
        </w:rPr>
        <w:t>Appendix C.1</w:t>
      </w:r>
      <w:r w:rsidR="0071523A">
        <w:t>)</w:t>
      </w:r>
      <w:r>
        <w:t xml:space="preserve">. Prior to any crystallization experiment, the protein was spun at 12,000 rcf for 8 minutes to ensure any precipitated protein was pelleted and discarded. A Mosquito liquid handler was used to dispense aliquots of ClpP1 and ClpP2 at 4.5 mg/mL into 96-well plates for sitting drop crystallization in 1:1 and 2:1 </w:t>
      </w:r>
      <w:r w:rsidR="004C5D1A">
        <w:t>ratio</w:t>
      </w:r>
      <w:r>
        <w:t xml:space="preserve"> against precipitation buffers, to a total volume of 300 nL. Plates were then sealed with optically clear tape and allowed to crystallize at room temperature. Optimization of broad screen hits were formed in hanging drop experiments on silicon wafers, which were sealed </w:t>
      </w:r>
      <w:r w:rsidR="006D0C5F">
        <w:t xml:space="preserve">with vacuum grease above </w:t>
      </w:r>
      <w:r>
        <w:t xml:space="preserve">wells </w:t>
      </w:r>
      <w:r w:rsidR="006D0C5F">
        <w:t>in</w:t>
      </w:r>
      <w:r>
        <w:t xml:space="preserve"> a 24-well plate</w:t>
      </w:r>
      <w:r w:rsidR="006D0C5F">
        <w:t xml:space="preserve">. Each well contained 500 </w:t>
      </w:r>
      <w:r w:rsidR="006D0C5F">
        <w:sym w:font="Symbol" w:char="F06D"/>
      </w:r>
      <w:r w:rsidR="006D0C5F">
        <w:t xml:space="preserve">L of precipitation buffer to which hanging drops were mixed with in 1:1, 2:1, and 1:3 ratios. </w:t>
      </w:r>
    </w:p>
    <w:p w14:paraId="72B0D65B" w14:textId="6EEEF790" w:rsidR="006D0C5F" w:rsidRDefault="006D0C5F" w:rsidP="006D0C5F">
      <w:pPr>
        <w:jc w:val="both"/>
      </w:pPr>
      <w:r>
        <w:lastRenderedPageBreak/>
        <w:tab/>
        <w:t>For ClpP1, crystals formed after 1-2d at room temperature in 2.6M sodium malonate at pH 6.0. These crystals were sufficiently cryoprotected, but sometimes were further cryoprotected by addition 3.2M sodium malonate at pH 6.0 directly to the hanging drop. Crystals were flash frozen in liquid N</w:t>
      </w:r>
      <w:r>
        <w:rPr>
          <w:vertAlign w:val="subscript"/>
        </w:rPr>
        <w:t>2</w:t>
      </w:r>
      <w:r>
        <w:t xml:space="preserve"> and shipped to the SSRL beamline 9-2 for remote data collection. These datasets were initially processed in HKL3000 for integration, merging, and scaling. The resulting dataset was then processed in PHENIX with MR to solve the structure against 3KTH. Phenix.refine was then used to refine the resulting structure, after manual refinement and residue correction via COOT. A final round of refinement was performed by PDB-REDO before submitting to the MCL for final structure refinement and validation. </w:t>
      </w:r>
    </w:p>
    <w:p w14:paraId="609C4985" w14:textId="77777777" w:rsidR="006D0C5F" w:rsidRPr="006D0C5F" w:rsidRDefault="006D0C5F" w:rsidP="006D0C5F">
      <w:pPr>
        <w:jc w:val="both"/>
      </w:pPr>
    </w:p>
    <w:p w14:paraId="4CE0A3FC" w14:textId="77777777" w:rsidR="0096243D" w:rsidRDefault="0096243D" w:rsidP="0096243D">
      <w:pPr>
        <w:pStyle w:val="Heading2"/>
        <w:contextualSpacing/>
      </w:pPr>
      <w:bookmarkStart w:id="135" w:name="_Toc8392814"/>
      <w:r w:rsidRPr="00747F9A">
        <w:t>5.5 References</w:t>
      </w:r>
      <w:bookmarkEnd w:id="135"/>
    </w:p>
    <w:p w14:paraId="70DFEC60" w14:textId="77777777" w:rsidR="00E03B7D" w:rsidRPr="00E03B7D" w:rsidRDefault="00E03B7D" w:rsidP="00E03B7D">
      <w:pPr>
        <w:widowControl w:val="0"/>
        <w:autoSpaceDE w:val="0"/>
        <w:autoSpaceDN w:val="0"/>
        <w:adjustRightInd w:val="0"/>
        <w:ind w:left="320" w:hanging="320"/>
        <w:jc w:val="both"/>
        <w:rPr>
          <w:noProof/>
        </w:rPr>
      </w:pPr>
      <w:r w:rsidRPr="00E03B7D">
        <w:rPr>
          <w:noProof/>
        </w:rPr>
        <w:t>1.</w:t>
      </w:r>
      <w:r w:rsidRPr="00E03B7D">
        <w:rPr>
          <w:noProof/>
        </w:rPr>
        <w:tab/>
        <w:t xml:space="preserve">Holyoak, T. </w:t>
      </w:r>
      <w:r w:rsidRPr="00E03B7D">
        <w:rPr>
          <w:i/>
          <w:iCs/>
          <w:noProof/>
        </w:rPr>
        <w:t>et al.</w:t>
      </w:r>
      <w:r w:rsidRPr="00E03B7D">
        <w:rPr>
          <w:noProof/>
        </w:rPr>
        <w:t xml:space="preserve"> Malonate: a versatile cryoprotectant and stabilizing solution for salt-grown macromolecular crystals. </w:t>
      </w:r>
      <w:r w:rsidRPr="00E03B7D">
        <w:rPr>
          <w:i/>
          <w:iCs/>
          <w:noProof/>
        </w:rPr>
        <w:t>Acta Crystallogr. Sect. D, Biol. Crystallogr.</w:t>
      </w:r>
      <w:r w:rsidRPr="00E03B7D">
        <w:rPr>
          <w:noProof/>
        </w:rPr>
        <w:t xml:space="preserve"> </w:t>
      </w:r>
      <w:r w:rsidRPr="00E03B7D">
        <w:rPr>
          <w:b/>
          <w:bCs/>
          <w:noProof/>
        </w:rPr>
        <w:t>59,</w:t>
      </w:r>
      <w:r w:rsidRPr="00E03B7D">
        <w:rPr>
          <w:noProof/>
        </w:rPr>
        <w:t xml:space="preserve"> 2356–2358 (2003).</w:t>
      </w:r>
    </w:p>
    <w:p w14:paraId="597C2572" w14:textId="77777777" w:rsidR="00E03B7D" w:rsidRPr="00E03B7D" w:rsidRDefault="00E03B7D" w:rsidP="00E03B7D">
      <w:pPr>
        <w:widowControl w:val="0"/>
        <w:autoSpaceDE w:val="0"/>
        <w:autoSpaceDN w:val="0"/>
        <w:adjustRightInd w:val="0"/>
        <w:ind w:left="320" w:hanging="320"/>
        <w:jc w:val="both"/>
        <w:rPr>
          <w:noProof/>
        </w:rPr>
      </w:pPr>
      <w:r w:rsidRPr="00E03B7D">
        <w:rPr>
          <w:noProof/>
        </w:rPr>
        <w:t>2.</w:t>
      </w:r>
      <w:r w:rsidRPr="00E03B7D">
        <w:rPr>
          <w:noProof/>
        </w:rPr>
        <w:tab/>
        <w:t xml:space="preserve">Adams, P. D. </w:t>
      </w:r>
      <w:r w:rsidRPr="00E03B7D">
        <w:rPr>
          <w:i/>
          <w:iCs/>
          <w:noProof/>
        </w:rPr>
        <w:t>et al.</w:t>
      </w:r>
      <w:r w:rsidRPr="00E03B7D">
        <w:rPr>
          <w:noProof/>
        </w:rPr>
        <w:t xml:space="preserve"> PHENIX: a comprehensive Python-based system for macromolecular structure solution. </w:t>
      </w:r>
      <w:r w:rsidRPr="00E03B7D">
        <w:rPr>
          <w:i/>
          <w:iCs/>
          <w:noProof/>
        </w:rPr>
        <w:t>Acta Crystallogr. Sect. D, Biol. Crystallogr.</w:t>
      </w:r>
      <w:r w:rsidRPr="00E03B7D">
        <w:rPr>
          <w:noProof/>
        </w:rPr>
        <w:t xml:space="preserve"> </w:t>
      </w:r>
      <w:r w:rsidRPr="00E03B7D">
        <w:rPr>
          <w:b/>
          <w:bCs/>
          <w:noProof/>
        </w:rPr>
        <w:t>66,</w:t>
      </w:r>
      <w:r w:rsidRPr="00E03B7D">
        <w:rPr>
          <w:noProof/>
        </w:rPr>
        <w:t xml:space="preserve"> 213–221 (2010).</w:t>
      </w:r>
    </w:p>
    <w:p w14:paraId="0AB568F3" w14:textId="77777777" w:rsidR="00E03B7D" w:rsidRPr="00E03B7D" w:rsidRDefault="00E03B7D" w:rsidP="00E03B7D">
      <w:pPr>
        <w:widowControl w:val="0"/>
        <w:autoSpaceDE w:val="0"/>
        <w:autoSpaceDN w:val="0"/>
        <w:adjustRightInd w:val="0"/>
        <w:ind w:left="320" w:hanging="320"/>
        <w:jc w:val="both"/>
        <w:rPr>
          <w:noProof/>
        </w:rPr>
      </w:pPr>
      <w:r w:rsidRPr="00E03B7D">
        <w:rPr>
          <w:noProof/>
        </w:rPr>
        <w:t>3.</w:t>
      </w:r>
      <w:r w:rsidRPr="00E03B7D">
        <w:rPr>
          <w:noProof/>
        </w:rPr>
        <w:tab/>
        <w:t xml:space="preserve">Mylona, A. </w:t>
      </w:r>
      <w:r w:rsidRPr="00E03B7D">
        <w:rPr>
          <w:i/>
          <w:iCs/>
          <w:noProof/>
        </w:rPr>
        <w:t>et al.</w:t>
      </w:r>
      <w:r w:rsidRPr="00E03B7D">
        <w:rPr>
          <w:noProof/>
        </w:rPr>
        <w:t xml:space="preserve"> A Novel Approach to Data Collection for Difficult Structures: Data Management for Large Numbers of Crystals with the BLEND Software. </w:t>
      </w:r>
      <w:r w:rsidRPr="00E03B7D">
        <w:rPr>
          <w:i/>
          <w:iCs/>
          <w:noProof/>
        </w:rPr>
        <w:t>Crystals</w:t>
      </w:r>
      <w:r w:rsidRPr="00E03B7D">
        <w:rPr>
          <w:noProof/>
        </w:rPr>
        <w:t xml:space="preserve"> </w:t>
      </w:r>
      <w:r w:rsidRPr="00E03B7D">
        <w:rPr>
          <w:b/>
          <w:bCs/>
          <w:noProof/>
        </w:rPr>
        <w:t>7,</w:t>
      </w:r>
      <w:r w:rsidRPr="00E03B7D">
        <w:rPr>
          <w:noProof/>
        </w:rPr>
        <w:t xml:space="preserve"> 242 (2017).</w:t>
      </w:r>
    </w:p>
    <w:p w14:paraId="6C87E048" w14:textId="77777777" w:rsidR="00E03B7D" w:rsidRPr="00E03B7D" w:rsidRDefault="00E03B7D" w:rsidP="00E03B7D">
      <w:pPr>
        <w:widowControl w:val="0"/>
        <w:autoSpaceDE w:val="0"/>
        <w:autoSpaceDN w:val="0"/>
        <w:adjustRightInd w:val="0"/>
        <w:ind w:left="320" w:hanging="320"/>
        <w:jc w:val="both"/>
        <w:rPr>
          <w:noProof/>
        </w:rPr>
      </w:pPr>
      <w:r w:rsidRPr="00E03B7D">
        <w:rPr>
          <w:noProof/>
        </w:rPr>
        <w:t>4.</w:t>
      </w:r>
      <w:r w:rsidRPr="00E03B7D">
        <w:rPr>
          <w:noProof/>
        </w:rPr>
        <w:tab/>
        <w:t xml:space="preserve">Winn, M. D. </w:t>
      </w:r>
      <w:r w:rsidRPr="00E03B7D">
        <w:rPr>
          <w:i/>
          <w:iCs/>
          <w:noProof/>
        </w:rPr>
        <w:t>et al.</w:t>
      </w:r>
      <w:r w:rsidRPr="00E03B7D">
        <w:rPr>
          <w:noProof/>
        </w:rPr>
        <w:t xml:space="preserve"> Overview of the CCP4 suite and current developments. </w:t>
      </w:r>
      <w:r w:rsidRPr="00E03B7D">
        <w:rPr>
          <w:i/>
          <w:iCs/>
          <w:noProof/>
        </w:rPr>
        <w:t>Acta Crystallogr. Sect. D, Biol. Crystallogr.</w:t>
      </w:r>
      <w:r w:rsidRPr="00E03B7D">
        <w:rPr>
          <w:noProof/>
        </w:rPr>
        <w:t xml:space="preserve"> </w:t>
      </w:r>
      <w:r w:rsidRPr="00E03B7D">
        <w:rPr>
          <w:b/>
          <w:bCs/>
          <w:noProof/>
        </w:rPr>
        <w:t>67,</w:t>
      </w:r>
      <w:r w:rsidRPr="00E03B7D">
        <w:rPr>
          <w:noProof/>
        </w:rPr>
        <w:t xml:space="preserve"> 235–242 (2011).</w:t>
      </w:r>
    </w:p>
    <w:p w14:paraId="00C04B83" w14:textId="545E8167" w:rsidR="006D0C5F" w:rsidRDefault="006D0C5F">
      <w:pPr>
        <w:spacing w:line="240" w:lineRule="auto"/>
      </w:pPr>
      <w:r>
        <w:br w:type="page"/>
      </w:r>
    </w:p>
    <w:p w14:paraId="48971C11" w14:textId="36DFEF50" w:rsidR="006D0C5F" w:rsidRDefault="006D0C5F" w:rsidP="000A6885"/>
    <w:p w14:paraId="6F7B258A" w14:textId="4D871005" w:rsidR="006D0C5F" w:rsidRPr="006D0C5F" w:rsidRDefault="006D0C5F">
      <w:pPr>
        <w:spacing w:line="240" w:lineRule="auto"/>
      </w:pPr>
      <w:r>
        <w:br w:type="page"/>
      </w:r>
    </w:p>
    <w:p w14:paraId="649CF232" w14:textId="76CAAD73" w:rsidR="009F2628" w:rsidRDefault="00D42184" w:rsidP="007D5BF8">
      <w:pPr>
        <w:pStyle w:val="Heading1"/>
      </w:pPr>
      <w:bookmarkStart w:id="136" w:name="_Toc8392815"/>
      <w:r>
        <w:lastRenderedPageBreak/>
        <w:t>Epilogue</w:t>
      </w:r>
      <w:bookmarkEnd w:id="136"/>
    </w:p>
    <w:p w14:paraId="01DBE4F6" w14:textId="77777777" w:rsidR="001446A3" w:rsidRDefault="002B52FE" w:rsidP="008F299A">
      <w:pPr>
        <w:ind w:firstLine="720"/>
        <w:jc w:val="both"/>
      </w:pPr>
      <w:r>
        <w:t xml:space="preserve">This body of work biochemically and phenotypically describes the ClpP system in </w:t>
      </w:r>
      <w:r w:rsidR="00AB3480" w:rsidRPr="00AB3480">
        <w:rPr>
          <w:i/>
        </w:rPr>
        <w:t>C. difficile</w:t>
      </w:r>
      <w:r>
        <w:t>. Our long-term goal for this project was to show the biological significance of targeting ClpP, in order to introduce ClpP as a new target against CDI.</w:t>
      </w:r>
      <w:r w:rsidRPr="00A34450">
        <w:t xml:space="preserve"> </w:t>
      </w:r>
      <w:r>
        <w:t xml:space="preserve">To do so, we wanted to directly address the current challenges facing the development of therapeutics for treating CDI. We first set out to understand what the operative ClpP system was before we moved into the pathogen itself. This included understanding how each ClpP isoform assembled, how they behaved </w:t>
      </w:r>
      <w:r>
        <w:rPr>
          <w:i/>
        </w:rPr>
        <w:t>in vitro</w:t>
      </w:r>
      <w:r>
        <w:t xml:space="preserve">, and what the structures were. We accomplished this initial goal, both biochemically and structurally characterizing the ClpP system in </w:t>
      </w:r>
      <w:r w:rsidR="00AB3480" w:rsidRPr="00AB3480">
        <w:rPr>
          <w:i/>
        </w:rPr>
        <w:t>C. difficile</w:t>
      </w:r>
      <w:r>
        <w:t xml:space="preserve">. Those results laid the groundwork for pursuing the biological significance of the ClpP system in </w:t>
      </w:r>
      <w:r w:rsidR="00AB3480" w:rsidRPr="00AB3480">
        <w:rPr>
          <w:i/>
        </w:rPr>
        <w:t>C. difficile</w:t>
      </w:r>
      <w:r>
        <w:rPr>
          <w:i/>
        </w:rPr>
        <w:t xml:space="preserve"> </w:t>
      </w:r>
      <w:r>
        <w:t>630.</w:t>
      </w:r>
      <w:r w:rsidR="008F299A">
        <w:t xml:space="preserve"> </w:t>
      </w:r>
    </w:p>
    <w:p w14:paraId="6FC3B89B" w14:textId="3C845B20" w:rsidR="008E6C2A" w:rsidRPr="008E6C2A" w:rsidRDefault="008F299A" w:rsidP="008E6C2A">
      <w:pPr>
        <w:ind w:firstLine="720"/>
        <w:jc w:val="both"/>
        <w:rPr>
          <w:bCs/>
          <w:vertAlign w:val="subscript"/>
        </w:rPr>
      </w:pPr>
      <w:r>
        <w:t xml:space="preserve">Future experiments will build </w:t>
      </w:r>
      <w:r w:rsidR="001446A3">
        <w:t xml:space="preserve">upon the work described </w:t>
      </w:r>
      <w:r w:rsidR="008E6C2A">
        <w:t>throughout this dissertation</w:t>
      </w:r>
      <w:r>
        <w:t xml:space="preserve"> </w:t>
      </w:r>
      <w:r w:rsidR="008E6C2A">
        <w:t xml:space="preserve">that will be concentrated on </w:t>
      </w:r>
      <w:r w:rsidR="00821DCC">
        <w:t xml:space="preserve">sporulation, virulence, and nutrient response regulation. </w:t>
      </w:r>
      <w:r w:rsidR="008E6C2A" w:rsidRPr="008D43DB">
        <w:rPr>
          <w:bCs/>
        </w:rPr>
        <w:t xml:space="preserve">Our immediate </w:t>
      </w:r>
      <w:r w:rsidR="008E6C2A">
        <w:rPr>
          <w:bCs/>
        </w:rPr>
        <w:t>attention</w:t>
      </w:r>
      <w:r w:rsidR="008E6C2A" w:rsidRPr="008D43DB">
        <w:rPr>
          <w:bCs/>
        </w:rPr>
        <w:t xml:space="preserve"> will </w:t>
      </w:r>
      <w:r w:rsidR="008E6C2A">
        <w:rPr>
          <w:bCs/>
        </w:rPr>
        <w:t>be focused towards completing</w:t>
      </w:r>
      <w:r w:rsidR="008E6C2A" w:rsidRPr="008D43DB">
        <w:rPr>
          <w:bCs/>
        </w:rPr>
        <w:t xml:space="preserve"> the work described in Chapter 3, </w:t>
      </w:r>
      <w:r w:rsidR="008E6C2A">
        <w:rPr>
          <w:bCs/>
        </w:rPr>
        <w:t>as many of these studies are currently underway</w:t>
      </w:r>
      <w:r w:rsidR="008E6C2A" w:rsidRPr="008D43DB">
        <w:rPr>
          <w:bCs/>
        </w:rPr>
        <w:t xml:space="preserve">. The most critical gaps are: </w:t>
      </w:r>
      <w:r w:rsidR="008E6C2A" w:rsidRPr="00507910">
        <w:rPr>
          <w:bCs/>
        </w:rPr>
        <w:t>1)</w:t>
      </w:r>
      <w:r w:rsidR="008E6C2A" w:rsidRPr="008D43DB">
        <w:rPr>
          <w:bCs/>
        </w:rPr>
        <w:t xml:space="preserve"> </w:t>
      </w:r>
      <w:r w:rsidR="008E6C2A">
        <w:rPr>
          <w:bCs/>
        </w:rPr>
        <w:t>generating</w:t>
      </w:r>
      <w:r w:rsidR="008E6C2A" w:rsidRPr="008D43DB">
        <w:rPr>
          <w:bCs/>
        </w:rPr>
        <w:t xml:space="preserve"> complements for </w:t>
      </w:r>
      <w:r w:rsidR="008E6C2A" w:rsidRPr="008D43DB">
        <w:rPr>
          <w:bCs/>
          <w:i/>
        </w:rPr>
        <w:t>clpP1</w:t>
      </w:r>
      <w:r w:rsidR="008E6C2A" w:rsidRPr="008D43DB">
        <w:rPr>
          <w:bCs/>
        </w:rPr>
        <w:t xml:space="preserve">, </w:t>
      </w:r>
      <w:r w:rsidR="008E6C2A" w:rsidRPr="008D43DB">
        <w:rPr>
          <w:bCs/>
          <w:i/>
        </w:rPr>
        <w:t>clpP2</w:t>
      </w:r>
      <w:r w:rsidR="008E6C2A" w:rsidRPr="008D43DB">
        <w:rPr>
          <w:bCs/>
        </w:rPr>
        <w:t xml:space="preserve">, and </w:t>
      </w:r>
      <w:r w:rsidR="008E6C2A" w:rsidRPr="008D43DB">
        <w:rPr>
          <w:bCs/>
          <w:i/>
        </w:rPr>
        <w:t>clpP1P2</w:t>
      </w:r>
      <w:r w:rsidR="008E6C2A" w:rsidRPr="008D43DB">
        <w:rPr>
          <w:bCs/>
        </w:rPr>
        <w:t xml:space="preserve">, </w:t>
      </w:r>
      <w:r w:rsidR="008E6C2A" w:rsidRPr="00507910">
        <w:rPr>
          <w:bCs/>
        </w:rPr>
        <w:t>2)</w:t>
      </w:r>
      <w:r w:rsidR="008E6C2A" w:rsidRPr="008D43DB">
        <w:rPr>
          <w:bCs/>
        </w:rPr>
        <w:t xml:space="preserve"> quantifying sporulation regulatory factor transcripts via qRTPCR in </w:t>
      </w:r>
      <w:r w:rsidR="008E6C2A" w:rsidRPr="008D43DB">
        <w:rPr>
          <w:bCs/>
          <w:i/>
        </w:rPr>
        <w:t>clpP</w:t>
      </w:r>
      <w:r w:rsidR="008E6C2A" w:rsidRPr="008D43DB">
        <w:rPr>
          <w:bCs/>
        </w:rPr>
        <w:t xml:space="preserve"> mutants, and </w:t>
      </w:r>
      <w:r w:rsidR="008E6C2A" w:rsidRPr="00507910">
        <w:rPr>
          <w:bCs/>
        </w:rPr>
        <w:t>3)</w:t>
      </w:r>
      <w:r w:rsidR="008E6C2A" w:rsidRPr="008D43DB">
        <w:rPr>
          <w:bCs/>
        </w:rPr>
        <w:t xml:space="preserve"> obtaining </w:t>
      </w:r>
      <w:r w:rsidR="008E6C2A" w:rsidRPr="008D43DB">
        <w:rPr>
          <w:bCs/>
          <w:i/>
        </w:rPr>
        <w:t>spo0A</w:t>
      </w:r>
      <w:r w:rsidR="008E6C2A" w:rsidRPr="008D43DB">
        <w:rPr>
          <w:bCs/>
        </w:rPr>
        <w:t xml:space="preserve"> mutants as our sporulation negative control. </w:t>
      </w:r>
      <w:r w:rsidR="008E6C2A">
        <w:rPr>
          <w:bCs/>
        </w:rPr>
        <w:t xml:space="preserve">The complements will be necessary in order to show that loss of ClpP function is responsible for the asporogenic phenotype, and not a consequence of our mutagenesis. </w:t>
      </w:r>
    </w:p>
    <w:p w14:paraId="6681BA90" w14:textId="77777777" w:rsidR="000C7F70" w:rsidRDefault="008E6C2A" w:rsidP="008E6C2A">
      <w:pPr>
        <w:ind w:firstLine="720"/>
        <w:jc w:val="both"/>
        <w:rPr>
          <w:bCs/>
        </w:rPr>
      </w:pPr>
      <w:r w:rsidRPr="008D43DB">
        <w:rPr>
          <w:bCs/>
        </w:rPr>
        <w:t xml:space="preserve">Broader future directions related to the work described in this dissertation are: 1) Replicating the asporogenic phenotype in </w:t>
      </w:r>
      <w:r w:rsidRPr="00AB3480">
        <w:rPr>
          <w:bCs/>
          <w:i/>
        </w:rPr>
        <w:t>C. difficile</w:t>
      </w:r>
      <w:r w:rsidRPr="008D43DB">
        <w:rPr>
          <w:bCs/>
        </w:rPr>
        <w:t xml:space="preserve"> through chemo-modulation of ClpP, and 2) </w:t>
      </w:r>
      <w:r>
        <w:rPr>
          <w:bCs/>
        </w:rPr>
        <w:t xml:space="preserve">completing </w:t>
      </w:r>
      <w:r w:rsidRPr="008D43DB">
        <w:rPr>
          <w:bCs/>
        </w:rPr>
        <w:t xml:space="preserve">RNAseq in </w:t>
      </w:r>
      <w:r w:rsidRPr="008D43DB">
        <w:rPr>
          <w:bCs/>
          <w:i/>
        </w:rPr>
        <w:t xml:space="preserve">clpP </w:t>
      </w:r>
      <w:r w:rsidRPr="008D43DB">
        <w:rPr>
          <w:bCs/>
        </w:rPr>
        <w:t xml:space="preserve">mutants to globally monitor sporulation regulatory signals after loss of ClpP function. </w:t>
      </w:r>
      <w:r>
        <w:rPr>
          <w:bCs/>
        </w:rPr>
        <w:t xml:space="preserve">ClpP inhibitors already exist which have not yet been </w:t>
      </w:r>
      <w:r>
        <w:rPr>
          <w:bCs/>
        </w:rPr>
        <w:lastRenderedPageBreak/>
        <w:t xml:space="preserve">assayed for activity against either ClpP1 or ClpP2. In order to assess ClpP inhibition as a viable therapeutic strategy to combat CDI, </w:t>
      </w:r>
      <w:r>
        <w:rPr>
          <w:bCs/>
          <w:i/>
        </w:rPr>
        <w:t>in vitro</w:t>
      </w:r>
      <w:r>
        <w:rPr>
          <w:bCs/>
        </w:rPr>
        <w:t xml:space="preserve"> activity assays are planned to determine whether known ClpP inhibitors are active against </w:t>
      </w:r>
      <w:r>
        <w:rPr>
          <w:bCs/>
          <w:i/>
        </w:rPr>
        <w:t xml:space="preserve">C. difficile </w:t>
      </w:r>
      <w:r>
        <w:rPr>
          <w:bCs/>
        </w:rPr>
        <w:t>ClpP isoforms.</w:t>
      </w:r>
      <w:r w:rsidR="000C7F70">
        <w:rPr>
          <w:bCs/>
        </w:rPr>
        <w:t xml:space="preserve"> More broad-spectrum inhibitors such as phenylmethylsulfonyl fluoride are commercially available and broadly inhibit serine proteases which could be used in the event ClpP inhibitors are ineffective. RNAseq experiments are currently being planned which will help define the role each ClpP isoform maintains in regulating sporulation. For example, ClpP1 and ClpP2 maintain specific roles in processing the engulfment machinery protein SpoIIP. RNAseq would help to differentiate ClpP1 from ClpP2 by understanding the overarching regulation of sporulation which may contribute to the processing of SpoIIP which would be highly impactful to </w:t>
      </w:r>
      <w:r w:rsidR="000C7F70">
        <w:rPr>
          <w:bCs/>
          <w:i/>
        </w:rPr>
        <w:t>C. difficile</w:t>
      </w:r>
      <w:r w:rsidR="000C7F70">
        <w:rPr>
          <w:bCs/>
        </w:rPr>
        <w:t xml:space="preserve"> sporulation research as SpoIIP processing is currently not understood. </w:t>
      </w:r>
    </w:p>
    <w:p w14:paraId="525A0AAC" w14:textId="4297F5B0" w:rsidR="000C7F70" w:rsidRPr="000C7F70" w:rsidRDefault="000C7F70" w:rsidP="000C7F70">
      <w:pPr>
        <w:ind w:firstLine="720"/>
        <w:jc w:val="both"/>
        <w:rPr>
          <w:bCs/>
        </w:rPr>
      </w:pPr>
      <w:r>
        <w:rPr>
          <w:bCs/>
        </w:rPr>
        <w:t>Advancing our understanding of these fundamental processes critical to sporulation may reveal new therapeutic targets that are more tractable, or easier to target. Results from these studies could eventually aid in the design of new chemical probes and antibiotics to better understand sporulation and translate into real therapeutics to combat the transmission and spread of CDI.</w:t>
      </w:r>
    </w:p>
    <w:p w14:paraId="5340296B" w14:textId="398B2E07" w:rsidR="009F2628" w:rsidRDefault="009F2628">
      <w:pPr>
        <w:spacing w:line="240" w:lineRule="auto"/>
        <w:rPr>
          <w:b/>
          <w:bCs/>
          <w:sz w:val="28"/>
          <w:szCs w:val="28"/>
        </w:rPr>
      </w:pPr>
      <w:r>
        <w:rPr>
          <w:b/>
          <w:bCs/>
          <w:sz w:val="28"/>
          <w:szCs w:val="28"/>
        </w:rPr>
        <w:br w:type="page"/>
      </w:r>
    </w:p>
    <w:p w14:paraId="6A007DE9" w14:textId="6FA12606" w:rsidR="004E7821" w:rsidRDefault="00691427" w:rsidP="007D5BF8">
      <w:pPr>
        <w:pStyle w:val="Heading1"/>
      </w:pPr>
      <w:bookmarkStart w:id="137" w:name="_Toc8392816"/>
      <w:r w:rsidRPr="00085143">
        <w:lastRenderedPageBreak/>
        <w:t xml:space="preserve">Appendix A: Sequences and supporting data for </w:t>
      </w:r>
      <w:r w:rsidR="00AB3480" w:rsidRPr="00AB3480">
        <w:rPr>
          <w:i/>
          <w:iCs/>
        </w:rPr>
        <w:t>Clostridium difficile</w:t>
      </w:r>
      <w:r w:rsidRPr="00085143">
        <w:t xml:space="preserve"> ClpP Homologs are Capable of Uncoupled Activity and Exhibit Different Levels of Susceptibility to Acyldepsipeptide Modulation</w:t>
      </w:r>
      <w:bookmarkEnd w:id="137"/>
    </w:p>
    <w:p w14:paraId="6CF040AE" w14:textId="77777777" w:rsidR="004E7821" w:rsidRPr="004E7821" w:rsidRDefault="004E7821" w:rsidP="004E7821">
      <w:pPr>
        <w:tabs>
          <w:tab w:val="left" w:pos="428"/>
        </w:tabs>
      </w:pPr>
    </w:p>
    <w:tbl>
      <w:tblPr>
        <w:tblW w:w="0" w:type="auto"/>
        <w:jc w:val="center"/>
        <w:tblLayout w:type="fixed"/>
        <w:tblLook w:val="04A0" w:firstRow="1" w:lastRow="0" w:firstColumn="1" w:lastColumn="0" w:noHBand="0" w:noVBand="1"/>
      </w:tblPr>
      <w:tblGrid>
        <w:gridCol w:w="1276"/>
        <w:gridCol w:w="4030"/>
      </w:tblGrid>
      <w:tr w:rsidR="00691427" w:rsidRPr="008D43DB" w14:paraId="0D8505ED" w14:textId="77777777" w:rsidTr="008D43DB">
        <w:trPr>
          <w:jc w:val="center"/>
        </w:trPr>
        <w:tc>
          <w:tcPr>
            <w:tcW w:w="1276" w:type="dxa"/>
            <w:tcBorders>
              <w:bottom w:val="single" w:sz="4" w:space="0" w:color="auto"/>
            </w:tcBorders>
            <w:shd w:val="clear" w:color="auto" w:fill="auto"/>
            <w:vAlign w:val="bottom"/>
            <w:hideMark/>
          </w:tcPr>
          <w:p w14:paraId="02714720" w14:textId="77777777" w:rsidR="00691427" w:rsidRPr="008D43DB" w:rsidRDefault="00691427" w:rsidP="008D43DB">
            <w:pPr>
              <w:jc w:val="center"/>
              <w:rPr>
                <w:b/>
                <w:bCs/>
              </w:rPr>
            </w:pPr>
            <w:r w:rsidRPr="008D43DB">
              <w:rPr>
                <w:b/>
                <w:bCs/>
              </w:rPr>
              <w:t>Primer ID</w:t>
            </w:r>
          </w:p>
        </w:tc>
        <w:tc>
          <w:tcPr>
            <w:tcW w:w="4030" w:type="dxa"/>
            <w:tcBorders>
              <w:bottom w:val="single" w:sz="4" w:space="0" w:color="auto"/>
            </w:tcBorders>
            <w:shd w:val="clear" w:color="auto" w:fill="auto"/>
            <w:vAlign w:val="bottom"/>
            <w:hideMark/>
          </w:tcPr>
          <w:p w14:paraId="4EC242AF" w14:textId="77777777" w:rsidR="00691427" w:rsidRPr="008D43DB" w:rsidRDefault="00691427" w:rsidP="008D43DB">
            <w:pPr>
              <w:jc w:val="center"/>
              <w:rPr>
                <w:b/>
                <w:bCs/>
              </w:rPr>
            </w:pPr>
            <w:r w:rsidRPr="008D43DB">
              <w:rPr>
                <w:b/>
                <w:bCs/>
              </w:rPr>
              <w:t>Primer Sequence (5’-3’)</w:t>
            </w:r>
          </w:p>
        </w:tc>
      </w:tr>
      <w:tr w:rsidR="00691427" w:rsidRPr="008D43DB" w14:paraId="0740F6D5" w14:textId="77777777" w:rsidTr="008D43DB">
        <w:trPr>
          <w:jc w:val="center"/>
        </w:trPr>
        <w:tc>
          <w:tcPr>
            <w:tcW w:w="1276" w:type="dxa"/>
            <w:tcBorders>
              <w:top w:val="single" w:sz="4" w:space="0" w:color="auto"/>
            </w:tcBorders>
            <w:shd w:val="clear" w:color="auto" w:fill="auto"/>
            <w:vAlign w:val="center"/>
            <w:hideMark/>
          </w:tcPr>
          <w:p w14:paraId="4341111E" w14:textId="77777777" w:rsidR="00691427" w:rsidRPr="008D43DB" w:rsidRDefault="00691427" w:rsidP="008D43DB">
            <w:pPr>
              <w:jc w:val="center"/>
            </w:pPr>
            <w:r w:rsidRPr="008D43DB">
              <w:t>rpoB_F</w:t>
            </w:r>
          </w:p>
        </w:tc>
        <w:tc>
          <w:tcPr>
            <w:tcW w:w="4030" w:type="dxa"/>
            <w:tcBorders>
              <w:top w:val="single" w:sz="4" w:space="0" w:color="auto"/>
            </w:tcBorders>
            <w:shd w:val="clear" w:color="auto" w:fill="auto"/>
            <w:vAlign w:val="center"/>
            <w:hideMark/>
          </w:tcPr>
          <w:p w14:paraId="323A7255" w14:textId="77777777" w:rsidR="00691427" w:rsidRPr="008D43DB" w:rsidRDefault="00691427" w:rsidP="008D43DB">
            <w:pPr>
              <w:jc w:val="center"/>
            </w:pPr>
            <w:r w:rsidRPr="008D43DB">
              <w:t>AACTAGGGCCAGAGGAAATAAC</w:t>
            </w:r>
          </w:p>
        </w:tc>
      </w:tr>
      <w:tr w:rsidR="00691427" w:rsidRPr="008D43DB" w14:paraId="4750A46E" w14:textId="77777777" w:rsidTr="008D43DB">
        <w:trPr>
          <w:jc w:val="center"/>
        </w:trPr>
        <w:tc>
          <w:tcPr>
            <w:tcW w:w="1276" w:type="dxa"/>
            <w:shd w:val="clear" w:color="auto" w:fill="auto"/>
            <w:vAlign w:val="center"/>
            <w:hideMark/>
          </w:tcPr>
          <w:p w14:paraId="6249F596" w14:textId="77777777" w:rsidR="00691427" w:rsidRPr="008D43DB" w:rsidRDefault="00691427" w:rsidP="008D43DB">
            <w:pPr>
              <w:jc w:val="center"/>
            </w:pPr>
            <w:r w:rsidRPr="008D43DB">
              <w:t>rpoB_R</w:t>
            </w:r>
          </w:p>
        </w:tc>
        <w:tc>
          <w:tcPr>
            <w:tcW w:w="4030" w:type="dxa"/>
            <w:shd w:val="clear" w:color="auto" w:fill="auto"/>
            <w:vAlign w:val="center"/>
            <w:hideMark/>
          </w:tcPr>
          <w:p w14:paraId="4A5F5BC6" w14:textId="77777777" w:rsidR="00691427" w:rsidRPr="008D43DB" w:rsidRDefault="00691427" w:rsidP="008D43DB">
            <w:pPr>
              <w:jc w:val="center"/>
            </w:pPr>
            <w:r w:rsidRPr="008D43DB">
              <w:t>CTGAGTCTACTTCTGCACCTATTC</w:t>
            </w:r>
          </w:p>
        </w:tc>
      </w:tr>
      <w:tr w:rsidR="00691427" w:rsidRPr="008D43DB" w14:paraId="3AA685FA" w14:textId="77777777" w:rsidTr="008D43DB">
        <w:trPr>
          <w:jc w:val="center"/>
        </w:trPr>
        <w:tc>
          <w:tcPr>
            <w:tcW w:w="1276" w:type="dxa"/>
            <w:shd w:val="clear" w:color="auto" w:fill="auto"/>
            <w:vAlign w:val="center"/>
            <w:hideMark/>
          </w:tcPr>
          <w:p w14:paraId="7BC0E035" w14:textId="77777777" w:rsidR="00691427" w:rsidRPr="008D43DB" w:rsidRDefault="00691427" w:rsidP="008D43DB">
            <w:pPr>
              <w:jc w:val="center"/>
            </w:pPr>
            <w:r w:rsidRPr="008D43DB">
              <w:t>clpP1_F</w:t>
            </w:r>
          </w:p>
        </w:tc>
        <w:tc>
          <w:tcPr>
            <w:tcW w:w="4030" w:type="dxa"/>
            <w:shd w:val="clear" w:color="auto" w:fill="auto"/>
            <w:vAlign w:val="center"/>
            <w:hideMark/>
          </w:tcPr>
          <w:p w14:paraId="31663FB3" w14:textId="77777777" w:rsidR="00691427" w:rsidRPr="008D43DB" w:rsidRDefault="00691427" w:rsidP="008D43DB">
            <w:pPr>
              <w:jc w:val="center"/>
            </w:pPr>
            <w:r w:rsidRPr="008D43DB">
              <w:t>GCTGAAGACCCAGACAAAGATA</w:t>
            </w:r>
          </w:p>
        </w:tc>
      </w:tr>
      <w:tr w:rsidR="00691427" w:rsidRPr="008D43DB" w14:paraId="6474202B" w14:textId="77777777" w:rsidTr="008D43DB">
        <w:trPr>
          <w:jc w:val="center"/>
        </w:trPr>
        <w:tc>
          <w:tcPr>
            <w:tcW w:w="1276" w:type="dxa"/>
            <w:shd w:val="clear" w:color="auto" w:fill="auto"/>
            <w:vAlign w:val="center"/>
            <w:hideMark/>
          </w:tcPr>
          <w:p w14:paraId="216E9A65" w14:textId="77777777" w:rsidR="00691427" w:rsidRPr="008D43DB" w:rsidRDefault="00691427" w:rsidP="008D43DB">
            <w:pPr>
              <w:jc w:val="center"/>
            </w:pPr>
            <w:r w:rsidRPr="008D43DB">
              <w:t>clpP1_R</w:t>
            </w:r>
          </w:p>
        </w:tc>
        <w:tc>
          <w:tcPr>
            <w:tcW w:w="4030" w:type="dxa"/>
            <w:shd w:val="clear" w:color="auto" w:fill="auto"/>
            <w:vAlign w:val="center"/>
            <w:hideMark/>
          </w:tcPr>
          <w:p w14:paraId="2B25CE9D" w14:textId="77777777" w:rsidR="00691427" w:rsidRPr="008D43DB" w:rsidRDefault="00691427" w:rsidP="008D43DB">
            <w:pPr>
              <w:jc w:val="center"/>
            </w:pPr>
            <w:r w:rsidRPr="008D43DB">
              <w:t>CTCCCATAGAAGCAGCCATAC</w:t>
            </w:r>
          </w:p>
        </w:tc>
      </w:tr>
      <w:tr w:rsidR="00691427" w:rsidRPr="008D43DB" w14:paraId="6A9E6089" w14:textId="77777777" w:rsidTr="008D43DB">
        <w:trPr>
          <w:jc w:val="center"/>
        </w:trPr>
        <w:tc>
          <w:tcPr>
            <w:tcW w:w="1276" w:type="dxa"/>
            <w:shd w:val="clear" w:color="auto" w:fill="auto"/>
            <w:vAlign w:val="center"/>
            <w:hideMark/>
          </w:tcPr>
          <w:p w14:paraId="5603083B" w14:textId="77777777" w:rsidR="00691427" w:rsidRPr="008D43DB" w:rsidRDefault="00691427" w:rsidP="008D43DB">
            <w:pPr>
              <w:jc w:val="center"/>
            </w:pPr>
            <w:r w:rsidRPr="008D43DB">
              <w:t>clpP2_F</w:t>
            </w:r>
          </w:p>
        </w:tc>
        <w:tc>
          <w:tcPr>
            <w:tcW w:w="4030" w:type="dxa"/>
            <w:shd w:val="clear" w:color="auto" w:fill="auto"/>
            <w:vAlign w:val="center"/>
            <w:hideMark/>
          </w:tcPr>
          <w:p w14:paraId="4D5FADE1" w14:textId="77777777" w:rsidR="00691427" w:rsidRPr="008D43DB" w:rsidRDefault="00691427" w:rsidP="008D43DB">
            <w:pPr>
              <w:jc w:val="center"/>
            </w:pPr>
            <w:r w:rsidRPr="008D43DB">
              <w:t>GGCTCTGCTACATCAGGATTTG</w:t>
            </w:r>
          </w:p>
        </w:tc>
      </w:tr>
      <w:tr w:rsidR="00691427" w:rsidRPr="008D43DB" w14:paraId="3C92F552" w14:textId="77777777" w:rsidTr="008D43DB">
        <w:trPr>
          <w:trHeight w:val="260"/>
          <w:jc w:val="center"/>
        </w:trPr>
        <w:tc>
          <w:tcPr>
            <w:tcW w:w="1276" w:type="dxa"/>
            <w:shd w:val="clear" w:color="auto" w:fill="auto"/>
            <w:vAlign w:val="center"/>
            <w:hideMark/>
          </w:tcPr>
          <w:p w14:paraId="58EA52C4" w14:textId="77777777" w:rsidR="00691427" w:rsidRPr="008D43DB" w:rsidRDefault="00691427" w:rsidP="008D43DB">
            <w:pPr>
              <w:jc w:val="center"/>
            </w:pPr>
            <w:r w:rsidRPr="008D43DB">
              <w:t>clpP2_R</w:t>
            </w:r>
          </w:p>
        </w:tc>
        <w:tc>
          <w:tcPr>
            <w:tcW w:w="4030" w:type="dxa"/>
            <w:shd w:val="clear" w:color="auto" w:fill="auto"/>
            <w:vAlign w:val="center"/>
            <w:hideMark/>
          </w:tcPr>
          <w:p w14:paraId="307611BB" w14:textId="77777777" w:rsidR="00691427" w:rsidRPr="008D43DB" w:rsidRDefault="00691427" w:rsidP="008D43DB">
            <w:pPr>
              <w:keepNext/>
              <w:jc w:val="center"/>
            </w:pPr>
            <w:r w:rsidRPr="008D43DB">
              <w:t>CATGTGTTCCTCCTGCAAGTAA</w:t>
            </w:r>
          </w:p>
        </w:tc>
      </w:tr>
    </w:tbl>
    <w:p w14:paraId="6CDA2214" w14:textId="77777777" w:rsidR="0075068E" w:rsidRPr="0075068E" w:rsidRDefault="00C660CE" w:rsidP="0075068E">
      <w:pPr>
        <w:pStyle w:val="Caption"/>
      </w:pPr>
      <w:bookmarkStart w:id="138" w:name="_Toc5807391"/>
      <w:r>
        <w:t xml:space="preserve">Table </w:t>
      </w:r>
      <w:r w:rsidR="00C371B6">
        <w:t>A.1</w:t>
      </w:r>
      <w:r w:rsidR="0075068E">
        <w:t xml:space="preserve"> </w:t>
      </w:r>
      <w:r w:rsidR="00691427" w:rsidRPr="006818EE">
        <w:rPr>
          <w:iCs/>
        </w:rPr>
        <w:t>qRTPCR Primers.</w:t>
      </w:r>
      <w:bookmarkEnd w:id="138"/>
      <w:r w:rsidR="00691427" w:rsidRPr="006818EE">
        <w:rPr>
          <w:iCs/>
        </w:rPr>
        <w:t xml:space="preserve"> </w:t>
      </w:r>
    </w:p>
    <w:p w14:paraId="075A4A90" w14:textId="77777777" w:rsidR="00691427" w:rsidRPr="006818EE" w:rsidRDefault="00691427" w:rsidP="0023293B">
      <w:pPr>
        <w:spacing w:line="240" w:lineRule="auto"/>
        <w:jc w:val="both"/>
        <w:rPr>
          <w:iCs/>
        </w:rPr>
      </w:pPr>
      <w:r w:rsidRPr="006818EE">
        <w:t xml:space="preserve">Integrated DNA Technologies (IDT) PrimerQuest tool was used to pick primer pairs for </w:t>
      </w:r>
      <w:r w:rsidRPr="006818EE">
        <w:rPr>
          <w:i/>
          <w:iCs/>
        </w:rPr>
        <w:t xml:space="preserve">clpP1 </w:t>
      </w:r>
      <w:r w:rsidRPr="006818EE">
        <w:t xml:space="preserve">and </w:t>
      </w:r>
      <w:r w:rsidRPr="006818EE">
        <w:rPr>
          <w:i/>
          <w:iCs/>
        </w:rPr>
        <w:t>clpP2</w:t>
      </w:r>
      <w:r w:rsidRPr="006818EE">
        <w:t xml:space="preserve">. </w:t>
      </w:r>
      <w:r w:rsidRPr="006818EE">
        <w:rPr>
          <w:i/>
          <w:iCs/>
        </w:rPr>
        <w:t>rpoB</w:t>
      </w:r>
      <w:r w:rsidRPr="006818EE">
        <w:t>, the gene that encodes the β-subunit of bacterial RNA polymerase, was used as the reference gene.</w:t>
      </w:r>
      <w:r w:rsidRPr="006818EE">
        <w:rPr>
          <w:iCs/>
        </w:rPr>
        <w:t xml:space="preserve"> </w:t>
      </w:r>
    </w:p>
    <w:p w14:paraId="2DEB1C01" w14:textId="77777777" w:rsidR="00691427" w:rsidRPr="006818EE" w:rsidRDefault="00691427" w:rsidP="00691427">
      <w:pPr>
        <w:rPr>
          <w:b/>
        </w:rPr>
      </w:pPr>
    </w:p>
    <w:tbl>
      <w:tblPr>
        <w:tblW w:w="5200" w:type="dxa"/>
        <w:jc w:val="center"/>
        <w:tblCellMar>
          <w:left w:w="0" w:type="dxa"/>
          <w:right w:w="0" w:type="dxa"/>
        </w:tblCellMar>
        <w:tblLook w:val="0600" w:firstRow="0" w:lastRow="0" w:firstColumn="0" w:lastColumn="0" w:noHBand="1" w:noVBand="1"/>
      </w:tblPr>
      <w:tblGrid>
        <w:gridCol w:w="1300"/>
        <w:gridCol w:w="1300"/>
        <w:gridCol w:w="1300"/>
        <w:gridCol w:w="1300"/>
      </w:tblGrid>
      <w:tr w:rsidR="00691427" w:rsidRPr="008D43DB" w14:paraId="3A8DE64E" w14:textId="77777777" w:rsidTr="00A62DEC">
        <w:trPr>
          <w:trHeight w:val="300"/>
          <w:jc w:val="center"/>
        </w:trPr>
        <w:tc>
          <w:tcPr>
            <w:tcW w:w="1300" w:type="dxa"/>
            <w:tcBorders>
              <w:left w:val="nil"/>
            </w:tcBorders>
            <w:shd w:val="clear" w:color="auto" w:fill="auto"/>
            <w:tcMar>
              <w:top w:w="10" w:type="dxa"/>
              <w:left w:w="10" w:type="dxa"/>
              <w:bottom w:w="0" w:type="dxa"/>
              <w:right w:w="10" w:type="dxa"/>
            </w:tcMar>
            <w:vAlign w:val="bottom"/>
            <w:hideMark/>
          </w:tcPr>
          <w:p w14:paraId="2F9E13DA" w14:textId="77777777" w:rsidR="00691427" w:rsidRPr="006818EE" w:rsidRDefault="00691427" w:rsidP="00A62DEC">
            <w:pPr>
              <w:rPr>
                <w:b/>
              </w:rPr>
            </w:pPr>
          </w:p>
        </w:tc>
        <w:tc>
          <w:tcPr>
            <w:tcW w:w="1300" w:type="dxa"/>
            <w:tcBorders>
              <w:bottom w:val="single" w:sz="4" w:space="0" w:color="000000"/>
            </w:tcBorders>
            <w:shd w:val="clear" w:color="auto" w:fill="auto"/>
            <w:tcMar>
              <w:top w:w="10" w:type="dxa"/>
              <w:left w:w="10" w:type="dxa"/>
              <w:bottom w:w="0" w:type="dxa"/>
              <w:right w:w="10" w:type="dxa"/>
            </w:tcMar>
            <w:vAlign w:val="bottom"/>
            <w:hideMark/>
          </w:tcPr>
          <w:p w14:paraId="5E6C6298" w14:textId="77777777" w:rsidR="00691427" w:rsidRPr="006818EE" w:rsidRDefault="00691427" w:rsidP="00A62DEC">
            <w:pPr>
              <w:jc w:val="center"/>
              <w:rPr>
                <w:b/>
              </w:rPr>
            </w:pPr>
            <w:r w:rsidRPr="006818EE">
              <w:rPr>
                <w:b/>
                <w:i/>
                <w:iCs/>
              </w:rPr>
              <w:t>clpP1</w:t>
            </w:r>
          </w:p>
        </w:tc>
        <w:tc>
          <w:tcPr>
            <w:tcW w:w="1300" w:type="dxa"/>
            <w:tcBorders>
              <w:bottom w:val="single" w:sz="4" w:space="0" w:color="000000"/>
            </w:tcBorders>
            <w:shd w:val="clear" w:color="auto" w:fill="auto"/>
            <w:tcMar>
              <w:top w:w="10" w:type="dxa"/>
              <w:left w:w="10" w:type="dxa"/>
              <w:bottom w:w="0" w:type="dxa"/>
              <w:right w:w="10" w:type="dxa"/>
            </w:tcMar>
            <w:vAlign w:val="bottom"/>
            <w:hideMark/>
          </w:tcPr>
          <w:p w14:paraId="7F0F373C" w14:textId="77777777" w:rsidR="00691427" w:rsidRPr="006818EE" w:rsidRDefault="00691427" w:rsidP="00A62DEC">
            <w:pPr>
              <w:jc w:val="center"/>
              <w:rPr>
                <w:b/>
              </w:rPr>
            </w:pPr>
            <w:r w:rsidRPr="006818EE">
              <w:rPr>
                <w:b/>
                <w:i/>
                <w:iCs/>
              </w:rPr>
              <w:t>clpP2</w:t>
            </w:r>
          </w:p>
        </w:tc>
        <w:tc>
          <w:tcPr>
            <w:tcW w:w="1300" w:type="dxa"/>
            <w:tcBorders>
              <w:bottom w:val="single" w:sz="4" w:space="0" w:color="000000"/>
            </w:tcBorders>
            <w:shd w:val="clear" w:color="auto" w:fill="auto"/>
            <w:tcMar>
              <w:top w:w="10" w:type="dxa"/>
              <w:left w:w="10" w:type="dxa"/>
              <w:bottom w:w="0" w:type="dxa"/>
              <w:right w:w="10" w:type="dxa"/>
            </w:tcMar>
            <w:vAlign w:val="bottom"/>
            <w:hideMark/>
          </w:tcPr>
          <w:p w14:paraId="05C6E6B8" w14:textId="77777777" w:rsidR="00691427" w:rsidRPr="006818EE" w:rsidRDefault="00691427" w:rsidP="00A62DEC">
            <w:pPr>
              <w:jc w:val="center"/>
              <w:rPr>
                <w:b/>
              </w:rPr>
            </w:pPr>
            <w:r w:rsidRPr="006818EE">
              <w:rPr>
                <w:b/>
                <w:i/>
                <w:iCs/>
              </w:rPr>
              <w:t>rpoB</w:t>
            </w:r>
          </w:p>
        </w:tc>
      </w:tr>
      <w:tr w:rsidR="00691427" w:rsidRPr="008D43DB" w14:paraId="2A76E05B" w14:textId="77777777" w:rsidTr="00A62DEC">
        <w:trPr>
          <w:trHeight w:val="300"/>
          <w:jc w:val="center"/>
        </w:trPr>
        <w:tc>
          <w:tcPr>
            <w:tcW w:w="1300" w:type="dxa"/>
            <w:shd w:val="clear" w:color="auto" w:fill="auto"/>
            <w:tcMar>
              <w:top w:w="10" w:type="dxa"/>
              <w:left w:w="10" w:type="dxa"/>
              <w:bottom w:w="0" w:type="dxa"/>
              <w:right w:w="10" w:type="dxa"/>
            </w:tcMar>
            <w:vAlign w:val="bottom"/>
            <w:hideMark/>
          </w:tcPr>
          <w:p w14:paraId="70C9006C" w14:textId="77777777" w:rsidR="00691427" w:rsidRPr="006818EE" w:rsidRDefault="00691427" w:rsidP="00A62DEC">
            <w:pPr>
              <w:jc w:val="right"/>
              <w:rPr>
                <w:b/>
              </w:rPr>
            </w:pPr>
            <w:r w:rsidRPr="006818EE">
              <w:rPr>
                <w:b/>
              </w:rPr>
              <w:t>Log</w:t>
            </w:r>
          </w:p>
        </w:tc>
        <w:tc>
          <w:tcPr>
            <w:tcW w:w="1300" w:type="dxa"/>
            <w:tcBorders>
              <w:top w:val="single" w:sz="4" w:space="0" w:color="000000"/>
            </w:tcBorders>
            <w:shd w:val="clear" w:color="auto" w:fill="auto"/>
            <w:tcMar>
              <w:top w:w="10" w:type="dxa"/>
              <w:left w:w="10" w:type="dxa"/>
              <w:bottom w:w="0" w:type="dxa"/>
              <w:right w:w="10" w:type="dxa"/>
            </w:tcMar>
            <w:vAlign w:val="bottom"/>
            <w:hideMark/>
          </w:tcPr>
          <w:p w14:paraId="6A221103" w14:textId="77777777" w:rsidR="00691427" w:rsidRPr="006818EE" w:rsidRDefault="00691427" w:rsidP="00A62DEC">
            <w:r w:rsidRPr="006818EE">
              <w:rPr>
                <w:lang w:val="hr-HR"/>
              </w:rPr>
              <w:t>14.80 ± 0.02</w:t>
            </w:r>
          </w:p>
        </w:tc>
        <w:tc>
          <w:tcPr>
            <w:tcW w:w="1300" w:type="dxa"/>
            <w:tcBorders>
              <w:top w:val="single" w:sz="4" w:space="0" w:color="000000"/>
            </w:tcBorders>
            <w:shd w:val="clear" w:color="auto" w:fill="auto"/>
            <w:tcMar>
              <w:top w:w="10" w:type="dxa"/>
              <w:left w:w="10" w:type="dxa"/>
              <w:bottom w:w="0" w:type="dxa"/>
              <w:right w:w="10" w:type="dxa"/>
            </w:tcMar>
            <w:vAlign w:val="bottom"/>
            <w:hideMark/>
          </w:tcPr>
          <w:p w14:paraId="37F3A1F1" w14:textId="77777777" w:rsidR="00691427" w:rsidRPr="006818EE" w:rsidRDefault="00691427" w:rsidP="00A62DEC">
            <w:r w:rsidRPr="006818EE">
              <w:rPr>
                <w:lang w:val="nb-NO"/>
              </w:rPr>
              <w:t>20.88 ± 0.02</w:t>
            </w:r>
          </w:p>
        </w:tc>
        <w:tc>
          <w:tcPr>
            <w:tcW w:w="1300" w:type="dxa"/>
            <w:tcBorders>
              <w:top w:val="single" w:sz="4" w:space="0" w:color="000000"/>
            </w:tcBorders>
            <w:shd w:val="clear" w:color="auto" w:fill="auto"/>
            <w:tcMar>
              <w:top w:w="10" w:type="dxa"/>
              <w:left w:w="10" w:type="dxa"/>
              <w:bottom w:w="0" w:type="dxa"/>
              <w:right w:w="10" w:type="dxa"/>
            </w:tcMar>
            <w:vAlign w:val="bottom"/>
            <w:hideMark/>
          </w:tcPr>
          <w:p w14:paraId="18986C13" w14:textId="77777777" w:rsidR="00691427" w:rsidRPr="006818EE" w:rsidRDefault="00691427" w:rsidP="00A62DEC">
            <w:r w:rsidRPr="006818EE">
              <w:rPr>
                <w:lang w:val="hr-HR"/>
              </w:rPr>
              <w:t>16.81 ± 0.00</w:t>
            </w:r>
          </w:p>
        </w:tc>
      </w:tr>
      <w:tr w:rsidR="00691427" w:rsidRPr="008D43DB" w14:paraId="3B3C54DE" w14:textId="77777777" w:rsidTr="00A62DEC">
        <w:trPr>
          <w:trHeight w:val="300"/>
          <w:jc w:val="center"/>
        </w:trPr>
        <w:tc>
          <w:tcPr>
            <w:tcW w:w="1300" w:type="dxa"/>
            <w:shd w:val="clear" w:color="auto" w:fill="auto"/>
            <w:tcMar>
              <w:top w:w="10" w:type="dxa"/>
              <w:left w:w="10" w:type="dxa"/>
              <w:bottom w:w="0" w:type="dxa"/>
              <w:right w:w="10" w:type="dxa"/>
            </w:tcMar>
            <w:vAlign w:val="bottom"/>
            <w:hideMark/>
          </w:tcPr>
          <w:p w14:paraId="2D89D987" w14:textId="77777777" w:rsidR="00691427" w:rsidRPr="006818EE" w:rsidRDefault="00691427" w:rsidP="00A62DEC">
            <w:pPr>
              <w:jc w:val="right"/>
              <w:rPr>
                <w:b/>
              </w:rPr>
            </w:pPr>
            <w:r w:rsidRPr="006818EE">
              <w:rPr>
                <w:b/>
              </w:rPr>
              <w:t>Stationary</w:t>
            </w:r>
          </w:p>
        </w:tc>
        <w:tc>
          <w:tcPr>
            <w:tcW w:w="1300" w:type="dxa"/>
            <w:shd w:val="clear" w:color="auto" w:fill="auto"/>
            <w:tcMar>
              <w:top w:w="10" w:type="dxa"/>
              <w:left w:w="10" w:type="dxa"/>
              <w:bottom w:w="0" w:type="dxa"/>
              <w:right w:w="10" w:type="dxa"/>
            </w:tcMar>
            <w:vAlign w:val="bottom"/>
            <w:hideMark/>
          </w:tcPr>
          <w:p w14:paraId="1C6ADB0C" w14:textId="77777777" w:rsidR="00691427" w:rsidRPr="006818EE" w:rsidRDefault="00691427" w:rsidP="00A62DEC">
            <w:r w:rsidRPr="006818EE">
              <w:rPr>
                <w:lang w:val="hr-HR"/>
              </w:rPr>
              <w:t>17.34 ± 0.01</w:t>
            </w:r>
          </w:p>
        </w:tc>
        <w:tc>
          <w:tcPr>
            <w:tcW w:w="1300" w:type="dxa"/>
            <w:shd w:val="clear" w:color="auto" w:fill="auto"/>
            <w:tcMar>
              <w:top w:w="10" w:type="dxa"/>
              <w:left w:w="10" w:type="dxa"/>
              <w:bottom w:w="0" w:type="dxa"/>
              <w:right w:w="10" w:type="dxa"/>
            </w:tcMar>
            <w:vAlign w:val="bottom"/>
            <w:hideMark/>
          </w:tcPr>
          <w:p w14:paraId="4A622E61" w14:textId="77777777" w:rsidR="00691427" w:rsidRPr="006818EE" w:rsidRDefault="00691427" w:rsidP="00A62DEC">
            <w:r w:rsidRPr="006818EE">
              <w:rPr>
                <w:lang w:val="hr-HR"/>
              </w:rPr>
              <w:t>22.68 ± 0.02</w:t>
            </w:r>
          </w:p>
        </w:tc>
        <w:tc>
          <w:tcPr>
            <w:tcW w:w="1300" w:type="dxa"/>
            <w:shd w:val="clear" w:color="auto" w:fill="auto"/>
            <w:tcMar>
              <w:top w:w="10" w:type="dxa"/>
              <w:left w:w="10" w:type="dxa"/>
              <w:bottom w:w="0" w:type="dxa"/>
              <w:right w:w="10" w:type="dxa"/>
            </w:tcMar>
            <w:vAlign w:val="bottom"/>
            <w:hideMark/>
          </w:tcPr>
          <w:p w14:paraId="339A22F8" w14:textId="77777777" w:rsidR="00691427" w:rsidRPr="006818EE" w:rsidRDefault="00691427" w:rsidP="0075068E">
            <w:pPr>
              <w:keepNext/>
            </w:pPr>
            <w:r w:rsidRPr="006818EE">
              <w:rPr>
                <w:lang w:val="nb-NO"/>
              </w:rPr>
              <w:t>19.89 ± 0.02</w:t>
            </w:r>
          </w:p>
        </w:tc>
      </w:tr>
    </w:tbl>
    <w:p w14:paraId="14909B26" w14:textId="7C2BCFBF" w:rsidR="00691427" w:rsidRDefault="0075068E" w:rsidP="00C371B6">
      <w:pPr>
        <w:pStyle w:val="Caption"/>
        <w:jc w:val="both"/>
      </w:pPr>
      <w:bookmarkStart w:id="139" w:name="_Toc5807392"/>
      <w:r>
        <w:t xml:space="preserve">Table </w:t>
      </w:r>
      <w:r w:rsidR="00C371B6">
        <w:t>A.2</w:t>
      </w:r>
      <w:r>
        <w:t xml:space="preserve"> </w:t>
      </w:r>
      <w:r w:rsidR="00691427" w:rsidRPr="006818EE">
        <w:t>C</w:t>
      </w:r>
      <w:r w:rsidR="00691427" w:rsidRPr="00D82138">
        <w:rPr>
          <w:vertAlign w:val="subscript"/>
        </w:rPr>
        <w:t>t</w:t>
      </w:r>
      <w:r w:rsidR="00691427" w:rsidRPr="006818EE">
        <w:t xml:space="preserve"> counts for qRT-PCR</w:t>
      </w:r>
      <w:r w:rsidR="00691427">
        <w:t xml:space="preserve"> Individual C</w:t>
      </w:r>
      <w:r w:rsidR="00691427">
        <w:rPr>
          <w:vertAlign w:val="subscript"/>
        </w:rPr>
        <w:t xml:space="preserve">t </w:t>
      </w:r>
      <w:r w:rsidR="00691427">
        <w:t>values for each transcript quantified</w:t>
      </w:r>
      <w:bookmarkEnd w:id="139"/>
    </w:p>
    <w:p w14:paraId="37CDD07E" w14:textId="01939334" w:rsidR="00DF0FA1" w:rsidRPr="00DF0FA1" w:rsidRDefault="00DF0FA1" w:rsidP="00DF0FA1">
      <w:r>
        <w:t>Raw C</w:t>
      </w:r>
      <w:r>
        <w:rPr>
          <w:vertAlign w:val="subscript"/>
        </w:rPr>
        <w:t>t</w:t>
      </w:r>
      <w:r>
        <w:t xml:space="preserve"> counts for qRT-PCR</w:t>
      </w:r>
      <w:r w:rsidR="006D0C5F">
        <w:t xml:space="preserve"> experiments performed in Chapter 2.</w:t>
      </w:r>
    </w:p>
    <w:p w14:paraId="38A8E0BC" w14:textId="3C734A28" w:rsidR="0075068E" w:rsidRDefault="001A3FA6" w:rsidP="0075068E">
      <w:pPr>
        <w:keepNext/>
      </w:pPr>
      <w:r w:rsidRPr="00F9529F">
        <w:rPr>
          <w:noProof/>
        </w:rPr>
        <w:lastRenderedPageBreak/>
        <w:drawing>
          <wp:inline distT="0" distB="0" distL="0" distR="0" wp14:anchorId="6ACEC57B" wp14:editId="197ADFAB">
            <wp:extent cx="5669280" cy="1678305"/>
            <wp:effectExtent l="0" t="0" r="0" b="0"/>
            <wp:docPr id="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669280" cy="1678305"/>
                    </a:xfrm>
                    <a:prstGeom prst="rect">
                      <a:avLst/>
                    </a:prstGeom>
                    <a:noFill/>
                    <a:ln>
                      <a:noFill/>
                    </a:ln>
                  </pic:spPr>
                </pic:pic>
              </a:graphicData>
            </a:graphic>
          </wp:inline>
        </w:drawing>
      </w:r>
    </w:p>
    <w:p w14:paraId="41C25C2C" w14:textId="6C8B6AD5" w:rsidR="0075068E" w:rsidRPr="0075068E" w:rsidRDefault="0075068E" w:rsidP="0075068E">
      <w:pPr>
        <w:pStyle w:val="Caption"/>
      </w:pPr>
      <w:bookmarkStart w:id="140" w:name="_Toc5807421"/>
      <w:r>
        <w:t xml:space="preserve">Figure </w:t>
      </w:r>
      <w:r w:rsidR="00C371B6">
        <w:t>A.1</w:t>
      </w:r>
      <w:r>
        <w:t xml:space="preserve"> </w:t>
      </w:r>
      <w:r w:rsidR="00691427" w:rsidRPr="006818EE">
        <w:t>HR-ESIMS peptide digest and sequencing results.</w:t>
      </w:r>
      <w:bookmarkEnd w:id="140"/>
      <w:r w:rsidR="00691427" w:rsidRPr="006818EE">
        <w:t xml:space="preserve"> </w:t>
      </w:r>
    </w:p>
    <w:p w14:paraId="5856CF96" w14:textId="77777777" w:rsidR="00691427" w:rsidRPr="006818EE" w:rsidRDefault="00691427" w:rsidP="0023293B">
      <w:pPr>
        <w:spacing w:line="240" w:lineRule="auto"/>
        <w:jc w:val="both"/>
        <w:rPr>
          <w:b/>
        </w:rPr>
      </w:pPr>
      <w:r w:rsidRPr="006818EE">
        <w:t>Combined sequence coverage of ClpP1 (bottom) and ClpP2 (top) prepared from Δ</w:t>
      </w:r>
      <w:r w:rsidRPr="006818EE">
        <w:rPr>
          <w:i/>
        </w:rPr>
        <w:t>Ec</w:t>
      </w:r>
      <w:r w:rsidRPr="006818EE">
        <w:t>ClpP. Coverage obtained following data merging after trypsin and chymotrypsin digest.</w:t>
      </w:r>
      <w:r w:rsidRPr="006818EE">
        <w:rPr>
          <w:b/>
        </w:rPr>
        <w:t xml:space="preserve"> </w:t>
      </w:r>
      <w:r w:rsidRPr="006818EE">
        <w:t>Bold underline: identified sequence; green: amino acids differing between the two isoforms.</w:t>
      </w:r>
      <w:r w:rsidRPr="006818EE">
        <w:rPr>
          <w:b/>
        </w:rPr>
        <w:t xml:space="preserve"> </w:t>
      </w:r>
    </w:p>
    <w:p w14:paraId="156691E6" w14:textId="77777777" w:rsidR="00691427" w:rsidRPr="006818EE" w:rsidRDefault="00691427" w:rsidP="00691427"/>
    <w:p w14:paraId="1AF7E752" w14:textId="77777777" w:rsidR="0075068E" w:rsidRDefault="001A3FA6" w:rsidP="0075068E">
      <w:pPr>
        <w:keepNext/>
      </w:pPr>
      <w:r w:rsidRPr="00F9529F">
        <w:rPr>
          <w:noProof/>
        </w:rPr>
        <w:drawing>
          <wp:inline distT="0" distB="0" distL="0" distR="0" wp14:anchorId="19E370D3" wp14:editId="456C0FFD">
            <wp:extent cx="5400040" cy="2603500"/>
            <wp:effectExtent l="0" t="0" r="0" b="0"/>
            <wp:docPr id="32"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040" cy="2603500"/>
                    </a:xfrm>
                    <a:prstGeom prst="rect">
                      <a:avLst/>
                    </a:prstGeom>
                    <a:noFill/>
                    <a:ln>
                      <a:noFill/>
                    </a:ln>
                  </pic:spPr>
                </pic:pic>
              </a:graphicData>
            </a:graphic>
          </wp:inline>
        </w:drawing>
      </w:r>
    </w:p>
    <w:p w14:paraId="3371E232" w14:textId="2C9C34E1" w:rsidR="00691427" w:rsidRPr="0075068E" w:rsidRDefault="0075068E" w:rsidP="0075068E">
      <w:pPr>
        <w:pStyle w:val="Caption"/>
      </w:pPr>
      <w:bookmarkStart w:id="141" w:name="_Toc5807422"/>
      <w:r>
        <w:t xml:space="preserve">Figure </w:t>
      </w:r>
      <w:r w:rsidR="00C371B6">
        <w:t>A.2</w:t>
      </w:r>
      <w:r>
        <w:t xml:space="preserve"> </w:t>
      </w:r>
      <w:r w:rsidR="00691427" w:rsidRPr="006818EE">
        <w:t xml:space="preserve">pUNK DLS results for ClpP1 prepared from </w:t>
      </w:r>
      <w:r w:rsidR="00691427" w:rsidRPr="006818EE">
        <w:rPr>
          <w:lang w:eastAsia="zh-CN"/>
        </w:rPr>
        <w:t>Δ</w:t>
      </w:r>
      <w:r w:rsidR="00691427" w:rsidRPr="006818EE">
        <w:rPr>
          <w:i/>
          <w:lang w:eastAsia="zh-CN"/>
        </w:rPr>
        <w:t>Ec</w:t>
      </w:r>
      <w:r w:rsidR="00691427" w:rsidRPr="006818EE">
        <w:rPr>
          <w:lang w:eastAsia="zh-CN"/>
        </w:rPr>
        <w:t>ClpP cells.</w:t>
      </w:r>
      <w:bookmarkEnd w:id="141"/>
      <w:r w:rsidR="00691427" w:rsidRPr="006818EE">
        <w:t xml:space="preserve"> </w:t>
      </w:r>
    </w:p>
    <w:p w14:paraId="32FF74DA" w14:textId="0AE6F46B" w:rsidR="00691427" w:rsidRPr="006818EE" w:rsidRDefault="006D0C5F" w:rsidP="006D0C5F">
      <w:pPr>
        <w:spacing w:line="240" w:lineRule="auto"/>
      </w:pPr>
      <w:r>
        <w:t>DLS measurements were performed in order to demonstrate monodispersity of the ClpP1 sample, and understand if multiple complexes were being performed.</w:t>
      </w:r>
    </w:p>
    <w:p w14:paraId="0D329D20" w14:textId="77777777" w:rsidR="00691427" w:rsidRPr="006818EE" w:rsidRDefault="00691427" w:rsidP="00691427"/>
    <w:p w14:paraId="69C28481" w14:textId="77777777" w:rsidR="0075068E" w:rsidRDefault="001A3FA6" w:rsidP="0075068E">
      <w:pPr>
        <w:keepNext/>
      </w:pPr>
      <w:r w:rsidRPr="00F9529F">
        <w:rPr>
          <w:noProof/>
        </w:rPr>
        <w:lastRenderedPageBreak/>
        <w:drawing>
          <wp:inline distT="0" distB="0" distL="0" distR="0" wp14:anchorId="5DAE45BC" wp14:editId="01B61B90">
            <wp:extent cx="5389880" cy="2538730"/>
            <wp:effectExtent l="0" t="0" r="0" b="0"/>
            <wp:docPr id="33"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89880" cy="2538730"/>
                    </a:xfrm>
                    <a:prstGeom prst="rect">
                      <a:avLst/>
                    </a:prstGeom>
                    <a:noFill/>
                    <a:ln>
                      <a:noFill/>
                    </a:ln>
                  </pic:spPr>
                </pic:pic>
              </a:graphicData>
            </a:graphic>
          </wp:inline>
        </w:drawing>
      </w:r>
    </w:p>
    <w:p w14:paraId="66622553" w14:textId="1DA6B625" w:rsidR="00691427" w:rsidRDefault="0075068E" w:rsidP="0075068E">
      <w:pPr>
        <w:pStyle w:val="Caption"/>
        <w:rPr>
          <w:lang w:eastAsia="zh-CN"/>
        </w:rPr>
      </w:pPr>
      <w:bookmarkStart w:id="142" w:name="_Toc5807423"/>
      <w:r>
        <w:t xml:space="preserve">Figure </w:t>
      </w:r>
      <w:r w:rsidR="00C371B6">
        <w:t>A.3</w:t>
      </w:r>
      <w:r>
        <w:t xml:space="preserve"> </w:t>
      </w:r>
      <w:r w:rsidR="00691427" w:rsidRPr="006818EE">
        <w:t xml:space="preserve">pUNK DLS results for ClpP2 prepared from </w:t>
      </w:r>
      <w:r w:rsidR="00691427" w:rsidRPr="006818EE">
        <w:rPr>
          <w:lang w:eastAsia="zh-CN"/>
        </w:rPr>
        <w:t>Δ</w:t>
      </w:r>
      <w:r w:rsidR="00691427" w:rsidRPr="006818EE">
        <w:rPr>
          <w:i/>
          <w:lang w:eastAsia="zh-CN"/>
        </w:rPr>
        <w:t>Ec</w:t>
      </w:r>
      <w:r w:rsidR="00691427" w:rsidRPr="006818EE">
        <w:rPr>
          <w:lang w:eastAsia="zh-CN"/>
        </w:rPr>
        <w:t>ClpP cells.</w:t>
      </w:r>
      <w:bookmarkEnd w:id="142"/>
    </w:p>
    <w:p w14:paraId="27F95EDF" w14:textId="6CE6A344" w:rsidR="006D0C5F" w:rsidRPr="006818EE" w:rsidRDefault="006D0C5F" w:rsidP="006D0C5F">
      <w:pPr>
        <w:spacing w:line="240" w:lineRule="auto"/>
      </w:pPr>
      <w:r>
        <w:t>DLS measurements were performed in order to demonstrate monodispersity of the ClpP</w:t>
      </w:r>
      <w:r w:rsidR="00930C17">
        <w:t>2</w:t>
      </w:r>
      <w:r>
        <w:t xml:space="preserve"> sample, and understand if multiple complexes were being performed.</w:t>
      </w:r>
    </w:p>
    <w:p w14:paraId="1C98582A" w14:textId="77777777" w:rsidR="00DF0FA1" w:rsidRPr="00DF0FA1" w:rsidRDefault="00DF0FA1" w:rsidP="00DF0FA1">
      <w:pPr>
        <w:rPr>
          <w:lang w:eastAsia="zh-CN"/>
        </w:rPr>
      </w:pPr>
    </w:p>
    <w:p w14:paraId="5E3EC089" w14:textId="77777777" w:rsidR="0075068E" w:rsidRDefault="001A3FA6" w:rsidP="0075068E">
      <w:pPr>
        <w:keepNext/>
        <w:jc w:val="center"/>
      </w:pPr>
      <w:r w:rsidRPr="008D43DB">
        <w:rPr>
          <w:b/>
          <w:noProof/>
        </w:rPr>
        <w:drawing>
          <wp:inline distT="0" distB="0" distL="0" distR="0" wp14:anchorId="424C03C2" wp14:editId="7938F5E7">
            <wp:extent cx="3098165" cy="2044065"/>
            <wp:effectExtent l="0" t="0" r="0" b="0"/>
            <wp:docPr id="34"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98165" cy="2044065"/>
                    </a:xfrm>
                    <a:prstGeom prst="rect">
                      <a:avLst/>
                    </a:prstGeom>
                    <a:noFill/>
                    <a:ln>
                      <a:noFill/>
                    </a:ln>
                  </pic:spPr>
                </pic:pic>
              </a:graphicData>
            </a:graphic>
          </wp:inline>
        </w:drawing>
      </w:r>
    </w:p>
    <w:p w14:paraId="286D2A60" w14:textId="78D210AF" w:rsidR="00691427" w:rsidRPr="0075068E" w:rsidRDefault="0075068E" w:rsidP="0075068E">
      <w:pPr>
        <w:pStyle w:val="Caption"/>
        <w:rPr>
          <w:b w:val="0"/>
          <w:highlight w:val="yellow"/>
        </w:rPr>
      </w:pPr>
      <w:bookmarkStart w:id="143" w:name="_Toc5807424"/>
      <w:r>
        <w:t xml:space="preserve">Figure </w:t>
      </w:r>
      <w:r w:rsidR="00C371B6">
        <w:t>A.4</w:t>
      </w:r>
      <w:r>
        <w:t xml:space="preserve"> </w:t>
      </w:r>
      <w:r w:rsidR="00691427" w:rsidRPr="006818EE">
        <w:t>Predicted ClpP2 disulfides predicted by DiANNA.</w:t>
      </w:r>
      <w:bookmarkEnd w:id="143"/>
    </w:p>
    <w:p w14:paraId="2AE68191" w14:textId="3FD95998" w:rsidR="00691427" w:rsidRPr="006818EE" w:rsidRDefault="0090150D" w:rsidP="00930C17">
      <w:pPr>
        <w:spacing w:line="240" w:lineRule="auto"/>
        <w:jc w:val="both"/>
      </w:pPr>
      <w:r>
        <w:t>DiANNA webserver can predict potential disulfide bond interactions given the primary sequence of the protein of interest.</w:t>
      </w:r>
      <w:r w:rsidR="00930C17">
        <w:t xml:space="preserve"> This was performed in order to understand the potential for ClpP2 to form disulfide bonds which may have explained the lack of peptidolytic or proteolytic activity in our initial activity experiments.</w:t>
      </w:r>
    </w:p>
    <w:p w14:paraId="68056B85" w14:textId="77777777" w:rsidR="0075068E" w:rsidRDefault="00152AAE" w:rsidP="0075068E">
      <w:pPr>
        <w:keepNext/>
        <w:jc w:val="center"/>
      </w:pPr>
      <w:r w:rsidRPr="006818EE">
        <w:rPr>
          <w:noProof/>
        </w:rPr>
        <w:object w:dxaOrig="10653" w:dyaOrig="13457" w14:anchorId="61E0F76C">
          <v:shape id="_x0000_i1025" type="#_x0000_t75" alt="" style="width:399.75pt;height:510.75pt;mso-width-percent:0;mso-height-percent:0;mso-width-percent:0;mso-height-percent:0" o:ole="">
            <v:imagedata r:id="rId67" o:title=""/>
          </v:shape>
          <o:OLEObject Type="Embed" ProgID="ChemDraw.Document.6.0" ShapeID="_x0000_i1025" DrawAspect="Content" ObjectID="_1619005652" r:id="rId68"/>
        </w:object>
      </w:r>
    </w:p>
    <w:p w14:paraId="32FAB0F9" w14:textId="37F807BD" w:rsidR="0075068E" w:rsidRPr="0075068E" w:rsidRDefault="0075068E" w:rsidP="00C371B6">
      <w:pPr>
        <w:pStyle w:val="Caption"/>
        <w:jc w:val="both"/>
        <w:rPr>
          <w:noProof/>
          <w:lang w:eastAsia="zh-CN"/>
        </w:rPr>
      </w:pPr>
      <w:bookmarkStart w:id="144" w:name="_Toc5807425"/>
      <w:r>
        <w:t xml:space="preserve">Figure </w:t>
      </w:r>
      <w:r w:rsidR="00C371B6">
        <w:t>A.5</w:t>
      </w:r>
      <w:r>
        <w:t xml:space="preserve"> </w:t>
      </w:r>
      <w:r w:rsidR="00691427" w:rsidRPr="006818EE">
        <w:t>Reduction or oxidation of ClpP2 has no consequences on proteolytic activity.</w:t>
      </w:r>
      <w:bookmarkEnd w:id="144"/>
      <w:r w:rsidR="00691427" w:rsidRPr="006818EE">
        <w:t xml:space="preserve"> </w:t>
      </w:r>
    </w:p>
    <w:p w14:paraId="56640A43" w14:textId="77777777" w:rsidR="00691427" w:rsidRPr="006818EE" w:rsidRDefault="00691427" w:rsidP="00C371B6">
      <w:pPr>
        <w:spacing w:line="240" w:lineRule="auto"/>
        <w:jc w:val="both"/>
      </w:pPr>
      <w:r w:rsidRPr="006818EE">
        <w:t>A) SLY-AMC peptidolytic assay over 2h, fluorescence measurements taken 30 m, 60 m, and 120 m with and without 5 mM DTT. B) SLY-AMC peptidolytic assay with reducing (DTT) and oxidizing (H</w:t>
      </w:r>
      <w:r w:rsidRPr="006818EE">
        <w:rPr>
          <w:vertAlign w:val="subscript"/>
        </w:rPr>
        <w:t>2</w:t>
      </w:r>
      <w:r w:rsidRPr="006818EE">
        <w:t>O</w:t>
      </w:r>
      <w:r w:rsidRPr="006818EE">
        <w:rPr>
          <w:vertAlign w:val="subscript"/>
        </w:rPr>
        <w:t>2</w:t>
      </w:r>
      <w:r w:rsidRPr="006818EE">
        <w:t xml:space="preserve">) conditions had no effect on proteolytic activity of ClpP2. Inset, Aliquots from GFP-ssrA degradation assays were diluted 10-fold into 100 </w:t>
      </w:r>
      <w:r w:rsidRPr="006818EE">
        <w:rPr>
          <w:rFonts w:ascii="Calibri" w:hAnsi="Calibri"/>
        </w:rPr>
        <w:t>µ</w:t>
      </w:r>
      <w:r w:rsidRPr="006818EE">
        <w:t xml:space="preserve">L activity buffer containing 5 mM DTT and pipetted in triplicate into a black 96-well flat bottom </w:t>
      </w:r>
      <w:r w:rsidRPr="006818EE">
        <w:lastRenderedPageBreak/>
        <w:t xml:space="preserve">plate. SLY-AMC was added, and the reaction was allowed to proceed for ~48h before reading. </w:t>
      </w:r>
    </w:p>
    <w:p w14:paraId="56EA82F5" w14:textId="77777777" w:rsidR="00691427" w:rsidRPr="006818EE" w:rsidRDefault="00691427" w:rsidP="00691427"/>
    <w:p w14:paraId="7DAEC9F1" w14:textId="77777777" w:rsidR="00691427" w:rsidRPr="006818EE" w:rsidRDefault="00691427" w:rsidP="00691427"/>
    <w:p w14:paraId="358613B2" w14:textId="77777777" w:rsidR="00691427" w:rsidRPr="006818EE" w:rsidRDefault="00691427" w:rsidP="00691427"/>
    <w:p w14:paraId="73AE51ED" w14:textId="77777777" w:rsidR="00691427" w:rsidRPr="006818EE" w:rsidRDefault="001A3FA6" w:rsidP="00691427">
      <w:r>
        <w:rPr>
          <w:noProof/>
        </w:rPr>
        <mc:AlternateContent>
          <mc:Choice Requires="wpg">
            <w:drawing>
              <wp:inline distT="0" distB="0" distL="0" distR="0" wp14:anchorId="36BF3C10" wp14:editId="617005CE">
                <wp:extent cx="5048250" cy="2402205"/>
                <wp:effectExtent l="0" t="0" r="0" b="0"/>
                <wp:docPr id="3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8250" cy="2402205"/>
                          <a:chOff x="-146378" y="-46582"/>
                          <a:chExt cx="5914278" cy="2814773"/>
                        </a:xfrm>
                      </wpg:grpSpPr>
                      <pic:pic xmlns:pic="http://schemas.openxmlformats.org/drawingml/2006/picture">
                        <pic:nvPicPr>
                          <pic:cNvPr id="53" name="Picture 33"/>
                          <pic:cNvPicPr>
                            <a:picLocks/>
                          </pic:cNvPicPr>
                        </pic:nvPicPr>
                        <pic:blipFill>
                          <a:blip r:embed="rId69"/>
                          <a:stretch>
                            <a:fillRect/>
                          </a:stretch>
                        </pic:blipFill>
                        <pic:spPr>
                          <a:xfrm>
                            <a:off x="2804461" y="184634"/>
                            <a:ext cx="2963439" cy="2562829"/>
                          </a:xfrm>
                          <a:prstGeom prst="rect">
                            <a:avLst/>
                          </a:prstGeom>
                        </pic:spPr>
                      </pic:pic>
                      <pic:pic xmlns:pic="http://schemas.openxmlformats.org/drawingml/2006/picture">
                        <pic:nvPicPr>
                          <pic:cNvPr id="54" name="Picture 34"/>
                          <pic:cNvPicPr>
                            <a:picLocks/>
                          </pic:cNvPicPr>
                        </pic:nvPicPr>
                        <pic:blipFill>
                          <a:blip r:embed="rId70"/>
                          <a:stretch>
                            <a:fillRect/>
                          </a:stretch>
                        </pic:blipFill>
                        <pic:spPr>
                          <a:xfrm>
                            <a:off x="-146378" y="324311"/>
                            <a:ext cx="3028333" cy="2443880"/>
                          </a:xfrm>
                          <a:prstGeom prst="rect">
                            <a:avLst/>
                          </a:prstGeom>
                        </pic:spPr>
                      </pic:pic>
                      <wps:wsp>
                        <wps:cNvPr id="55" name="Text Box 35"/>
                        <wps:cNvSpPr txBox="1">
                          <a:spLocks/>
                        </wps:cNvSpPr>
                        <wps:spPr>
                          <a:xfrm>
                            <a:off x="1398850" y="-28106"/>
                            <a:ext cx="557794" cy="312483"/>
                          </a:xfrm>
                          <a:prstGeom prst="rect">
                            <a:avLst/>
                          </a:prstGeom>
                          <a:noFill/>
                        </wps:spPr>
                        <wps:txbx>
                          <w:txbxContent>
                            <w:p w14:paraId="436D0801" w14:textId="77777777" w:rsidR="00FA6D16" w:rsidRPr="00240960" w:rsidRDefault="00FA6D16" w:rsidP="00691427">
                              <w:pPr>
                                <w:pStyle w:val="NormalWeb1"/>
                                <w:spacing w:before="0" w:beforeAutospacing="0" w:after="0" w:afterAutospacing="0"/>
                              </w:pPr>
                              <w:r w:rsidRPr="006818EE">
                                <w:rPr>
                                  <w:rFonts w:ascii="Arial" w:eastAsia="Arial" w:hAnsi="Arial" w:cs="Arial"/>
                                  <w:color w:val="000000"/>
                                  <w:kern w:val="24"/>
                                </w:rPr>
                                <w:t>SLY</w:t>
                              </w:r>
                            </w:p>
                          </w:txbxContent>
                        </wps:txbx>
                        <wps:bodyPr wrap="square" rtlCol="0">
                          <a:spAutoFit/>
                        </wps:bodyPr>
                      </wps:wsp>
                      <wps:wsp>
                        <wps:cNvPr id="56" name="Text Box 36"/>
                        <wps:cNvSpPr txBox="1">
                          <a:spLocks/>
                        </wps:cNvSpPr>
                        <wps:spPr>
                          <a:xfrm>
                            <a:off x="4096196" y="-46582"/>
                            <a:ext cx="767534" cy="312483"/>
                          </a:xfrm>
                          <a:prstGeom prst="rect">
                            <a:avLst/>
                          </a:prstGeom>
                          <a:noFill/>
                        </wps:spPr>
                        <wps:txbx>
                          <w:txbxContent>
                            <w:p w14:paraId="43A46C52" w14:textId="77777777" w:rsidR="00FA6D16" w:rsidRPr="00240960" w:rsidRDefault="00FA6D16" w:rsidP="00691427">
                              <w:pPr>
                                <w:pStyle w:val="NormalWeb1"/>
                                <w:spacing w:before="0" w:beforeAutospacing="0" w:after="0" w:afterAutospacing="0"/>
                              </w:pPr>
                              <w:r w:rsidRPr="006818EE">
                                <w:rPr>
                                  <w:rFonts w:ascii="Arial" w:eastAsia="Arial" w:hAnsi="Arial" w:cs="Arial"/>
                                  <w:color w:val="000000"/>
                                  <w:kern w:val="24"/>
                                </w:rPr>
                                <w:t>Z-GGL</w:t>
                              </w:r>
                            </w:p>
                          </w:txbxContent>
                        </wps:txbx>
                        <wps:bodyPr wrap="square" rtlCol="0">
                          <a:spAutoFit/>
                        </wps:bodyPr>
                      </wps:wsp>
                    </wpg:wgp>
                  </a:graphicData>
                </a:graphic>
              </wp:inline>
            </w:drawing>
          </mc:Choice>
          <mc:Fallback>
            <w:pict>
              <v:group w14:anchorId="36BF3C10" id="Group 1" o:spid="_x0000_s1030" style="width:397.5pt;height:189.15pt;mso-position-horizontal-relative:char;mso-position-vertical-relative:line" coordorigin="-1463,-465" coordsize="59142,2814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">
                <v:shape id="Picture 33" o:spid="_x0000_s1031" type="#_x0000_t75" style="position:absolute;left:28044;top:1846;width:29635;height:256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">
                  <v:imagedata r:id="rId71" o:title=""/>
                  <o:lock v:ext="edit" aspectratio="f"/>
                </v:shape>
                <v:shape id="Picture 34" o:spid="_x0000_s1032" type="#_x0000_t75" style="position:absolute;left:-1463;top:3243;width:30282;height:244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">
                  <v:imagedata r:id="rId72" o:title=""/>
                  <o:lock v:ext="edit" aspectratio="f"/>
                </v:shape>
                <v:shape id="Text Box 35" o:spid="_x0000_s1033" type="#_x0000_t202" style="position:absolute;left:13988;top:-281;width:5578;height:3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" filled="f" stroked="f">
                  <v:textbox style="mso-fit-shape-to-text:t">
                    <w:txbxContent>
                      <w:p w14:paraId="436D0801" w14:textId="77777777" w:rsidR="00FA6D16" w:rsidRPr="00240960" w:rsidRDefault="00FA6D16" w:rsidP="00691427">
                        <w:pPr>
                          <w:pStyle w:val="NormalWeb1"/>
                          <w:spacing w:before="0" w:beforeAutospacing="0" w:after="0" w:afterAutospacing="0"/>
                        </w:pPr>
                        <w:r w:rsidRPr="006818EE">
                          <w:rPr>
                            <w:rFonts w:ascii="Arial" w:eastAsia="Arial" w:hAnsi="Arial" w:cs="Arial"/>
                            <w:color w:val="000000"/>
                            <w:kern w:val="24"/>
                          </w:rPr>
                          <w:t>SLY</w:t>
                        </w:r>
                      </w:p>
                    </w:txbxContent>
                  </v:textbox>
                </v:shape>
                <v:shape id="Text Box 36" o:spid="_x0000_s1034" type="#_x0000_t202" style="position:absolute;left:40961;top:-465;width:7676;height:3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" filled="f" stroked="f">
                  <v:textbox style="mso-fit-shape-to-text:t">
                    <w:txbxContent>
                      <w:p w14:paraId="43A46C52" w14:textId="77777777" w:rsidR="00FA6D16" w:rsidRPr="00240960" w:rsidRDefault="00FA6D16" w:rsidP="00691427">
                        <w:pPr>
                          <w:pStyle w:val="NormalWeb1"/>
                          <w:spacing w:before="0" w:beforeAutospacing="0" w:after="0" w:afterAutospacing="0"/>
                        </w:pPr>
                        <w:r w:rsidRPr="006818EE">
                          <w:rPr>
                            <w:rFonts w:ascii="Arial" w:eastAsia="Arial" w:hAnsi="Arial" w:cs="Arial"/>
                            <w:color w:val="000000"/>
                            <w:kern w:val="24"/>
                          </w:rPr>
                          <w:t>Z-GGL</w:t>
                        </w:r>
                      </w:p>
                    </w:txbxContent>
                  </v:textbox>
                </v:shape>
                <w10:anchorlock/>
              </v:group>
            </w:pict>
          </mc:Fallback>
        </mc:AlternateContent>
      </w:r>
      <w:r w:rsidR="00691427" w:rsidRPr="006818EE">
        <w:t xml:space="preserve"> </w:t>
      </w:r>
    </w:p>
    <w:tbl>
      <w:tblPr>
        <w:tblpPr w:leftFromText="180" w:rightFromText="180" w:vertAnchor="text" w:horzAnchor="margin" w:tblpY="154"/>
        <w:tblOverlap w:val="never"/>
        <w:tblW w:w="0" w:type="auto"/>
        <w:tblLook w:val="04A0" w:firstRow="1" w:lastRow="0" w:firstColumn="1" w:lastColumn="0" w:noHBand="0" w:noVBand="1"/>
      </w:tblPr>
      <w:tblGrid>
        <w:gridCol w:w="1672"/>
        <w:gridCol w:w="1026"/>
        <w:gridCol w:w="1723"/>
        <w:gridCol w:w="1270"/>
        <w:gridCol w:w="1270"/>
      </w:tblGrid>
      <w:tr w:rsidR="00DF0FA1" w:rsidRPr="008D43DB" w14:paraId="65CA47E2" w14:textId="77777777" w:rsidTr="00DF0FA1">
        <w:trPr>
          <w:trHeight w:val="320"/>
        </w:trPr>
        <w:tc>
          <w:tcPr>
            <w:tcW w:w="0" w:type="auto"/>
            <w:shd w:val="clear" w:color="auto" w:fill="auto"/>
            <w:noWrap/>
            <w:hideMark/>
          </w:tcPr>
          <w:p w14:paraId="65F10C12" w14:textId="77777777" w:rsidR="00DF0FA1" w:rsidRPr="008D43DB" w:rsidRDefault="00DF0FA1" w:rsidP="00DF0FA1"/>
        </w:tc>
        <w:tc>
          <w:tcPr>
            <w:tcW w:w="0" w:type="auto"/>
            <w:gridSpan w:val="3"/>
            <w:shd w:val="clear" w:color="auto" w:fill="auto"/>
            <w:noWrap/>
            <w:hideMark/>
          </w:tcPr>
          <w:p w14:paraId="6B68F4D0" w14:textId="77777777" w:rsidR="00DF0FA1" w:rsidRPr="008D43DB" w:rsidRDefault="00DF0FA1" w:rsidP="00DF0FA1">
            <w:pPr>
              <w:rPr>
                <w:b/>
                <w:bCs/>
              </w:rPr>
            </w:pPr>
            <w:r w:rsidRPr="008D43DB">
              <w:rPr>
                <w:b/>
                <w:bCs/>
              </w:rPr>
              <w:t>Rate of Degradation (ΔRFU, min^-1)</w:t>
            </w:r>
          </w:p>
        </w:tc>
        <w:tc>
          <w:tcPr>
            <w:tcW w:w="0" w:type="auto"/>
            <w:shd w:val="clear" w:color="auto" w:fill="auto"/>
            <w:noWrap/>
            <w:hideMark/>
          </w:tcPr>
          <w:p w14:paraId="3484CD71" w14:textId="77777777" w:rsidR="00DF0FA1" w:rsidRPr="008D43DB" w:rsidRDefault="00DF0FA1" w:rsidP="00DF0FA1">
            <w:pPr>
              <w:rPr>
                <w:b/>
                <w:bCs/>
              </w:rPr>
            </w:pPr>
          </w:p>
        </w:tc>
      </w:tr>
      <w:tr w:rsidR="00DF0FA1" w:rsidRPr="008D43DB" w14:paraId="540CC3DE" w14:textId="77777777" w:rsidTr="00DF0FA1">
        <w:trPr>
          <w:trHeight w:val="320"/>
        </w:trPr>
        <w:tc>
          <w:tcPr>
            <w:tcW w:w="0" w:type="auto"/>
            <w:shd w:val="clear" w:color="auto" w:fill="auto"/>
            <w:noWrap/>
            <w:hideMark/>
          </w:tcPr>
          <w:p w14:paraId="1C348F28" w14:textId="77777777" w:rsidR="00DF0FA1" w:rsidRPr="008D43DB" w:rsidRDefault="00DF0FA1" w:rsidP="00DF0FA1"/>
        </w:tc>
        <w:tc>
          <w:tcPr>
            <w:tcW w:w="0" w:type="auto"/>
            <w:tcBorders>
              <w:bottom w:val="single" w:sz="4" w:space="0" w:color="auto"/>
            </w:tcBorders>
            <w:shd w:val="clear" w:color="auto" w:fill="auto"/>
            <w:noWrap/>
            <w:hideMark/>
          </w:tcPr>
          <w:p w14:paraId="2764B425" w14:textId="77777777" w:rsidR="00DF0FA1" w:rsidRPr="008D43DB" w:rsidRDefault="00DF0FA1" w:rsidP="00DF0FA1">
            <w:pPr>
              <w:jc w:val="center"/>
            </w:pPr>
            <w:r w:rsidRPr="008D43DB">
              <w:t>SLY</w:t>
            </w:r>
          </w:p>
        </w:tc>
        <w:tc>
          <w:tcPr>
            <w:tcW w:w="0" w:type="auto"/>
            <w:tcBorders>
              <w:bottom w:val="single" w:sz="4" w:space="0" w:color="auto"/>
            </w:tcBorders>
            <w:shd w:val="clear" w:color="auto" w:fill="auto"/>
            <w:noWrap/>
            <w:hideMark/>
          </w:tcPr>
          <w:p w14:paraId="5D5FB546" w14:textId="77777777" w:rsidR="00DF0FA1" w:rsidRPr="008D43DB" w:rsidRDefault="00DF0FA1" w:rsidP="00DF0FA1">
            <w:pPr>
              <w:jc w:val="center"/>
            </w:pPr>
            <w:r w:rsidRPr="008D43DB">
              <w:t>Rel. ClpP1</w:t>
            </w:r>
          </w:p>
        </w:tc>
        <w:tc>
          <w:tcPr>
            <w:tcW w:w="0" w:type="auto"/>
            <w:tcBorders>
              <w:bottom w:val="single" w:sz="4" w:space="0" w:color="auto"/>
            </w:tcBorders>
            <w:shd w:val="clear" w:color="auto" w:fill="auto"/>
            <w:noWrap/>
            <w:hideMark/>
          </w:tcPr>
          <w:p w14:paraId="3BBA235C" w14:textId="77777777" w:rsidR="00DF0FA1" w:rsidRPr="008D43DB" w:rsidRDefault="00DF0FA1" w:rsidP="00DF0FA1">
            <w:pPr>
              <w:jc w:val="center"/>
            </w:pPr>
            <w:r w:rsidRPr="008D43DB">
              <w:t>Z-GGL</w:t>
            </w:r>
          </w:p>
        </w:tc>
        <w:tc>
          <w:tcPr>
            <w:tcW w:w="0" w:type="auto"/>
            <w:tcBorders>
              <w:bottom w:val="single" w:sz="4" w:space="0" w:color="auto"/>
            </w:tcBorders>
            <w:shd w:val="clear" w:color="auto" w:fill="auto"/>
            <w:noWrap/>
            <w:hideMark/>
          </w:tcPr>
          <w:p w14:paraId="6EEB4D98" w14:textId="77777777" w:rsidR="00DF0FA1" w:rsidRPr="008D43DB" w:rsidRDefault="00DF0FA1" w:rsidP="00DF0FA1">
            <w:pPr>
              <w:jc w:val="center"/>
            </w:pPr>
            <w:r w:rsidRPr="008D43DB">
              <w:t>Rel. ClpP1</w:t>
            </w:r>
          </w:p>
        </w:tc>
      </w:tr>
      <w:tr w:rsidR="00DF0FA1" w:rsidRPr="008D43DB" w14:paraId="2BA65CE1" w14:textId="77777777" w:rsidTr="00DF0FA1">
        <w:trPr>
          <w:trHeight w:val="320"/>
        </w:trPr>
        <w:tc>
          <w:tcPr>
            <w:tcW w:w="0" w:type="auto"/>
            <w:shd w:val="clear" w:color="auto" w:fill="auto"/>
            <w:noWrap/>
            <w:hideMark/>
          </w:tcPr>
          <w:p w14:paraId="08C2FB09" w14:textId="77777777" w:rsidR="00DF0FA1" w:rsidRPr="008D43DB" w:rsidRDefault="00DF0FA1" w:rsidP="00DF0FA1">
            <w:pPr>
              <w:jc w:val="right"/>
            </w:pPr>
            <w:r w:rsidRPr="008D43DB">
              <w:t>ClpP1</w:t>
            </w:r>
          </w:p>
        </w:tc>
        <w:tc>
          <w:tcPr>
            <w:tcW w:w="0" w:type="auto"/>
            <w:tcBorders>
              <w:top w:val="single" w:sz="4" w:space="0" w:color="auto"/>
            </w:tcBorders>
            <w:shd w:val="clear" w:color="auto" w:fill="auto"/>
            <w:noWrap/>
            <w:hideMark/>
          </w:tcPr>
          <w:p w14:paraId="3B254483" w14:textId="77777777" w:rsidR="00DF0FA1" w:rsidRPr="008D43DB" w:rsidRDefault="00DF0FA1" w:rsidP="00DF0FA1">
            <w:pPr>
              <w:jc w:val="center"/>
            </w:pPr>
            <w:r w:rsidRPr="008D43DB">
              <w:t>1944</w:t>
            </w:r>
          </w:p>
        </w:tc>
        <w:tc>
          <w:tcPr>
            <w:tcW w:w="0" w:type="auto"/>
            <w:tcBorders>
              <w:top w:val="single" w:sz="4" w:space="0" w:color="auto"/>
              <w:right w:val="single" w:sz="4" w:space="0" w:color="auto"/>
            </w:tcBorders>
            <w:shd w:val="clear" w:color="auto" w:fill="auto"/>
            <w:noWrap/>
            <w:hideMark/>
          </w:tcPr>
          <w:p w14:paraId="1FC230EE" w14:textId="77777777" w:rsidR="00DF0FA1" w:rsidRPr="008D43DB" w:rsidRDefault="00DF0FA1" w:rsidP="00DF0FA1">
            <w:pPr>
              <w:jc w:val="center"/>
            </w:pPr>
            <w:r w:rsidRPr="008D43DB">
              <w:t>n/a</w:t>
            </w:r>
          </w:p>
        </w:tc>
        <w:tc>
          <w:tcPr>
            <w:tcW w:w="0" w:type="auto"/>
            <w:tcBorders>
              <w:top w:val="single" w:sz="4" w:space="0" w:color="auto"/>
              <w:left w:val="single" w:sz="4" w:space="0" w:color="auto"/>
            </w:tcBorders>
            <w:shd w:val="clear" w:color="auto" w:fill="auto"/>
            <w:noWrap/>
            <w:hideMark/>
          </w:tcPr>
          <w:p w14:paraId="77DBDE0B" w14:textId="77777777" w:rsidR="00DF0FA1" w:rsidRPr="008D43DB" w:rsidRDefault="00DF0FA1" w:rsidP="00DF0FA1">
            <w:pPr>
              <w:jc w:val="center"/>
            </w:pPr>
            <w:r w:rsidRPr="008D43DB">
              <w:t>540.6</w:t>
            </w:r>
          </w:p>
        </w:tc>
        <w:tc>
          <w:tcPr>
            <w:tcW w:w="0" w:type="auto"/>
            <w:tcBorders>
              <w:top w:val="single" w:sz="4" w:space="0" w:color="auto"/>
            </w:tcBorders>
            <w:shd w:val="clear" w:color="auto" w:fill="auto"/>
            <w:noWrap/>
            <w:hideMark/>
          </w:tcPr>
          <w:p w14:paraId="48E2460E" w14:textId="77777777" w:rsidR="00DF0FA1" w:rsidRPr="008D43DB" w:rsidRDefault="00DF0FA1" w:rsidP="00DF0FA1">
            <w:pPr>
              <w:jc w:val="center"/>
            </w:pPr>
            <w:r w:rsidRPr="008D43DB">
              <w:t>n/a</w:t>
            </w:r>
          </w:p>
        </w:tc>
      </w:tr>
      <w:tr w:rsidR="00DF0FA1" w:rsidRPr="008D43DB" w14:paraId="5E9666EB" w14:textId="77777777" w:rsidTr="00DF0FA1">
        <w:trPr>
          <w:trHeight w:val="320"/>
        </w:trPr>
        <w:tc>
          <w:tcPr>
            <w:tcW w:w="0" w:type="auto"/>
            <w:shd w:val="clear" w:color="auto" w:fill="auto"/>
            <w:noWrap/>
            <w:hideMark/>
          </w:tcPr>
          <w:p w14:paraId="2845FCC1" w14:textId="77777777" w:rsidR="00DF0FA1" w:rsidRPr="008D43DB" w:rsidRDefault="00DF0FA1" w:rsidP="00DF0FA1">
            <w:pPr>
              <w:jc w:val="right"/>
            </w:pPr>
            <w:r w:rsidRPr="008D43DB">
              <w:t>ClpP2</w:t>
            </w:r>
          </w:p>
        </w:tc>
        <w:tc>
          <w:tcPr>
            <w:tcW w:w="0" w:type="auto"/>
            <w:shd w:val="clear" w:color="auto" w:fill="auto"/>
            <w:noWrap/>
            <w:hideMark/>
          </w:tcPr>
          <w:p w14:paraId="1FFE49DD" w14:textId="77777777" w:rsidR="00DF0FA1" w:rsidRPr="008D43DB" w:rsidRDefault="00DF0FA1" w:rsidP="00DF0FA1">
            <w:pPr>
              <w:jc w:val="center"/>
            </w:pPr>
            <w:r w:rsidRPr="008D43DB">
              <w:t>21.1</w:t>
            </w:r>
          </w:p>
        </w:tc>
        <w:tc>
          <w:tcPr>
            <w:tcW w:w="0" w:type="auto"/>
            <w:tcBorders>
              <w:right w:val="single" w:sz="4" w:space="0" w:color="auto"/>
            </w:tcBorders>
            <w:shd w:val="clear" w:color="auto" w:fill="auto"/>
            <w:noWrap/>
            <w:hideMark/>
          </w:tcPr>
          <w:p w14:paraId="79645D47" w14:textId="77777777" w:rsidR="00DF0FA1" w:rsidRPr="008D43DB" w:rsidRDefault="00DF0FA1" w:rsidP="00DF0FA1">
            <w:pPr>
              <w:jc w:val="center"/>
            </w:pPr>
            <w:r w:rsidRPr="008D43DB">
              <w:t>1.1</w:t>
            </w:r>
          </w:p>
        </w:tc>
        <w:tc>
          <w:tcPr>
            <w:tcW w:w="0" w:type="auto"/>
            <w:tcBorders>
              <w:left w:val="single" w:sz="4" w:space="0" w:color="auto"/>
            </w:tcBorders>
            <w:shd w:val="clear" w:color="auto" w:fill="auto"/>
            <w:noWrap/>
            <w:hideMark/>
          </w:tcPr>
          <w:p w14:paraId="1A5B5D43" w14:textId="77777777" w:rsidR="00DF0FA1" w:rsidRPr="008D43DB" w:rsidRDefault="00DF0FA1" w:rsidP="00DF0FA1">
            <w:pPr>
              <w:jc w:val="center"/>
            </w:pPr>
            <w:r w:rsidRPr="008D43DB">
              <w:t>8.0</w:t>
            </w:r>
          </w:p>
        </w:tc>
        <w:tc>
          <w:tcPr>
            <w:tcW w:w="0" w:type="auto"/>
            <w:shd w:val="clear" w:color="auto" w:fill="auto"/>
            <w:noWrap/>
            <w:hideMark/>
          </w:tcPr>
          <w:p w14:paraId="3E159F8B" w14:textId="77777777" w:rsidR="00DF0FA1" w:rsidRPr="008D43DB" w:rsidRDefault="00DF0FA1" w:rsidP="00DF0FA1">
            <w:pPr>
              <w:jc w:val="center"/>
            </w:pPr>
            <w:r w:rsidRPr="008D43DB">
              <w:t>1.5</w:t>
            </w:r>
          </w:p>
        </w:tc>
      </w:tr>
      <w:tr w:rsidR="00DF0FA1" w:rsidRPr="008D43DB" w14:paraId="3A03A42D" w14:textId="77777777" w:rsidTr="00DF0FA1">
        <w:trPr>
          <w:trHeight w:val="320"/>
        </w:trPr>
        <w:tc>
          <w:tcPr>
            <w:tcW w:w="0" w:type="auto"/>
            <w:shd w:val="clear" w:color="auto" w:fill="auto"/>
            <w:noWrap/>
            <w:hideMark/>
          </w:tcPr>
          <w:p w14:paraId="4AF733E4" w14:textId="77777777" w:rsidR="00DF0FA1" w:rsidRPr="008D43DB" w:rsidRDefault="00DF0FA1" w:rsidP="00DF0FA1">
            <w:pPr>
              <w:jc w:val="right"/>
            </w:pPr>
            <w:r w:rsidRPr="008D43DB">
              <w:t xml:space="preserve">ClpP1 + ClpP2 </w:t>
            </w:r>
          </w:p>
        </w:tc>
        <w:tc>
          <w:tcPr>
            <w:tcW w:w="0" w:type="auto"/>
            <w:shd w:val="clear" w:color="auto" w:fill="auto"/>
            <w:noWrap/>
            <w:hideMark/>
          </w:tcPr>
          <w:p w14:paraId="088E8899" w14:textId="77777777" w:rsidR="00DF0FA1" w:rsidRPr="008D43DB" w:rsidRDefault="00DF0FA1" w:rsidP="00DF0FA1">
            <w:pPr>
              <w:jc w:val="center"/>
            </w:pPr>
            <w:r w:rsidRPr="008D43DB">
              <w:t>899.8</w:t>
            </w:r>
          </w:p>
        </w:tc>
        <w:tc>
          <w:tcPr>
            <w:tcW w:w="0" w:type="auto"/>
            <w:tcBorders>
              <w:right w:val="single" w:sz="4" w:space="0" w:color="auto"/>
            </w:tcBorders>
            <w:shd w:val="clear" w:color="auto" w:fill="auto"/>
            <w:noWrap/>
            <w:hideMark/>
          </w:tcPr>
          <w:p w14:paraId="5F1B1618" w14:textId="77777777" w:rsidR="00DF0FA1" w:rsidRPr="008D43DB" w:rsidRDefault="00DF0FA1" w:rsidP="00DF0FA1">
            <w:pPr>
              <w:jc w:val="center"/>
            </w:pPr>
            <w:r w:rsidRPr="008D43DB">
              <w:t>46.3</w:t>
            </w:r>
          </w:p>
        </w:tc>
        <w:tc>
          <w:tcPr>
            <w:tcW w:w="0" w:type="auto"/>
            <w:tcBorders>
              <w:left w:val="single" w:sz="4" w:space="0" w:color="auto"/>
            </w:tcBorders>
            <w:shd w:val="clear" w:color="auto" w:fill="auto"/>
            <w:noWrap/>
            <w:hideMark/>
          </w:tcPr>
          <w:p w14:paraId="2D2B7F9F" w14:textId="77777777" w:rsidR="00DF0FA1" w:rsidRPr="008D43DB" w:rsidRDefault="00DF0FA1" w:rsidP="00DF0FA1">
            <w:pPr>
              <w:jc w:val="center"/>
            </w:pPr>
            <w:r w:rsidRPr="008D43DB">
              <w:t>306</w:t>
            </w:r>
          </w:p>
        </w:tc>
        <w:tc>
          <w:tcPr>
            <w:tcW w:w="0" w:type="auto"/>
            <w:shd w:val="clear" w:color="auto" w:fill="auto"/>
            <w:noWrap/>
            <w:hideMark/>
          </w:tcPr>
          <w:p w14:paraId="78CBB5A0" w14:textId="77777777" w:rsidR="00DF0FA1" w:rsidRPr="008D43DB" w:rsidRDefault="00DF0FA1" w:rsidP="00DF0FA1">
            <w:pPr>
              <w:jc w:val="center"/>
            </w:pPr>
            <w:r w:rsidRPr="008D43DB">
              <w:t>56.6</w:t>
            </w:r>
          </w:p>
        </w:tc>
      </w:tr>
    </w:tbl>
    <w:p w14:paraId="1785311C" w14:textId="77777777" w:rsidR="00691427" w:rsidRPr="006818EE" w:rsidRDefault="00691427" w:rsidP="00691427">
      <w:pPr>
        <w:rPr>
          <w:b/>
          <w:bCs/>
        </w:rPr>
      </w:pPr>
    </w:p>
    <w:p w14:paraId="6BB9BE09" w14:textId="77777777" w:rsidR="00691427" w:rsidRPr="006818EE" w:rsidRDefault="00691427" w:rsidP="00691427">
      <w:pPr>
        <w:rPr>
          <w:b/>
          <w:bCs/>
        </w:rPr>
      </w:pPr>
    </w:p>
    <w:p w14:paraId="4FBC4852" w14:textId="77777777" w:rsidR="00691427" w:rsidRPr="006818EE" w:rsidRDefault="00691427" w:rsidP="00691427">
      <w:pPr>
        <w:rPr>
          <w:b/>
          <w:bCs/>
        </w:rPr>
      </w:pPr>
    </w:p>
    <w:p w14:paraId="052F3EBF" w14:textId="77777777" w:rsidR="00691427" w:rsidRPr="006818EE" w:rsidRDefault="00691427" w:rsidP="00691427">
      <w:pPr>
        <w:rPr>
          <w:b/>
          <w:bCs/>
        </w:rPr>
      </w:pPr>
    </w:p>
    <w:p w14:paraId="0086C769" w14:textId="77777777" w:rsidR="00691427" w:rsidRPr="006818EE" w:rsidRDefault="00691427" w:rsidP="00691427">
      <w:pPr>
        <w:rPr>
          <w:b/>
          <w:bCs/>
        </w:rPr>
      </w:pPr>
    </w:p>
    <w:p w14:paraId="4D9CA617" w14:textId="77777777" w:rsidR="0075068E" w:rsidRDefault="0075068E" w:rsidP="0075068E">
      <w:pPr>
        <w:pStyle w:val="Caption"/>
      </w:pPr>
    </w:p>
    <w:p w14:paraId="0D9C9AE0" w14:textId="5F9FB194" w:rsidR="00691427" w:rsidRDefault="0075068E" w:rsidP="00DF0FA1">
      <w:pPr>
        <w:pStyle w:val="Caption"/>
        <w:jc w:val="both"/>
      </w:pPr>
      <w:bookmarkStart w:id="145" w:name="_Toc5807426"/>
      <w:r>
        <w:t xml:space="preserve">Figure </w:t>
      </w:r>
      <w:r w:rsidR="00C371B6">
        <w:t>A.6</w:t>
      </w:r>
      <w:r>
        <w:t xml:space="preserve"> </w:t>
      </w:r>
      <w:r w:rsidR="00691427" w:rsidRPr="006818EE">
        <w:t>Peptidolytic activity of mixed solutions of ClpP1 and ClpP2 compared to homogenous solutions.</w:t>
      </w:r>
      <w:bookmarkEnd w:id="145"/>
      <w:r w:rsidR="00691427" w:rsidRPr="006818EE">
        <w:t xml:space="preserve"> </w:t>
      </w:r>
    </w:p>
    <w:p w14:paraId="4BEE2C23" w14:textId="6B548FC5" w:rsidR="0075068E" w:rsidRPr="00DF0FA1" w:rsidRDefault="00DF0FA1" w:rsidP="00DF0FA1">
      <w:pPr>
        <w:spacing w:line="240" w:lineRule="auto"/>
        <w:jc w:val="both"/>
      </w:pPr>
      <w:r>
        <w:t xml:space="preserve">An attempt to assess whether or not ClpP1 and ClpP2 could form a heteromeric complex </w:t>
      </w:r>
      <w:r>
        <w:rPr>
          <w:i/>
        </w:rPr>
        <w:t>in vitro</w:t>
      </w:r>
      <w:r>
        <w:t>. When mixed in equal concentrations, the relative intensities generated by the mixture is approximately half of the relative intensity observed in ClpP1 alone. In this manner, it appears that ClpP1 is chiefly responsible for the majority of observed fluorescence.</w:t>
      </w:r>
    </w:p>
    <w:p w14:paraId="0B200D5D" w14:textId="77777777" w:rsidR="0075068E" w:rsidRDefault="0075068E" w:rsidP="0075068E"/>
    <w:p w14:paraId="67AD69AC" w14:textId="77777777" w:rsidR="0075068E" w:rsidRPr="0075068E" w:rsidRDefault="0075068E" w:rsidP="0075068E"/>
    <w:p w14:paraId="02BBD0DE" w14:textId="77777777" w:rsidR="00691427" w:rsidRPr="006818EE" w:rsidRDefault="00691427" w:rsidP="00691427"/>
    <w:p w14:paraId="7A487EE8" w14:textId="77777777" w:rsidR="0075068E" w:rsidRDefault="001A3FA6" w:rsidP="0075068E">
      <w:pPr>
        <w:keepNext/>
        <w:jc w:val="center"/>
      </w:pPr>
      <w:r w:rsidRPr="00F9529F">
        <w:rPr>
          <w:noProof/>
        </w:rPr>
        <w:lastRenderedPageBreak/>
        <w:drawing>
          <wp:inline distT="0" distB="0" distL="0" distR="0" wp14:anchorId="219BA16E" wp14:editId="294CB0F0">
            <wp:extent cx="1920240" cy="1361737"/>
            <wp:effectExtent l="0" t="0" r="0" b="0"/>
            <wp:docPr id="37"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30899" cy="1369296"/>
                    </a:xfrm>
                    <a:prstGeom prst="rect">
                      <a:avLst/>
                    </a:prstGeom>
                    <a:noFill/>
                    <a:ln>
                      <a:noFill/>
                    </a:ln>
                  </pic:spPr>
                </pic:pic>
              </a:graphicData>
            </a:graphic>
          </wp:inline>
        </w:drawing>
      </w:r>
    </w:p>
    <w:p w14:paraId="4A397535" w14:textId="23BDCD6E" w:rsidR="00691427" w:rsidRDefault="0075068E" w:rsidP="00DF0FA1">
      <w:pPr>
        <w:pStyle w:val="Caption"/>
        <w:jc w:val="both"/>
      </w:pPr>
      <w:bookmarkStart w:id="146" w:name="_Toc5807427"/>
      <w:r>
        <w:t xml:space="preserve">Figure </w:t>
      </w:r>
      <w:r w:rsidR="00C371B6">
        <w:t>A.7</w:t>
      </w:r>
      <w:r>
        <w:t xml:space="preserve"> </w:t>
      </w:r>
      <w:r w:rsidR="00691427" w:rsidRPr="006818EE">
        <w:t>Non-denaturing PAGE gel (7-15%) of mixed ClpP1 and ClpP2 homotetradecamers after 2 h.</w:t>
      </w:r>
      <w:bookmarkEnd w:id="146"/>
    </w:p>
    <w:p w14:paraId="702FB8AC" w14:textId="2AF12D54" w:rsidR="00DF0FA1" w:rsidRPr="00DF0FA1" w:rsidRDefault="00DF0FA1" w:rsidP="00DF0FA1">
      <w:pPr>
        <w:spacing w:line="240" w:lineRule="auto"/>
        <w:jc w:val="both"/>
      </w:pPr>
      <w:r>
        <w:t xml:space="preserve">As shown by native PAGE, mixing the two homogenous assemblies of tetradecameric ClpP was unable to produce a heteromeric complex. </w:t>
      </w:r>
    </w:p>
    <w:p w14:paraId="2AA00E5A" w14:textId="00AE3266" w:rsidR="00DF0FA1" w:rsidRPr="00DF0FA1" w:rsidRDefault="00DF0FA1" w:rsidP="00DF0FA1"/>
    <w:p w14:paraId="4779D2DF" w14:textId="33535058" w:rsidR="00691427" w:rsidRPr="00DF0FA1" w:rsidRDefault="00DF0FA1" w:rsidP="00691427">
      <w:r>
        <w:rPr>
          <w:noProof/>
        </w:rPr>
        <w:drawing>
          <wp:inline distT="0" distB="0" distL="0" distR="0" wp14:anchorId="5D4BFF5A" wp14:editId="478FF50A">
            <wp:extent cx="5040630" cy="1351280"/>
            <wp:effectExtent l="0" t="0" r="1270" b="0"/>
            <wp:docPr id="29" name="Picture 50" descr="../Pictures/GfpssrA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descr="../Pictures/GfpssrA2.png"/>
                    <pic:cNvPicPr>
                      <a:picLocks/>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40630" cy="1351280"/>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4386"/>
      </w:tblGrid>
      <w:tr w:rsidR="00691427" w:rsidRPr="008D43DB" w14:paraId="35FF5EC4" w14:textId="77777777" w:rsidTr="006D0C5F">
        <w:trPr>
          <w:trHeight w:val="20"/>
          <w:jc w:val="center"/>
        </w:trPr>
        <w:tc>
          <w:tcPr>
            <w:tcW w:w="0" w:type="auto"/>
            <w:tcBorders>
              <w:top w:val="nil"/>
              <w:left w:val="nil"/>
              <w:bottom w:val="single" w:sz="4" w:space="0" w:color="auto"/>
            </w:tcBorders>
            <w:shd w:val="clear" w:color="auto" w:fill="auto"/>
          </w:tcPr>
          <w:p w14:paraId="279B8363" w14:textId="77777777" w:rsidR="00691427" w:rsidRPr="008D43DB" w:rsidRDefault="00691427" w:rsidP="00A62DEC">
            <w:pPr>
              <w:rPr>
                <w:b/>
                <w:smallCaps/>
              </w:rPr>
            </w:pPr>
            <w:r w:rsidRPr="008D43DB">
              <w:rPr>
                <w:b/>
                <w:bCs/>
              </w:rPr>
              <w:t>Lane</w:t>
            </w:r>
          </w:p>
        </w:tc>
        <w:tc>
          <w:tcPr>
            <w:tcW w:w="0" w:type="auto"/>
            <w:tcBorders>
              <w:top w:val="nil"/>
              <w:bottom w:val="single" w:sz="4" w:space="0" w:color="auto"/>
              <w:right w:val="nil"/>
            </w:tcBorders>
            <w:shd w:val="clear" w:color="auto" w:fill="auto"/>
          </w:tcPr>
          <w:p w14:paraId="140C46A8" w14:textId="77777777" w:rsidR="00691427" w:rsidRPr="008D43DB" w:rsidRDefault="00691427" w:rsidP="008D43DB">
            <w:pPr>
              <w:jc w:val="center"/>
              <w:rPr>
                <w:b/>
                <w:smallCaps/>
              </w:rPr>
            </w:pPr>
            <w:r w:rsidRPr="008D43DB">
              <w:rPr>
                <w:b/>
                <w:bCs/>
              </w:rPr>
              <w:t>Contents</w:t>
            </w:r>
          </w:p>
        </w:tc>
      </w:tr>
      <w:tr w:rsidR="00691427" w:rsidRPr="008D43DB" w14:paraId="72555023" w14:textId="77777777" w:rsidTr="006D0C5F">
        <w:trPr>
          <w:trHeight w:val="20"/>
          <w:jc w:val="center"/>
        </w:trPr>
        <w:tc>
          <w:tcPr>
            <w:tcW w:w="0" w:type="auto"/>
            <w:tcBorders>
              <w:left w:val="nil"/>
              <w:bottom w:val="nil"/>
            </w:tcBorders>
            <w:shd w:val="clear" w:color="auto" w:fill="auto"/>
          </w:tcPr>
          <w:p w14:paraId="20E366D6" w14:textId="77777777" w:rsidR="00691427" w:rsidRPr="008D43DB" w:rsidRDefault="00691427" w:rsidP="008D43DB">
            <w:pPr>
              <w:jc w:val="center"/>
              <w:rPr>
                <w:b/>
                <w:smallCaps/>
              </w:rPr>
            </w:pPr>
            <w:r w:rsidRPr="008D43DB">
              <w:rPr>
                <w:b/>
                <w:smallCaps/>
              </w:rPr>
              <w:t>1</w:t>
            </w:r>
          </w:p>
        </w:tc>
        <w:tc>
          <w:tcPr>
            <w:tcW w:w="0" w:type="auto"/>
            <w:tcBorders>
              <w:top w:val="single" w:sz="4" w:space="0" w:color="auto"/>
              <w:bottom w:val="nil"/>
              <w:right w:val="nil"/>
            </w:tcBorders>
            <w:shd w:val="clear" w:color="auto" w:fill="auto"/>
          </w:tcPr>
          <w:p w14:paraId="4EECED38" w14:textId="77777777" w:rsidR="00691427" w:rsidRPr="008D43DB" w:rsidRDefault="00691427" w:rsidP="00A62DEC">
            <w:pPr>
              <w:rPr>
                <w:b/>
                <w:smallCaps/>
              </w:rPr>
            </w:pPr>
            <w:r w:rsidRPr="008D43DB">
              <w:rPr>
                <w:b/>
                <w:bCs/>
              </w:rPr>
              <w:t>GoldBio BlueStain Protein Marker</w:t>
            </w:r>
          </w:p>
        </w:tc>
      </w:tr>
      <w:tr w:rsidR="00691427" w:rsidRPr="008D43DB" w14:paraId="17AC3476" w14:textId="77777777" w:rsidTr="006D0C5F">
        <w:trPr>
          <w:trHeight w:val="20"/>
          <w:jc w:val="center"/>
        </w:trPr>
        <w:tc>
          <w:tcPr>
            <w:tcW w:w="0" w:type="auto"/>
            <w:tcBorders>
              <w:top w:val="nil"/>
              <w:left w:val="nil"/>
              <w:bottom w:val="nil"/>
            </w:tcBorders>
            <w:shd w:val="clear" w:color="auto" w:fill="auto"/>
          </w:tcPr>
          <w:p w14:paraId="4DF043E7" w14:textId="77777777" w:rsidR="00691427" w:rsidRPr="008D43DB" w:rsidRDefault="00691427" w:rsidP="008D43DB">
            <w:pPr>
              <w:jc w:val="center"/>
              <w:rPr>
                <w:b/>
                <w:smallCaps/>
              </w:rPr>
            </w:pPr>
            <w:r w:rsidRPr="008D43DB">
              <w:rPr>
                <w:b/>
                <w:smallCaps/>
              </w:rPr>
              <w:t>2</w:t>
            </w:r>
          </w:p>
        </w:tc>
        <w:tc>
          <w:tcPr>
            <w:tcW w:w="0" w:type="auto"/>
            <w:tcBorders>
              <w:top w:val="nil"/>
              <w:bottom w:val="nil"/>
              <w:right w:val="nil"/>
            </w:tcBorders>
            <w:shd w:val="clear" w:color="auto" w:fill="auto"/>
          </w:tcPr>
          <w:p w14:paraId="1569D20F" w14:textId="77777777" w:rsidR="00691427" w:rsidRPr="008D43DB" w:rsidRDefault="00691427" w:rsidP="00A62DEC">
            <w:pPr>
              <w:rPr>
                <w:b/>
                <w:smallCaps/>
              </w:rPr>
            </w:pPr>
            <w:r w:rsidRPr="008D43DB">
              <w:rPr>
                <w:b/>
                <w:bCs/>
              </w:rPr>
              <w:t>ssrA-GFP</w:t>
            </w:r>
          </w:p>
        </w:tc>
      </w:tr>
      <w:tr w:rsidR="00691427" w:rsidRPr="008D43DB" w14:paraId="3ACB2D51" w14:textId="77777777" w:rsidTr="006D0C5F">
        <w:trPr>
          <w:trHeight w:val="20"/>
          <w:jc w:val="center"/>
        </w:trPr>
        <w:tc>
          <w:tcPr>
            <w:tcW w:w="0" w:type="auto"/>
            <w:tcBorders>
              <w:top w:val="nil"/>
              <w:left w:val="nil"/>
              <w:bottom w:val="nil"/>
            </w:tcBorders>
            <w:shd w:val="clear" w:color="auto" w:fill="auto"/>
          </w:tcPr>
          <w:p w14:paraId="44655062" w14:textId="77777777" w:rsidR="00691427" w:rsidRPr="008D43DB" w:rsidRDefault="00691427" w:rsidP="008D43DB">
            <w:pPr>
              <w:jc w:val="center"/>
              <w:rPr>
                <w:b/>
                <w:smallCaps/>
              </w:rPr>
            </w:pPr>
            <w:r w:rsidRPr="008D43DB">
              <w:rPr>
                <w:b/>
                <w:smallCaps/>
              </w:rPr>
              <w:t>3</w:t>
            </w:r>
          </w:p>
        </w:tc>
        <w:tc>
          <w:tcPr>
            <w:tcW w:w="0" w:type="auto"/>
            <w:tcBorders>
              <w:top w:val="nil"/>
              <w:bottom w:val="nil"/>
              <w:right w:val="nil"/>
            </w:tcBorders>
            <w:shd w:val="clear" w:color="auto" w:fill="auto"/>
          </w:tcPr>
          <w:p w14:paraId="7DC99E4F" w14:textId="77777777" w:rsidR="00691427" w:rsidRPr="008D43DB" w:rsidRDefault="00691427" w:rsidP="00A62DEC">
            <w:pPr>
              <w:rPr>
                <w:b/>
                <w:smallCaps/>
              </w:rPr>
            </w:pPr>
            <w:r w:rsidRPr="008D43DB">
              <w:rPr>
                <w:b/>
                <w:bCs/>
              </w:rPr>
              <w:t>ssrA-GFP + ClpP</w:t>
            </w:r>
          </w:p>
        </w:tc>
      </w:tr>
      <w:tr w:rsidR="00691427" w:rsidRPr="008D43DB" w14:paraId="0A6423D5" w14:textId="77777777" w:rsidTr="006D0C5F">
        <w:trPr>
          <w:trHeight w:val="20"/>
          <w:jc w:val="center"/>
        </w:trPr>
        <w:tc>
          <w:tcPr>
            <w:tcW w:w="0" w:type="auto"/>
            <w:tcBorders>
              <w:top w:val="nil"/>
              <w:left w:val="nil"/>
              <w:bottom w:val="nil"/>
            </w:tcBorders>
            <w:shd w:val="clear" w:color="auto" w:fill="auto"/>
          </w:tcPr>
          <w:p w14:paraId="1F965691" w14:textId="77777777" w:rsidR="00691427" w:rsidRPr="008D43DB" w:rsidRDefault="00691427" w:rsidP="008D43DB">
            <w:pPr>
              <w:jc w:val="center"/>
              <w:rPr>
                <w:b/>
                <w:smallCaps/>
              </w:rPr>
            </w:pPr>
            <w:r w:rsidRPr="008D43DB">
              <w:rPr>
                <w:b/>
                <w:smallCaps/>
              </w:rPr>
              <w:t>4</w:t>
            </w:r>
          </w:p>
        </w:tc>
        <w:tc>
          <w:tcPr>
            <w:tcW w:w="0" w:type="auto"/>
            <w:tcBorders>
              <w:top w:val="nil"/>
              <w:bottom w:val="nil"/>
              <w:right w:val="nil"/>
            </w:tcBorders>
            <w:shd w:val="clear" w:color="auto" w:fill="auto"/>
          </w:tcPr>
          <w:p w14:paraId="6583BFDB" w14:textId="77777777" w:rsidR="00691427" w:rsidRPr="008D43DB" w:rsidRDefault="00691427" w:rsidP="00A62DEC">
            <w:pPr>
              <w:rPr>
                <w:b/>
                <w:smallCaps/>
              </w:rPr>
            </w:pPr>
            <w:r w:rsidRPr="008D43DB">
              <w:rPr>
                <w:b/>
                <w:bCs/>
              </w:rPr>
              <w:t>ssrA-GFP, ClpP, ClpX, no ATP 5 h</w:t>
            </w:r>
          </w:p>
        </w:tc>
      </w:tr>
      <w:tr w:rsidR="00691427" w:rsidRPr="008D43DB" w14:paraId="0AB4CD96" w14:textId="77777777" w:rsidTr="006D0C5F">
        <w:trPr>
          <w:trHeight w:val="20"/>
          <w:jc w:val="center"/>
        </w:trPr>
        <w:tc>
          <w:tcPr>
            <w:tcW w:w="0" w:type="auto"/>
            <w:tcBorders>
              <w:top w:val="nil"/>
              <w:left w:val="nil"/>
              <w:bottom w:val="nil"/>
            </w:tcBorders>
            <w:shd w:val="clear" w:color="auto" w:fill="auto"/>
          </w:tcPr>
          <w:p w14:paraId="3EBF4BBD" w14:textId="77777777" w:rsidR="00691427" w:rsidRPr="008D43DB" w:rsidRDefault="00691427" w:rsidP="008D43DB">
            <w:pPr>
              <w:jc w:val="center"/>
              <w:rPr>
                <w:b/>
                <w:smallCaps/>
              </w:rPr>
            </w:pPr>
            <w:r w:rsidRPr="008D43DB">
              <w:rPr>
                <w:b/>
                <w:smallCaps/>
              </w:rPr>
              <w:t>5</w:t>
            </w:r>
          </w:p>
        </w:tc>
        <w:tc>
          <w:tcPr>
            <w:tcW w:w="0" w:type="auto"/>
            <w:tcBorders>
              <w:top w:val="nil"/>
              <w:bottom w:val="nil"/>
              <w:right w:val="nil"/>
            </w:tcBorders>
            <w:shd w:val="clear" w:color="auto" w:fill="auto"/>
          </w:tcPr>
          <w:p w14:paraId="4BC975B0" w14:textId="77777777" w:rsidR="00691427" w:rsidRPr="008D43DB" w:rsidRDefault="00691427" w:rsidP="00A62DEC">
            <w:pPr>
              <w:rPr>
                <w:b/>
                <w:smallCaps/>
              </w:rPr>
            </w:pPr>
            <w:r w:rsidRPr="008D43DB">
              <w:rPr>
                <w:b/>
                <w:bCs/>
              </w:rPr>
              <w:t>ssrA-GFP, ClpP, ClpX, + 4 mM ATP 1 h</w:t>
            </w:r>
          </w:p>
        </w:tc>
      </w:tr>
      <w:tr w:rsidR="00691427" w:rsidRPr="008D43DB" w14:paraId="3F77FC62" w14:textId="77777777" w:rsidTr="006D0C5F">
        <w:trPr>
          <w:trHeight w:val="20"/>
          <w:jc w:val="center"/>
        </w:trPr>
        <w:tc>
          <w:tcPr>
            <w:tcW w:w="0" w:type="auto"/>
            <w:tcBorders>
              <w:top w:val="nil"/>
              <w:left w:val="nil"/>
              <w:bottom w:val="nil"/>
            </w:tcBorders>
            <w:shd w:val="clear" w:color="auto" w:fill="auto"/>
          </w:tcPr>
          <w:p w14:paraId="553FB581" w14:textId="77777777" w:rsidR="00691427" w:rsidRPr="008D43DB" w:rsidRDefault="00691427" w:rsidP="008D43DB">
            <w:pPr>
              <w:jc w:val="center"/>
              <w:rPr>
                <w:b/>
                <w:smallCaps/>
              </w:rPr>
            </w:pPr>
            <w:r w:rsidRPr="008D43DB">
              <w:rPr>
                <w:b/>
                <w:smallCaps/>
              </w:rPr>
              <w:t>6</w:t>
            </w:r>
          </w:p>
        </w:tc>
        <w:tc>
          <w:tcPr>
            <w:tcW w:w="0" w:type="auto"/>
            <w:tcBorders>
              <w:top w:val="nil"/>
              <w:bottom w:val="nil"/>
              <w:right w:val="nil"/>
            </w:tcBorders>
            <w:shd w:val="clear" w:color="auto" w:fill="auto"/>
          </w:tcPr>
          <w:p w14:paraId="0822F0AE" w14:textId="77777777" w:rsidR="00691427" w:rsidRPr="008D43DB" w:rsidRDefault="00691427" w:rsidP="00A62DEC">
            <w:pPr>
              <w:rPr>
                <w:b/>
                <w:smallCaps/>
              </w:rPr>
            </w:pPr>
            <w:r w:rsidRPr="008D43DB">
              <w:rPr>
                <w:b/>
                <w:bCs/>
              </w:rPr>
              <w:t>ssrA-GFP, ClpP, ClpX, + 4 mM ATP 2 h</w:t>
            </w:r>
          </w:p>
        </w:tc>
      </w:tr>
      <w:tr w:rsidR="00691427" w:rsidRPr="008D43DB" w14:paraId="59F65C86" w14:textId="77777777" w:rsidTr="006D0C5F">
        <w:trPr>
          <w:trHeight w:val="20"/>
          <w:jc w:val="center"/>
        </w:trPr>
        <w:tc>
          <w:tcPr>
            <w:tcW w:w="0" w:type="auto"/>
            <w:tcBorders>
              <w:top w:val="nil"/>
              <w:left w:val="nil"/>
              <w:bottom w:val="nil"/>
            </w:tcBorders>
            <w:shd w:val="clear" w:color="auto" w:fill="auto"/>
          </w:tcPr>
          <w:p w14:paraId="791A05C7" w14:textId="77777777" w:rsidR="00691427" w:rsidRPr="008D43DB" w:rsidRDefault="00691427" w:rsidP="008D43DB">
            <w:pPr>
              <w:jc w:val="center"/>
              <w:rPr>
                <w:b/>
                <w:smallCaps/>
              </w:rPr>
            </w:pPr>
            <w:r w:rsidRPr="008D43DB">
              <w:rPr>
                <w:b/>
                <w:smallCaps/>
              </w:rPr>
              <w:t>7</w:t>
            </w:r>
          </w:p>
        </w:tc>
        <w:tc>
          <w:tcPr>
            <w:tcW w:w="0" w:type="auto"/>
            <w:tcBorders>
              <w:top w:val="nil"/>
              <w:bottom w:val="nil"/>
              <w:right w:val="nil"/>
            </w:tcBorders>
            <w:shd w:val="clear" w:color="auto" w:fill="auto"/>
          </w:tcPr>
          <w:p w14:paraId="765C9CC0" w14:textId="77777777" w:rsidR="00691427" w:rsidRPr="008D43DB" w:rsidRDefault="00691427" w:rsidP="00A62DEC">
            <w:pPr>
              <w:rPr>
                <w:b/>
                <w:smallCaps/>
              </w:rPr>
            </w:pPr>
            <w:r w:rsidRPr="008D43DB">
              <w:rPr>
                <w:b/>
                <w:bCs/>
              </w:rPr>
              <w:t>ssrA-GFP, ClpP, ClpX, + 4 mM ATP 3 h</w:t>
            </w:r>
          </w:p>
        </w:tc>
      </w:tr>
      <w:tr w:rsidR="00691427" w:rsidRPr="008D43DB" w14:paraId="3C24E544" w14:textId="77777777" w:rsidTr="006D0C5F">
        <w:trPr>
          <w:trHeight w:val="20"/>
          <w:jc w:val="center"/>
        </w:trPr>
        <w:tc>
          <w:tcPr>
            <w:tcW w:w="0" w:type="auto"/>
            <w:tcBorders>
              <w:top w:val="nil"/>
              <w:left w:val="nil"/>
              <w:bottom w:val="nil"/>
            </w:tcBorders>
            <w:shd w:val="clear" w:color="auto" w:fill="auto"/>
          </w:tcPr>
          <w:p w14:paraId="5B485460" w14:textId="77777777" w:rsidR="00691427" w:rsidRPr="008D43DB" w:rsidRDefault="00691427" w:rsidP="008D43DB">
            <w:pPr>
              <w:jc w:val="center"/>
              <w:rPr>
                <w:b/>
                <w:smallCaps/>
              </w:rPr>
            </w:pPr>
            <w:r w:rsidRPr="008D43DB">
              <w:rPr>
                <w:b/>
                <w:smallCaps/>
              </w:rPr>
              <w:t>8</w:t>
            </w:r>
          </w:p>
        </w:tc>
        <w:tc>
          <w:tcPr>
            <w:tcW w:w="0" w:type="auto"/>
            <w:tcBorders>
              <w:top w:val="nil"/>
              <w:bottom w:val="nil"/>
              <w:right w:val="nil"/>
            </w:tcBorders>
            <w:shd w:val="clear" w:color="auto" w:fill="auto"/>
          </w:tcPr>
          <w:p w14:paraId="00D9BC99" w14:textId="77777777" w:rsidR="00691427" w:rsidRPr="008D43DB" w:rsidRDefault="00691427" w:rsidP="00A62DEC">
            <w:pPr>
              <w:rPr>
                <w:b/>
                <w:smallCaps/>
              </w:rPr>
            </w:pPr>
            <w:r w:rsidRPr="008D43DB">
              <w:rPr>
                <w:b/>
                <w:bCs/>
              </w:rPr>
              <w:t>ssrA-GFP, ClpP, ClpX, + 4 mM ATP 4 h</w:t>
            </w:r>
          </w:p>
        </w:tc>
      </w:tr>
      <w:tr w:rsidR="00691427" w:rsidRPr="008D43DB" w14:paraId="1E2DCC2C" w14:textId="77777777" w:rsidTr="006D0C5F">
        <w:trPr>
          <w:trHeight w:val="20"/>
          <w:jc w:val="center"/>
        </w:trPr>
        <w:tc>
          <w:tcPr>
            <w:tcW w:w="0" w:type="auto"/>
            <w:tcBorders>
              <w:top w:val="nil"/>
              <w:left w:val="nil"/>
              <w:bottom w:val="nil"/>
            </w:tcBorders>
            <w:shd w:val="clear" w:color="auto" w:fill="auto"/>
          </w:tcPr>
          <w:p w14:paraId="6E7C3792" w14:textId="77777777" w:rsidR="00691427" w:rsidRPr="008D43DB" w:rsidRDefault="00691427" w:rsidP="008D43DB">
            <w:pPr>
              <w:jc w:val="center"/>
              <w:rPr>
                <w:b/>
                <w:smallCaps/>
              </w:rPr>
            </w:pPr>
            <w:r w:rsidRPr="008D43DB">
              <w:rPr>
                <w:b/>
                <w:smallCaps/>
              </w:rPr>
              <w:t>9</w:t>
            </w:r>
          </w:p>
        </w:tc>
        <w:tc>
          <w:tcPr>
            <w:tcW w:w="0" w:type="auto"/>
            <w:tcBorders>
              <w:top w:val="nil"/>
              <w:bottom w:val="nil"/>
              <w:right w:val="nil"/>
            </w:tcBorders>
            <w:shd w:val="clear" w:color="auto" w:fill="auto"/>
          </w:tcPr>
          <w:p w14:paraId="2E6CC77D" w14:textId="77777777" w:rsidR="00691427" w:rsidRPr="008D43DB" w:rsidRDefault="00691427" w:rsidP="008D43DB">
            <w:pPr>
              <w:keepNext/>
              <w:rPr>
                <w:b/>
                <w:smallCaps/>
              </w:rPr>
            </w:pPr>
            <w:r w:rsidRPr="008D43DB">
              <w:rPr>
                <w:b/>
                <w:bCs/>
              </w:rPr>
              <w:t>ssrA-GFP, ClpP, ClpX, + 4 mM ATP 5 h</w:t>
            </w:r>
          </w:p>
        </w:tc>
      </w:tr>
    </w:tbl>
    <w:p w14:paraId="5DFE6B94" w14:textId="076BE51A" w:rsidR="0075068E" w:rsidRPr="0075068E" w:rsidRDefault="0075068E" w:rsidP="0075068E">
      <w:pPr>
        <w:pStyle w:val="Caption"/>
        <w:rPr>
          <w:b w:val="0"/>
          <w:smallCaps/>
        </w:rPr>
      </w:pPr>
      <w:bookmarkStart w:id="147" w:name="_Toc5807428"/>
      <w:r>
        <w:t xml:space="preserve">Figure </w:t>
      </w:r>
      <w:r w:rsidR="00C371B6">
        <w:t>A.8</w:t>
      </w:r>
      <w:r>
        <w:t xml:space="preserve"> </w:t>
      </w:r>
      <w:r w:rsidR="00691427" w:rsidRPr="006818EE">
        <w:t>SDS-PAGE visualization of ssrA-GFP degradation over time via ClpXP in the presence of 4 mM ATP.</w:t>
      </w:r>
      <w:bookmarkEnd w:id="147"/>
      <w:r w:rsidR="00691427">
        <w:t xml:space="preserve"> </w:t>
      </w:r>
    </w:p>
    <w:p w14:paraId="0472046E" w14:textId="77777777" w:rsidR="00691427" w:rsidRPr="0023293B" w:rsidRDefault="00691427" w:rsidP="0023293B">
      <w:pPr>
        <w:spacing w:line="240" w:lineRule="auto"/>
        <w:jc w:val="both"/>
        <w:rPr>
          <w:bCs/>
        </w:rPr>
      </w:pPr>
      <w:r>
        <w:rPr>
          <w:bCs/>
        </w:rPr>
        <w:lastRenderedPageBreak/>
        <w:t>Individual lane assignments are the same between both ClpP1 and ClpP2 SDS-PAGE gels, as listed in the table above.</w:t>
      </w:r>
      <w:r w:rsidRPr="006818EE">
        <w:rPr>
          <w:bCs/>
        </w:rPr>
        <w:t xml:space="preserve">  </w:t>
      </w:r>
    </w:p>
    <w:p w14:paraId="2520A683" w14:textId="77777777" w:rsidR="00691427" w:rsidRPr="006818EE" w:rsidRDefault="00691427" w:rsidP="00691427">
      <w:pPr>
        <w:rPr>
          <w:b/>
          <w:bCs/>
        </w:rPr>
      </w:pPr>
    </w:p>
    <w:p w14:paraId="70A0AC0E" w14:textId="77777777" w:rsidR="0075068E" w:rsidRDefault="001A3FA6" w:rsidP="0075068E">
      <w:pPr>
        <w:keepNext/>
      </w:pPr>
      <w:r w:rsidRPr="008D43DB">
        <w:rPr>
          <w:b/>
          <w:noProof/>
        </w:rPr>
        <w:drawing>
          <wp:inline distT="0" distB="0" distL="0" distR="0" wp14:anchorId="1DFEFFE9" wp14:editId="5AAC4F81">
            <wp:extent cx="5013325" cy="3313430"/>
            <wp:effectExtent l="0" t="0" r="0" b="0"/>
            <wp:docPr id="38"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13325" cy="3313430"/>
                    </a:xfrm>
                    <a:prstGeom prst="rect">
                      <a:avLst/>
                    </a:prstGeom>
                    <a:noFill/>
                    <a:ln>
                      <a:noFill/>
                    </a:ln>
                  </pic:spPr>
                </pic:pic>
              </a:graphicData>
            </a:graphic>
          </wp:inline>
        </w:drawing>
      </w:r>
    </w:p>
    <w:p w14:paraId="5EF58554" w14:textId="167D2D02" w:rsidR="00691427" w:rsidRPr="0075068E" w:rsidRDefault="0075068E" w:rsidP="0075068E">
      <w:pPr>
        <w:pStyle w:val="Caption"/>
        <w:rPr>
          <w:b w:val="0"/>
          <w:bCs w:val="0"/>
        </w:rPr>
      </w:pPr>
      <w:bookmarkStart w:id="148" w:name="_Toc5807429"/>
      <w:r>
        <w:t xml:space="preserve">Figure </w:t>
      </w:r>
      <w:r w:rsidR="00C371B6">
        <w:t>A.9</w:t>
      </w:r>
      <w:r>
        <w:t xml:space="preserve"> </w:t>
      </w:r>
      <w:r w:rsidR="00691427" w:rsidRPr="006818EE">
        <w:t>Raw data replicates of ClpP1 + ADEP thermal</w:t>
      </w:r>
      <w:r w:rsidR="00691427">
        <w:t xml:space="preserve"> </w:t>
      </w:r>
      <w:r w:rsidR="00691427" w:rsidRPr="006818EE">
        <w:t>shift experiments.</w:t>
      </w:r>
      <w:bookmarkEnd w:id="148"/>
      <w:r w:rsidR="00691427" w:rsidRPr="006818EE" w:rsidDel="0091073F">
        <w:t xml:space="preserve"> </w:t>
      </w:r>
    </w:p>
    <w:p w14:paraId="0C08C541" w14:textId="77777777" w:rsidR="00691427" w:rsidRPr="006818EE" w:rsidRDefault="00691427" w:rsidP="00691427">
      <w:pPr>
        <w:rPr>
          <w:b/>
          <w:bCs/>
        </w:rPr>
      </w:pPr>
    </w:p>
    <w:p w14:paraId="47840B01" w14:textId="77777777" w:rsidR="0075068E" w:rsidRDefault="001A3FA6" w:rsidP="0075068E">
      <w:pPr>
        <w:keepNext/>
      </w:pPr>
      <w:r w:rsidRPr="008D43DB">
        <w:rPr>
          <w:b/>
          <w:noProof/>
        </w:rPr>
        <w:lastRenderedPageBreak/>
        <w:drawing>
          <wp:inline distT="0" distB="0" distL="0" distR="0" wp14:anchorId="1F72FB1B" wp14:editId="1917FC39">
            <wp:extent cx="5013325" cy="3313430"/>
            <wp:effectExtent l="0" t="0" r="0" b="0"/>
            <wp:docPr id="39"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13325" cy="3313430"/>
                    </a:xfrm>
                    <a:prstGeom prst="rect">
                      <a:avLst/>
                    </a:prstGeom>
                    <a:noFill/>
                    <a:ln>
                      <a:noFill/>
                    </a:ln>
                  </pic:spPr>
                </pic:pic>
              </a:graphicData>
            </a:graphic>
          </wp:inline>
        </w:drawing>
      </w:r>
    </w:p>
    <w:p w14:paraId="2FA70EA4" w14:textId="2C0942A4" w:rsidR="00691427" w:rsidRDefault="0075068E" w:rsidP="0075068E">
      <w:pPr>
        <w:pStyle w:val="Caption"/>
        <w:rPr>
          <w:b w:val="0"/>
          <w:bCs w:val="0"/>
        </w:rPr>
      </w:pPr>
      <w:bookmarkStart w:id="149" w:name="_Toc5807430"/>
      <w:r>
        <w:t xml:space="preserve">Figure </w:t>
      </w:r>
      <w:r w:rsidR="00C371B6">
        <w:t>A.10</w:t>
      </w:r>
      <w:r>
        <w:t xml:space="preserve"> </w:t>
      </w:r>
      <w:r w:rsidR="00691427" w:rsidRPr="006818EE">
        <w:t>Raw data replicates of ClpP2 + ADEP thermal shift experiments.</w:t>
      </w:r>
      <w:bookmarkEnd w:id="149"/>
    </w:p>
    <w:p w14:paraId="53D49F48" w14:textId="1E7733EB" w:rsidR="00DA443A" w:rsidRDefault="0023293B" w:rsidP="00691427">
      <w:pPr>
        <w:rPr>
          <w:b/>
          <w:bCs/>
        </w:rPr>
      </w:pPr>
      <w:r>
        <w:rPr>
          <w:b/>
          <w:bCs/>
        </w:rPr>
        <w:br w:type="page"/>
      </w:r>
    </w:p>
    <w:p w14:paraId="2B156163" w14:textId="67CA943A" w:rsidR="0023293B" w:rsidRPr="001F6171" w:rsidRDefault="0023293B" w:rsidP="007D5BF8">
      <w:pPr>
        <w:pStyle w:val="Heading1"/>
      </w:pPr>
      <w:bookmarkStart w:id="150" w:name="_Toc8392817"/>
      <w:r w:rsidRPr="001F6171">
        <w:lastRenderedPageBreak/>
        <w:t xml:space="preserve">Appendix B: Phenotypic Response from the Loss of ClpP Function in </w:t>
      </w:r>
      <w:r w:rsidR="00AB3480" w:rsidRPr="00AB3480">
        <w:rPr>
          <w:i/>
        </w:rPr>
        <w:t>Clostridium difficile</w:t>
      </w:r>
      <w:bookmarkEnd w:id="150"/>
    </w:p>
    <w:p w14:paraId="6E45E229" w14:textId="77777777" w:rsidR="0023293B" w:rsidRPr="008D43DB" w:rsidRDefault="001A3FA6" w:rsidP="0023293B">
      <w:pPr>
        <w:jc w:val="center"/>
        <w:rPr>
          <w:b/>
          <w:bCs/>
        </w:rPr>
      </w:pPr>
      <w:r w:rsidRPr="008D43DB">
        <w:rPr>
          <w:b/>
          <w:noProof/>
        </w:rPr>
        <w:drawing>
          <wp:inline distT="0" distB="0" distL="0" distR="0" wp14:anchorId="4833E023" wp14:editId="092A78DB">
            <wp:extent cx="4485640" cy="2473960"/>
            <wp:effectExtent l="0" t="0" r="0" b="0"/>
            <wp:docPr id="4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485640" cy="2473960"/>
                    </a:xfrm>
                    <a:prstGeom prst="rect">
                      <a:avLst/>
                    </a:prstGeom>
                    <a:noFill/>
                    <a:ln>
                      <a:noFill/>
                    </a:ln>
                  </pic:spPr>
                </pic:pic>
              </a:graphicData>
            </a:graphic>
          </wp:inline>
        </w:drawing>
      </w:r>
    </w:p>
    <w:p w14:paraId="0A023EE0" w14:textId="77777777" w:rsidR="0075068E" w:rsidRDefault="001A3FA6" w:rsidP="0075068E">
      <w:pPr>
        <w:keepNext/>
        <w:jc w:val="center"/>
      </w:pPr>
      <w:r w:rsidRPr="008D43DB">
        <w:rPr>
          <w:b/>
          <w:noProof/>
        </w:rPr>
        <w:drawing>
          <wp:inline distT="0" distB="0" distL="0" distR="0" wp14:anchorId="3D6B30BE" wp14:editId="5439B1EE">
            <wp:extent cx="5142230" cy="2054860"/>
            <wp:effectExtent l="0" t="0" r="0" b="0"/>
            <wp:docPr id="4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142230" cy="2054860"/>
                    </a:xfrm>
                    <a:prstGeom prst="rect">
                      <a:avLst/>
                    </a:prstGeom>
                    <a:noFill/>
                    <a:ln>
                      <a:noFill/>
                    </a:ln>
                  </pic:spPr>
                </pic:pic>
              </a:graphicData>
            </a:graphic>
          </wp:inline>
        </w:drawing>
      </w:r>
    </w:p>
    <w:p w14:paraId="1332D425" w14:textId="387297DC" w:rsidR="0023293B" w:rsidRPr="008D43DB" w:rsidRDefault="0075068E" w:rsidP="0075068E">
      <w:pPr>
        <w:pStyle w:val="Caption"/>
        <w:rPr>
          <w:b w:val="0"/>
          <w:bCs w:val="0"/>
        </w:rPr>
      </w:pPr>
      <w:bookmarkStart w:id="151" w:name="_Toc5807431"/>
      <w:r>
        <w:t xml:space="preserve">Figure </w:t>
      </w:r>
      <w:r w:rsidR="00C371B6">
        <w:t>B.1</w:t>
      </w:r>
      <w:r>
        <w:t xml:space="preserve"> </w:t>
      </w:r>
      <w:r w:rsidR="0023293B" w:rsidRPr="008D43DB">
        <w:t xml:space="preserve">All </w:t>
      </w:r>
      <w:r w:rsidR="00AB3480" w:rsidRPr="00AB3480">
        <w:rPr>
          <w:i/>
        </w:rPr>
        <w:t>C. difficile</w:t>
      </w:r>
      <w:r w:rsidR="0023293B" w:rsidRPr="008D43DB">
        <w:t xml:space="preserve"> strains grown anaerobically in minimal defined media supplemented with glucose at 37 </w:t>
      </w:r>
      <w:r w:rsidR="0023293B">
        <w:t>º</w:t>
      </w:r>
      <w:r w:rsidR="0023293B" w:rsidRPr="008D43DB">
        <w:t xml:space="preserve">C and 42 </w:t>
      </w:r>
      <w:r w:rsidR="0023293B">
        <w:t>º</w:t>
      </w:r>
      <w:r w:rsidR="0023293B" w:rsidRPr="008D43DB">
        <w:t>C.</w:t>
      </w:r>
      <w:bookmarkEnd w:id="151"/>
      <w:r w:rsidR="001F6171" w:rsidRPr="008D43DB">
        <w:rPr>
          <w:b w:val="0"/>
          <w:bCs w:val="0"/>
        </w:rPr>
        <w:t xml:space="preserve"> </w:t>
      </w:r>
    </w:p>
    <w:p w14:paraId="20014ED5" w14:textId="43B81280" w:rsidR="0023293B" w:rsidRPr="008D43DB" w:rsidRDefault="00930C17" w:rsidP="00930C17">
      <w:pPr>
        <w:spacing w:line="240" w:lineRule="auto"/>
        <w:jc w:val="both"/>
        <w:rPr>
          <w:bCs/>
        </w:rPr>
      </w:pPr>
      <w:r>
        <w:rPr>
          <w:bCs/>
        </w:rPr>
        <w:t xml:space="preserve">Minimal defined media was used in order to assay potential differences in nutrient response regulation. Clear differences emerge under heat-shock conditions, where </w:t>
      </w:r>
      <w:r w:rsidRPr="008D43DB">
        <w:sym w:font="Symbol" w:char="F044"/>
      </w:r>
      <w:r>
        <w:rPr>
          <w:bCs/>
        </w:rPr>
        <w:t xml:space="preserve">P1 and </w:t>
      </w:r>
      <w:r w:rsidRPr="008D43DB">
        <w:sym w:font="Symbol" w:char="F044"/>
      </w:r>
      <w:r>
        <w:rPr>
          <w:bCs/>
        </w:rPr>
        <w:t xml:space="preserve">P2 differ from the WT in significant ways. </w:t>
      </w:r>
      <w:r w:rsidRPr="008D43DB">
        <w:sym w:font="Symbol" w:char="F044"/>
      </w:r>
      <w:r>
        <w:t xml:space="preserve">P1P2 appears to grow while </w:t>
      </w:r>
      <w:r w:rsidRPr="008D43DB">
        <w:sym w:font="Symbol" w:char="F044"/>
      </w:r>
      <w:r>
        <w:t xml:space="preserve">P1 mutants appears to be unable to grow. This suggests that ClpP1 may function to directly or indirectly regulate a nutrient response regulator, while it is less obvious if ClpP2 plays an important role in regulation and nutrient response regulator. </w:t>
      </w:r>
    </w:p>
    <w:p w14:paraId="6D3A0E7A" w14:textId="77777777" w:rsidR="0075068E" w:rsidRDefault="001A3FA6" w:rsidP="0075068E">
      <w:pPr>
        <w:keepNext/>
        <w:jc w:val="center"/>
      </w:pPr>
      <w:r w:rsidRPr="00F9529F">
        <w:rPr>
          <w:noProof/>
        </w:rPr>
        <w:lastRenderedPageBreak/>
        <w:drawing>
          <wp:inline distT="0" distB="0" distL="0" distR="0" wp14:anchorId="446BC72F" wp14:editId="75C53A1A">
            <wp:extent cx="3711575" cy="2829560"/>
            <wp:effectExtent l="0" t="0" r="0" b="0"/>
            <wp:docPr id="42"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11575" cy="2829560"/>
                    </a:xfrm>
                    <a:prstGeom prst="rect">
                      <a:avLst/>
                    </a:prstGeom>
                    <a:noFill/>
                    <a:ln>
                      <a:noFill/>
                    </a:ln>
                  </pic:spPr>
                </pic:pic>
              </a:graphicData>
            </a:graphic>
          </wp:inline>
        </w:drawing>
      </w:r>
    </w:p>
    <w:p w14:paraId="2C578983" w14:textId="77777777" w:rsidR="00AF7640" w:rsidRDefault="0075068E" w:rsidP="0075068E">
      <w:pPr>
        <w:pStyle w:val="Caption"/>
        <w:jc w:val="both"/>
      </w:pPr>
      <w:bookmarkStart w:id="152" w:name="_Toc5807432"/>
      <w:r>
        <w:t xml:space="preserve">Figure </w:t>
      </w:r>
      <w:r w:rsidR="00C371B6">
        <w:t>B.2</w:t>
      </w:r>
      <w:r>
        <w:t xml:space="preserve"> </w:t>
      </w:r>
      <w:r w:rsidR="0023293B" w:rsidRPr="008D43DB">
        <w:t xml:space="preserve">Motility assays were performed in 50% BHIS media (0.3% agar) </w:t>
      </w:r>
    </w:p>
    <w:p w14:paraId="674A5B00" w14:textId="5E3287A8" w:rsidR="0023293B" w:rsidRPr="008D43DB" w:rsidRDefault="0023293B" w:rsidP="0075068E">
      <w:pPr>
        <w:pStyle w:val="Caption"/>
        <w:jc w:val="both"/>
        <w:rPr>
          <w:b w:val="0"/>
          <w:bCs w:val="0"/>
        </w:rPr>
      </w:pPr>
      <w:r w:rsidRPr="008D43DB">
        <w:rPr>
          <w:b w:val="0"/>
        </w:rPr>
        <w:t>Motility was not significantly reduced in any of the knockout mutants. Statistical significance was assessed via One-way RM ANOVA using Dunnet’s test to correct for multiple comparisons.</w:t>
      </w:r>
      <w:bookmarkEnd w:id="152"/>
    </w:p>
    <w:p w14:paraId="2A91F26E" w14:textId="77777777" w:rsidR="0023293B" w:rsidRPr="008D43DB" w:rsidRDefault="0023293B" w:rsidP="0023293B">
      <w:pPr>
        <w:rPr>
          <w:bCs/>
        </w:rPr>
      </w:pPr>
    </w:p>
    <w:p w14:paraId="3C0E4139" w14:textId="77777777" w:rsidR="0075068E" w:rsidRDefault="001A3FA6" w:rsidP="0075068E">
      <w:pPr>
        <w:keepNext/>
        <w:jc w:val="center"/>
      </w:pPr>
      <w:r w:rsidRPr="00F9529F">
        <w:rPr>
          <w:noProof/>
        </w:rPr>
        <w:drawing>
          <wp:inline distT="0" distB="0" distL="0" distR="0" wp14:anchorId="2A52E418" wp14:editId="49052EE1">
            <wp:extent cx="4528820" cy="2022475"/>
            <wp:effectExtent l="0" t="0" r="0" b="0"/>
            <wp:docPr id="43" name="Picture 110" descr="A close up of a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descr="A close up of a device&#10;&#10;Description automatically generated"/>
                    <pic:cNvPicPr>
                      <a:picLocks/>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528820" cy="2022475"/>
                    </a:xfrm>
                    <a:prstGeom prst="rect">
                      <a:avLst/>
                    </a:prstGeom>
                    <a:noFill/>
                    <a:ln>
                      <a:noFill/>
                    </a:ln>
                  </pic:spPr>
                </pic:pic>
              </a:graphicData>
            </a:graphic>
          </wp:inline>
        </w:drawing>
      </w:r>
    </w:p>
    <w:p w14:paraId="09E90AB1" w14:textId="585177D5" w:rsidR="0075068E" w:rsidRPr="008D43DB" w:rsidRDefault="0075068E" w:rsidP="0075068E">
      <w:pPr>
        <w:pStyle w:val="Caption"/>
        <w:rPr>
          <w:bCs w:val="0"/>
        </w:rPr>
      </w:pPr>
      <w:bookmarkStart w:id="153" w:name="_Toc5807433"/>
      <w:r>
        <w:t xml:space="preserve">Figure </w:t>
      </w:r>
      <w:r w:rsidR="00C371B6">
        <w:t>B.3</w:t>
      </w:r>
      <w:r>
        <w:t xml:space="preserve"> </w:t>
      </w:r>
      <w:r w:rsidR="0023293B" w:rsidRPr="008D43DB">
        <w:t xml:space="preserve">Bright field microscopy of elongated </w:t>
      </w:r>
      <w:r w:rsidR="0023293B" w:rsidRPr="008D43DB">
        <w:sym w:font="Symbol" w:char="F044"/>
      </w:r>
      <w:r w:rsidR="0023293B" w:rsidRPr="008D43DB">
        <w:t>P1P2 cell phenotype</w:t>
      </w:r>
      <w:bookmarkEnd w:id="153"/>
      <w:r w:rsidR="0023293B" w:rsidRPr="008D43DB">
        <w:t xml:space="preserve"> </w:t>
      </w:r>
    </w:p>
    <w:p w14:paraId="4C4BD9C1" w14:textId="77777777" w:rsidR="0023293B" w:rsidRPr="008D43DB" w:rsidRDefault="0023293B" w:rsidP="0023293B">
      <w:pPr>
        <w:spacing w:line="240" w:lineRule="auto"/>
        <w:jc w:val="both"/>
        <w:rPr>
          <w:bCs/>
        </w:rPr>
      </w:pPr>
      <w:r w:rsidRPr="008D43DB">
        <w:rPr>
          <w:bCs/>
        </w:rPr>
        <w:t xml:space="preserve">harvested from BHIS cultures and immobilized on 1% agarose pads, observed via 100x oil-immersion under a Ph3 filter. White arrows denote apparent phase-bright spores. Scale bar represents 5 </w:t>
      </w:r>
      <w:r>
        <w:rPr>
          <w:bCs/>
        </w:rPr>
        <w:t>µ</w:t>
      </w:r>
      <w:r w:rsidRPr="008D43DB">
        <w:rPr>
          <w:bCs/>
        </w:rPr>
        <w:t xml:space="preserve">m. </w:t>
      </w:r>
    </w:p>
    <w:p w14:paraId="14ED9676" w14:textId="77777777" w:rsidR="0023293B" w:rsidRPr="008D43DB" w:rsidRDefault="0023293B" w:rsidP="0023293B">
      <w:pPr>
        <w:jc w:val="both"/>
        <w:rPr>
          <w:bCs/>
        </w:rPr>
      </w:pPr>
    </w:p>
    <w:p w14:paraId="79B1DC12" w14:textId="77777777" w:rsidR="0023293B" w:rsidRPr="008D43DB" w:rsidRDefault="0023293B" w:rsidP="0023293B">
      <w:pPr>
        <w:jc w:val="both"/>
        <w:rPr>
          <w:bCs/>
        </w:rPr>
      </w:pPr>
    </w:p>
    <w:p w14:paraId="37548903" w14:textId="77777777" w:rsidR="0023293B" w:rsidRPr="008D43DB" w:rsidRDefault="0023293B" w:rsidP="0023293B">
      <w:pPr>
        <w:jc w:val="both"/>
        <w:rPr>
          <w:bCs/>
        </w:rPr>
      </w:pPr>
    </w:p>
    <w:p w14:paraId="41191646" w14:textId="77777777" w:rsidR="0023293B" w:rsidRPr="008D43DB" w:rsidRDefault="0023293B" w:rsidP="0023293B">
      <w:pPr>
        <w:jc w:val="both"/>
        <w:rPr>
          <w:bCs/>
        </w:rPr>
      </w:pPr>
    </w:p>
    <w:p w14:paraId="7A7861A1" w14:textId="77777777" w:rsidR="0075068E" w:rsidRDefault="001A3FA6" w:rsidP="0075068E">
      <w:pPr>
        <w:keepNext/>
        <w:jc w:val="both"/>
      </w:pPr>
      <w:r w:rsidRPr="00F9529F">
        <w:rPr>
          <w:noProof/>
        </w:rPr>
        <w:drawing>
          <wp:inline distT="0" distB="0" distL="0" distR="0" wp14:anchorId="66E4567C" wp14:editId="60D6D0B3">
            <wp:extent cx="5486400" cy="4851400"/>
            <wp:effectExtent l="0" t="0" r="0" b="0"/>
            <wp:docPr id="44"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86400" cy="4851400"/>
                    </a:xfrm>
                    <a:prstGeom prst="rect">
                      <a:avLst/>
                    </a:prstGeom>
                    <a:noFill/>
                    <a:ln>
                      <a:noFill/>
                    </a:ln>
                  </pic:spPr>
                </pic:pic>
              </a:graphicData>
            </a:graphic>
          </wp:inline>
        </w:drawing>
      </w:r>
    </w:p>
    <w:p w14:paraId="77465465" w14:textId="113BB1E6" w:rsidR="0023293B" w:rsidRPr="008D43DB" w:rsidRDefault="0075068E" w:rsidP="0075068E">
      <w:pPr>
        <w:pStyle w:val="Caption"/>
        <w:jc w:val="both"/>
        <w:rPr>
          <w:bCs w:val="0"/>
        </w:rPr>
      </w:pPr>
      <w:bookmarkStart w:id="154" w:name="_Toc5807434"/>
      <w:r>
        <w:t xml:space="preserve">Figure </w:t>
      </w:r>
      <w:r w:rsidR="00C371B6">
        <w:t>B.4</w:t>
      </w:r>
      <w:r>
        <w:t xml:space="preserve"> </w:t>
      </w:r>
      <w:r w:rsidR="0023293B" w:rsidRPr="008D43DB">
        <w:t>TEM overview image of WT harvested from 70:30 plate media</w:t>
      </w:r>
      <w:bookmarkEnd w:id="154"/>
    </w:p>
    <w:p w14:paraId="6020B115" w14:textId="77777777" w:rsidR="0075068E" w:rsidRDefault="0023293B" w:rsidP="0075068E">
      <w:pPr>
        <w:keepNext/>
        <w:jc w:val="both"/>
      </w:pPr>
      <w:r w:rsidRPr="008D43DB">
        <w:rPr>
          <w:bCs/>
        </w:rPr>
        <w:lastRenderedPageBreak/>
        <w:br/>
      </w:r>
      <w:r w:rsidR="001A3FA6" w:rsidRPr="00F9529F">
        <w:rPr>
          <w:noProof/>
        </w:rPr>
        <w:drawing>
          <wp:inline distT="0" distB="0" distL="0" distR="0" wp14:anchorId="2C115452" wp14:editId="2FDC99D8">
            <wp:extent cx="5486400" cy="4851400"/>
            <wp:effectExtent l="0" t="0" r="0" b="0"/>
            <wp:docPr id="45"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86400" cy="4851400"/>
                    </a:xfrm>
                    <a:prstGeom prst="rect">
                      <a:avLst/>
                    </a:prstGeom>
                    <a:noFill/>
                    <a:ln>
                      <a:noFill/>
                    </a:ln>
                  </pic:spPr>
                </pic:pic>
              </a:graphicData>
            </a:graphic>
          </wp:inline>
        </w:drawing>
      </w:r>
    </w:p>
    <w:p w14:paraId="61365F59" w14:textId="3EF35712" w:rsidR="0023293B" w:rsidRPr="008D43DB" w:rsidRDefault="0075068E" w:rsidP="0075068E">
      <w:pPr>
        <w:pStyle w:val="Caption"/>
        <w:jc w:val="both"/>
        <w:rPr>
          <w:bCs w:val="0"/>
        </w:rPr>
      </w:pPr>
      <w:bookmarkStart w:id="155" w:name="_Toc5807435"/>
      <w:r>
        <w:t xml:space="preserve">Figure </w:t>
      </w:r>
      <w:r w:rsidR="00C371B6">
        <w:t>B.5</w:t>
      </w:r>
      <w:r>
        <w:t xml:space="preserve"> </w:t>
      </w:r>
      <w:r w:rsidR="0023293B" w:rsidRPr="008D43DB">
        <w:t>TEM overview image of purified WT spores harvested from 70:30 plate media</w:t>
      </w:r>
      <w:bookmarkEnd w:id="155"/>
    </w:p>
    <w:p w14:paraId="7DF4C8AC" w14:textId="77777777" w:rsidR="0023293B" w:rsidRPr="008D43DB" w:rsidRDefault="0023293B" w:rsidP="0023293B">
      <w:pPr>
        <w:jc w:val="both"/>
        <w:rPr>
          <w:bCs/>
        </w:rPr>
      </w:pPr>
    </w:p>
    <w:p w14:paraId="32C36B8A" w14:textId="77777777" w:rsidR="0075068E" w:rsidRDefault="001A3FA6" w:rsidP="0075068E">
      <w:pPr>
        <w:keepNext/>
        <w:jc w:val="both"/>
      </w:pPr>
      <w:r w:rsidRPr="00F9529F">
        <w:rPr>
          <w:noProof/>
        </w:rPr>
        <w:lastRenderedPageBreak/>
        <w:drawing>
          <wp:inline distT="0" distB="0" distL="0" distR="0" wp14:anchorId="3D06B4F5" wp14:editId="4558EB67">
            <wp:extent cx="5486400" cy="4851400"/>
            <wp:effectExtent l="0" t="0" r="0" b="0"/>
            <wp:docPr id="46" name="Picture 112" descr="A close up of text on a black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descr="A close up of text on a black background&#10;&#10;Description automatically generated"/>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6400" cy="4851400"/>
                    </a:xfrm>
                    <a:prstGeom prst="rect">
                      <a:avLst/>
                    </a:prstGeom>
                    <a:noFill/>
                    <a:ln>
                      <a:noFill/>
                    </a:ln>
                  </pic:spPr>
                </pic:pic>
              </a:graphicData>
            </a:graphic>
          </wp:inline>
        </w:drawing>
      </w:r>
    </w:p>
    <w:p w14:paraId="0E016D1F" w14:textId="331BCD15" w:rsidR="0023293B" w:rsidRPr="008D43DB" w:rsidRDefault="0075068E" w:rsidP="0075068E">
      <w:pPr>
        <w:pStyle w:val="Caption"/>
        <w:jc w:val="both"/>
        <w:rPr>
          <w:bCs w:val="0"/>
        </w:rPr>
      </w:pPr>
      <w:bookmarkStart w:id="156" w:name="_Toc5807436"/>
      <w:r>
        <w:t xml:space="preserve">Figure </w:t>
      </w:r>
      <w:r w:rsidR="00C371B6">
        <w:t>B.6</w:t>
      </w:r>
      <w:r>
        <w:t xml:space="preserve"> </w:t>
      </w:r>
      <w:r w:rsidR="0023293B" w:rsidRPr="008D43DB">
        <w:t xml:space="preserve">TEM overview image of </w:t>
      </w:r>
      <w:r w:rsidR="0023293B" w:rsidRPr="008D43DB">
        <w:sym w:font="Symbol" w:char="F044"/>
      </w:r>
      <w:r w:rsidR="0023293B" w:rsidRPr="008D43DB">
        <w:t>P1 harvested from 70:30 plate media</w:t>
      </w:r>
      <w:bookmarkEnd w:id="156"/>
    </w:p>
    <w:p w14:paraId="67C3E586" w14:textId="77777777" w:rsidR="0023293B" w:rsidRPr="008D43DB" w:rsidRDefault="0023293B" w:rsidP="0023293B">
      <w:pPr>
        <w:jc w:val="both"/>
        <w:rPr>
          <w:bCs/>
        </w:rPr>
      </w:pPr>
    </w:p>
    <w:p w14:paraId="61492669" w14:textId="77777777" w:rsidR="0075068E" w:rsidRDefault="001A3FA6" w:rsidP="0075068E">
      <w:pPr>
        <w:keepNext/>
        <w:jc w:val="both"/>
      </w:pPr>
      <w:r w:rsidRPr="00F9529F">
        <w:rPr>
          <w:noProof/>
        </w:rPr>
        <w:lastRenderedPageBreak/>
        <w:drawing>
          <wp:inline distT="0" distB="0" distL="0" distR="0" wp14:anchorId="7F4BA46F" wp14:editId="13F0243F">
            <wp:extent cx="5486400" cy="4851400"/>
            <wp:effectExtent l="0" t="0" r="0" b="0"/>
            <wp:docPr id="47" name="Picture 116" descr="A picture containing nature, rain, black, show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6" descr="A picture containing nature, rain, black, showing&#10;&#10;Description automatically generated"/>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86400" cy="4851400"/>
                    </a:xfrm>
                    <a:prstGeom prst="rect">
                      <a:avLst/>
                    </a:prstGeom>
                    <a:noFill/>
                    <a:ln>
                      <a:noFill/>
                    </a:ln>
                  </pic:spPr>
                </pic:pic>
              </a:graphicData>
            </a:graphic>
          </wp:inline>
        </w:drawing>
      </w:r>
    </w:p>
    <w:p w14:paraId="4E537717" w14:textId="0D3418D3" w:rsidR="0023293B" w:rsidRPr="0075068E" w:rsidRDefault="0075068E" w:rsidP="0075068E">
      <w:pPr>
        <w:pStyle w:val="Caption"/>
        <w:jc w:val="both"/>
      </w:pPr>
      <w:bookmarkStart w:id="157" w:name="_Toc5807437"/>
      <w:r>
        <w:t xml:space="preserve">Figure </w:t>
      </w:r>
      <w:r w:rsidR="00C371B6">
        <w:t>B.7</w:t>
      </w:r>
      <w:r>
        <w:t xml:space="preserve"> </w:t>
      </w:r>
      <w:r w:rsidR="0023293B" w:rsidRPr="008D43DB">
        <w:t xml:space="preserve">TEM overview image of purified </w:t>
      </w:r>
      <w:r w:rsidR="0023293B" w:rsidRPr="008D43DB">
        <w:sym w:font="Symbol" w:char="F044"/>
      </w:r>
      <w:r w:rsidR="0023293B" w:rsidRPr="008D43DB">
        <w:t>P1 spores harvested from 70:30 plate media</w:t>
      </w:r>
      <w:bookmarkEnd w:id="157"/>
    </w:p>
    <w:p w14:paraId="730C8B3D" w14:textId="77777777" w:rsidR="0023293B" w:rsidRPr="008D43DB" w:rsidRDefault="0023293B" w:rsidP="0023293B">
      <w:pPr>
        <w:jc w:val="both"/>
        <w:rPr>
          <w:bCs/>
        </w:rPr>
      </w:pPr>
    </w:p>
    <w:p w14:paraId="434693DA" w14:textId="77777777" w:rsidR="0075068E" w:rsidRDefault="001A3FA6" w:rsidP="0075068E">
      <w:pPr>
        <w:keepNext/>
        <w:jc w:val="both"/>
      </w:pPr>
      <w:r w:rsidRPr="00F9529F">
        <w:rPr>
          <w:noProof/>
        </w:rPr>
        <w:lastRenderedPageBreak/>
        <w:drawing>
          <wp:inline distT="0" distB="0" distL="0" distR="0" wp14:anchorId="7EAB4A57" wp14:editId="0C4FFA6C">
            <wp:extent cx="5486400" cy="4851400"/>
            <wp:effectExtent l="0" t="0" r="0" b="0"/>
            <wp:docPr id="48" name="Picture 113" descr="A close up of a white wal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descr="A close up of a white wall&#10;&#10;Description automatically generated"/>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86400" cy="4851400"/>
                    </a:xfrm>
                    <a:prstGeom prst="rect">
                      <a:avLst/>
                    </a:prstGeom>
                    <a:noFill/>
                    <a:ln>
                      <a:noFill/>
                    </a:ln>
                  </pic:spPr>
                </pic:pic>
              </a:graphicData>
            </a:graphic>
          </wp:inline>
        </w:drawing>
      </w:r>
    </w:p>
    <w:p w14:paraId="05A2F33B" w14:textId="72E93B37" w:rsidR="0023293B" w:rsidRPr="008D43DB" w:rsidRDefault="0075068E" w:rsidP="0075068E">
      <w:pPr>
        <w:pStyle w:val="Caption"/>
        <w:jc w:val="both"/>
        <w:rPr>
          <w:bCs w:val="0"/>
        </w:rPr>
      </w:pPr>
      <w:bookmarkStart w:id="158" w:name="_Toc5807438"/>
      <w:r>
        <w:t xml:space="preserve">Figure </w:t>
      </w:r>
      <w:r w:rsidR="00C371B6">
        <w:t>B.8</w:t>
      </w:r>
      <w:r>
        <w:t xml:space="preserve"> </w:t>
      </w:r>
      <w:r w:rsidR="0023293B" w:rsidRPr="008D43DB">
        <w:t xml:space="preserve">TEM overview image of </w:t>
      </w:r>
      <w:r w:rsidR="0023293B" w:rsidRPr="008D43DB">
        <w:sym w:font="Symbol" w:char="F044"/>
      </w:r>
      <w:r w:rsidR="0023293B" w:rsidRPr="008D43DB">
        <w:t>P2 harvested from 70:30 plate media</w:t>
      </w:r>
      <w:bookmarkEnd w:id="158"/>
    </w:p>
    <w:p w14:paraId="5759DA86" w14:textId="77777777" w:rsidR="0023293B" w:rsidRPr="008D43DB" w:rsidRDefault="0023293B" w:rsidP="0023293B">
      <w:pPr>
        <w:jc w:val="both"/>
        <w:rPr>
          <w:bCs/>
        </w:rPr>
      </w:pPr>
    </w:p>
    <w:p w14:paraId="2D213A72" w14:textId="77777777" w:rsidR="0023293B" w:rsidRPr="008D43DB" w:rsidRDefault="0023293B" w:rsidP="0023293B">
      <w:pPr>
        <w:jc w:val="both"/>
        <w:rPr>
          <w:bCs/>
        </w:rPr>
      </w:pPr>
    </w:p>
    <w:p w14:paraId="6ECBF33D" w14:textId="77777777" w:rsidR="0075068E" w:rsidRDefault="001A3FA6" w:rsidP="0075068E">
      <w:pPr>
        <w:keepNext/>
        <w:jc w:val="both"/>
      </w:pPr>
      <w:r w:rsidRPr="00F9529F">
        <w:rPr>
          <w:noProof/>
        </w:rPr>
        <w:lastRenderedPageBreak/>
        <w:drawing>
          <wp:inline distT="0" distB="0" distL="0" distR="0" wp14:anchorId="7346BCCD" wp14:editId="7BC5EDD2">
            <wp:extent cx="5486400" cy="4851400"/>
            <wp:effectExtent l="0" t="0" r="0" b="0"/>
            <wp:docPr id="49" name="Picture 117"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descr="A close up of a logo&#10;&#10;Description automatically generated"/>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86400" cy="4851400"/>
                    </a:xfrm>
                    <a:prstGeom prst="rect">
                      <a:avLst/>
                    </a:prstGeom>
                    <a:noFill/>
                    <a:ln>
                      <a:noFill/>
                    </a:ln>
                  </pic:spPr>
                </pic:pic>
              </a:graphicData>
            </a:graphic>
          </wp:inline>
        </w:drawing>
      </w:r>
    </w:p>
    <w:p w14:paraId="213F6479" w14:textId="639F70A7" w:rsidR="0023293B" w:rsidRPr="008D43DB" w:rsidRDefault="0075068E" w:rsidP="0075068E">
      <w:pPr>
        <w:pStyle w:val="Caption"/>
        <w:jc w:val="both"/>
        <w:rPr>
          <w:bCs w:val="0"/>
        </w:rPr>
      </w:pPr>
      <w:bookmarkStart w:id="159" w:name="_Toc5807439"/>
      <w:r>
        <w:t xml:space="preserve">Figure </w:t>
      </w:r>
      <w:r w:rsidR="00C371B6">
        <w:t>B.9</w:t>
      </w:r>
      <w:r>
        <w:t xml:space="preserve"> </w:t>
      </w:r>
      <w:r w:rsidR="0023293B" w:rsidRPr="008D43DB">
        <w:t xml:space="preserve">TEM overview image of purified </w:t>
      </w:r>
      <w:r w:rsidR="0023293B" w:rsidRPr="008D43DB">
        <w:sym w:font="Symbol" w:char="F044"/>
      </w:r>
      <w:r w:rsidR="0023293B" w:rsidRPr="008D43DB">
        <w:t>P2 spores harvested from 70:30 plate media</w:t>
      </w:r>
      <w:bookmarkEnd w:id="159"/>
    </w:p>
    <w:p w14:paraId="17FE2C6F" w14:textId="77777777" w:rsidR="0023293B" w:rsidRPr="008D43DB" w:rsidRDefault="0023293B" w:rsidP="0023293B">
      <w:pPr>
        <w:jc w:val="both"/>
        <w:rPr>
          <w:bCs/>
        </w:rPr>
      </w:pPr>
    </w:p>
    <w:p w14:paraId="0CFB53D4" w14:textId="77777777" w:rsidR="0023293B" w:rsidRPr="008D43DB" w:rsidRDefault="0023293B" w:rsidP="0023293B">
      <w:pPr>
        <w:jc w:val="both"/>
        <w:rPr>
          <w:bCs/>
        </w:rPr>
      </w:pPr>
    </w:p>
    <w:p w14:paraId="20CB93A8" w14:textId="77777777" w:rsidR="0075068E" w:rsidRDefault="001A3FA6" w:rsidP="0075068E">
      <w:pPr>
        <w:keepNext/>
        <w:jc w:val="both"/>
      </w:pPr>
      <w:r w:rsidRPr="00F9529F">
        <w:rPr>
          <w:noProof/>
        </w:rPr>
        <w:lastRenderedPageBreak/>
        <w:drawing>
          <wp:inline distT="0" distB="0" distL="0" distR="0" wp14:anchorId="73417A1C" wp14:editId="31F688DF">
            <wp:extent cx="5486400" cy="4851400"/>
            <wp:effectExtent l="0" t="0" r="0" b="0"/>
            <wp:docPr id="50"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4"/>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486400" cy="4851400"/>
                    </a:xfrm>
                    <a:prstGeom prst="rect">
                      <a:avLst/>
                    </a:prstGeom>
                    <a:noFill/>
                    <a:ln>
                      <a:noFill/>
                    </a:ln>
                  </pic:spPr>
                </pic:pic>
              </a:graphicData>
            </a:graphic>
          </wp:inline>
        </w:drawing>
      </w:r>
    </w:p>
    <w:p w14:paraId="3CEC4AE1" w14:textId="198931ED" w:rsidR="0023293B" w:rsidRPr="008D43DB" w:rsidRDefault="0075068E" w:rsidP="0075068E">
      <w:pPr>
        <w:pStyle w:val="Caption"/>
        <w:jc w:val="both"/>
        <w:rPr>
          <w:bCs w:val="0"/>
        </w:rPr>
      </w:pPr>
      <w:bookmarkStart w:id="160" w:name="_Toc5807440"/>
      <w:r>
        <w:t xml:space="preserve">Figure </w:t>
      </w:r>
      <w:r w:rsidR="00C371B6">
        <w:t>B.10</w:t>
      </w:r>
      <w:r>
        <w:t xml:space="preserve"> </w:t>
      </w:r>
      <w:r w:rsidR="0023293B" w:rsidRPr="008D43DB">
        <w:t xml:space="preserve">TEM overview image of </w:t>
      </w:r>
      <w:r w:rsidR="0023293B" w:rsidRPr="008D43DB">
        <w:sym w:font="Symbol" w:char="F044"/>
      </w:r>
      <w:r w:rsidR="0023293B" w:rsidRPr="008D43DB">
        <w:t>P1P2 harvested from 70:30 plate media</w:t>
      </w:r>
      <w:bookmarkEnd w:id="160"/>
    </w:p>
    <w:p w14:paraId="50017214" w14:textId="77777777" w:rsidR="0023293B" w:rsidRPr="008D43DB" w:rsidRDefault="0023293B" w:rsidP="0023293B">
      <w:pPr>
        <w:jc w:val="both"/>
        <w:rPr>
          <w:bCs/>
        </w:rPr>
      </w:pPr>
    </w:p>
    <w:p w14:paraId="62824906" w14:textId="77777777" w:rsidR="0023293B" w:rsidRPr="008D43DB" w:rsidRDefault="0023293B" w:rsidP="0023293B">
      <w:pPr>
        <w:jc w:val="both"/>
        <w:rPr>
          <w:bCs/>
        </w:rPr>
      </w:pPr>
    </w:p>
    <w:p w14:paraId="3B384A44" w14:textId="77777777" w:rsidR="0023293B" w:rsidRPr="008D43DB" w:rsidRDefault="0023293B" w:rsidP="0023293B">
      <w:pPr>
        <w:jc w:val="both"/>
        <w:rPr>
          <w:bCs/>
        </w:rPr>
      </w:pPr>
    </w:p>
    <w:p w14:paraId="7985D96F" w14:textId="77777777" w:rsidR="0023293B" w:rsidRPr="008D43DB" w:rsidRDefault="0023293B" w:rsidP="0023293B">
      <w:pPr>
        <w:jc w:val="both"/>
        <w:rPr>
          <w:bCs/>
        </w:rPr>
      </w:pPr>
    </w:p>
    <w:p w14:paraId="1EF36326" w14:textId="77777777" w:rsidR="0023293B" w:rsidRPr="008D43DB" w:rsidRDefault="0023293B" w:rsidP="0023293B">
      <w:pPr>
        <w:jc w:val="both"/>
        <w:rPr>
          <w:bCs/>
        </w:rPr>
      </w:pPr>
    </w:p>
    <w:p w14:paraId="7A2F6AF7" w14:textId="77777777" w:rsidR="0023293B" w:rsidRPr="008D43DB" w:rsidRDefault="0023293B" w:rsidP="0023293B">
      <w:pPr>
        <w:jc w:val="both"/>
        <w:rPr>
          <w:bCs/>
        </w:rPr>
      </w:pPr>
    </w:p>
    <w:p w14:paraId="08276E7C" w14:textId="77777777" w:rsidR="0075068E" w:rsidRDefault="001A3FA6" w:rsidP="0075068E">
      <w:pPr>
        <w:keepNext/>
        <w:jc w:val="both"/>
      </w:pPr>
      <w:r w:rsidRPr="00F9529F">
        <w:rPr>
          <w:noProof/>
        </w:rPr>
        <w:lastRenderedPageBreak/>
        <w:drawing>
          <wp:inline distT="0" distB="0" distL="0" distR="0" wp14:anchorId="59EDA0DC" wp14:editId="0C410D90">
            <wp:extent cx="5486400" cy="4851400"/>
            <wp:effectExtent l="0" t="0" r="0" b="0"/>
            <wp:docPr id="51"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8"/>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86400" cy="4851400"/>
                    </a:xfrm>
                    <a:prstGeom prst="rect">
                      <a:avLst/>
                    </a:prstGeom>
                    <a:noFill/>
                    <a:ln>
                      <a:noFill/>
                    </a:ln>
                  </pic:spPr>
                </pic:pic>
              </a:graphicData>
            </a:graphic>
          </wp:inline>
        </w:drawing>
      </w:r>
    </w:p>
    <w:p w14:paraId="6BC63C1F" w14:textId="2022C1D7" w:rsidR="0023293B" w:rsidRPr="008D43DB" w:rsidRDefault="0075068E" w:rsidP="0075068E">
      <w:pPr>
        <w:pStyle w:val="Caption"/>
        <w:jc w:val="both"/>
        <w:rPr>
          <w:bCs w:val="0"/>
        </w:rPr>
      </w:pPr>
      <w:bookmarkStart w:id="161" w:name="_Toc5807441"/>
      <w:r>
        <w:t xml:space="preserve">Figure </w:t>
      </w:r>
      <w:r w:rsidR="00C371B6">
        <w:t>B.11</w:t>
      </w:r>
      <w:r>
        <w:t xml:space="preserve"> </w:t>
      </w:r>
      <w:r w:rsidR="0023293B" w:rsidRPr="008D43DB">
        <w:t xml:space="preserve">TEM overview image of purified </w:t>
      </w:r>
      <w:r w:rsidR="0023293B" w:rsidRPr="008D43DB">
        <w:sym w:font="Symbol" w:char="F044"/>
      </w:r>
      <w:r w:rsidR="0023293B" w:rsidRPr="008D43DB">
        <w:t>P1P2 spores harvested from 70:30 plate media</w:t>
      </w:r>
      <w:bookmarkEnd w:id="161"/>
    </w:p>
    <w:p w14:paraId="2EFD707E" w14:textId="77777777" w:rsidR="0023293B" w:rsidRPr="008D43DB" w:rsidRDefault="0023293B" w:rsidP="0023293B">
      <w:pPr>
        <w:rPr>
          <w:bCs/>
        </w:rPr>
      </w:pPr>
    </w:p>
    <w:p w14:paraId="4BD155BC" w14:textId="77777777" w:rsidR="0023293B" w:rsidRPr="008D43DB" w:rsidRDefault="0023293B" w:rsidP="0023293B">
      <w:pPr>
        <w:rPr>
          <w:bCs/>
        </w:rPr>
      </w:pPr>
    </w:p>
    <w:p w14:paraId="38D2DD79" w14:textId="77777777" w:rsidR="0023293B" w:rsidRPr="008D43DB" w:rsidRDefault="0023293B" w:rsidP="0023293B">
      <w:pPr>
        <w:rPr>
          <w:bCs/>
        </w:rPr>
      </w:pPr>
    </w:p>
    <w:p w14:paraId="0C872C13" w14:textId="77777777" w:rsidR="0075068E" w:rsidRDefault="001A3FA6" w:rsidP="0075068E">
      <w:pPr>
        <w:keepNext/>
        <w:jc w:val="center"/>
      </w:pPr>
      <w:r w:rsidRPr="008D43DB">
        <w:rPr>
          <w:b/>
          <w:noProof/>
        </w:rPr>
        <w:lastRenderedPageBreak/>
        <w:drawing>
          <wp:inline distT="0" distB="0" distL="0" distR="0" wp14:anchorId="36B20788" wp14:editId="7D6720CA">
            <wp:extent cx="2644140" cy="3275354"/>
            <wp:effectExtent l="0" t="0" r="0" b="1270"/>
            <wp:docPr id="52"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654872" cy="3288648"/>
                    </a:xfrm>
                    <a:prstGeom prst="rect">
                      <a:avLst/>
                    </a:prstGeom>
                    <a:noFill/>
                    <a:ln>
                      <a:noFill/>
                    </a:ln>
                  </pic:spPr>
                </pic:pic>
              </a:graphicData>
            </a:graphic>
          </wp:inline>
        </w:drawing>
      </w:r>
    </w:p>
    <w:p w14:paraId="38B28276" w14:textId="2B20B55D" w:rsidR="0075068E" w:rsidRPr="008D43DB" w:rsidRDefault="0075068E" w:rsidP="00C33EE0">
      <w:pPr>
        <w:pStyle w:val="Caption"/>
        <w:jc w:val="both"/>
      </w:pPr>
      <w:bookmarkStart w:id="162" w:name="_Toc5807442"/>
      <w:r>
        <w:t xml:space="preserve">Figure </w:t>
      </w:r>
      <w:r w:rsidR="00C371B6">
        <w:t>B.12</w:t>
      </w:r>
      <w:r>
        <w:t xml:space="preserve"> </w:t>
      </w:r>
      <w:r w:rsidR="0023293B" w:rsidRPr="008D43DB">
        <w:t>Spore production is significantly lower in BHIS liquid media for all mutants with comparison to WT</w:t>
      </w:r>
      <w:bookmarkEnd w:id="162"/>
      <w:r w:rsidR="0023293B" w:rsidRPr="008D43DB">
        <w:t xml:space="preserve"> </w:t>
      </w:r>
      <w:r w:rsidR="00197F21">
        <w:t>after 2 days</w:t>
      </w:r>
    </w:p>
    <w:p w14:paraId="3343AD21" w14:textId="73A95832" w:rsidR="0023293B" w:rsidRPr="008D43DB" w:rsidRDefault="0023293B" w:rsidP="00C33EE0">
      <w:pPr>
        <w:pStyle w:val="Caption"/>
        <w:jc w:val="both"/>
        <w:rPr>
          <w:b w:val="0"/>
          <w:bCs w:val="0"/>
        </w:rPr>
      </w:pPr>
      <w:r w:rsidRPr="008D43DB">
        <w:rPr>
          <w:b w:val="0"/>
        </w:rPr>
        <w:t xml:space="preserve">Spores were enumerated with BHIS media + 0.1% taurocholate plate media post 70 </w:t>
      </w:r>
      <w:r w:rsidRPr="0075068E">
        <w:rPr>
          <w:b w:val="0"/>
        </w:rPr>
        <w:t>º</w:t>
      </w:r>
      <w:r w:rsidRPr="008D43DB">
        <w:rPr>
          <w:b w:val="0"/>
        </w:rPr>
        <w:t>C heat shock for 30 min. Plates were grown for at least 24h prior to colony counts.</w:t>
      </w:r>
    </w:p>
    <w:p w14:paraId="465590AC" w14:textId="45CD72AD" w:rsidR="00F36F34" w:rsidRDefault="00F36F34" w:rsidP="0000507C">
      <w:pPr>
        <w:widowControl w:val="0"/>
        <w:autoSpaceDE w:val="0"/>
        <w:autoSpaceDN w:val="0"/>
        <w:adjustRightInd w:val="0"/>
      </w:pPr>
    </w:p>
    <w:p w14:paraId="75B543DE" w14:textId="79FB6E29" w:rsidR="009E777F" w:rsidRDefault="009E777F" w:rsidP="0000507C">
      <w:pPr>
        <w:widowControl w:val="0"/>
        <w:autoSpaceDE w:val="0"/>
        <w:autoSpaceDN w:val="0"/>
        <w:adjustRightInd w:val="0"/>
      </w:pPr>
      <w:r>
        <w:rPr>
          <w:noProof/>
        </w:rPr>
        <w:lastRenderedPageBreak/>
        <w:drawing>
          <wp:inline distT="0" distB="0" distL="0" distR="0" wp14:anchorId="1A56D066" wp14:editId="66522FAA">
            <wp:extent cx="5486400" cy="4297680"/>
            <wp:effectExtent l="0" t="0" r="0" b="0"/>
            <wp:docPr id="70" name="Picture 70" descr="A picture containing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lasmid.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486400" cy="4297680"/>
                    </a:xfrm>
                    <a:prstGeom prst="rect">
                      <a:avLst/>
                    </a:prstGeom>
                  </pic:spPr>
                </pic:pic>
              </a:graphicData>
            </a:graphic>
          </wp:inline>
        </w:drawing>
      </w:r>
    </w:p>
    <w:p w14:paraId="3DBE2031" w14:textId="49999BAE" w:rsidR="009E777F" w:rsidRDefault="009E777F" w:rsidP="009E777F">
      <w:pPr>
        <w:widowControl w:val="0"/>
        <w:autoSpaceDE w:val="0"/>
        <w:autoSpaceDN w:val="0"/>
        <w:adjustRightInd w:val="0"/>
        <w:spacing w:line="240" w:lineRule="auto"/>
        <w:contextualSpacing/>
        <w:rPr>
          <w:b/>
        </w:rPr>
      </w:pPr>
      <w:r w:rsidRPr="009E777F">
        <w:rPr>
          <w:b/>
        </w:rPr>
        <w:t xml:space="preserve">Figure B.13 pMTL84151 plasmid map </w:t>
      </w:r>
    </w:p>
    <w:p w14:paraId="24F6463E" w14:textId="613D24BF" w:rsidR="009E777F" w:rsidRPr="0012418F" w:rsidRDefault="009E777F" w:rsidP="0012418F">
      <w:pPr>
        <w:widowControl w:val="0"/>
        <w:autoSpaceDE w:val="0"/>
        <w:autoSpaceDN w:val="0"/>
        <w:adjustRightInd w:val="0"/>
        <w:spacing w:line="240" w:lineRule="auto"/>
        <w:jc w:val="both"/>
      </w:pPr>
      <w:r>
        <w:t xml:space="preserve">The plasmid map for pMTL84151 that was used to create </w:t>
      </w:r>
      <w:r>
        <w:rPr>
          <w:i/>
        </w:rPr>
        <w:t xml:space="preserve">clpP </w:t>
      </w:r>
      <w:r>
        <w:t xml:space="preserve">mutants using CRISPR/Cas9 mutagenesis. </w:t>
      </w:r>
      <w:r w:rsidR="0012418F">
        <w:t xml:space="preserve">Each </w:t>
      </w:r>
      <w:r w:rsidR="0012418F">
        <w:rPr>
          <w:i/>
        </w:rPr>
        <w:t xml:space="preserve">clpP1 </w:t>
      </w:r>
      <w:r w:rsidR="0012418F">
        <w:t xml:space="preserve">and </w:t>
      </w:r>
      <w:r w:rsidR="0012418F">
        <w:rPr>
          <w:i/>
        </w:rPr>
        <w:t xml:space="preserve">clpP2 </w:t>
      </w:r>
      <w:r w:rsidR="0012418F">
        <w:t xml:space="preserve">were separately inserted into the </w:t>
      </w:r>
      <w:r w:rsidR="0012418F">
        <w:rPr>
          <w:i/>
        </w:rPr>
        <w:t xml:space="preserve">lacZ </w:t>
      </w:r>
      <w:r w:rsidR="0012418F">
        <w:t xml:space="preserve">operon along with 100 bp upstream from the </w:t>
      </w:r>
      <w:r w:rsidR="0012418F">
        <w:rPr>
          <w:i/>
        </w:rPr>
        <w:t xml:space="preserve">clpP </w:t>
      </w:r>
      <w:r w:rsidR="0012418F">
        <w:t>gene. The native expression of each ClpP isoform was used to complement the single mutants.</w:t>
      </w:r>
    </w:p>
    <w:p w14:paraId="16904506" w14:textId="2F9BD0AB" w:rsidR="00686DC6" w:rsidRDefault="00686DC6">
      <w:pPr>
        <w:spacing w:line="240" w:lineRule="auto"/>
      </w:pPr>
      <w:r>
        <w:br w:type="page"/>
      </w:r>
    </w:p>
    <w:p w14:paraId="3CD1A509" w14:textId="4B3C1D20" w:rsidR="00F342D2" w:rsidRDefault="00686DC6" w:rsidP="007D5BF8">
      <w:pPr>
        <w:pStyle w:val="Heading1"/>
        <w:rPr>
          <w:i/>
        </w:rPr>
      </w:pPr>
      <w:bookmarkStart w:id="163" w:name="_Toc8392818"/>
      <w:r>
        <w:lastRenderedPageBreak/>
        <w:t xml:space="preserve">Appendix C: The Structure of ClpP1 from </w:t>
      </w:r>
      <w:r>
        <w:rPr>
          <w:i/>
        </w:rPr>
        <w:t>Clostridium difficile</w:t>
      </w:r>
      <w:bookmarkEnd w:id="163"/>
    </w:p>
    <w:tbl>
      <w:tblPr>
        <w:tblW w:w="9000" w:type="dxa"/>
        <w:tblLook w:val="04A0" w:firstRow="1" w:lastRow="0" w:firstColumn="1" w:lastColumn="0" w:noHBand="0" w:noVBand="1"/>
      </w:tblPr>
      <w:tblGrid>
        <w:gridCol w:w="5310"/>
        <w:gridCol w:w="1231"/>
        <w:gridCol w:w="2459"/>
      </w:tblGrid>
      <w:tr w:rsidR="0096243D" w:rsidRPr="00A07B71" w14:paraId="16C47CE1" w14:textId="77777777" w:rsidTr="0096243D">
        <w:trPr>
          <w:trHeight w:val="322"/>
        </w:trPr>
        <w:tc>
          <w:tcPr>
            <w:tcW w:w="9000" w:type="dxa"/>
            <w:gridSpan w:val="3"/>
            <w:tcBorders>
              <w:top w:val="nil"/>
              <w:left w:val="nil"/>
              <w:bottom w:val="single" w:sz="4" w:space="0" w:color="auto"/>
              <w:right w:val="nil"/>
            </w:tcBorders>
            <w:shd w:val="clear" w:color="auto" w:fill="auto"/>
            <w:noWrap/>
            <w:vAlign w:val="bottom"/>
            <w:hideMark/>
          </w:tcPr>
          <w:p w14:paraId="271CCBD5" w14:textId="77777777" w:rsidR="0096243D" w:rsidRPr="00A07B71" w:rsidRDefault="0096243D" w:rsidP="0096243D">
            <w:pPr>
              <w:spacing w:line="240" w:lineRule="auto"/>
              <w:jc w:val="center"/>
              <w:rPr>
                <w:b/>
                <w:bCs/>
                <w:color w:val="000000"/>
                <w:sz w:val="22"/>
                <w:szCs w:val="22"/>
                <w:lang w:bidi="ar-SA"/>
              </w:rPr>
            </w:pPr>
            <w:r w:rsidRPr="00A07B71">
              <w:rPr>
                <w:b/>
                <w:bCs/>
                <w:color w:val="000000"/>
                <w:sz w:val="22"/>
                <w:szCs w:val="22"/>
                <w:lang w:bidi="ar-SA"/>
              </w:rPr>
              <w:t>ClpP1</w:t>
            </w:r>
          </w:p>
        </w:tc>
      </w:tr>
      <w:tr w:rsidR="0096243D" w:rsidRPr="00A07B71" w14:paraId="21645642" w14:textId="77777777" w:rsidTr="0096243D">
        <w:trPr>
          <w:trHeight w:val="322"/>
        </w:trPr>
        <w:tc>
          <w:tcPr>
            <w:tcW w:w="5310" w:type="dxa"/>
            <w:tcBorders>
              <w:top w:val="single" w:sz="4" w:space="0" w:color="auto"/>
              <w:left w:val="nil"/>
              <w:bottom w:val="single" w:sz="4" w:space="0" w:color="auto"/>
              <w:right w:val="nil"/>
            </w:tcBorders>
            <w:shd w:val="clear" w:color="auto" w:fill="auto"/>
            <w:noWrap/>
            <w:vAlign w:val="bottom"/>
            <w:hideMark/>
          </w:tcPr>
          <w:p w14:paraId="0AF776B1" w14:textId="77777777" w:rsidR="0096243D" w:rsidRPr="00A07B71" w:rsidRDefault="0096243D" w:rsidP="0096243D">
            <w:pPr>
              <w:spacing w:line="240" w:lineRule="auto"/>
              <w:jc w:val="center"/>
              <w:rPr>
                <w:b/>
                <w:bCs/>
                <w:color w:val="000000"/>
                <w:sz w:val="22"/>
                <w:szCs w:val="22"/>
                <w:lang w:bidi="ar-SA"/>
              </w:rPr>
            </w:pPr>
            <w:r w:rsidRPr="00A07B71">
              <w:rPr>
                <w:b/>
                <w:bCs/>
                <w:color w:val="000000"/>
                <w:sz w:val="22"/>
                <w:szCs w:val="22"/>
                <w:lang w:bidi="ar-SA"/>
              </w:rPr>
              <w:t>Condition</w:t>
            </w:r>
          </w:p>
        </w:tc>
        <w:tc>
          <w:tcPr>
            <w:tcW w:w="1231" w:type="dxa"/>
            <w:tcBorders>
              <w:top w:val="single" w:sz="4" w:space="0" w:color="auto"/>
              <w:left w:val="nil"/>
              <w:bottom w:val="single" w:sz="4" w:space="0" w:color="auto"/>
              <w:right w:val="nil"/>
            </w:tcBorders>
            <w:shd w:val="clear" w:color="auto" w:fill="auto"/>
            <w:noWrap/>
            <w:vAlign w:val="bottom"/>
            <w:hideMark/>
          </w:tcPr>
          <w:p w14:paraId="52912B8F" w14:textId="77777777" w:rsidR="0096243D" w:rsidRPr="00A07B71" w:rsidRDefault="0096243D" w:rsidP="0096243D">
            <w:pPr>
              <w:spacing w:line="240" w:lineRule="auto"/>
              <w:jc w:val="center"/>
              <w:rPr>
                <w:b/>
                <w:bCs/>
                <w:color w:val="000000"/>
                <w:sz w:val="22"/>
                <w:szCs w:val="22"/>
                <w:lang w:bidi="ar-SA"/>
              </w:rPr>
            </w:pPr>
            <w:r w:rsidRPr="00A07B71">
              <w:rPr>
                <w:b/>
                <w:bCs/>
                <w:color w:val="000000"/>
                <w:sz w:val="22"/>
                <w:szCs w:val="22"/>
                <w:lang w:bidi="ar-SA"/>
              </w:rPr>
              <w:t>Time To Crystallize (days)</w:t>
            </w:r>
          </w:p>
        </w:tc>
        <w:tc>
          <w:tcPr>
            <w:tcW w:w="2459" w:type="dxa"/>
            <w:tcBorders>
              <w:top w:val="single" w:sz="4" w:space="0" w:color="auto"/>
              <w:left w:val="nil"/>
              <w:bottom w:val="single" w:sz="4" w:space="0" w:color="auto"/>
              <w:right w:val="nil"/>
            </w:tcBorders>
            <w:shd w:val="clear" w:color="auto" w:fill="auto"/>
            <w:noWrap/>
            <w:vAlign w:val="bottom"/>
            <w:hideMark/>
          </w:tcPr>
          <w:p w14:paraId="2640DCD3" w14:textId="77777777" w:rsidR="0096243D" w:rsidRPr="00A07B71" w:rsidRDefault="0096243D" w:rsidP="0096243D">
            <w:pPr>
              <w:spacing w:line="240" w:lineRule="auto"/>
              <w:jc w:val="center"/>
              <w:rPr>
                <w:b/>
                <w:bCs/>
                <w:color w:val="000000"/>
                <w:sz w:val="22"/>
                <w:szCs w:val="22"/>
                <w:lang w:bidi="ar-SA"/>
              </w:rPr>
            </w:pPr>
            <w:r w:rsidRPr="00A07B71">
              <w:rPr>
                <w:b/>
                <w:bCs/>
                <w:color w:val="000000"/>
                <w:sz w:val="22"/>
                <w:szCs w:val="22"/>
                <w:lang w:bidi="ar-SA"/>
              </w:rPr>
              <w:t>Morphology</w:t>
            </w:r>
          </w:p>
        </w:tc>
      </w:tr>
      <w:tr w:rsidR="0096243D" w:rsidRPr="00A07B71" w14:paraId="7B193374" w14:textId="77777777" w:rsidTr="0096243D">
        <w:trPr>
          <w:trHeight w:val="322"/>
        </w:trPr>
        <w:tc>
          <w:tcPr>
            <w:tcW w:w="5310" w:type="dxa"/>
            <w:tcBorders>
              <w:top w:val="single" w:sz="4" w:space="0" w:color="auto"/>
              <w:left w:val="nil"/>
              <w:bottom w:val="nil"/>
              <w:right w:val="nil"/>
            </w:tcBorders>
            <w:shd w:val="clear" w:color="auto" w:fill="auto"/>
            <w:noWrap/>
            <w:vAlign w:val="bottom"/>
            <w:hideMark/>
          </w:tcPr>
          <w:p w14:paraId="214DE005"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0.1M Tris-base pH 8.5, 2</w:t>
            </w:r>
            <w:r>
              <w:rPr>
                <w:color w:val="000000"/>
                <w:sz w:val="22"/>
                <w:szCs w:val="22"/>
              </w:rPr>
              <w:t>.0</w:t>
            </w:r>
            <w:r w:rsidRPr="00A07B71">
              <w:rPr>
                <w:color w:val="000000"/>
                <w:sz w:val="22"/>
                <w:szCs w:val="22"/>
                <w:lang w:bidi="ar-SA"/>
              </w:rPr>
              <w:t>M ammonium sulfate</w:t>
            </w:r>
          </w:p>
        </w:tc>
        <w:tc>
          <w:tcPr>
            <w:tcW w:w="1231" w:type="dxa"/>
            <w:tcBorders>
              <w:top w:val="single" w:sz="4" w:space="0" w:color="auto"/>
              <w:left w:val="nil"/>
              <w:bottom w:val="nil"/>
              <w:right w:val="nil"/>
            </w:tcBorders>
            <w:shd w:val="clear" w:color="auto" w:fill="auto"/>
            <w:noWrap/>
            <w:vAlign w:val="bottom"/>
            <w:hideMark/>
          </w:tcPr>
          <w:p w14:paraId="4397E294"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2</w:t>
            </w:r>
          </w:p>
        </w:tc>
        <w:tc>
          <w:tcPr>
            <w:tcW w:w="2459" w:type="dxa"/>
            <w:tcBorders>
              <w:top w:val="single" w:sz="4" w:space="0" w:color="auto"/>
              <w:left w:val="nil"/>
              <w:bottom w:val="nil"/>
              <w:right w:val="nil"/>
            </w:tcBorders>
            <w:shd w:val="clear" w:color="auto" w:fill="auto"/>
            <w:noWrap/>
            <w:vAlign w:val="bottom"/>
            <w:hideMark/>
          </w:tcPr>
          <w:p w14:paraId="34DC1B89"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3FD3BA14" w14:textId="77777777" w:rsidTr="0096243D">
        <w:trPr>
          <w:trHeight w:val="322"/>
        </w:trPr>
        <w:tc>
          <w:tcPr>
            <w:tcW w:w="5310" w:type="dxa"/>
            <w:tcBorders>
              <w:top w:val="nil"/>
              <w:left w:val="nil"/>
              <w:bottom w:val="nil"/>
              <w:right w:val="nil"/>
            </w:tcBorders>
            <w:shd w:val="clear" w:color="auto" w:fill="auto"/>
            <w:noWrap/>
            <w:vAlign w:val="bottom"/>
            <w:hideMark/>
          </w:tcPr>
          <w:p w14:paraId="10D7DD6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0.1M sodium acetate pH 4.5</w:t>
            </w:r>
            <w:r>
              <w:rPr>
                <w:color w:val="000000"/>
                <w:sz w:val="22"/>
                <w:szCs w:val="22"/>
              </w:rPr>
              <w:t>,</w:t>
            </w:r>
            <w:r w:rsidRPr="00A07B71">
              <w:rPr>
                <w:color w:val="000000"/>
                <w:sz w:val="22"/>
                <w:szCs w:val="22"/>
                <w:lang w:bidi="ar-SA"/>
              </w:rPr>
              <w:t xml:space="preserve"> 2</w:t>
            </w:r>
            <w:r>
              <w:rPr>
                <w:color w:val="000000"/>
                <w:sz w:val="22"/>
                <w:szCs w:val="22"/>
              </w:rPr>
              <w:t>.0</w:t>
            </w:r>
            <w:r w:rsidRPr="00A07B71">
              <w:rPr>
                <w:color w:val="000000"/>
                <w:sz w:val="22"/>
                <w:szCs w:val="22"/>
                <w:lang w:bidi="ar-SA"/>
              </w:rPr>
              <w:t>M sodium chloride</w:t>
            </w:r>
          </w:p>
        </w:tc>
        <w:tc>
          <w:tcPr>
            <w:tcW w:w="1231" w:type="dxa"/>
            <w:tcBorders>
              <w:top w:val="nil"/>
              <w:left w:val="nil"/>
              <w:bottom w:val="nil"/>
              <w:right w:val="nil"/>
            </w:tcBorders>
            <w:shd w:val="clear" w:color="auto" w:fill="auto"/>
            <w:noWrap/>
            <w:vAlign w:val="bottom"/>
            <w:hideMark/>
          </w:tcPr>
          <w:p w14:paraId="44569B34"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4</w:t>
            </w:r>
          </w:p>
        </w:tc>
        <w:tc>
          <w:tcPr>
            <w:tcW w:w="2459" w:type="dxa"/>
            <w:tcBorders>
              <w:top w:val="nil"/>
              <w:left w:val="nil"/>
              <w:bottom w:val="nil"/>
              <w:right w:val="nil"/>
            </w:tcBorders>
            <w:shd w:val="clear" w:color="auto" w:fill="auto"/>
            <w:noWrap/>
            <w:vAlign w:val="bottom"/>
            <w:hideMark/>
          </w:tcPr>
          <w:p w14:paraId="498CF65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needles</w:t>
            </w:r>
          </w:p>
        </w:tc>
      </w:tr>
      <w:tr w:rsidR="0096243D" w:rsidRPr="00A07B71" w14:paraId="01EC1301" w14:textId="77777777" w:rsidTr="0096243D">
        <w:trPr>
          <w:trHeight w:val="322"/>
        </w:trPr>
        <w:tc>
          <w:tcPr>
            <w:tcW w:w="5310" w:type="dxa"/>
            <w:tcBorders>
              <w:top w:val="nil"/>
              <w:left w:val="nil"/>
              <w:bottom w:val="nil"/>
              <w:right w:val="nil"/>
            </w:tcBorders>
            <w:shd w:val="clear" w:color="auto" w:fill="auto"/>
            <w:noWrap/>
            <w:vAlign w:val="bottom"/>
            <w:hideMark/>
          </w:tcPr>
          <w:p w14:paraId="389673D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0.1M Tris-base pH 8.5, 2</w:t>
            </w:r>
            <w:r>
              <w:rPr>
                <w:color w:val="000000"/>
                <w:sz w:val="22"/>
                <w:szCs w:val="22"/>
              </w:rPr>
              <w:t>.0</w:t>
            </w:r>
            <w:r w:rsidRPr="00A07B71">
              <w:rPr>
                <w:color w:val="000000"/>
                <w:sz w:val="22"/>
                <w:szCs w:val="22"/>
                <w:lang w:bidi="ar-SA"/>
              </w:rPr>
              <w:t>M ammonium sulfate</w:t>
            </w:r>
          </w:p>
        </w:tc>
        <w:tc>
          <w:tcPr>
            <w:tcW w:w="1231" w:type="dxa"/>
            <w:tcBorders>
              <w:top w:val="nil"/>
              <w:left w:val="nil"/>
              <w:bottom w:val="nil"/>
              <w:right w:val="nil"/>
            </w:tcBorders>
            <w:shd w:val="clear" w:color="auto" w:fill="auto"/>
            <w:noWrap/>
            <w:vAlign w:val="bottom"/>
            <w:hideMark/>
          </w:tcPr>
          <w:p w14:paraId="7EE80D59"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2</w:t>
            </w:r>
          </w:p>
        </w:tc>
        <w:tc>
          <w:tcPr>
            <w:tcW w:w="2459" w:type="dxa"/>
            <w:tcBorders>
              <w:top w:val="nil"/>
              <w:left w:val="nil"/>
              <w:bottom w:val="nil"/>
              <w:right w:val="nil"/>
            </w:tcBorders>
            <w:shd w:val="clear" w:color="auto" w:fill="auto"/>
            <w:noWrap/>
            <w:vAlign w:val="bottom"/>
            <w:hideMark/>
          </w:tcPr>
          <w:p w14:paraId="2754F948"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28B27AA9" w14:textId="77777777" w:rsidTr="0096243D">
        <w:trPr>
          <w:trHeight w:val="322"/>
        </w:trPr>
        <w:tc>
          <w:tcPr>
            <w:tcW w:w="5310" w:type="dxa"/>
            <w:tcBorders>
              <w:top w:val="nil"/>
              <w:left w:val="nil"/>
              <w:bottom w:val="nil"/>
              <w:right w:val="nil"/>
            </w:tcBorders>
            <w:shd w:val="clear" w:color="auto" w:fill="auto"/>
            <w:noWrap/>
            <w:vAlign w:val="bottom"/>
            <w:hideMark/>
          </w:tcPr>
          <w:p w14:paraId="58A1CAA7"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0.1M H</w:t>
            </w:r>
            <w:r>
              <w:rPr>
                <w:color w:val="000000"/>
                <w:sz w:val="22"/>
                <w:szCs w:val="22"/>
              </w:rPr>
              <w:t>EPES</w:t>
            </w:r>
            <w:r w:rsidRPr="00A07B71">
              <w:rPr>
                <w:color w:val="000000"/>
                <w:sz w:val="22"/>
                <w:szCs w:val="22"/>
                <w:lang w:bidi="ar-SA"/>
              </w:rPr>
              <w:t xml:space="preserve"> pH 7.5, 1.4M tri-sodium citrate</w:t>
            </w:r>
          </w:p>
        </w:tc>
        <w:tc>
          <w:tcPr>
            <w:tcW w:w="1231" w:type="dxa"/>
            <w:tcBorders>
              <w:top w:val="nil"/>
              <w:left w:val="nil"/>
              <w:bottom w:val="nil"/>
              <w:right w:val="nil"/>
            </w:tcBorders>
            <w:shd w:val="clear" w:color="auto" w:fill="auto"/>
            <w:noWrap/>
            <w:vAlign w:val="bottom"/>
            <w:hideMark/>
          </w:tcPr>
          <w:p w14:paraId="51E858D6"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59A4F75C"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plates/cubes</w:t>
            </w:r>
          </w:p>
        </w:tc>
      </w:tr>
      <w:tr w:rsidR="0096243D" w:rsidRPr="00A07B71" w14:paraId="1FDF1140" w14:textId="77777777" w:rsidTr="0096243D">
        <w:trPr>
          <w:trHeight w:val="322"/>
        </w:trPr>
        <w:tc>
          <w:tcPr>
            <w:tcW w:w="5310" w:type="dxa"/>
            <w:tcBorders>
              <w:top w:val="nil"/>
              <w:left w:val="nil"/>
              <w:bottom w:val="nil"/>
              <w:right w:val="nil"/>
            </w:tcBorders>
            <w:shd w:val="clear" w:color="auto" w:fill="auto"/>
            <w:noWrap/>
            <w:vAlign w:val="bottom"/>
            <w:hideMark/>
          </w:tcPr>
          <w:p w14:paraId="621870F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0.1M H</w:t>
            </w:r>
            <w:r>
              <w:rPr>
                <w:color w:val="000000"/>
                <w:sz w:val="22"/>
                <w:szCs w:val="22"/>
              </w:rPr>
              <w:t>EPES</w:t>
            </w:r>
            <w:r w:rsidRPr="00A07B71">
              <w:rPr>
                <w:color w:val="000000"/>
                <w:sz w:val="22"/>
                <w:szCs w:val="22"/>
                <w:lang w:bidi="ar-SA"/>
              </w:rPr>
              <w:t xml:space="preserve"> pH 7.5, 1.4M tri-sodium citrate</w:t>
            </w:r>
          </w:p>
        </w:tc>
        <w:tc>
          <w:tcPr>
            <w:tcW w:w="1231" w:type="dxa"/>
            <w:tcBorders>
              <w:top w:val="nil"/>
              <w:left w:val="nil"/>
              <w:bottom w:val="nil"/>
              <w:right w:val="nil"/>
            </w:tcBorders>
            <w:shd w:val="clear" w:color="auto" w:fill="auto"/>
            <w:noWrap/>
            <w:vAlign w:val="bottom"/>
            <w:hideMark/>
          </w:tcPr>
          <w:p w14:paraId="5EB3CB0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328127C2"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plates/cubes</w:t>
            </w:r>
          </w:p>
        </w:tc>
      </w:tr>
      <w:tr w:rsidR="0096243D" w:rsidRPr="00A07B71" w14:paraId="7993C9EF" w14:textId="77777777" w:rsidTr="0096243D">
        <w:trPr>
          <w:trHeight w:val="322"/>
        </w:trPr>
        <w:tc>
          <w:tcPr>
            <w:tcW w:w="5310" w:type="dxa"/>
            <w:tcBorders>
              <w:top w:val="nil"/>
              <w:left w:val="nil"/>
              <w:bottom w:val="nil"/>
              <w:right w:val="nil"/>
            </w:tcBorders>
            <w:shd w:val="clear" w:color="auto" w:fill="auto"/>
            <w:noWrap/>
            <w:vAlign w:val="bottom"/>
            <w:hideMark/>
          </w:tcPr>
          <w:p w14:paraId="4BA57A93"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0.2M ammonium acetate, 0.1M </w:t>
            </w:r>
            <w:r>
              <w:rPr>
                <w:color w:val="000000"/>
                <w:sz w:val="22"/>
                <w:szCs w:val="22"/>
              </w:rPr>
              <w:t>B</w:t>
            </w:r>
            <w:r w:rsidRPr="00A07B71">
              <w:rPr>
                <w:color w:val="000000"/>
                <w:sz w:val="22"/>
                <w:szCs w:val="22"/>
                <w:lang w:bidi="ar-SA"/>
              </w:rPr>
              <w:t>is-tris pH 5.5, 45</w:t>
            </w:r>
            <w:r>
              <w:rPr>
                <w:color w:val="000000"/>
                <w:sz w:val="22"/>
                <w:szCs w:val="22"/>
              </w:rPr>
              <w:t xml:space="preserve">% </w:t>
            </w:r>
            <w:r w:rsidRPr="00A07B71">
              <w:rPr>
                <w:color w:val="000000"/>
                <w:sz w:val="22"/>
                <w:szCs w:val="22"/>
                <w:lang w:bidi="ar-SA"/>
              </w:rPr>
              <w:t>v/v MPD</w:t>
            </w:r>
          </w:p>
        </w:tc>
        <w:tc>
          <w:tcPr>
            <w:tcW w:w="1231" w:type="dxa"/>
            <w:tcBorders>
              <w:top w:val="nil"/>
              <w:left w:val="nil"/>
              <w:bottom w:val="nil"/>
              <w:right w:val="nil"/>
            </w:tcBorders>
            <w:shd w:val="clear" w:color="auto" w:fill="auto"/>
            <w:noWrap/>
            <w:vAlign w:val="bottom"/>
            <w:hideMark/>
          </w:tcPr>
          <w:p w14:paraId="265C2754"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&gt;21</w:t>
            </w:r>
          </w:p>
        </w:tc>
        <w:tc>
          <w:tcPr>
            <w:tcW w:w="2459" w:type="dxa"/>
            <w:tcBorders>
              <w:top w:val="nil"/>
              <w:left w:val="nil"/>
              <w:bottom w:val="nil"/>
              <w:right w:val="nil"/>
            </w:tcBorders>
            <w:shd w:val="clear" w:color="auto" w:fill="auto"/>
            <w:noWrap/>
            <w:vAlign w:val="bottom"/>
            <w:hideMark/>
          </w:tcPr>
          <w:p w14:paraId="385D97C2"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plates/cubes</w:t>
            </w:r>
          </w:p>
        </w:tc>
      </w:tr>
      <w:tr w:rsidR="0096243D" w:rsidRPr="00A07B71" w14:paraId="580F7AA2" w14:textId="77777777" w:rsidTr="0096243D">
        <w:trPr>
          <w:trHeight w:val="322"/>
        </w:trPr>
        <w:tc>
          <w:tcPr>
            <w:tcW w:w="5310" w:type="dxa"/>
            <w:tcBorders>
              <w:top w:val="nil"/>
              <w:left w:val="nil"/>
              <w:bottom w:val="nil"/>
              <w:right w:val="nil"/>
            </w:tcBorders>
            <w:shd w:val="clear" w:color="auto" w:fill="auto"/>
            <w:noWrap/>
            <w:vAlign w:val="bottom"/>
            <w:hideMark/>
          </w:tcPr>
          <w:p w14:paraId="35B6DB92"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0.2M ammonium acetate, 0.1M </w:t>
            </w:r>
            <w:r>
              <w:rPr>
                <w:color w:val="000000"/>
                <w:sz w:val="22"/>
                <w:szCs w:val="22"/>
              </w:rPr>
              <w:t>B</w:t>
            </w:r>
            <w:r w:rsidRPr="00A07B71">
              <w:rPr>
                <w:color w:val="000000"/>
                <w:sz w:val="22"/>
                <w:szCs w:val="22"/>
                <w:lang w:bidi="ar-SA"/>
              </w:rPr>
              <w:t>is-tris pH 6.5, 45</w:t>
            </w:r>
            <w:r>
              <w:rPr>
                <w:color w:val="000000"/>
                <w:sz w:val="22"/>
                <w:szCs w:val="22"/>
              </w:rPr>
              <w:t xml:space="preserve">% </w:t>
            </w:r>
            <w:r w:rsidRPr="00A07B71">
              <w:rPr>
                <w:color w:val="000000"/>
                <w:sz w:val="22"/>
                <w:szCs w:val="22"/>
                <w:lang w:bidi="ar-SA"/>
              </w:rPr>
              <w:t>v/v MPD</w:t>
            </w:r>
          </w:p>
        </w:tc>
        <w:tc>
          <w:tcPr>
            <w:tcW w:w="1231" w:type="dxa"/>
            <w:tcBorders>
              <w:top w:val="nil"/>
              <w:left w:val="nil"/>
              <w:bottom w:val="nil"/>
              <w:right w:val="nil"/>
            </w:tcBorders>
            <w:shd w:val="clear" w:color="auto" w:fill="auto"/>
            <w:noWrap/>
            <w:vAlign w:val="bottom"/>
            <w:hideMark/>
          </w:tcPr>
          <w:p w14:paraId="431252B8"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&gt;28</w:t>
            </w:r>
          </w:p>
        </w:tc>
        <w:tc>
          <w:tcPr>
            <w:tcW w:w="2459" w:type="dxa"/>
            <w:tcBorders>
              <w:top w:val="nil"/>
              <w:left w:val="nil"/>
              <w:bottom w:val="nil"/>
              <w:right w:val="nil"/>
            </w:tcBorders>
            <w:shd w:val="clear" w:color="auto" w:fill="auto"/>
            <w:noWrap/>
            <w:vAlign w:val="bottom"/>
            <w:hideMark/>
          </w:tcPr>
          <w:p w14:paraId="30FC3F27"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plates/cubes</w:t>
            </w:r>
          </w:p>
        </w:tc>
      </w:tr>
      <w:tr w:rsidR="0096243D" w:rsidRPr="00A07B71" w14:paraId="7E18A171" w14:textId="77777777" w:rsidTr="0096243D">
        <w:trPr>
          <w:trHeight w:val="322"/>
        </w:trPr>
        <w:tc>
          <w:tcPr>
            <w:tcW w:w="5310" w:type="dxa"/>
            <w:tcBorders>
              <w:top w:val="nil"/>
              <w:left w:val="nil"/>
              <w:bottom w:val="nil"/>
              <w:right w:val="nil"/>
            </w:tcBorders>
            <w:shd w:val="clear" w:color="auto" w:fill="auto"/>
            <w:noWrap/>
            <w:vAlign w:val="bottom"/>
            <w:hideMark/>
          </w:tcPr>
          <w:p w14:paraId="64E06CEB"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0.2M ammonium acetate, 0.1M </w:t>
            </w:r>
            <w:r>
              <w:rPr>
                <w:color w:val="000000"/>
                <w:sz w:val="22"/>
                <w:szCs w:val="22"/>
              </w:rPr>
              <w:t>B</w:t>
            </w:r>
            <w:r w:rsidRPr="00A07B71">
              <w:rPr>
                <w:color w:val="000000"/>
                <w:sz w:val="22"/>
                <w:szCs w:val="22"/>
                <w:lang w:bidi="ar-SA"/>
              </w:rPr>
              <w:t>is-tris pH 6.5, 45</w:t>
            </w:r>
            <w:r>
              <w:rPr>
                <w:color w:val="000000"/>
                <w:sz w:val="22"/>
                <w:szCs w:val="22"/>
              </w:rPr>
              <w:t xml:space="preserve">% </w:t>
            </w:r>
            <w:r w:rsidRPr="00A07B71">
              <w:rPr>
                <w:color w:val="000000"/>
                <w:sz w:val="22"/>
                <w:szCs w:val="22"/>
                <w:lang w:bidi="ar-SA"/>
              </w:rPr>
              <w:t>v/v MPD</w:t>
            </w:r>
          </w:p>
        </w:tc>
        <w:tc>
          <w:tcPr>
            <w:tcW w:w="1231" w:type="dxa"/>
            <w:tcBorders>
              <w:top w:val="nil"/>
              <w:left w:val="nil"/>
              <w:bottom w:val="nil"/>
              <w:right w:val="nil"/>
            </w:tcBorders>
            <w:shd w:val="clear" w:color="auto" w:fill="auto"/>
            <w:noWrap/>
            <w:vAlign w:val="bottom"/>
            <w:hideMark/>
          </w:tcPr>
          <w:p w14:paraId="10BF6BE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&gt;28</w:t>
            </w:r>
          </w:p>
        </w:tc>
        <w:tc>
          <w:tcPr>
            <w:tcW w:w="2459" w:type="dxa"/>
            <w:tcBorders>
              <w:top w:val="nil"/>
              <w:left w:val="nil"/>
              <w:bottom w:val="nil"/>
              <w:right w:val="nil"/>
            </w:tcBorders>
            <w:shd w:val="clear" w:color="auto" w:fill="auto"/>
            <w:noWrap/>
            <w:vAlign w:val="bottom"/>
            <w:hideMark/>
          </w:tcPr>
          <w:p w14:paraId="1A9C6D45"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plates/cubes</w:t>
            </w:r>
          </w:p>
        </w:tc>
      </w:tr>
      <w:tr w:rsidR="0096243D" w:rsidRPr="00A07B71" w14:paraId="5E1405A0" w14:textId="77777777" w:rsidTr="0096243D">
        <w:trPr>
          <w:trHeight w:val="322"/>
        </w:trPr>
        <w:tc>
          <w:tcPr>
            <w:tcW w:w="5310" w:type="dxa"/>
            <w:tcBorders>
              <w:top w:val="nil"/>
              <w:left w:val="nil"/>
              <w:bottom w:val="nil"/>
              <w:right w:val="nil"/>
            </w:tcBorders>
            <w:shd w:val="clear" w:color="auto" w:fill="auto"/>
            <w:noWrap/>
            <w:vAlign w:val="bottom"/>
            <w:hideMark/>
          </w:tcPr>
          <w:p w14:paraId="11F660CB"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0.2M lithium sulfate, 0.1M </w:t>
            </w:r>
            <w:r>
              <w:rPr>
                <w:color w:val="000000"/>
                <w:sz w:val="22"/>
                <w:szCs w:val="22"/>
              </w:rPr>
              <w:t>T</w:t>
            </w:r>
            <w:r w:rsidRPr="00A07B71">
              <w:rPr>
                <w:color w:val="000000"/>
                <w:sz w:val="22"/>
                <w:szCs w:val="22"/>
                <w:lang w:bidi="ar-SA"/>
              </w:rPr>
              <w:t>ris-base pH 8.5, 25</w:t>
            </w:r>
            <w:r>
              <w:rPr>
                <w:color w:val="000000"/>
                <w:sz w:val="22"/>
                <w:szCs w:val="22"/>
              </w:rPr>
              <w:t>%</w:t>
            </w:r>
            <w:r w:rsidRPr="00A07B71">
              <w:rPr>
                <w:color w:val="000000"/>
                <w:sz w:val="22"/>
                <w:szCs w:val="22"/>
                <w:lang w:bidi="ar-SA"/>
              </w:rPr>
              <w:t xml:space="preserve"> w/v PEG 3350</w:t>
            </w:r>
          </w:p>
        </w:tc>
        <w:tc>
          <w:tcPr>
            <w:tcW w:w="1231" w:type="dxa"/>
            <w:tcBorders>
              <w:top w:val="nil"/>
              <w:left w:val="nil"/>
              <w:bottom w:val="nil"/>
              <w:right w:val="nil"/>
            </w:tcBorders>
            <w:shd w:val="clear" w:color="auto" w:fill="auto"/>
            <w:noWrap/>
            <w:vAlign w:val="bottom"/>
            <w:hideMark/>
          </w:tcPr>
          <w:p w14:paraId="33EBFF39"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&gt;35</w:t>
            </w:r>
          </w:p>
        </w:tc>
        <w:tc>
          <w:tcPr>
            <w:tcW w:w="2459" w:type="dxa"/>
            <w:tcBorders>
              <w:top w:val="nil"/>
              <w:left w:val="nil"/>
              <w:bottom w:val="nil"/>
              <w:right w:val="nil"/>
            </w:tcBorders>
            <w:shd w:val="clear" w:color="auto" w:fill="auto"/>
            <w:noWrap/>
            <w:vAlign w:val="bottom"/>
            <w:hideMark/>
          </w:tcPr>
          <w:p w14:paraId="7FAAFF60"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05269505" w14:textId="77777777" w:rsidTr="0096243D">
        <w:trPr>
          <w:trHeight w:val="322"/>
        </w:trPr>
        <w:tc>
          <w:tcPr>
            <w:tcW w:w="5310" w:type="dxa"/>
            <w:tcBorders>
              <w:top w:val="nil"/>
              <w:left w:val="nil"/>
              <w:bottom w:val="nil"/>
              <w:right w:val="nil"/>
            </w:tcBorders>
            <w:shd w:val="clear" w:color="auto" w:fill="auto"/>
            <w:noWrap/>
            <w:vAlign w:val="bottom"/>
            <w:hideMark/>
          </w:tcPr>
          <w:p w14:paraId="4128BFC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0.16M MgCl2, 24% w/v PEG 4k, 0.08M Tris pH 8.5, 20% w/v glycerol</w:t>
            </w:r>
          </w:p>
        </w:tc>
        <w:tc>
          <w:tcPr>
            <w:tcW w:w="1231" w:type="dxa"/>
            <w:tcBorders>
              <w:top w:val="nil"/>
              <w:left w:val="nil"/>
              <w:bottom w:val="nil"/>
              <w:right w:val="nil"/>
            </w:tcBorders>
            <w:shd w:val="clear" w:color="auto" w:fill="auto"/>
            <w:noWrap/>
            <w:vAlign w:val="bottom"/>
            <w:hideMark/>
          </w:tcPr>
          <w:p w14:paraId="53527B1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4</w:t>
            </w:r>
          </w:p>
        </w:tc>
        <w:tc>
          <w:tcPr>
            <w:tcW w:w="2459" w:type="dxa"/>
            <w:tcBorders>
              <w:top w:val="nil"/>
              <w:left w:val="nil"/>
              <w:bottom w:val="nil"/>
              <w:right w:val="nil"/>
            </w:tcBorders>
            <w:shd w:val="clear" w:color="auto" w:fill="auto"/>
            <w:noWrap/>
            <w:vAlign w:val="bottom"/>
            <w:hideMark/>
          </w:tcPr>
          <w:p w14:paraId="1E4982AB"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3F99C124" w14:textId="77777777" w:rsidTr="0096243D">
        <w:trPr>
          <w:trHeight w:val="322"/>
        </w:trPr>
        <w:tc>
          <w:tcPr>
            <w:tcW w:w="5310" w:type="dxa"/>
            <w:tcBorders>
              <w:top w:val="nil"/>
              <w:left w:val="nil"/>
              <w:bottom w:val="nil"/>
              <w:right w:val="nil"/>
            </w:tcBorders>
            <w:shd w:val="clear" w:color="auto" w:fill="auto"/>
            <w:noWrap/>
            <w:vAlign w:val="bottom"/>
            <w:hideMark/>
          </w:tcPr>
          <w:p w14:paraId="342F8B74"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0.16M MgCl2, 24% w/v PEG 4k, 0.08M Tris pH 8.5, 20% w/v glycerol</w:t>
            </w:r>
          </w:p>
        </w:tc>
        <w:tc>
          <w:tcPr>
            <w:tcW w:w="1231" w:type="dxa"/>
            <w:tcBorders>
              <w:top w:val="nil"/>
              <w:left w:val="nil"/>
              <w:bottom w:val="nil"/>
              <w:right w:val="nil"/>
            </w:tcBorders>
            <w:shd w:val="clear" w:color="auto" w:fill="auto"/>
            <w:noWrap/>
            <w:vAlign w:val="bottom"/>
            <w:hideMark/>
          </w:tcPr>
          <w:p w14:paraId="1F05A22E"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4</w:t>
            </w:r>
          </w:p>
        </w:tc>
        <w:tc>
          <w:tcPr>
            <w:tcW w:w="2459" w:type="dxa"/>
            <w:tcBorders>
              <w:top w:val="nil"/>
              <w:left w:val="nil"/>
              <w:bottom w:val="nil"/>
              <w:right w:val="nil"/>
            </w:tcBorders>
            <w:shd w:val="clear" w:color="auto" w:fill="auto"/>
            <w:noWrap/>
            <w:vAlign w:val="bottom"/>
            <w:hideMark/>
          </w:tcPr>
          <w:p w14:paraId="362B8BA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medium plates</w:t>
            </w:r>
          </w:p>
        </w:tc>
      </w:tr>
      <w:tr w:rsidR="0096243D" w:rsidRPr="00A07B71" w14:paraId="5FE0C7A1" w14:textId="77777777" w:rsidTr="0096243D">
        <w:trPr>
          <w:trHeight w:val="322"/>
        </w:trPr>
        <w:tc>
          <w:tcPr>
            <w:tcW w:w="5310" w:type="dxa"/>
            <w:tcBorders>
              <w:top w:val="nil"/>
              <w:left w:val="nil"/>
              <w:bottom w:val="nil"/>
              <w:right w:val="nil"/>
            </w:tcBorders>
            <w:shd w:val="clear" w:color="auto" w:fill="auto"/>
            <w:noWrap/>
            <w:vAlign w:val="bottom"/>
            <w:hideMark/>
          </w:tcPr>
          <w:p w14:paraId="08934764"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potassium sulfate, 20% w/v PEG 3350</w:t>
            </w:r>
          </w:p>
        </w:tc>
        <w:tc>
          <w:tcPr>
            <w:tcW w:w="1231" w:type="dxa"/>
            <w:tcBorders>
              <w:top w:val="nil"/>
              <w:left w:val="nil"/>
              <w:bottom w:val="nil"/>
              <w:right w:val="nil"/>
            </w:tcBorders>
            <w:shd w:val="clear" w:color="auto" w:fill="auto"/>
            <w:noWrap/>
            <w:vAlign w:val="bottom"/>
            <w:hideMark/>
          </w:tcPr>
          <w:p w14:paraId="15267B7B"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8</w:t>
            </w:r>
          </w:p>
        </w:tc>
        <w:tc>
          <w:tcPr>
            <w:tcW w:w="2459" w:type="dxa"/>
            <w:tcBorders>
              <w:top w:val="nil"/>
              <w:left w:val="nil"/>
              <w:bottom w:val="nil"/>
              <w:right w:val="nil"/>
            </w:tcBorders>
            <w:shd w:val="clear" w:color="auto" w:fill="auto"/>
            <w:noWrap/>
            <w:vAlign w:val="bottom"/>
            <w:hideMark/>
          </w:tcPr>
          <w:p w14:paraId="005BE159"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cubes</w:t>
            </w:r>
          </w:p>
        </w:tc>
      </w:tr>
      <w:tr w:rsidR="0096243D" w:rsidRPr="00A07B71" w14:paraId="7DEC92C2" w14:textId="77777777" w:rsidTr="0096243D">
        <w:trPr>
          <w:trHeight w:val="322"/>
        </w:trPr>
        <w:tc>
          <w:tcPr>
            <w:tcW w:w="5310" w:type="dxa"/>
            <w:tcBorders>
              <w:top w:val="nil"/>
              <w:left w:val="nil"/>
              <w:bottom w:val="nil"/>
              <w:right w:val="nil"/>
            </w:tcBorders>
            <w:shd w:val="clear" w:color="auto" w:fill="auto"/>
            <w:noWrap/>
            <w:vAlign w:val="bottom"/>
            <w:hideMark/>
          </w:tcPr>
          <w:p w14:paraId="4D576373"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2</w:t>
            </w:r>
            <w:r>
              <w:rPr>
                <w:color w:val="000000"/>
                <w:sz w:val="22"/>
                <w:szCs w:val="22"/>
              </w:rPr>
              <w:t>.0</w:t>
            </w:r>
            <w:r w:rsidRPr="00A07B71">
              <w:rPr>
                <w:color w:val="000000"/>
                <w:sz w:val="22"/>
                <w:szCs w:val="22"/>
                <w:lang w:bidi="ar-SA"/>
              </w:rPr>
              <w:t>M ammonium sulfate 0.1M HEPES pH 7.5</w:t>
            </w:r>
          </w:p>
        </w:tc>
        <w:tc>
          <w:tcPr>
            <w:tcW w:w="1231" w:type="dxa"/>
            <w:tcBorders>
              <w:top w:val="nil"/>
              <w:left w:val="nil"/>
              <w:bottom w:val="nil"/>
              <w:right w:val="nil"/>
            </w:tcBorders>
            <w:shd w:val="clear" w:color="auto" w:fill="auto"/>
            <w:noWrap/>
            <w:vAlign w:val="bottom"/>
            <w:hideMark/>
          </w:tcPr>
          <w:p w14:paraId="2C8F1396"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07EF2F0C"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rectangular plates</w:t>
            </w:r>
          </w:p>
        </w:tc>
      </w:tr>
      <w:tr w:rsidR="0096243D" w:rsidRPr="00A07B71" w14:paraId="5AF4BBCD" w14:textId="77777777" w:rsidTr="0096243D">
        <w:trPr>
          <w:trHeight w:val="322"/>
        </w:trPr>
        <w:tc>
          <w:tcPr>
            <w:tcW w:w="5310" w:type="dxa"/>
            <w:tcBorders>
              <w:top w:val="nil"/>
              <w:left w:val="nil"/>
              <w:bottom w:val="nil"/>
              <w:right w:val="nil"/>
            </w:tcBorders>
            <w:shd w:val="clear" w:color="auto" w:fill="auto"/>
            <w:noWrap/>
            <w:vAlign w:val="bottom"/>
            <w:hideMark/>
          </w:tcPr>
          <w:p w14:paraId="77C70D8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sodium formate pH 7.3, 20% w/v PEG 3350</w:t>
            </w:r>
          </w:p>
        </w:tc>
        <w:tc>
          <w:tcPr>
            <w:tcW w:w="1231" w:type="dxa"/>
            <w:tcBorders>
              <w:top w:val="nil"/>
              <w:left w:val="nil"/>
              <w:bottom w:val="nil"/>
              <w:right w:val="nil"/>
            </w:tcBorders>
            <w:shd w:val="clear" w:color="auto" w:fill="auto"/>
            <w:noWrap/>
            <w:vAlign w:val="bottom"/>
            <w:hideMark/>
          </w:tcPr>
          <w:p w14:paraId="2A5F6B15"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14</w:t>
            </w:r>
          </w:p>
        </w:tc>
        <w:tc>
          <w:tcPr>
            <w:tcW w:w="2459" w:type="dxa"/>
            <w:tcBorders>
              <w:top w:val="nil"/>
              <w:left w:val="nil"/>
              <w:bottom w:val="nil"/>
              <w:right w:val="nil"/>
            </w:tcBorders>
            <w:shd w:val="clear" w:color="auto" w:fill="auto"/>
            <w:noWrap/>
            <w:vAlign w:val="bottom"/>
            <w:hideMark/>
          </w:tcPr>
          <w:p w14:paraId="299BD986"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cubes</w:t>
            </w:r>
          </w:p>
        </w:tc>
      </w:tr>
      <w:tr w:rsidR="0096243D" w:rsidRPr="00A07B71" w14:paraId="5D418A03" w14:textId="77777777" w:rsidTr="0096243D">
        <w:trPr>
          <w:trHeight w:val="322"/>
        </w:trPr>
        <w:tc>
          <w:tcPr>
            <w:tcW w:w="5310" w:type="dxa"/>
            <w:tcBorders>
              <w:top w:val="nil"/>
              <w:left w:val="nil"/>
              <w:bottom w:val="nil"/>
              <w:right w:val="nil"/>
            </w:tcBorders>
            <w:shd w:val="clear" w:color="auto" w:fill="auto"/>
            <w:noWrap/>
            <w:vAlign w:val="bottom"/>
            <w:hideMark/>
          </w:tcPr>
          <w:p w14:paraId="79D5844E"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lithium chloride, 20% w/v PEG 3350</w:t>
            </w:r>
          </w:p>
        </w:tc>
        <w:tc>
          <w:tcPr>
            <w:tcW w:w="1231" w:type="dxa"/>
            <w:tcBorders>
              <w:top w:val="nil"/>
              <w:left w:val="nil"/>
              <w:bottom w:val="nil"/>
              <w:right w:val="nil"/>
            </w:tcBorders>
            <w:shd w:val="clear" w:color="auto" w:fill="auto"/>
            <w:noWrap/>
            <w:vAlign w:val="bottom"/>
            <w:hideMark/>
          </w:tcPr>
          <w:p w14:paraId="0F41A691"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14</w:t>
            </w:r>
          </w:p>
        </w:tc>
        <w:tc>
          <w:tcPr>
            <w:tcW w:w="2459" w:type="dxa"/>
            <w:tcBorders>
              <w:top w:val="nil"/>
              <w:left w:val="nil"/>
              <w:bottom w:val="nil"/>
              <w:right w:val="nil"/>
            </w:tcBorders>
            <w:shd w:val="clear" w:color="auto" w:fill="auto"/>
            <w:noWrap/>
            <w:vAlign w:val="bottom"/>
            <w:hideMark/>
          </w:tcPr>
          <w:p w14:paraId="649FB076"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cubes</w:t>
            </w:r>
          </w:p>
        </w:tc>
      </w:tr>
      <w:tr w:rsidR="0096243D" w:rsidRPr="00A07B71" w14:paraId="7E9B03C7" w14:textId="77777777" w:rsidTr="0096243D">
        <w:trPr>
          <w:trHeight w:val="322"/>
        </w:trPr>
        <w:tc>
          <w:tcPr>
            <w:tcW w:w="5310" w:type="dxa"/>
            <w:tcBorders>
              <w:top w:val="nil"/>
              <w:left w:val="nil"/>
              <w:bottom w:val="nil"/>
              <w:right w:val="nil"/>
            </w:tcBorders>
            <w:shd w:val="clear" w:color="auto" w:fill="auto"/>
            <w:noWrap/>
            <w:vAlign w:val="bottom"/>
            <w:hideMark/>
          </w:tcPr>
          <w:p w14:paraId="36588B8D"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60% v/v </w:t>
            </w:r>
            <w:r>
              <w:rPr>
                <w:color w:val="000000"/>
                <w:sz w:val="22"/>
                <w:szCs w:val="22"/>
              </w:rPr>
              <w:t>T</w:t>
            </w:r>
            <w:r w:rsidRPr="00A07B71">
              <w:rPr>
                <w:color w:val="000000"/>
                <w:sz w:val="22"/>
                <w:szCs w:val="22"/>
                <w:lang w:bidi="ar-SA"/>
              </w:rPr>
              <w:t>acsimate pH 7</w:t>
            </w:r>
            <w:r>
              <w:rPr>
                <w:color w:val="000000"/>
                <w:sz w:val="22"/>
                <w:szCs w:val="22"/>
              </w:rPr>
              <w:t>.0</w:t>
            </w:r>
          </w:p>
        </w:tc>
        <w:tc>
          <w:tcPr>
            <w:tcW w:w="1231" w:type="dxa"/>
            <w:tcBorders>
              <w:top w:val="nil"/>
              <w:left w:val="nil"/>
              <w:bottom w:val="nil"/>
              <w:right w:val="nil"/>
            </w:tcBorders>
            <w:shd w:val="clear" w:color="auto" w:fill="auto"/>
            <w:noWrap/>
            <w:vAlign w:val="bottom"/>
            <w:hideMark/>
          </w:tcPr>
          <w:p w14:paraId="7DEE80B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&gt;30</w:t>
            </w:r>
          </w:p>
        </w:tc>
        <w:tc>
          <w:tcPr>
            <w:tcW w:w="2459" w:type="dxa"/>
            <w:tcBorders>
              <w:top w:val="nil"/>
              <w:left w:val="nil"/>
              <w:bottom w:val="nil"/>
              <w:right w:val="nil"/>
            </w:tcBorders>
            <w:shd w:val="clear" w:color="auto" w:fill="auto"/>
            <w:noWrap/>
            <w:vAlign w:val="bottom"/>
            <w:hideMark/>
          </w:tcPr>
          <w:p w14:paraId="41CD5DF9"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plates/cubes</w:t>
            </w:r>
          </w:p>
        </w:tc>
      </w:tr>
      <w:tr w:rsidR="0096243D" w:rsidRPr="00A07B71" w14:paraId="12FE6CB5" w14:textId="77777777" w:rsidTr="0096243D">
        <w:trPr>
          <w:trHeight w:val="322"/>
        </w:trPr>
        <w:tc>
          <w:tcPr>
            <w:tcW w:w="5310" w:type="dxa"/>
            <w:tcBorders>
              <w:top w:val="nil"/>
              <w:left w:val="nil"/>
              <w:bottom w:val="nil"/>
              <w:right w:val="nil"/>
            </w:tcBorders>
            <w:shd w:val="clear" w:color="auto" w:fill="auto"/>
            <w:noWrap/>
            <w:vAlign w:val="bottom"/>
            <w:hideMark/>
          </w:tcPr>
          <w:p w14:paraId="1BECDFD5"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sodium fluoride, 20% w/v PEG 3350</w:t>
            </w:r>
          </w:p>
        </w:tc>
        <w:tc>
          <w:tcPr>
            <w:tcW w:w="1231" w:type="dxa"/>
            <w:tcBorders>
              <w:top w:val="nil"/>
              <w:left w:val="nil"/>
              <w:bottom w:val="nil"/>
              <w:right w:val="nil"/>
            </w:tcBorders>
            <w:shd w:val="clear" w:color="auto" w:fill="auto"/>
            <w:noWrap/>
            <w:vAlign w:val="bottom"/>
            <w:hideMark/>
          </w:tcPr>
          <w:p w14:paraId="6953AFA4"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&gt;21</w:t>
            </w:r>
          </w:p>
        </w:tc>
        <w:tc>
          <w:tcPr>
            <w:tcW w:w="2459" w:type="dxa"/>
            <w:tcBorders>
              <w:top w:val="nil"/>
              <w:left w:val="nil"/>
              <w:bottom w:val="nil"/>
              <w:right w:val="nil"/>
            </w:tcBorders>
            <w:shd w:val="clear" w:color="auto" w:fill="auto"/>
            <w:noWrap/>
            <w:vAlign w:val="bottom"/>
            <w:hideMark/>
          </w:tcPr>
          <w:p w14:paraId="4A86086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cubes</w:t>
            </w:r>
          </w:p>
        </w:tc>
      </w:tr>
      <w:tr w:rsidR="0096243D" w:rsidRPr="00A07B71" w14:paraId="7A30E30D" w14:textId="77777777" w:rsidTr="0096243D">
        <w:trPr>
          <w:trHeight w:val="322"/>
        </w:trPr>
        <w:tc>
          <w:tcPr>
            <w:tcW w:w="5310" w:type="dxa"/>
            <w:tcBorders>
              <w:top w:val="nil"/>
              <w:left w:val="nil"/>
              <w:bottom w:val="nil"/>
              <w:right w:val="nil"/>
            </w:tcBorders>
            <w:shd w:val="clear" w:color="auto" w:fill="auto"/>
            <w:noWrap/>
            <w:vAlign w:val="bottom"/>
            <w:hideMark/>
          </w:tcPr>
          <w:p w14:paraId="459D2230"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1.4M di-ammonium tartrate, 0.1M</w:t>
            </w:r>
            <w:r>
              <w:rPr>
                <w:color w:val="000000"/>
                <w:sz w:val="22"/>
                <w:szCs w:val="22"/>
              </w:rPr>
              <w:t xml:space="preserve"> T</w:t>
            </w:r>
            <w:r w:rsidRPr="00A07B71">
              <w:rPr>
                <w:color w:val="000000"/>
                <w:sz w:val="22"/>
                <w:szCs w:val="22"/>
                <w:lang w:bidi="ar-SA"/>
              </w:rPr>
              <w:t>ris pH 8.5</w:t>
            </w:r>
          </w:p>
        </w:tc>
        <w:tc>
          <w:tcPr>
            <w:tcW w:w="1231" w:type="dxa"/>
            <w:tcBorders>
              <w:top w:val="nil"/>
              <w:left w:val="nil"/>
              <w:bottom w:val="nil"/>
              <w:right w:val="nil"/>
            </w:tcBorders>
            <w:shd w:val="clear" w:color="auto" w:fill="auto"/>
            <w:noWrap/>
            <w:vAlign w:val="bottom"/>
            <w:hideMark/>
          </w:tcPr>
          <w:p w14:paraId="38355B63"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71FFB788"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plates/cubes</w:t>
            </w:r>
          </w:p>
        </w:tc>
      </w:tr>
      <w:tr w:rsidR="0096243D" w:rsidRPr="00A07B71" w14:paraId="381641E3" w14:textId="77777777" w:rsidTr="0096243D">
        <w:trPr>
          <w:trHeight w:val="322"/>
        </w:trPr>
        <w:tc>
          <w:tcPr>
            <w:tcW w:w="5310" w:type="dxa"/>
            <w:tcBorders>
              <w:top w:val="nil"/>
              <w:left w:val="nil"/>
              <w:bottom w:val="nil"/>
              <w:right w:val="nil"/>
            </w:tcBorders>
            <w:shd w:val="clear" w:color="auto" w:fill="auto"/>
            <w:noWrap/>
            <w:vAlign w:val="bottom"/>
            <w:hideMark/>
          </w:tcPr>
          <w:p w14:paraId="4083534C" w14:textId="177A90B3"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2.8M sodium acetate pH 7</w:t>
            </w:r>
            <w:r>
              <w:rPr>
                <w:color w:val="000000"/>
                <w:sz w:val="22"/>
                <w:szCs w:val="22"/>
                <w:lang w:bidi="ar-SA"/>
              </w:rPr>
              <w:t>.0</w:t>
            </w:r>
          </w:p>
        </w:tc>
        <w:tc>
          <w:tcPr>
            <w:tcW w:w="1231" w:type="dxa"/>
            <w:tcBorders>
              <w:top w:val="nil"/>
              <w:left w:val="nil"/>
              <w:bottom w:val="nil"/>
              <w:right w:val="nil"/>
            </w:tcBorders>
            <w:shd w:val="clear" w:color="auto" w:fill="auto"/>
            <w:noWrap/>
            <w:vAlign w:val="bottom"/>
            <w:hideMark/>
          </w:tcPr>
          <w:p w14:paraId="091F61E8"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13FBA5D9"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cubes</w:t>
            </w:r>
          </w:p>
        </w:tc>
      </w:tr>
      <w:tr w:rsidR="0096243D" w:rsidRPr="00A07B71" w14:paraId="0C7EC23A" w14:textId="77777777" w:rsidTr="0096243D">
        <w:trPr>
          <w:trHeight w:val="322"/>
        </w:trPr>
        <w:tc>
          <w:tcPr>
            <w:tcW w:w="5310" w:type="dxa"/>
            <w:tcBorders>
              <w:top w:val="nil"/>
              <w:left w:val="nil"/>
              <w:bottom w:val="nil"/>
              <w:right w:val="nil"/>
            </w:tcBorders>
            <w:shd w:val="clear" w:color="auto" w:fill="auto"/>
            <w:noWrap/>
            <w:vAlign w:val="bottom"/>
            <w:hideMark/>
          </w:tcPr>
          <w:p w14:paraId="48EA62F4"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lithium sulfate, 2</w:t>
            </w:r>
            <w:r>
              <w:rPr>
                <w:color w:val="000000"/>
                <w:sz w:val="22"/>
                <w:szCs w:val="22"/>
              </w:rPr>
              <w:t>.0</w:t>
            </w:r>
            <w:r w:rsidRPr="00A07B71">
              <w:rPr>
                <w:color w:val="000000"/>
                <w:sz w:val="22"/>
                <w:szCs w:val="22"/>
                <w:lang w:bidi="ar-SA"/>
              </w:rPr>
              <w:t>M ammonium sulfate, 0.1M CAPS</w:t>
            </w:r>
          </w:p>
        </w:tc>
        <w:tc>
          <w:tcPr>
            <w:tcW w:w="1231" w:type="dxa"/>
            <w:tcBorders>
              <w:top w:val="nil"/>
              <w:left w:val="nil"/>
              <w:bottom w:val="nil"/>
              <w:right w:val="nil"/>
            </w:tcBorders>
            <w:shd w:val="clear" w:color="auto" w:fill="auto"/>
            <w:noWrap/>
            <w:vAlign w:val="bottom"/>
            <w:hideMark/>
          </w:tcPr>
          <w:p w14:paraId="62E2FB09"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38C584A7"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0B55B4AB" w14:textId="77777777" w:rsidTr="0096243D">
        <w:trPr>
          <w:trHeight w:val="322"/>
        </w:trPr>
        <w:tc>
          <w:tcPr>
            <w:tcW w:w="5310" w:type="dxa"/>
            <w:tcBorders>
              <w:top w:val="nil"/>
              <w:left w:val="nil"/>
              <w:bottom w:val="nil"/>
              <w:right w:val="nil"/>
            </w:tcBorders>
            <w:shd w:val="clear" w:color="auto" w:fill="auto"/>
            <w:noWrap/>
            <w:vAlign w:val="bottom"/>
            <w:hideMark/>
          </w:tcPr>
          <w:p w14:paraId="75EDF073" w14:textId="536D9B34"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2.8M sodium acetate pH 7</w:t>
            </w:r>
            <w:r>
              <w:rPr>
                <w:color w:val="000000"/>
                <w:sz w:val="22"/>
                <w:szCs w:val="22"/>
                <w:lang w:bidi="ar-SA"/>
              </w:rPr>
              <w:t>.0</w:t>
            </w:r>
          </w:p>
        </w:tc>
        <w:tc>
          <w:tcPr>
            <w:tcW w:w="1231" w:type="dxa"/>
            <w:tcBorders>
              <w:top w:val="nil"/>
              <w:left w:val="nil"/>
              <w:bottom w:val="nil"/>
              <w:right w:val="nil"/>
            </w:tcBorders>
            <w:shd w:val="clear" w:color="auto" w:fill="auto"/>
            <w:noWrap/>
            <w:vAlign w:val="bottom"/>
            <w:hideMark/>
          </w:tcPr>
          <w:p w14:paraId="442E739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451680BD"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cubes</w:t>
            </w:r>
          </w:p>
        </w:tc>
      </w:tr>
      <w:tr w:rsidR="0096243D" w:rsidRPr="00A07B71" w14:paraId="7C2F1628" w14:textId="77777777" w:rsidTr="0096243D">
        <w:trPr>
          <w:trHeight w:val="322"/>
        </w:trPr>
        <w:tc>
          <w:tcPr>
            <w:tcW w:w="5310" w:type="dxa"/>
            <w:tcBorders>
              <w:top w:val="nil"/>
              <w:left w:val="nil"/>
              <w:bottom w:val="nil"/>
              <w:right w:val="nil"/>
            </w:tcBorders>
            <w:shd w:val="clear" w:color="auto" w:fill="auto"/>
            <w:noWrap/>
            <w:vAlign w:val="bottom"/>
            <w:hideMark/>
          </w:tcPr>
          <w:p w14:paraId="7200CE13"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lithium citrate, 20% w/v PEG 3350</w:t>
            </w:r>
          </w:p>
        </w:tc>
        <w:tc>
          <w:tcPr>
            <w:tcW w:w="1231" w:type="dxa"/>
            <w:tcBorders>
              <w:top w:val="nil"/>
              <w:left w:val="nil"/>
              <w:bottom w:val="nil"/>
              <w:right w:val="nil"/>
            </w:tcBorders>
            <w:shd w:val="clear" w:color="auto" w:fill="auto"/>
            <w:noWrap/>
            <w:vAlign w:val="bottom"/>
            <w:hideMark/>
          </w:tcPr>
          <w:p w14:paraId="23EE9375"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129BC05B"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rectangular plates</w:t>
            </w:r>
          </w:p>
        </w:tc>
      </w:tr>
      <w:tr w:rsidR="0096243D" w:rsidRPr="00A07B71" w14:paraId="7047520F" w14:textId="77777777" w:rsidTr="0096243D">
        <w:trPr>
          <w:trHeight w:val="322"/>
        </w:trPr>
        <w:tc>
          <w:tcPr>
            <w:tcW w:w="9000" w:type="dxa"/>
            <w:gridSpan w:val="3"/>
            <w:tcBorders>
              <w:top w:val="nil"/>
              <w:left w:val="nil"/>
              <w:bottom w:val="single" w:sz="4" w:space="0" w:color="auto"/>
              <w:right w:val="nil"/>
            </w:tcBorders>
            <w:shd w:val="clear" w:color="auto" w:fill="auto"/>
            <w:noWrap/>
            <w:vAlign w:val="bottom"/>
            <w:hideMark/>
          </w:tcPr>
          <w:p w14:paraId="3571F817" w14:textId="77777777" w:rsidR="0096243D" w:rsidRPr="00A07B71" w:rsidRDefault="0096243D" w:rsidP="0096243D">
            <w:pPr>
              <w:spacing w:line="240" w:lineRule="auto"/>
              <w:jc w:val="center"/>
              <w:rPr>
                <w:b/>
                <w:bCs/>
                <w:color w:val="000000"/>
                <w:sz w:val="22"/>
                <w:szCs w:val="22"/>
                <w:lang w:bidi="ar-SA"/>
              </w:rPr>
            </w:pPr>
            <w:r w:rsidRPr="00A07B71">
              <w:rPr>
                <w:b/>
                <w:bCs/>
                <w:color w:val="000000"/>
                <w:sz w:val="22"/>
                <w:szCs w:val="22"/>
                <w:lang w:bidi="ar-SA"/>
              </w:rPr>
              <w:t>ClpP2</w:t>
            </w:r>
          </w:p>
        </w:tc>
      </w:tr>
      <w:tr w:rsidR="0096243D" w:rsidRPr="00A07B71" w14:paraId="0F248218" w14:textId="77777777" w:rsidTr="0096243D">
        <w:trPr>
          <w:trHeight w:val="322"/>
        </w:trPr>
        <w:tc>
          <w:tcPr>
            <w:tcW w:w="5310" w:type="dxa"/>
            <w:tcBorders>
              <w:top w:val="single" w:sz="4" w:space="0" w:color="auto"/>
              <w:left w:val="nil"/>
              <w:bottom w:val="nil"/>
              <w:right w:val="nil"/>
            </w:tcBorders>
            <w:shd w:val="clear" w:color="auto" w:fill="auto"/>
            <w:noWrap/>
            <w:vAlign w:val="bottom"/>
            <w:hideMark/>
          </w:tcPr>
          <w:p w14:paraId="7B240321"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0.1M HEPES pH 7.5, 1.4 tri-sodium citrate</w:t>
            </w:r>
          </w:p>
        </w:tc>
        <w:tc>
          <w:tcPr>
            <w:tcW w:w="1231" w:type="dxa"/>
            <w:tcBorders>
              <w:top w:val="single" w:sz="4" w:space="0" w:color="auto"/>
              <w:left w:val="nil"/>
              <w:bottom w:val="nil"/>
              <w:right w:val="nil"/>
            </w:tcBorders>
            <w:shd w:val="clear" w:color="auto" w:fill="auto"/>
            <w:noWrap/>
            <w:vAlign w:val="bottom"/>
            <w:hideMark/>
          </w:tcPr>
          <w:p w14:paraId="2F990898"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single" w:sz="4" w:space="0" w:color="auto"/>
              <w:left w:val="nil"/>
              <w:bottom w:val="nil"/>
              <w:right w:val="nil"/>
            </w:tcBorders>
            <w:shd w:val="clear" w:color="auto" w:fill="auto"/>
            <w:noWrap/>
            <w:vAlign w:val="bottom"/>
            <w:hideMark/>
          </w:tcPr>
          <w:p w14:paraId="1CEB6F96"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cubes</w:t>
            </w:r>
          </w:p>
        </w:tc>
      </w:tr>
      <w:tr w:rsidR="0096243D" w:rsidRPr="00A07B71" w14:paraId="6B71FFB3" w14:textId="77777777" w:rsidTr="0096243D">
        <w:trPr>
          <w:trHeight w:val="322"/>
        </w:trPr>
        <w:tc>
          <w:tcPr>
            <w:tcW w:w="5310" w:type="dxa"/>
            <w:tcBorders>
              <w:top w:val="nil"/>
              <w:left w:val="nil"/>
              <w:bottom w:val="nil"/>
              <w:right w:val="nil"/>
            </w:tcBorders>
            <w:shd w:val="clear" w:color="auto" w:fill="auto"/>
            <w:noWrap/>
            <w:vAlign w:val="bottom"/>
            <w:hideMark/>
          </w:tcPr>
          <w:p w14:paraId="069F99D4"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2.1M </w:t>
            </w:r>
            <w:r>
              <w:rPr>
                <w:color w:val="000000"/>
                <w:sz w:val="22"/>
                <w:szCs w:val="22"/>
              </w:rPr>
              <w:t>M</w:t>
            </w:r>
            <w:r w:rsidRPr="00A07B71">
              <w:rPr>
                <w:color w:val="000000"/>
                <w:sz w:val="22"/>
                <w:szCs w:val="22"/>
                <w:lang w:bidi="ar-SA"/>
              </w:rPr>
              <w:t>alic acid, pH 7.0</w:t>
            </w:r>
          </w:p>
        </w:tc>
        <w:tc>
          <w:tcPr>
            <w:tcW w:w="1231" w:type="dxa"/>
            <w:tcBorders>
              <w:top w:val="nil"/>
              <w:left w:val="nil"/>
              <w:bottom w:val="nil"/>
              <w:right w:val="nil"/>
            </w:tcBorders>
            <w:shd w:val="clear" w:color="auto" w:fill="auto"/>
            <w:noWrap/>
            <w:vAlign w:val="bottom"/>
            <w:hideMark/>
          </w:tcPr>
          <w:p w14:paraId="33DD1BF4"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4486337C"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7AC1013F" w14:textId="77777777" w:rsidTr="0096243D">
        <w:trPr>
          <w:trHeight w:val="322"/>
        </w:trPr>
        <w:tc>
          <w:tcPr>
            <w:tcW w:w="5310" w:type="dxa"/>
            <w:tcBorders>
              <w:top w:val="nil"/>
              <w:left w:val="nil"/>
              <w:bottom w:val="nil"/>
              <w:right w:val="nil"/>
            </w:tcBorders>
            <w:shd w:val="clear" w:color="auto" w:fill="auto"/>
            <w:noWrap/>
            <w:vAlign w:val="bottom"/>
            <w:hideMark/>
          </w:tcPr>
          <w:p w14:paraId="0F6B6633"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2.4M sodium malonate</w:t>
            </w:r>
            <w:r>
              <w:rPr>
                <w:color w:val="000000"/>
                <w:sz w:val="22"/>
                <w:szCs w:val="22"/>
              </w:rPr>
              <w:t>,</w:t>
            </w:r>
            <w:r w:rsidRPr="00A07B71">
              <w:rPr>
                <w:color w:val="000000"/>
                <w:sz w:val="22"/>
                <w:szCs w:val="22"/>
                <w:lang w:bidi="ar-SA"/>
              </w:rPr>
              <w:t xml:space="preserve"> pH 7.0</w:t>
            </w:r>
          </w:p>
        </w:tc>
        <w:tc>
          <w:tcPr>
            <w:tcW w:w="1231" w:type="dxa"/>
            <w:tcBorders>
              <w:top w:val="nil"/>
              <w:left w:val="nil"/>
              <w:bottom w:val="nil"/>
              <w:right w:val="nil"/>
            </w:tcBorders>
            <w:shd w:val="clear" w:color="auto" w:fill="auto"/>
            <w:noWrap/>
            <w:vAlign w:val="bottom"/>
            <w:hideMark/>
          </w:tcPr>
          <w:p w14:paraId="263C62DC"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75A94B77"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054A01F4" w14:textId="77777777" w:rsidTr="0096243D">
        <w:trPr>
          <w:trHeight w:val="322"/>
        </w:trPr>
        <w:tc>
          <w:tcPr>
            <w:tcW w:w="5310" w:type="dxa"/>
            <w:tcBorders>
              <w:top w:val="nil"/>
              <w:left w:val="nil"/>
              <w:bottom w:val="nil"/>
              <w:right w:val="nil"/>
            </w:tcBorders>
            <w:shd w:val="clear" w:color="auto" w:fill="auto"/>
            <w:noWrap/>
            <w:vAlign w:val="bottom"/>
            <w:hideMark/>
          </w:tcPr>
          <w:p w14:paraId="5959D92D" w14:textId="4D690740"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0.1M </w:t>
            </w:r>
            <w:r>
              <w:rPr>
                <w:color w:val="000000"/>
                <w:sz w:val="22"/>
                <w:szCs w:val="22"/>
              </w:rPr>
              <w:t>B</w:t>
            </w:r>
            <w:r w:rsidRPr="00A07B71">
              <w:rPr>
                <w:color w:val="000000"/>
                <w:sz w:val="22"/>
                <w:szCs w:val="22"/>
                <w:lang w:bidi="ar-SA"/>
              </w:rPr>
              <w:t xml:space="preserve">is-tris pH 6.5, 28% w/v PEG </w:t>
            </w:r>
            <w:r>
              <w:rPr>
                <w:color w:val="000000"/>
                <w:sz w:val="22"/>
                <w:szCs w:val="22"/>
                <w:lang w:bidi="ar-SA"/>
              </w:rPr>
              <w:t>MME</w:t>
            </w:r>
            <w:r w:rsidRPr="00A07B71">
              <w:rPr>
                <w:color w:val="000000"/>
                <w:sz w:val="22"/>
                <w:szCs w:val="22"/>
                <w:lang w:bidi="ar-SA"/>
              </w:rPr>
              <w:t xml:space="preserve"> 2k</w:t>
            </w:r>
          </w:p>
        </w:tc>
        <w:tc>
          <w:tcPr>
            <w:tcW w:w="1231" w:type="dxa"/>
            <w:tcBorders>
              <w:top w:val="nil"/>
              <w:left w:val="nil"/>
              <w:bottom w:val="nil"/>
              <w:right w:val="nil"/>
            </w:tcBorders>
            <w:shd w:val="clear" w:color="auto" w:fill="auto"/>
            <w:noWrap/>
            <w:vAlign w:val="bottom"/>
            <w:hideMark/>
          </w:tcPr>
          <w:p w14:paraId="66ED86F6"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&gt;30</w:t>
            </w:r>
          </w:p>
        </w:tc>
        <w:tc>
          <w:tcPr>
            <w:tcW w:w="2459" w:type="dxa"/>
            <w:tcBorders>
              <w:top w:val="nil"/>
              <w:left w:val="nil"/>
              <w:bottom w:val="nil"/>
              <w:right w:val="nil"/>
            </w:tcBorders>
            <w:shd w:val="clear" w:color="auto" w:fill="auto"/>
            <w:noWrap/>
            <w:vAlign w:val="bottom"/>
            <w:hideMark/>
          </w:tcPr>
          <w:p w14:paraId="415F6F9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7F8BFE11" w14:textId="77777777" w:rsidTr="0096243D">
        <w:trPr>
          <w:trHeight w:val="322"/>
        </w:trPr>
        <w:tc>
          <w:tcPr>
            <w:tcW w:w="5310" w:type="dxa"/>
            <w:tcBorders>
              <w:top w:val="nil"/>
              <w:left w:val="nil"/>
              <w:bottom w:val="nil"/>
              <w:right w:val="nil"/>
            </w:tcBorders>
            <w:shd w:val="clear" w:color="auto" w:fill="auto"/>
            <w:noWrap/>
            <w:vAlign w:val="bottom"/>
            <w:hideMark/>
          </w:tcPr>
          <w:p w14:paraId="0339A34B"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0.1M HEPES pH 7.5, 25% w/v PEG 3350</w:t>
            </w:r>
          </w:p>
        </w:tc>
        <w:tc>
          <w:tcPr>
            <w:tcW w:w="1231" w:type="dxa"/>
            <w:tcBorders>
              <w:top w:val="nil"/>
              <w:left w:val="nil"/>
              <w:bottom w:val="nil"/>
              <w:right w:val="nil"/>
            </w:tcBorders>
            <w:shd w:val="clear" w:color="auto" w:fill="auto"/>
            <w:noWrap/>
            <w:vAlign w:val="bottom"/>
            <w:hideMark/>
          </w:tcPr>
          <w:p w14:paraId="553A29D2"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&gt;30</w:t>
            </w:r>
          </w:p>
        </w:tc>
        <w:tc>
          <w:tcPr>
            <w:tcW w:w="2459" w:type="dxa"/>
            <w:tcBorders>
              <w:top w:val="nil"/>
              <w:left w:val="nil"/>
              <w:bottom w:val="nil"/>
              <w:right w:val="nil"/>
            </w:tcBorders>
            <w:shd w:val="clear" w:color="auto" w:fill="auto"/>
            <w:noWrap/>
            <w:vAlign w:val="bottom"/>
            <w:hideMark/>
          </w:tcPr>
          <w:p w14:paraId="33633243"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2551EDD0" w14:textId="77777777" w:rsidTr="0096243D">
        <w:trPr>
          <w:trHeight w:val="322"/>
        </w:trPr>
        <w:tc>
          <w:tcPr>
            <w:tcW w:w="5310" w:type="dxa"/>
            <w:tcBorders>
              <w:top w:val="nil"/>
              <w:left w:val="nil"/>
              <w:bottom w:val="nil"/>
              <w:right w:val="nil"/>
            </w:tcBorders>
            <w:shd w:val="clear" w:color="auto" w:fill="auto"/>
            <w:noWrap/>
            <w:vAlign w:val="bottom"/>
            <w:hideMark/>
          </w:tcPr>
          <w:p w14:paraId="389EC830"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0.2M ammonium sulfate, 0.1M </w:t>
            </w:r>
            <w:r>
              <w:rPr>
                <w:color w:val="000000"/>
                <w:sz w:val="22"/>
                <w:szCs w:val="22"/>
              </w:rPr>
              <w:t>B</w:t>
            </w:r>
            <w:r w:rsidRPr="00A07B71">
              <w:rPr>
                <w:color w:val="000000"/>
                <w:sz w:val="22"/>
                <w:szCs w:val="22"/>
                <w:lang w:bidi="ar-SA"/>
              </w:rPr>
              <w:t>is-tris pH 6.5, 25% w/v PEG 3350</w:t>
            </w:r>
          </w:p>
        </w:tc>
        <w:tc>
          <w:tcPr>
            <w:tcW w:w="1231" w:type="dxa"/>
            <w:tcBorders>
              <w:top w:val="nil"/>
              <w:left w:val="nil"/>
              <w:bottom w:val="nil"/>
              <w:right w:val="nil"/>
            </w:tcBorders>
            <w:shd w:val="clear" w:color="auto" w:fill="auto"/>
            <w:noWrap/>
            <w:vAlign w:val="bottom"/>
            <w:hideMark/>
          </w:tcPr>
          <w:p w14:paraId="3E72B693"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&gt;14</w:t>
            </w:r>
          </w:p>
        </w:tc>
        <w:tc>
          <w:tcPr>
            <w:tcW w:w="2459" w:type="dxa"/>
            <w:tcBorders>
              <w:top w:val="nil"/>
              <w:left w:val="nil"/>
              <w:bottom w:val="nil"/>
              <w:right w:val="nil"/>
            </w:tcBorders>
            <w:shd w:val="clear" w:color="auto" w:fill="auto"/>
            <w:noWrap/>
            <w:vAlign w:val="bottom"/>
            <w:hideMark/>
          </w:tcPr>
          <w:p w14:paraId="51D2F6C6"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562440F9" w14:textId="77777777" w:rsidTr="0096243D">
        <w:trPr>
          <w:trHeight w:val="322"/>
        </w:trPr>
        <w:tc>
          <w:tcPr>
            <w:tcW w:w="5310" w:type="dxa"/>
            <w:tcBorders>
              <w:top w:val="nil"/>
              <w:left w:val="nil"/>
              <w:bottom w:val="nil"/>
              <w:right w:val="nil"/>
            </w:tcBorders>
            <w:shd w:val="clear" w:color="auto" w:fill="auto"/>
            <w:noWrap/>
            <w:vAlign w:val="bottom"/>
            <w:hideMark/>
          </w:tcPr>
          <w:p w14:paraId="531CFCE8"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lastRenderedPageBreak/>
              <w:t xml:space="preserve">0.2M sodium chloride, 0.1M </w:t>
            </w:r>
            <w:r>
              <w:rPr>
                <w:color w:val="000000"/>
                <w:sz w:val="22"/>
                <w:szCs w:val="22"/>
              </w:rPr>
              <w:t>T</w:t>
            </w:r>
            <w:r w:rsidRPr="00A07B71">
              <w:rPr>
                <w:color w:val="000000"/>
                <w:sz w:val="22"/>
                <w:szCs w:val="22"/>
                <w:lang w:bidi="ar-SA"/>
              </w:rPr>
              <w:t>ris-base pH 8.5, 25% w/v PEG 3350</w:t>
            </w:r>
          </w:p>
        </w:tc>
        <w:tc>
          <w:tcPr>
            <w:tcW w:w="1231" w:type="dxa"/>
            <w:tcBorders>
              <w:top w:val="nil"/>
              <w:left w:val="nil"/>
              <w:bottom w:val="nil"/>
              <w:right w:val="nil"/>
            </w:tcBorders>
            <w:shd w:val="clear" w:color="auto" w:fill="auto"/>
            <w:noWrap/>
            <w:vAlign w:val="bottom"/>
            <w:hideMark/>
          </w:tcPr>
          <w:p w14:paraId="1A1F40E7"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10</w:t>
            </w:r>
          </w:p>
        </w:tc>
        <w:tc>
          <w:tcPr>
            <w:tcW w:w="2459" w:type="dxa"/>
            <w:tcBorders>
              <w:top w:val="nil"/>
              <w:left w:val="nil"/>
              <w:bottom w:val="nil"/>
              <w:right w:val="nil"/>
            </w:tcBorders>
            <w:shd w:val="clear" w:color="auto" w:fill="auto"/>
            <w:noWrap/>
            <w:vAlign w:val="bottom"/>
            <w:hideMark/>
          </w:tcPr>
          <w:p w14:paraId="3C09919E"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hexagonal plates</w:t>
            </w:r>
          </w:p>
        </w:tc>
      </w:tr>
      <w:tr w:rsidR="0096243D" w:rsidRPr="00A07B71" w14:paraId="49D6843A" w14:textId="77777777" w:rsidTr="0096243D">
        <w:trPr>
          <w:trHeight w:val="322"/>
        </w:trPr>
        <w:tc>
          <w:tcPr>
            <w:tcW w:w="5310" w:type="dxa"/>
            <w:tcBorders>
              <w:top w:val="nil"/>
              <w:left w:val="nil"/>
              <w:bottom w:val="nil"/>
              <w:right w:val="nil"/>
            </w:tcBorders>
            <w:shd w:val="clear" w:color="auto" w:fill="auto"/>
            <w:noWrap/>
            <w:vAlign w:val="bottom"/>
            <w:hideMark/>
          </w:tcPr>
          <w:p w14:paraId="47DD83D9"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lithium sulfate, 0.1M HEPES pH 7.5, 25% w/v PEG 3350</w:t>
            </w:r>
          </w:p>
        </w:tc>
        <w:tc>
          <w:tcPr>
            <w:tcW w:w="1231" w:type="dxa"/>
            <w:tcBorders>
              <w:top w:val="nil"/>
              <w:left w:val="nil"/>
              <w:bottom w:val="nil"/>
              <w:right w:val="nil"/>
            </w:tcBorders>
            <w:shd w:val="clear" w:color="auto" w:fill="auto"/>
            <w:noWrap/>
            <w:vAlign w:val="bottom"/>
            <w:hideMark/>
          </w:tcPr>
          <w:p w14:paraId="1817EB2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&gt;21</w:t>
            </w:r>
          </w:p>
        </w:tc>
        <w:tc>
          <w:tcPr>
            <w:tcW w:w="2459" w:type="dxa"/>
            <w:tcBorders>
              <w:top w:val="nil"/>
              <w:left w:val="nil"/>
              <w:bottom w:val="nil"/>
              <w:right w:val="nil"/>
            </w:tcBorders>
            <w:shd w:val="clear" w:color="auto" w:fill="auto"/>
            <w:noWrap/>
            <w:vAlign w:val="bottom"/>
            <w:hideMark/>
          </w:tcPr>
          <w:p w14:paraId="68A62B42"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plates</w:t>
            </w:r>
          </w:p>
        </w:tc>
      </w:tr>
      <w:tr w:rsidR="0096243D" w:rsidRPr="00A07B71" w14:paraId="60C8B091" w14:textId="77777777" w:rsidTr="0096243D">
        <w:trPr>
          <w:trHeight w:val="322"/>
        </w:trPr>
        <w:tc>
          <w:tcPr>
            <w:tcW w:w="5310" w:type="dxa"/>
            <w:tcBorders>
              <w:top w:val="nil"/>
              <w:left w:val="nil"/>
              <w:bottom w:val="nil"/>
              <w:right w:val="nil"/>
            </w:tcBorders>
            <w:shd w:val="clear" w:color="auto" w:fill="auto"/>
            <w:noWrap/>
            <w:vAlign w:val="bottom"/>
            <w:hideMark/>
          </w:tcPr>
          <w:p w14:paraId="459B8B92"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sodium formate, 20% w/v PEG 3350</w:t>
            </w:r>
          </w:p>
        </w:tc>
        <w:tc>
          <w:tcPr>
            <w:tcW w:w="1231" w:type="dxa"/>
            <w:tcBorders>
              <w:top w:val="nil"/>
              <w:left w:val="nil"/>
              <w:bottom w:val="nil"/>
              <w:right w:val="nil"/>
            </w:tcBorders>
            <w:shd w:val="clear" w:color="auto" w:fill="auto"/>
            <w:noWrap/>
            <w:vAlign w:val="bottom"/>
            <w:hideMark/>
          </w:tcPr>
          <w:p w14:paraId="7B464C75"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&gt;28</w:t>
            </w:r>
          </w:p>
        </w:tc>
        <w:tc>
          <w:tcPr>
            <w:tcW w:w="2459" w:type="dxa"/>
            <w:tcBorders>
              <w:top w:val="nil"/>
              <w:left w:val="nil"/>
              <w:bottom w:val="nil"/>
              <w:right w:val="nil"/>
            </w:tcBorders>
            <w:shd w:val="clear" w:color="auto" w:fill="auto"/>
            <w:noWrap/>
            <w:vAlign w:val="bottom"/>
            <w:hideMark/>
          </w:tcPr>
          <w:p w14:paraId="52F01E56" w14:textId="5B99D023"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cylinders</w:t>
            </w:r>
          </w:p>
        </w:tc>
      </w:tr>
      <w:tr w:rsidR="0096243D" w:rsidRPr="00A07B71" w14:paraId="6BF65442" w14:textId="77777777" w:rsidTr="0096243D">
        <w:trPr>
          <w:trHeight w:val="322"/>
        </w:trPr>
        <w:tc>
          <w:tcPr>
            <w:tcW w:w="5310" w:type="dxa"/>
            <w:tcBorders>
              <w:top w:val="nil"/>
              <w:left w:val="nil"/>
              <w:bottom w:val="nil"/>
              <w:right w:val="nil"/>
            </w:tcBorders>
            <w:shd w:val="clear" w:color="auto" w:fill="auto"/>
            <w:noWrap/>
            <w:vAlign w:val="bottom"/>
            <w:hideMark/>
          </w:tcPr>
          <w:p w14:paraId="0E2A9707" w14:textId="36C59BA4"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0.1M potassium thiocyanate, 30% w/v PEG </w:t>
            </w:r>
            <w:r>
              <w:rPr>
                <w:color w:val="000000"/>
                <w:sz w:val="22"/>
                <w:szCs w:val="22"/>
                <w:lang w:bidi="ar-SA"/>
              </w:rPr>
              <w:t xml:space="preserve">MME </w:t>
            </w:r>
            <w:r w:rsidRPr="00A07B71">
              <w:rPr>
                <w:color w:val="000000"/>
                <w:sz w:val="22"/>
                <w:szCs w:val="22"/>
                <w:lang w:bidi="ar-SA"/>
              </w:rPr>
              <w:t>2k</w:t>
            </w:r>
          </w:p>
        </w:tc>
        <w:tc>
          <w:tcPr>
            <w:tcW w:w="1231" w:type="dxa"/>
            <w:tcBorders>
              <w:top w:val="nil"/>
              <w:left w:val="nil"/>
              <w:bottom w:val="nil"/>
              <w:right w:val="nil"/>
            </w:tcBorders>
            <w:shd w:val="clear" w:color="auto" w:fill="auto"/>
            <w:noWrap/>
            <w:vAlign w:val="bottom"/>
            <w:hideMark/>
          </w:tcPr>
          <w:p w14:paraId="12F08DA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&gt;21</w:t>
            </w:r>
          </w:p>
        </w:tc>
        <w:tc>
          <w:tcPr>
            <w:tcW w:w="2459" w:type="dxa"/>
            <w:tcBorders>
              <w:top w:val="nil"/>
              <w:left w:val="nil"/>
              <w:bottom w:val="nil"/>
              <w:right w:val="nil"/>
            </w:tcBorders>
            <w:shd w:val="clear" w:color="auto" w:fill="auto"/>
            <w:noWrap/>
            <w:vAlign w:val="bottom"/>
            <w:hideMark/>
          </w:tcPr>
          <w:p w14:paraId="31783782"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rectangle</w:t>
            </w:r>
          </w:p>
        </w:tc>
      </w:tr>
      <w:tr w:rsidR="0096243D" w:rsidRPr="00A07B71" w14:paraId="50FE7405" w14:textId="77777777" w:rsidTr="0096243D">
        <w:trPr>
          <w:trHeight w:val="322"/>
        </w:trPr>
        <w:tc>
          <w:tcPr>
            <w:tcW w:w="5310" w:type="dxa"/>
            <w:tcBorders>
              <w:top w:val="nil"/>
              <w:left w:val="nil"/>
              <w:bottom w:val="nil"/>
              <w:right w:val="nil"/>
            </w:tcBorders>
            <w:shd w:val="clear" w:color="auto" w:fill="auto"/>
            <w:noWrap/>
            <w:vAlign w:val="bottom"/>
            <w:hideMark/>
          </w:tcPr>
          <w:p w14:paraId="640B669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0.15M potassium bromide, 30% w/v PEG MME 2k</w:t>
            </w:r>
          </w:p>
        </w:tc>
        <w:tc>
          <w:tcPr>
            <w:tcW w:w="1231" w:type="dxa"/>
            <w:tcBorders>
              <w:top w:val="nil"/>
              <w:left w:val="nil"/>
              <w:bottom w:val="nil"/>
              <w:right w:val="nil"/>
            </w:tcBorders>
            <w:shd w:val="clear" w:color="auto" w:fill="auto"/>
            <w:noWrap/>
            <w:vAlign w:val="bottom"/>
            <w:hideMark/>
          </w:tcPr>
          <w:p w14:paraId="246C2140"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&gt;37</w:t>
            </w:r>
          </w:p>
        </w:tc>
        <w:tc>
          <w:tcPr>
            <w:tcW w:w="2459" w:type="dxa"/>
            <w:tcBorders>
              <w:top w:val="nil"/>
              <w:left w:val="nil"/>
              <w:bottom w:val="nil"/>
              <w:right w:val="nil"/>
            </w:tcBorders>
            <w:shd w:val="clear" w:color="auto" w:fill="auto"/>
            <w:noWrap/>
            <w:vAlign w:val="bottom"/>
            <w:hideMark/>
          </w:tcPr>
          <w:p w14:paraId="63445F07"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rectangle</w:t>
            </w:r>
          </w:p>
        </w:tc>
      </w:tr>
      <w:tr w:rsidR="0096243D" w:rsidRPr="00A07B71" w14:paraId="56E63C40" w14:textId="77777777" w:rsidTr="0096243D">
        <w:trPr>
          <w:trHeight w:val="322"/>
        </w:trPr>
        <w:tc>
          <w:tcPr>
            <w:tcW w:w="5310" w:type="dxa"/>
            <w:tcBorders>
              <w:top w:val="nil"/>
              <w:left w:val="nil"/>
              <w:bottom w:val="nil"/>
              <w:right w:val="nil"/>
            </w:tcBorders>
            <w:shd w:val="clear" w:color="auto" w:fill="auto"/>
            <w:noWrap/>
            <w:vAlign w:val="bottom"/>
            <w:hideMark/>
          </w:tcPr>
          <w:p w14:paraId="4CB5D3E9" w14:textId="0DC40CF9"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0.1M </w:t>
            </w:r>
            <w:r>
              <w:rPr>
                <w:color w:val="000000"/>
                <w:sz w:val="22"/>
                <w:szCs w:val="22"/>
              </w:rPr>
              <w:t>B</w:t>
            </w:r>
            <w:r w:rsidRPr="00A07B71">
              <w:rPr>
                <w:color w:val="000000"/>
                <w:sz w:val="22"/>
                <w:szCs w:val="22"/>
                <w:lang w:bidi="ar-SA"/>
              </w:rPr>
              <w:t xml:space="preserve">is-tris pH 6.5, 28% w/v PEG </w:t>
            </w:r>
            <w:r>
              <w:rPr>
                <w:color w:val="000000"/>
                <w:sz w:val="22"/>
                <w:szCs w:val="22"/>
                <w:lang w:bidi="ar-SA"/>
              </w:rPr>
              <w:t>MME</w:t>
            </w:r>
            <w:r w:rsidRPr="00A07B71">
              <w:rPr>
                <w:color w:val="000000"/>
                <w:sz w:val="22"/>
                <w:szCs w:val="22"/>
                <w:lang w:bidi="ar-SA"/>
              </w:rPr>
              <w:t xml:space="preserve"> 2k</w:t>
            </w:r>
          </w:p>
        </w:tc>
        <w:tc>
          <w:tcPr>
            <w:tcW w:w="1231" w:type="dxa"/>
            <w:tcBorders>
              <w:top w:val="nil"/>
              <w:left w:val="nil"/>
              <w:bottom w:val="nil"/>
              <w:right w:val="nil"/>
            </w:tcBorders>
            <w:shd w:val="clear" w:color="auto" w:fill="auto"/>
            <w:noWrap/>
            <w:vAlign w:val="bottom"/>
            <w:hideMark/>
          </w:tcPr>
          <w:p w14:paraId="768F614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&gt;12</w:t>
            </w:r>
          </w:p>
        </w:tc>
        <w:tc>
          <w:tcPr>
            <w:tcW w:w="2459" w:type="dxa"/>
            <w:tcBorders>
              <w:top w:val="nil"/>
              <w:left w:val="nil"/>
              <w:bottom w:val="nil"/>
              <w:right w:val="nil"/>
            </w:tcBorders>
            <w:shd w:val="clear" w:color="auto" w:fill="auto"/>
            <w:noWrap/>
            <w:vAlign w:val="bottom"/>
            <w:hideMark/>
          </w:tcPr>
          <w:p w14:paraId="7594574E"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cylinders</w:t>
            </w:r>
          </w:p>
        </w:tc>
      </w:tr>
      <w:tr w:rsidR="0096243D" w:rsidRPr="00A07B71" w14:paraId="1C1D314B" w14:textId="77777777" w:rsidTr="0096243D">
        <w:trPr>
          <w:trHeight w:val="322"/>
        </w:trPr>
        <w:tc>
          <w:tcPr>
            <w:tcW w:w="5310" w:type="dxa"/>
            <w:tcBorders>
              <w:top w:val="nil"/>
              <w:left w:val="nil"/>
              <w:bottom w:val="nil"/>
              <w:right w:val="nil"/>
            </w:tcBorders>
            <w:shd w:val="clear" w:color="auto" w:fill="auto"/>
            <w:noWrap/>
            <w:vAlign w:val="bottom"/>
            <w:hideMark/>
          </w:tcPr>
          <w:p w14:paraId="59A25943"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 xml:space="preserve">0.1M </w:t>
            </w:r>
            <w:r>
              <w:rPr>
                <w:color w:val="000000"/>
                <w:sz w:val="22"/>
                <w:szCs w:val="22"/>
              </w:rPr>
              <w:t>B</w:t>
            </w:r>
            <w:r w:rsidRPr="00A07B71">
              <w:rPr>
                <w:color w:val="000000"/>
                <w:sz w:val="22"/>
                <w:szCs w:val="22"/>
                <w:lang w:bidi="ar-SA"/>
              </w:rPr>
              <w:t>is-tris pH 6.5, 25% PEG 3350</w:t>
            </w:r>
          </w:p>
        </w:tc>
        <w:tc>
          <w:tcPr>
            <w:tcW w:w="1231" w:type="dxa"/>
            <w:tcBorders>
              <w:top w:val="nil"/>
              <w:left w:val="nil"/>
              <w:bottom w:val="nil"/>
              <w:right w:val="nil"/>
            </w:tcBorders>
            <w:shd w:val="clear" w:color="auto" w:fill="auto"/>
            <w:noWrap/>
            <w:vAlign w:val="bottom"/>
            <w:hideMark/>
          </w:tcPr>
          <w:p w14:paraId="44473C67"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&gt;28</w:t>
            </w:r>
          </w:p>
        </w:tc>
        <w:tc>
          <w:tcPr>
            <w:tcW w:w="2459" w:type="dxa"/>
            <w:tcBorders>
              <w:top w:val="nil"/>
              <w:left w:val="nil"/>
              <w:bottom w:val="nil"/>
              <w:right w:val="nil"/>
            </w:tcBorders>
            <w:shd w:val="clear" w:color="auto" w:fill="auto"/>
            <w:noWrap/>
            <w:vAlign w:val="bottom"/>
            <w:hideMark/>
          </w:tcPr>
          <w:p w14:paraId="7BE505D2"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cylinders</w:t>
            </w:r>
          </w:p>
        </w:tc>
      </w:tr>
      <w:tr w:rsidR="0096243D" w:rsidRPr="00A07B71" w14:paraId="3E9F4461" w14:textId="77777777" w:rsidTr="0096243D">
        <w:trPr>
          <w:trHeight w:val="322"/>
        </w:trPr>
        <w:tc>
          <w:tcPr>
            <w:tcW w:w="5310" w:type="dxa"/>
            <w:tcBorders>
              <w:top w:val="nil"/>
              <w:left w:val="nil"/>
              <w:bottom w:val="nil"/>
              <w:right w:val="nil"/>
            </w:tcBorders>
            <w:shd w:val="clear" w:color="auto" w:fill="auto"/>
            <w:noWrap/>
            <w:vAlign w:val="bottom"/>
            <w:hideMark/>
          </w:tcPr>
          <w:p w14:paraId="26F8C238"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sodium thiocyanate pH 6.9, 20% w/v PEG 3350</w:t>
            </w:r>
          </w:p>
        </w:tc>
        <w:tc>
          <w:tcPr>
            <w:tcW w:w="1231" w:type="dxa"/>
            <w:tcBorders>
              <w:top w:val="nil"/>
              <w:left w:val="nil"/>
              <w:bottom w:val="nil"/>
              <w:right w:val="nil"/>
            </w:tcBorders>
            <w:shd w:val="clear" w:color="auto" w:fill="auto"/>
            <w:noWrap/>
            <w:vAlign w:val="bottom"/>
            <w:hideMark/>
          </w:tcPr>
          <w:p w14:paraId="303FAC1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&gt;21</w:t>
            </w:r>
          </w:p>
        </w:tc>
        <w:tc>
          <w:tcPr>
            <w:tcW w:w="2459" w:type="dxa"/>
            <w:tcBorders>
              <w:top w:val="nil"/>
              <w:left w:val="nil"/>
              <w:bottom w:val="nil"/>
              <w:right w:val="nil"/>
            </w:tcBorders>
            <w:shd w:val="clear" w:color="auto" w:fill="auto"/>
            <w:noWrap/>
            <w:vAlign w:val="bottom"/>
            <w:hideMark/>
          </w:tcPr>
          <w:p w14:paraId="15BAE992" w14:textId="5561BAD5"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large cylinders</w:t>
            </w:r>
          </w:p>
        </w:tc>
      </w:tr>
      <w:tr w:rsidR="0096243D" w:rsidRPr="00A07B71" w14:paraId="64161BB6" w14:textId="77777777" w:rsidTr="0096243D">
        <w:trPr>
          <w:trHeight w:val="322"/>
        </w:trPr>
        <w:tc>
          <w:tcPr>
            <w:tcW w:w="5310" w:type="dxa"/>
            <w:tcBorders>
              <w:top w:val="nil"/>
              <w:left w:val="nil"/>
              <w:bottom w:val="nil"/>
              <w:right w:val="nil"/>
            </w:tcBorders>
            <w:shd w:val="clear" w:color="auto" w:fill="auto"/>
            <w:noWrap/>
            <w:vAlign w:val="bottom"/>
            <w:hideMark/>
          </w:tcPr>
          <w:p w14:paraId="7F0F1BD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MgCl</w:t>
            </w:r>
            <w:r w:rsidRPr="00A07B71">
              <w:rPr>
                <w:color w:val="000000"/>
                <w:sz w:val="22"/>
                <w:szCs w:val="22"/>
                <w:vertAlign w:val="subscript"/>
                <w:lang w:bidi="ar-SA"/>
              </w:rPr>
              <w:t>2</w:t>
            </w:r>
            <w:r w:rsidRPr="00A07B71">
              <w:rPr>
                <w:color w:val="000000"/>
                <w:sz w:val="22"/>
                <w:szCs w:val="22"/>
                <w:lang w:bidi="ar-SA"/>
              </w:rPr>
              <w:t>, 30% v/v PEG 400, 0.1M Tris pH 8.5</w:t>
            </w:r>
          </w:p>
        </w:tc>
        <w:tc>
          <w:tcPr>
            <w:tcW w:w="1231" w:type="dxa"/>
            <w:tcBorders>
              <w:top w:val="nil"/>
              <w:left w:val="nil"/>
              <w:bottom w:val="nil"/>
              <w:right w:val="nil"/>
            </w:tcBorders>
            <w:shd w:val="clear" w:color="auto" w:fill="auto"/>
            <w:noWrap/>
            <w:vAlign w:val="bottom"/>
            <w:hideMark/>
          </w:tcPr>
          <w:p w14:paraId="01AD23A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4</w:t>
            </w:r>
          </w:p>
        </w:tc>
        <w:tc>
          <w:tcPr>
            <w:tcW w:w="2459" w:type="dxa"/>
            <w:tcBorders>
              <w:top w:val="nil"/>
              <w:left w:val="nil"/>
              <w:bottom w:val="nil"/>
              <w:right w:val="nil"/>
            </w:tcBorders>
            <w:shd w:val="clear" w:color="auto" w:fill="auto"/>
            <w:noWrap/>
            <w:vAlign w:val="bottom"/>
            <w:hideMark/>
          </w:tcPr>
          <w:p w14:paraId="6A3DE8BA"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medium plates</w:t>
            </w:r>
          </w:p>
        </w:tc>
      </w:tr>
      <w:tr w:rsidR="0096243D" w:rsidRPr="00A07B71" w14:paraId="75882D56" w14:textId="77777777" w:rsidTr="0096243D">
        <w:trPr>
          <w:trHeight w:val="322"/>
        </w:trPr>
        <w:tc>
          <w:tcPr>
            <w:tcW w:w="5310" w:type="dxa"/>
            <w:tcBorders>
              <w:top w:val="nil"/>
              <w:left w:val="nil"/>
              <w:bottom w:val="nil"/>
              <w:right w:val="nil"/>
            </w:tcBorders>
            <w:shd w:val="clear" w:color="auto" w:fill="auto"/>
            <w:noWrap/>
            <w:vAlign w:val="bottom"/>
            <w:hideMark/>
          </w:tcPr>
          <w:p w14:paraId="3F31F46D"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sodium thiocyanate pH 6.9, 20% w/v PEG 3350</w:t>
            </w:r>
          </w:p>
        </w:tc>
        <w:tc>
          <w:tcPr>
            <w:tcW w:w="1231" w:type="dxa"/>
            <w:tcBorders>
              <w:top w:val="nil"/>
              <w:left w:val="nil"/>
              <w:bottom w:val="nil"/>
              <w:right w:val="nil"/>
            </w:tcBorders>
            <w:shd w:val="clear" w:color="auto" w:fill="auto"/>
            <w:noWrap/>
            <w:vAlign w:val="bottom"/>
            <w:hideMark/>
          </w:tcPr>
          <w:p w14:paraId="7A7AD53B"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&gt;21</w:t>
            </w:r>
          </w:p>
        </w:tc>
        <w:tc>
          <w:tcPr>
            <w:tcW w:w="2459" w:type="dxa"/>
            <w:tcBorders>
              <w:top w:val="nil"/>
              <w:left w:val="nil"/>
              <w:bottom w:val="nil"/>
              <w:right w:val="nil"/>
            </w:tcBorders>
            <w:shd w:val="clear" w:color="auto" w:fill="auto"/>
            <w:noWrap/>
            <w:vAlign w:val="bottom"/>
            <w:hideMark/>
          </w:tcPr>
          <w:p w14:paraId="55533E41" w14:textId="36D2A675"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cylinders/plates/cubes</w:t>
            </w:r>
          </w:p>
        </w:tc>
      </w:tr>
      <w:tr w:rsidR="0096243D" w:rsidRPr="00A07B71" w14:paraId="7A8D3468" w14:textId="77777777" w:rsidTr="0096243D">
        <w:trPr>
          <w:trHeight w:val="322"/>
        </w:trPr>
        <w:tc>
          <w:tcPr>
            <w:tcW w:w="5310" w:type="dxa"/>
            <w:tcBorders>
              <w:top w:val="nil"/>
              <w:left w:val="nil"/>
              <w:bottom w:val="nil"/>
              <w:right w:val="nil"/>
            </w:tcBorders>
            <w:shd w:val="clear" w:color="auto" w:fill="auto"/>
            <w:noWrap/>
            <w:vAlign w:val="bottom"/>
            <w:hideMark/>
          </w:tcPr>
          <w:p w14:paraId="04402166"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potassium sulfate, 20% w/v PEG 3350</w:t>
            </w:r>
          </w:p>
        </w:tc>
        <w:tc>
          <w:tcPr>
            <w:tcW w:w="1231" w:type="dxa"/>
            <w:tcBorders>
              <w:top w:val="nil"/>
              <w:left w:val="nil"/>
              <w:bottom w:val="nil"/>
              <w:right w:val="nil"/>
            </w:tcBorders>
            <w:shd w:val="clear" w:color="auto" w:fill="auto"/>
            <w:noWrap/>
            <w:vAlign w:val="bottom"/>
            <w:hideMark/>
          </w:tcPr>
          <w:p w14:paraId="2B4E01ED"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&gt;28</w:t>
            </w:r>
          </w:p>
        </w:tc>
        <w:tc>
          <w:tcPr>
            <w:tcW w:w="2459" w:type="dxa"/>
            <w:tcBorders>
              <w:top w:val="nil"/>
              <w:left w:val="nil"/>
              <w:bottom w:val="nil"/>
              <w:right w:val="nil"/>
            </w:tcBorders>
            <w:shd w:val="clear" w:color="auto" w:fill="auto"/>
            <w:noWrap/>
            <w:vAlign w:val="bottom"/>
            <w:hideMark/>
          </w:tcPr>
          <w:p w14:paraId="6AAC9997"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cubes</w:t>
            </w:r>
          </w:p>
        </w:tc>
      </w:tr>
      <w:tr w:rsidR="0096243D" w:rsidRPr="00A07B71" w14:paraId="1DEAF7FA" w14:textId="77777777" w:rsidTr="0096243D">
        <w:trPr>
          <w:trHeight w:val="322"/>
        </w:trPr>
        <w:tc>
          <w:tcPr>
            <w:tcW w:w="5310" w:type="dxa"/>
            <w:tcBorders>
              <w:top w:val="nil"/>
              <w:left w:val="nil"/>
              <w:bottom w:val="nil"/>
              <w:right w:val="nil"/>
            </w:tcBorders>
            <w:shd w:val="clear" w:color="auto" w:fill="auto"/>
            <w:noWrap/>
            <w:vAlign w:val="bottom"/>
            <w:hideMark/>
          </w:tcPr>
          <w:p w14:paraId="162071F8"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2.4M sodium malonate pH 7.0</w:t>
            </w:r>
          </w:p>
        </w:tc>
        <w:tc>
          <w:tcPr>
            <w:tcW w:w="1231" w:type="dxa"/>
            <w:tcBorders>
              <w:top w:val="nil"/>
              <w:left w:val="nil"/>
              <w:bottom w:val="nil"/>
              <w:right w:val="nil"/>
            </w:tcBorders>
            <w:shd w:val="clear" w:color="auto" w:fill="auto"/>
            <w:noWrap/>
            <w:vAlign w:val="bottom"/>
            <w:hideMark/>
          </w:tcPr>
          <w:p w14:paraId="75C0F80E"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1</w:t>
            </w:r>
          </w:p>
        </w:tc>
        <w:tc>
          <w:tcPr>
            <w:tcW w:w="2459" w:type="dxa"/>
            <w:tcBorders>
              <w:top w:val="nil"/>
              <w:left w:val="nil"/>
              <w:bottom w:val="nil"/>
              <w:right w:val="nil"/>
            </w:tcBorders>
            <w:shd w:val="clear" w:color="auto" w:fill="auto"/>
            <w:noWrap/>
            <w:vAlign w:val="bottom"/>
            <w:hideMark/>
          </w:tcPr>
          <w:p w14:paraId="06F91D70"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small cubes</w:t>
            </w:r>
          </w:p>
        </w:tc>
      </w:tr>
      <w:tr w:rsidR="0096243D" w:rsidRPr="00A07B71" w14:paraId="37F35B0B" w14:textId="77777777" w:rsidTr="0096243D">
        <w:trPr>
          <w:trHeight w:val="322"/>
        </w:trPr>
        <w:tc>
          <w:tcPr>
            <w:tcW w:w="5310" w:type="dxa"/>
            <w:tcBorders>
              <w:top w:val="nil"/>
              <w:left w:val="nil"/>
              <w:bottom w:val="nil"/>
              <w:right w:val="nil"/>
            </w:tcBorders>
            <w:shd w:val="clear" w:color="auto" w:fill="auto"/>
            <w:noWrap/>
            <w:vAlign w:val="bottom"/>
            <w:hideMark/>
          </w:tcPr>
          <w:p w14:paraId="5A3804B1"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di-ammonium hydrogen citrate p</w:t>
            </w:r>
            <w:r>
              <w:rPr>
                <w:color w:val="000000"/>
                <w:sz w:val="22"/>
                <w:szCs w:val="22"/>
              </w:rPr>
              <w:t>H</w:t>
            </w:r>
            <w:r w:rsidRPr="00A07B71">
              <w:rPr>
                <w:color w:val="000000"/>
                <w:sz w:val="22"/>
                <w:szCs w:val="22"/>
                <w:lang w:bidi="ar-SA"/>
              </w:rPr>
              <w:t xml:space="preserve"> 5.0, 20% w/v PEG 3350</w:t>
            </w:r>
          </w:p>
        </w:tc>
        <w:tc>
          <w:tcPr>
            <w:tcW w:w="1231" w:type="dxa"/>
            <w:tcBorders>
              <w:top w:val="nil"/>
              <w:left w:val="nil"/>
              <w:bottom w:val="nil"/>
              <w:right w:val="nil"/>
            </w:tcBorders>
            <w:shd w:val="clear" w:color="auto" w:fill="auto"/>
            <w:noWrap/>
            <w:vAlign w:val="bottom"/>
            <w:hideMark/>
          </w:tcPr>
          <w:p w14:paraId="3218D018"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4</w:t>
            </w:r>
          </w:p>
        </w:tc>
        <w:tc>
          <w:tcPr>
            <w:tcW w:w="2459" w:type="dxa"/>
            <w:tcBorders>
              <w:top w:val="nil"/>
              <w:left w:val="nil"/>
              <w:bottom w:val="nil"/>
              <w:right w:val="nil"/>
            </w:tcBorders>
            <w:shd w:val="clear" w:color="auto" w:fill="auto"/>
            <w:noWrap/>
            <w:vAlign w:val="bottom"/>
            <w:hideMark/>
          </w:tcPr>
          <w:p w14:paraId="7CF401BB"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needles</w:t>
            </w:r>
          </w:p>
        </w:tc>
      </w:tr>
      <w:tr w:rsidR="0096243D" w:rsidRPr="00A07B71" w14:paraId="303CC7A0" w14:textId="77777777" w:rsidTr="0096243D">
        <w:trPr>
          <w:trHeight w:val="322"/>
        </w:trPr>
        <w:tc>
          <w:tcPr>
            <w:tcW w:w="5310" w:type="dxa"/>
            <w:tcBorders>
              <w:top w:val="nil"/>
              <w:left w:val="nil"/>
              <w:bottom w:val="nil"/>
              <w:right w:val="nil"/>
            </w:tcBorders>
            <w:shd w:val="clear" w:color="auto" w:fill="auto"/>
            <w:noWrap/>
            <w:vAlign w:val="bottom"/>
            <w:hideMark/>
          </w:tcPr>
          <w:p w14:paraId="0DF8956F"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0.2M potassium iodide, 20% w/v PEG 3350</w:t>
            </w:r>
          </w:p>
        </w:tc>
        <w:tc>
          <w:tcPr>
            <w:tcW w:w="1231" w:type="dxa"/>
            <w:tcBorders>
              <w:top w:val="nil"/>
              <w:left w:val="nil"/>
              <w:bottom w:val="nil"/>
              <w:right w:val="nil"/>
            </w:tcBorders>
            <w:shd w:val="clear" w:color="auto" w:fill="auto"/>
            <w:noWrap/>
            <w:vAlign w:val="bottom"/>
            <w:hideMark/>
          </w:tcPr>
          <w:p w14:paraId="14896E09"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&gt;28</w:t>
            </w:r>
          </w:p>
        </w:tc>
        <w:tc>
          <w:tcPr>
            <w:tcW w:w="2459" w:type="dxa"/>
            <w:tcBorders>
              <w:top w:val="nil"/>
              <w:left w:val="nil"/>
              <w:bottom w:val="nil"/>
              <w:right w:val="nil"/>
            </w:tcBorders>
            <w:shd w:val="clear" w:color="auto" w:fill="auto"/>
            <w:noWrap/>
            <w:vAlign w:val="bottom"/>
            <w:hideMark/>
          </w:tcPr>
          <w:p w14:paraId="774F1746" w14:textId="77777777" w:rsidR="0096243D" w:rsidRPr="00A07B71" w:rsidRDefault="0096243D" w:rsidP="0096243D">
            <w:pPr>
              <w:spacing w:line="240" w:lineRule="auto"/>
              <w:jc w:val="center"/>
              <w:rPr>
                <w:color w:val="000000"/>
                <w:sz w:val="22"/>
                <w:szCs w:val="22"/>
                <w:lang w:bidi="ar-SA"/>
              </w:rPr>
            </w:pPr>
            <w:r w:rsidRPr="00A07B71">
              <w:rPr>
                <w:color w:val="000000"/>
                <w:sz w:val="22"/>
                <w:szCs w:val="22"/>
                <w:lang w:bidi="ar-SA"/>
              </w:rPr>
              <w:t>medium cubes</w:t>
            </w:r>
          </w:p>
        </w:tc>
      </w:tr>
    </w:tbl>
    <w:p w14:paraId="3F60396E" w14:textId="77777777" w:rsidR="0096243D" w:rsidRDefault="0096243D" w:rsidP="0096243D">
      <w:pPr>
        <w:spacing w:line="240" w:lineRule="auto"/>
        <w:contextualSpacing/>
      </w:pPr>
    </w:p>
    <w:p w14:paraId="5BD4425A" w14:textId="47A4426E" w:rsidR="0096243D" w:rsidRPr="0096243D" w:rsidRDefault="0096243D" w:rsidP="0096243D">
      <w:pPr>
        <w:rPr>
          <w:b/>
        </w:rPr>
      </w:pPr>
      <w:r w:rsidRPr="0096243D">
        <w:rPr>
          <w:b/>
        </w:rPr>
        <w:t>Table C.1</w:t>
      </w:r>
      <w:r>
        <w:rPr>
          <w:b/>
        </w:rPr>
        <w:t xml:space="preserve"> Crystallization conditions for ClpP1 and ClpP2</w:t>
      </w:r>
    </w:p>
    <w:tbl>
      <w:tblPr>
        <w:tblW w:w="5000" w:type="pct"/>
        <w:tblLayout w:type="fixed"/>
        <w:tblLook w:val="04A0" w:firstRow="1" w:lastRow="0" w:firstColumn="1" w:lastColumn="0" w:noHBand="0" w:noVBand="1"/>
      </w:tblPr>
      <w:tblGrid>
        <w:gridCol w:w="3781"/>
        <w:gridCol w:w="4859"/>
      </w:tblGrid>
      <w:tr w:rsidR="00686DC6" w:rsidRPr="00686DC6" w14:paraId="31CE3130" w14:textId="77777777" w:rsidTr="00F342D2">
        <w:trPr>
          <w:trHeight w:val="320"/>
        </w:trPr>
        <w:tc>
          <w:tcPr>
            <w:tcW w:w="2188" w:type="pct"/>
            <w:tcBorders>
              <w:top w:val="nil"/>
              <w:left w:val="nil"/>
              <w:bottom w:val="nil"/>
              <w:right w:val="nil"/>
            </w:tcBorders>
            <w:shd w:val="clear" w:color="auto" w:fill="auto"/>
            <w:noWrap/>
            <w:vAlign w:val="bottom"/>
            <w:hideMark/>
          </w:tcPr>
          <w:p w14:paraId="7935189F"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Wavelength</w:t>
            </w:r>
          </w:p>
        </w:tc>
        <w:tc>
          <w:tcPr>
            <w:tcW w:w="2812" w:type="pct"/>
            <w:tcBorders>
              <w:top w:val="nil"/>
              <w:left w:val="nil"/>
              <w:bottom w:val="nil"/>
              <w:right w:val="nil"/>
            </w:tcBorders>
            <w:shd w:val="clear" w:color="auto" w:fill="auto"/>
            <w:noWrap/>
            <w:vAlign w:val="bottom"/>
            <w:hideMark/>
          </w:tcPr>
          <w:p w14:paraId="04FE7B55" w14:textId="27BA1811" w:rsidR="00686DC6" w:rsidRPr="00686DC6" w:rsidRDefault="00F342D2" w:rsidP="00686DC6">
            <w:pPr>
              <w:spacing w:line="240" w:lineRule="auto"/>
              <w:rPr>
                <w:bCs/>
                <w:color w:val="000000"/>
                <w:sz w:val="20"/>
                <w:szCs w:val="20"/>
                <w:lang w:bidi="ar-SA"/>
              </w:rPr>
            </w:pPr>
            <w:r w:rsidRPr="00F342D2">
              <w:rPr>
                <w:bCs/>
                <w:color w:val="000000"/>
                <w:sz w:val="20"/>
                <w:szCs w:val="20"/>
                <w:lang w:bidi="ar-SA"/>
              </w:rPr>
              <w:t>0.98</w:t>
            </w:r>
            <w:r>
              <w:rPr>
                <w:bCs/>
                <w:color w:val="000000"/>
                <w:sz w:val="20"/>
                <w:szCs w:val="20"/>
                <w:lang w:bidi="ar-SA"/>
              </w:rPr>
              <w:t xml:space="preserve"> Å</w:t>
            </w:r>
          </w:p>
        </w:tc>
      </w:tr>
      <w:tr w:rsidR="00686DC6" w:rsidRPr="00686DC6" w14:paraId="04A680A4" w14:textId="77777777" w:rsidTr="00F342D2">
        <w:trPr>
          <w:trHeight w:val="320"/>
        </w:trPr>
        <w:tc>
          <w:tcPr>
            <w:tcW w:w="2188" w:type="pct"/>
            <w:tcBorders>
              <w:top w:val="nil"/>
              <w:left w:val="nil"/>
              <w:bottom w:val="nil"/>
              <w:right w:val="nil"/>
            </w:tcBorders>
            <w:shd w:val="clear" w:color="auto" w:fill="auto"/>
            <w:noWrap/>
            <w:vAlign w:val="bottom"/>
            <w:hideMark/>
          </w:tcPr>
          <w:p w14:paraId="4E41D8F3"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Resolution range</w:t>
            </w:r>
          </w:p>
        </w:tc>
        <w:tc>
          <w:tcPr>
            <w:tcW w:w="2812" w:type="pct"/>
            <w:tcBorders>
              <w:top w:val="nil"/>
              <w:left w:val="nil"/>
              <w:bottom w:val="nil"/>
              <w:right w:val="nil"/>
            </w:tcBorders>
            <w:shd w:val="clear" w:color="auto" w:fill="auto"/>
            <w:noWrap/>
            <w:vAlign w:val="bottom"/>
            <w:hideMark/>
          </w:tcPr>
          <w:p w14:paraId="4F2CCC4D"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34.06  - 2.498 (2.587  - 2.498)</w:t>
            </w:r>
          </w:p>
        </w:tc>
      </w:tr>
      <w:tr w:rsidR="00686DC6" w:rsidRPr="00686DC6" w14:paraId="3DFFACE5" w14:textId="77777777" w:rsidTr="00F342D2">
        <w:trPr>
          <w:trHeight w:val="320"/>
        </w:trPr>
        <w:tc>
          <w:tcPr>
            <w:tcW w:w="2188" w:type="pct"/>
            <w:tcBorders>
              <w:top w:val="nil"/>
              <w:left w:val="nil"/>
              <w:bottom w:val="nil"/>
              <w:right w:val="nil"/>
            </w:tcBorders>
            <w:shd w:val="clear" w:color="auto" w:fill="auto"/>
            <w:noWrap/>
            <w:vAlign w:val="bottom"/>
            <w:hideMark/>
          </w:tcPr>
          <w:p w14:paraId="02A1BED1"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Space group</w:t>
            </w:r>
          </w:p>
        </w:tc>
        <w:tc>
          <w:tcPr>
            <w:tcW w:w="2812" w:type="pct"/>
            <w:tcBorders>
              <w:top w:val="nil"/>
              <w:left w:val="nil"/>
              <w:bottom w:val="nil"/>
              <w:right w:val="nil"/>
            </w:tcBorders>
            <w:shd w:val="clear" w:color="auto" w:fill="auto"/>
            <w:noWrap/>
            <w:vAlign w:val="bottom"/>
            <w:hideMark/>
          </w:tcPr>
          <w:p w14:paraId="122203FD"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P 1</w:t>
            </w:r>
          </w:p>
        </w:tc>
      </w:tr>
      <w:tr w:rsidR="00686DC6" w:rsidRPr="00686DC6" w14:paraId="1753C1B2" w14:textId="77777777" w:rsidTr="00F342D2">
        <w:trPr>
          <w:trHeight w:val="320"/>
        </w:trPr>
        <w:tc>
          <w:tcPr>
            <w:tcW w:w="2188" w:type="pct"/>
            <w:tcBorders>
              <w:top w:val="nil"/>
              <w:left w:val="nil"/>
              <w:bottom w:val="nil"/>
              <w:right w:val="nil"/>
            </w:tcBorders>
            <w:shd w:val="clear" w:color="auto" w:fill="auto"/>
            <w:noWrap/>
            <w:vAlign w:val="bottom"/>
            <w:hideMark/>
          </w:tcPr>
          <w:p w14:paraId="1498AF93"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Unit cell</w:t>
            </w:r>
          </w:p>
        </w:tc>
        <w:tc>
          <w:tcPr>
            <w:tcW w:w="2812" w:type="pct"/>
            <w:tcBorders>
              <w:top w:val="nil"/>
              <w:left w:val="nil"/>
              <w:bottom w:val="nil"/>
              <w:right w:val="nil"/>
            </w:tcBorders>
            <w:shd w:val="clear" w:color="auto" w:fill="auto"/>
            <w:noWrap/>
            <w:vAlign w:val="bottom"/>
            <w:hideMark/>
          </w:tcPr>
          <w:p w14:paraId="409460D6"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97.328 97.372 106.494 113.149 104.562 103.213</w:t>
            </w:r>
          </w:p>
        </w:tc>
      </w:tr>
      <w:tr w:rsidR="00686DC6" w:rsidRPr="00686DC6" w14:paraId="565242BF" w14:textId="77777777" w:rsidTr="00F342D2">
        <w:trPr>
          <w:trHeight w:val="320"/>
        </w:trPr>
        <w:tc>
          <w:tcPr>
            <w:tcW w:w="2188" w:type="pct"/>
            <w:tcBorders>
              <w:top w:val="nil"/>
              <w:left w:val="nil"/>
              <w:bottom w:val="nil"/>
              <w:right w:val="nil"/>
            </w:tcBorders>
            <w:shd w:val="clear" w:color="auto" w:fill="auto"/>
            <w:noWrap/>
            <w:vAlign w:val="bottom"/>
            <w:hideMark/>
          </w:tcPr>
          <w:p w14:paraId="033A75E0"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Total reflections</w:t>
            </w:r>
          </w:p>
        </w:tc>
        <w:tc>
          <w:tcPr>
            <w:tcW w:w="2812" w:type="pct"/>
            <w:tcBorders>
              <w:top w:val="nil"/>
              <w:left w:val="nil"/>
              <w:bottom w:val="nil"/>
              <w:right w:val="nil"/>
            </w:tcBorders>
            <w:shd w:val="clear" w:color="auto" w:fill="auto"/>
            <w:noWrap/>
            <w:vAlign w:val="bottom"/>
            <w:hideMark/>
          </w:tcPr>
          <w:p w14:paraId="74C8CC4B"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460673 (45316)</w:t>
            </w:r>
          </w:p>
        </w:tc>
      </w:tr>
      <w:tr w:rsidR="00686DC6" w:rsidRPr="00686DC6" w14:paraId="3ED84BBC" w14:textId="77777777" w:rsidTr="00F342D2">
        <w:trPr>
          <w:trHeight w:val="320"/>
        </w:trPr>
        <w:tc>
          <w:tcPr>
            <w:tcW w:w="2188" w:type="pct"/>
            <w:tcBorders>
              <w:top w:val="nil"/>
              <w:left w:val="nil"/>
              <w:bottom w:val="nil"/>
              <w:right w:val="nil"/>
            </w:tcBorders>
            <w:shd w:val="clear" w:color="auto" w:fill="auto"/>
            <w:noWrap/>
            <w:vAlign w:val="bottom"/>
            <w:hideMark/>
          </w:tcPr>
          <w:p w14:paraId="2CD780B7"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Unique reflections</w:t>
            </w:r>
          </w:p>
        </w:tc>
        <w:tc>
          <w:tcPr>
            <w:tcW w:w="2812" w:type="pct"/>
            <w:tcBorders>
              <w:top w:val="nil"/>
              <w:left w:val="nil"/>
              <w:bottom w:val="nil"/>
              <w:right w:val="nil"/>
            </w:tcBorders>
            <w:shd w:val="clear" w:color="auto" w:fill="auto"/>
            <w:noWrap/>
            <w:vAlign w:val="bottom"/>
            <w:hideMark/>
          </w:tcPr>
          <w:p w14:paraId="6271B276"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109963 (10507)</w:t>
            </w:r>
          </w:p>
        </w:tc>
      </w:tr>
      <w:tr w:rsidR="00686DC6" w:rsidRPr="00686DC6" w14:paraId="0CC344DD" w14:textId="77777777" w:rsidTr="00F342D2">
        <w:trPr>
          <w:trHeight w:val="320"/>
        </w:trPr>
        <w:tc>
          <w:tcPr>
            <w:tcW w:w="2188" w:type="pct"/>
            <w:tcBorders>
              <w:top w:val="nil"/>
              <w:left w:val="nil"/>
              <w:bottom w:val="nil"/>
              <w:right w:val="nil"/>
            </w:tcBorders>
            <w:shd w:val="clear" w:color="auto" w:fill="auto"/>
            <w:noWrap/>
            <w:vAlign w:val="bottom"/>
            <w:hideMark/>
          </w:tcPr>
          <w:p w14:paraId="0ADE303C"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Multiplicity</w:t>
            </w:r>
          </w:p>
        </w:tc>
        <w:tc>
          <w:tcPr>
            <w:tcW w:w="2812" w:type="pct"/>
            <w:tcBorders>
              <w:top w:val="nil"/>
              <w:left w:val="nil"/>
              <w:bottom w:val="nil"/>
              <w:right w:val="nil"/>
            </w:tcBorders>
            <w:shd w:val="clear" w:color="auto" w:fill="auto"/>
            <w:noWrap/>
            <w:vAlign w:val="bottom"/>
            <w:hideMark/>
          </w:tcPr>
          <w:p w14:paraId="08ED2579"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4.2 (4.3)</w:t>
            </w:r>
          </w:p>
        </w:tc>
      </w:tr>
      <w:tr w:rsidR="00686DC6" w:rsidRPr="00686DC6" w14:paraId="213EBF83" w14:textId="77777777" w:rsidTr="00F342D2">
        <w:trPr>
          <w:trHeight w:val="320"/>
        </w:trPr>
        <w:tc>
          <w:tcPr>
            <w:tcW w:w="2188" w:type="pct"/>
            <w:tcBorders>
              <w:top w:val="nil"/>
              <w:left w:val="nil"/>
              <w:bottom w:val="nil"/>
              <w:right w:val="nil"/>
            </w:tcBorders>
            <w:shd w:val="clear" w:color="auto" w:fill="auto"/>
            <w:noWrap/>
            <w:vAlign w:val="bottom"/>
            <w:hideMark/>
          </w:tcPr>
          <w:p w14:paraId="3A3584B6"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Completeness (%)</w:t>
            </w:r>
          </w:p>
        </w:tc>
        <w:tc>
          <w:tcPr>
            <w:tcW w:w="2812" w:type="pct"/>
            <w:tcBorders>
              <w:top w:val="nil"/>
              <w:left w:val="nil"/>
              <w:bottom w:val="nil"/>
              <w:right w:val="nil"/>
            </w:tcBorders>
            <w:shd w:val="clear" w:color="auto" w:fill="auto"/>
            <w:noWrap/>
            <w:vAlign w:val="bottom"/>
            <w:hideMark/>
          </w:tcPr>
          <w:p w14:paraId="32311D53"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98.01 (94.19)</w:t>
            </w:r>
          </w:p>
        </w:tc>
      </w:tr>
      <w:tr w:rsidR="00686DC6" w:rsidRPr="00686DC6" w14:paraId="071655EC" w14:textId="77777777" w:rsidTr="00F342D2">
        <w:trPr>
          <w:trHeight w:val="320"/>
        </w:trPr>
        <w:tc>
          <w:tcPr>
            <w:tcW w:w="2188" w:type="pct"/>
            <w:tcBorders>
              <w:top w:val="nil"/>
              <w:left w:val="nil"/>
              <w:bottom w:val="nil"/>
              <w:right w:val="nil"/>
            </w:tcBorders>
            <w:shd w:val="clear" w:color="auto" w:fill="auto"/>
            <w:noWrap/>
            <w:vAlign w:val="bottom"/>
            <w:hideMark/>
          </w:tcPr>
          <w:p w14:paraId="7F45CD91"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Mean I/sigma(I)</w:t>
            </w:r>
          </w:p>
        </w:tc>
        <w:tc>
          <w:tcPr>
            <w:tcW w:w="2812" w:type="pct"/>
            <w:tcBorders>
              <w:top w:val="nil"/>
              <w:left w:val="nil"/>
              <w:bottom w:val="nil"/>
              <w:right w:val="nil"/>
            </w:tcBorders>
            <w:shd w:val="clear" w:color="auto" w:fill="auto"/>
            <w:noWrap/>
            <w:vAlign w:val="bottom"/>
            <w:hideMark/>
          </w:tcPr>
          <w:p w14:paraId="33EC30BB"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5.46 (1.79)</w:t>
            </w:r>
          </w:p>
        </w:tc>
      </w:tr>
      <w:tr w:rsidR="00686DC6" w:rsidRPr="00686DC6" w14:paraId="7E932B2A" w14:textId="77777777" w:rsidTr="00F342D2">
        <w:trPr>
          <w:trHeight w:val="320"/>
        </w:trPr>
        <w:tc>
          <w:tcPr>
            <w:tcW w:w="2188" w:type="pct"/>
            <w:tcBorders>
              <w:top w:val="nil"/>
              <w:left w:val="nil"/>
              <w:bottom w:val="nil"/>
              <w:right w:val="nil"/>
            </w:tcBorders>
            <w:shd w:val="clear" w:color="auto" w:fill="auto"/>
            <w:noWrap/>
            <w:vAlign w:val="bottom"/>
            <w:hideMark/>
          </w:tcPr>
          <w:p w14:paraId="7EEAE5FE" w14:textId="0CF0B7F0"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Wilson B</w:t>
            </w:r>
            <w:r w:rsidR="00F342D2" w:rsidRPr="00F342D2">
              <w:rPr>
                <w:b/>
                <w:bCs/>
                <w:color w:val="000000"/>
                <w:sz w:val="20"/>
                <w:szCs w:val="20"/>
                <w:vertAlign w:val="subscript"/>
                <w:lang w:bidi="ar-SA"/>
              </w:rPr>
              <w:t>F</w:t>
            </w:r>
            <w:r w:rsidRPr="00686DC6">
              <w:rPr>
                <w:b/>
                <w:bCs/>
                <w:color w:val="000000"/>
                <w:sz w:val="20"/>
                <w:szCs w:val="20"/>
                <w:vertAlign w:val="subscript"/>
                <w:lang w:bidi="ar-SA"/>
              </w:rPr>
              <w:t>actor</w:t>
            </w:r>
          </w:p>
        </w:tc>
        <w:tc>
          <w:tcPr>
            <w:tcW w:w="2812" w:type="pct"/>
            <w:tcBorders>
              <w:top w:val="nil"/>
              <w:left w:val="nil"/>
              <w:bottom w:val="nil"/>
              <w:right w:val="nil"/>
            </w:tcBorders>
            <w:shd w:val="clear" w:color="auto" w:fill="auto"/>
            <w:noWrap/>
            <w:vAlign w:val="bottom"/>
            <w:hideMark/>
          </w:tcPr>
          <w:p w14:paraId="1486485F"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27.6</w:t>
            </w:r>
          </w:p>
        </w:tc>
      </w:tr>
      <w:tr w:rsidR="00686DC6" w:rsidRPr="00686DC6" w14:paraId="27A74F45" w14:textId="77777777" w:rsidTr="00F342D2">
        <w:trPr>
          <w:trHeight w:val="320"/>
        </w:trPr>
        <w:tc>
          <w:tcPr>
            <w:tcW w:w="2188" w:type="pct"/>
            <w:tcBorders>
              <w:top w:val="nil"/>
              <w:left w:val="nil"/>
              <w:bottom w:val="nil"/>
              <w:right w:val="nil"/>
            </w:tcBorders>
            <w:shd w:val="clear" w:color="auto" w:fill="auto"/>
            <w:noWrap/>
            <w:vAlign w:val="bottom"/>
            <w:hideMark/>
          </w:tcPr>
          <w:p w14:paraId="6EEBF579" w14:textId="293A0D15"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w:t>
            </w:r>
            <w:r w:rsidRPr="00686DC6">
              <w:rPr>
                <w:b/>
                <w:bCs/>
                <w:color w:val="000000"/>
                <w:sz w:val="20"/>
                <w:szCs w:val="20"/>
                <w:vertAlign w:val="subscript"/>
                <w:lang w:bidi="ar-SA"/>
              </w:rPr>
              <w:t>merge</w:t>
            </w:r>
          </w:p>
        </w:tc>
        <w:tc>
          <w:tcPr>
            <w:tcW w:w="2812" w:type="pct"/>
            <w:tcBorders>
              <w:top w:val="nil"/>
              <w:left w:val="nil"/>
              <w:bottom w:val="nil"/>
              <w:right w:val="nil"/>
            </w:tcBorders>
            <w:shd w:val="clear" w:color="auto" w:fill="auto"/>
            <w:noWrap/>
            <w:vAlign w:val="bottom"/>
            <w:hideMark/>
          </w:tcPr>
          <w:p w14:paraId="6D350FAD"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0.2181 (0.5619)</w:t>
            </w:r>
          </w:p>
        </w:tc>
      </w:tr>
      <w:tr w:rsidR="00686DC6" w:rsidRPr="00686DC6" w14:paraId="31B38054" w14:textId="77777777" w:rsidTr="00F342D2">
        <w:trPr>
          <w:trHeight w:val="320"/>
        </w:trPr>
        <w:tc>
          <w:tcPr>
            <w:tcW w:w="2188" w:type="pct"/>
            <w:tcBorders>
              <w:top w:val="nil"/>
              <w:left w:val="nil"/>
              <w:bottom w:val="nil"/>
              <w:right w:val="nil"/>
            </w:tcBorders>
            <w:shd w:val="clear" w:color="auto" w:fill="auto"/>
            <w:noWrap/>
            <w:vAlign w:val="bottom"/>
            <w:hideMark/>
          </w:tcPr>
          <w:p w14:paraId="5898C170" w14:textId="3314AE5B"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w:t>
            </w:r>
            <w:r w:rsidRPr="00686DC6">
              <w:rPr>
                <w:b/>
                <w:bCs/>
                <w:color w:val="000000"/>
                <w:sz w:val="20"/>
                <w:szCs w:val="20"/>
                <w:vertAlign w:val="subscript"/>
                <w:lang w:bidi="ar-SA"/>
              </w:rPr>
              <w:t>meas</w:t>
            </w:r>
          </w:p>
        </w:tc>
        <w:tc>
          <w:tcPr>
            <w:tcW w:w="2812" w:type="pct"/>
            <w:tcBorders>
              <w:top w:val="nil"/>
              <w:left w:val="nil"/>
              <w:bottom w:val="nil"/>
              <w:right w:val="nil"/>
            </w:tcBorders>
            <w:shd w:val="clear" w:color="auto" w:fill="auto"/>
            <w:noWrap/>
            <w:vAlign w:val="bottom"/>
            <w:hideMark/>
          </w:tcPr>
          <w:p w14:paraId="7741C871"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0.2484 (0.6379)</w:t>
            </w:r>
          </w:p>
        </w:tc>
      </w:tr>
      <w:tr w:rsidR="00686DC6" w:rsidRPr="00686DC6" w14:paraId="507B83B7" w14:textId="77777777" w:rsidTr="00F342D2">
        <w:trPr>
          <w:trHeight w:val="320"/>
        </w:trPr>
        <w:tc>
          <w:tcPr>
            <w:tcW w:w="2188" w:type="pct"/>
            <w:tcBorders>
              <w:top w:val="nil"/>
              <w:left w:val="nil"/>
              <w:bottom w:val="nil"/>
              <w:right w:val="nil"/>
            </w:tcBorders>
            <w:shd w:val="clear" w:color="auto" w:fill="auto"/>
            <w:noWrap/>
            <w:vAlign w:val="bottom"/>
            <w:hideMark/>
          </w:tcPr>
          <w:p w14:paraId="4E4ED1EF" w14:textId="3B7196BA"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w:t>
            </w:r>
            <w:r w:rsidRPr="00686DC6">
              <w:rPr>
                <w:b/>
                <w:bCs/>
                <w:color w:val="000000"/>
                <w:sz w:val="20"/>
                <w:szCs w:val="20"/>
                <w:vertAlign w:val="subscript"/>
                <w:lang w:bidi="ar-SA"/>
              </w:rPr>
              <w:t>pim</w:t>
            </w:r>
          </w:p>
        </w:tc>
        <w:tc>
          <w:tcPr>
            <w:tcW w:w="2812" w:type="pct"/>
            <w:tcBorders>
              <w:top w:val="nil"/>
              <w:left w:val="nil"/>
              <w:bottom w:val="nil"/>
              <w:right w:val="nil"/>
            </w:tcBorders>
            <w:shd w:val="clear" w:color="auto" w:fill="auto"/>
            <w:noWrap/>
            <w:vAlign w:val="bottom"/>
            <w:hideMark/>
          </w:tcPr>
          <w:p w14:paraId="40D8993D"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0.1176 (0.2989)</w:t>
            </w:r>
          </w:p>
        </w:tc>
      </w:tr>
      <w:tr w:rsidR="00686DC6" w:rsidRPr="00686DC6" w14:paraId="7B9F313C" w14:textId="77777777" w:rsidTr="00F342D2">
        <w:trPr>
          <w:trHeight w:val="320"/>
        </w:trPr>
        <w:tc>
          <w:tcPr>
            <w:tcW w:w="2188" w:type="pct"/>
            <w:tcBorders>
              <w:top w:val="nil"/>
              <w:left w:val="nil"/>
              <w:bottom w:val="nil"/>
              <w:right w:val="nil"/>
            </w:tcBorders>
            <w:shd w:val="clear" w:color="auto" w:fill="auto"/>
            <w:noWrap/>
            <w:vAlign w:val="bottom"/>
            <w:hideMark/>
          </w:tcPr>
          <w:p w14:paraId="2D78D30E"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CC</w:t>
            </w:r>
            <w:r w:rsidRPr="00686DC6">
              <w:rPr>
                <w:b/>
                <w:bCs/>
                <w:color w:val="000000"/>
                <w:sz w:val="20"/>
                <w:szCs w:val="20"/>
                <w:vertAlign w:val="superscript"/>
                <w:lang w:bidi="ar-SA"/>
              </w:rPr>
              <w:t>1/2</w:t>
            </w:r>
          </w:p>
        </w:tc>
        <w:tc>
          <w:tcPr>
            <w:tcW w:w="2812" w:type="pct"/>
            <w:tcBorders>
              <w:top w:val="nil"/>
              <w:left w:val="nil"/>
              <w:bottom w:val="nil"/>
              <w:right w:val="nil"/>
            </w:tcBorders>
            <w:shd w:val="clear" w:color="auto" w:fill="auto"/>
            <w:noWrap/>
            <w:vAlign w:val="bottom"/>
            <w:hideMark/>
          </w:tcPr>
          <w:p w14:paraId="0F45962F"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0.935 (0.715)</w:t>
            </w:r>
          </w:p>
        </w:tc>
      </w:tr>
      <w:tr w:rsidR="00686DC6" w:rsidRPr="00686DC6" w14:paraId="39CE239C" w14:textId="77777777" w:rsidTr="00F342D2">
        <w:trPr>
          <w:trHeight w:val="320"/>
        </w:trPr>
        <w:tc>
          <w:tcPr>
            <w:tcW w:w="2188" w:type="pct"/>
            <w:tcBorders>
              <w:top w:val="nil"/>
              <w:left w:val="nil"/>
              <w:bottom w:val="nil"/>
              <w:right w:val="nil"/>
            </w:tcBorders>
            <w:shd w:val="clear" w:color="auto" w:fill="auto"/>
            <w:noWrap/>
            <w:vAlign w:val="bottom"/>
            <w:hideMark/>
          </w:tcPr>
          <w:p w14:paraId="2530B26D"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CC*</w:t>
            </w:r>
          </w:p>
        </w:tc>
        <w:tc>
          <w:tcPr>
            <w:tcW w:w="2812" w:type="pct"/>
            <w:tcBorders>
              <w:top w:val="nil"/>
              <w:left w:val="nil"/>
              <w:bottom w:val="nil"/>
              <w:right w:val="nil"/>
            </w:tcBorders>
            <w:shd w:val="clear" w:color="auto" w:fill="auto"/>
            <w:noWrap/>
            <w:vAlign w:val="bottom"/>
            <w:hideMark/>
          </w:tcPr>
          <w:p w14:paraId="5839BB2A"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0.983 (0.913)</w:t>
            </w:r>
          </w:p>
        </w:tc>
      </w:tr>
      <w:tr w:rsidR="00686DC6" w:rsidRPr="00686DC6" w14:paraId="5E37020F" w14:textId="77777777" w:rsidTr="00F342D2">
        <w:trPr>
          <w:trHeight w:val="320"/>
        </w:trPr>
        <w:tc>
          <w:tcPr>
            <w:tcW w:w="2188" w:type="pct"/>
            <w:tcBorders>
              <w:top w:val="nil"/>
              <w:left w:val="nil"/>
              <w:bottom w:val="nil"/>
              <w:right w:val="nil"/>
            </w:tcBorders>
            <w:shd w:val="clear" w:color="auto" w:fill="auto"/>
            <w:noWrap/>
            <w:vAlign w:val="bottom"/>
            <w:hideMark/>
          </w:tcPr>
          <w:p w14:paraId="3438D9FC"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Reflections used in refinement</w:t>
            </w:r>
          </w:p>
        </w:tc>
        <w:tc>
          <w:tcPr>
            <w:tcW w:w="2812" w:type="pct"/>
            <w:tcBorders>
              <w:top w:val="nil"/>
              <w:left w:val="nil"/>
              <w:bottom w:val="nil"/>
              <w:right w:val="nil"/>
            </w:tcBorders>
            <w:shd w:val="clear" w:color="auto" w:fill="auto"/>
            <w:noWrap/>
            <w:vAlign w:val="bottom"/>
            <w:hideMark/>
          </w:tcPr>
          <w:p w14:paraId="040F68E0"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109922 (10505)</w:t>
            </w:r>
          </w:p>
        </w:tc>
      </w:tr>
      <w:tr w:rsidR="00686DC6" w:rsidRPr="00686DC6" w14:paraId="240BAEBD" w14:textId="77777777" w:rsidTr="00F342D2">
        <w:trPr>
          <w:trHeight w:val="320"/>
        </w:trPr>
        <w:tc>
          <w:tcPr>
            <w:tcW w:w="2188" w:type="pct"/>
            <w:tcBorders>
              <w:top w:val="nil"/>
              <w:left w:val="nil"/>
              <w:bottom w:val="nil"/>
              <w:right w:val="nil"/>
            </w:tcBorders>
            <w:shd w:val="clear" w:color="auto" w:fill="auto"/>
            <w:noWrap/>
            <w:vAlign w:val="bottom"/>
            <w:hideMark/>
          </w:tcPr>
          <w:p w14:paraId="7F56EB7D" w14:textId="1E68EC3B"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 xml:space="preserve">Reflections used for </w:t>
            </w:r>
            <w:r w:rsidR="00F342D2" w:rsidRPr="00F342D2">
              <w:rPr>
                <w:b/>
                <w:bCs/>
                <w:color w:val="000000"/>
                <w:sz w:val="20"/>
                <w:szCs w:val="20"/>
                <w:lang w:bidi="ar-SA"/>
              </w:rPr>
              <w:t>R</w:t>
            </w:r>
            <w:r w:rsidR="00F342D2" w:rsidRPr="00F342D2">
              <w:rPr>
                <w:b/>
                <w:bCs/>
                <w:color w:val="000000"/>
                <w:sz w:val="20"/>
                <w:szCs w:val="20"/>
                <w:vertAlign w:val="subscript"/>
                <w:lang w:bidi="ar-SA"/>
              </w:rPr>
              <w:t>F</w:t>
            </w:r>
            <w:r w:rsidRPr="00686DC6">
              <w:rPr>
                <w:b/>
                <w:bCs/>
                <w:color w:val="000000"/>
                <w:sz w:val="20"/>
                <w:szCs w:val="20"/>
                <w:vertAlign w:val="subscript"/>
                <w:lang w:bidi="ar-SA"/>
              </w:rPr>
              <w:t>ree</w:t>
            </w:r>
          </w:p>
        </w:tc>
        <w:tc>
          <w:tcPr>
            <w:tcW w:w="2812" w:type="pct"/>
            <w:tcBorders>
              <w:top w:val="nil"/>
              <w:left w:val="nil"/>
              <w:bottom w:val="nil"/>
              <w:right w:val="nil"/>
            </w:tcBorders>
            <w:shd w:val="clear" w:color="auto" w:fill="auto"/>
            <w:noWrap/>
            <w:vAlign w:val="bottom"/>
            <w:hideMark/>
          </w:tcPr>
          <w:p w14:paraId="449505C8"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5435 (523)</w:t>
            </w:r>
          </w:p>
        </w:tc>
      </w:tr>
      <w:tr w:rsidR="00686DC6" w:rsidRPr="00686DC6" w14:paraId="4686A392" w14:textId="77777777" w:rsidTr="00F342D2">
        <w:trPr>
          <w:trHeight w:val="320"/>
        </w:trPr>
        <w:tc>
          <w:tcPr>
            <w:tcW w:w="2188" w:type="pct"/>
            <w:tcBorders>
              <w:top w:val="nil"/>
              <w:left w:val="nil"/>
              <w:bottom w:val="nil"/>
              <w:right w:val="nil"/>
            </w:tcBorders>
            <w:shd w:val="clear" w:color="auto" w:fill="auto"/>
            <w:noWrap/>
            <w:vAlign w:val="bottom"/>
            <w:hideMark/>
          </w:tcPr>
          <w:p w14:paraId="6F3B3D68" w14:textId="07286105"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w:t>
            </w:r>
            <w:r w:rsidR="00F342D2" w:rsidRPr="00F342D2">
              <w:rPr>
                <w:b/>
                <w:bCs/>
                <w:color w:val="000000"/>
                <w:sz w:val="20"/>
                <w:szCs w:val="20"/>
                <w:vertAlign w:val="subscript"/>
                <w:lang w:bidi="ar-SA"/>
              </w:rPr>
              <w:t>W</w:t>
            </w:r>
            <w:r w:rsidRPr="00686DC6">
              <w:rPr>
                <w:b/>
                <w:bCs/>
                <w:color w:val="000000"/>
                <w:sz w:val="20"/>
                <w:szCs w:val="20"/>
                <w:vertAlign w:val="subscript"/>
                <w:lang w:bidi="ar-SA"/>
              </w:rPr>
              <w:t>ork</w:t>
            </w:r>
          </w:p>
        </w:tc>
        <w:tc>
          <w:tcPr>
            <w:tcW w:w="2812" w:type="pct"/>
            <w:tcBorders>
              <w:top w:val="nil"/>
              <w:left w:val="nil"/>
              <w:bottom w:val="nil"/>
              <w:right w:val="nil"/>
            </w:tcBorders>
            <w:shd w:val="clear" w:color="auto" w:fill="auto"/>
            <w:noWrap/>
            <w:vAlign w:val="bottom"/>
            <w:hideMark/>
          </w:tcPr>
          <w:p w14:paraId="4EAFBA30"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0.1917 (0.2305)</w:t>
            </w:r>
          </w:p>
        </w:tc>
      </w:tr>
      <w:tr w:rsidR="00686DC6" w:rsidRPr="00686DC6" w14:paraId="6C3D1704" w14:textId="77777777" w:rsidTr="00F342D2">
        <w:trPr>
          <w:trHeight w:val="320"/>
        </w:trPr>
        <w:tc>
          <w:tcPr>
            <w:tcW w:w="2188" w:type="pct"/>
            <w:tcBorders>
              <w:top w:val="nil"/>
              <w:left w:val="nil"/>
              <w:bottom w:val="nil"/>
              <w:right w:val="nil"/>
            </w:tcBorders>
            <w:shd w:val="clear" w:color="auto" w:fill="auto"/>
            <w:noWrap/>
            <w:vAlign w:val="bottom"/>
            <w:hideMark/>
          </w:tcPr>
          <w:p w14:paraId="363DF39A" w14:textId="56FDE00B"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w:t>
            </w:r>
            <w:r w:rsidR="00F342D2" w:rsidRPr="00F342D2">
              <w:rPr>
                <w:b/>
                <w:bCs/>
                <w:color w:val="000000"/>
                <w:sz w:val="20"/>
                <w:szCs w:val="20"/>
                <w:vertAlign w:val="subscript"/>
                <w:lang w:bidi="ar-SA"/>
              </w:rPr>
              <w:t>F</w:t>
            </w:r>
            <w:r w:rsidRPr="00686DC6">
              <w:rPr>
                <w:b/>
                <w:bCs/>
                <w:color w:val="000000"/>
                <w:sz w:val="20"/>
                <w:szCs w:val="20"/>
                <w:vertAlign w:val="subscript"/>
                <w:lang w:bidi="ar-SA"/>
              </w:rPr>
              <w:t>ree</w:t>
            </w:r>
          </w:p>
        </w:tc>
        <w:tc>
          <w:tcPr>
            <w:tcW w:w="2812" w:type="pct"/>
            <w:tcBorders>
              <w:top w:val="nil"/>
              <w:left w:val="nil"/>
              <w:bottom w:val="nil"/>
              <w:right w:val="nil"/>
            </w:tcBorders>
            <w:shd w:val="clear" w:color="auto" w:fill="auto"/>
            <w:noWrap/>
            <w:vAlign w:val="bottom"/>
            <w:hideMark/>
          </w:tcPr>
          <w:p w14:paraId="01B73371"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0.2436 (0.3085)</w:t>
            </w:r>
          </w:p>
        </w:tc>
      </w:tr>
      <w:tr w:rsidR="00686DC6" w:rsidRPr="00686DC6" w14:paraId="1EE69987" w14:textId="77777777" w:rsidTr="00F342D2">
        <w:trPr>
          <w:trHeight w:val="320"/>
        </w:trPr>
        <w:tc>
          <w:tcPr>
            <w:tcW w:w="2188" w:type="pct"/>
            <w:tcBorders>
              <w:top w:val="nil"/>
              <w:left w:val="nil"/>
              <w:bottom w:val="nil"/>
              <w:right w:val="nil"/>
            </w:tcBorders>
            <w:shd w:val="clear" w:color="auto" w:fill="auto"/>
            <w:noWrap/>
            <w:vAlign w:val="bottom"/>
            <w:hideMark/>
          </w:tcPr>
          <w:p w14:paraId="7EA8F1A8" w14:textId="2BB9E3C8"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C</w:t>
            </w:r>
            <w:r w:rsidR="00F342D2">
              <w:rPr>
                <w:b/>
                <w:bCs/>
                <w:color w:val="000000"/>
                <w:sz w:val="20"/>
                <w:szCs w:val="20"/>
                <w:lang w:bidi="ar-SA"/>
              </w:rPr>
              <w:t>C</w:t>
            </w:r>
            <w:r w:rsidR="00F342D2" w:rsidRPr="00F342D2">
              <w:rPr>
                <w:b/>
                <w:bCs/>
                <w:color w:val="000000"/>
                <w:sz w:val="20"/>
                <w:szCs w:val="20"/>
                <w:vertAlign w:val="subscript"/>
                <w:lang w:bidi="ar-SA"/>
              </w:rPr>
              <w:t>W</w:t>
            </w:r>
            <w:r w:rsidRPr="00686DC6">
              <w:rPr>
                <w:b/>
                <w:bCs/>
                <w:color w:val="000000"/>
                <w:sz w:val="20"/>
                <w:szCs w:val="20"/>
                <w:vertAlign w:val="subscript"/>
                <w:lang w:bidi="ar-SA"/>
              </w:rPr>
              <w:t>ork</w:t>
            </w:r>
          </w:p>
        </w:tc>
        <w:tc>
          <w:tcPr>
            <w:tcW w:w="2812" w:type="pct"/>
            <w:tcBorders>
              <w:top w:val="nil"/>
              <w:left w:val="nil"/>
              <w:bottom w:val="nil"/>
              <w:right w:val="nil"/>
            </w:tcBorders>
            <w:shd w:val="clear" w:color="auto" w:fill="auto"/>
            <w:noWrap/>
            <w:vAlign w:val="bottom"/>
            <w:hideMark/>
          </w:tcPr>
          <w:p w14:paraId="324BBEE1"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0.944 (0.849)</w:t>
            </w:r>
          </w:p>
        </w:tc>
      </w:tr>
      <w:tr w:rsidR="00686DC6" w:rsidRPr="00686DC6" w14:paraId="4BD5F6C3" w14:textId="77777777" w:rsidTr="00F342D2">
        <w:trPr>
          <w:trHeight w:val="320"/>
        </w:trPr>
        <w:tc>
          <w:tcPr>
            <w:tcW w:w="2188" w:type="pct"/>
            <w:tcBorders>
              <w:top w:val="nil"/>
              <w:left w:val="nil"/>
              <w:bottom w:val="nil"/>
              <w:right w:val="nil"/>
            </w:tcBorders>
            <w:shd w:val="clear" w:color="auto" w:fill="auto"/>
            <w:noWrap/>
            <w:vAlign w:val="bottom"/>
            <w:hideMark/>
          </w:tcPr>
          <w:p w14:paraId="0F9C9714" w14:textId="4FA9EBF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CC</w:t>
            </w:r>
            <w:r w:rsidR="00F342D2" w:rsidRPr="00F342D2">
              <w:rPr>
                <w:b/>
                <w:bCs/>
                <w:color w:val="000000"/>
                <w:sz w:val="20"/>
                <w:szCs w:val="20"/>
                <w:vertAlign w:val="subscript"/>
                <w:lang w:bidi="ar-SA"/>
              </w:rPr>
              <w:t>Free</w:t>
            </w:r>
          </w:p>
        </w:tc>
        <w:tc>
          <w:tcPr>
            <w:tcW w:w="2812" w:type="pct"/>
            <w:tcBorders>
              <w:top w:val="nil"/>
              <w:left w:val="nil"/>
              <w:bottom w:val="nil"/>
              <w:right w:val="nil"/>
            </w:tcBorders>
            <w:shd w:val="clear" w:color="auto" w:fill="auto"/>
            <w:noWrap/>
            <w:vAlign w:val="bottom"/>
            <w:hideMark/>
          </w:tcPr>
          <w:p w14:paraId="055C953D" w14:textId="77777777" w:rsidR="00686DC6" w:rsidRPr="00686DC6" w:rsidRDefault="00686DC6" w:rsidP="00686DC6">
            <w:pPr>
              <w:spacing w:line="240" w:lineRule="auto"/>
              <w:rPr>
                <w:color w:val="000000"/>
                <w:sz w:val="20"/>
                <w:szCs w:val="20"/>
                <w:lang w:bidi="ar-SA"/>
              </w:rPr>
            </w:pPr>
            <w:r w:rsidRPr="00686DC6">
              <w:rPr>
                <w:color w:val="000000"/>
                <w:sz w:val="20"/>
                <w:szCs w:val="20"/>
                <w:lang w:bidi="ar-SA"/>
              </w:rPr>
              <w:t>0.925 (0.712)</w:t>
            </w:r>
          </w:p>
        </w:tc>
      </w:tr>
      <w:tr w:rsidR="00686DC6" w:rsidRPr="00686DC6" w14:paraId="3B7F99B7" w14:textId="77777777" w:rsidTr="00F342D2">
        <w:trPr>
          <w:trHeight w:val="320"/>
        </w:trPr>
        <w:tc>
          <w:tcPr>
            <w:tcW w:w="2188" w:type="pct"/>
            <w:tcBorders>
              <w:top w:val="nil"/>
              <w:left w:val="nil"/>
              <w:bottom w:val="nil"/>
              <w:right w:val="nil"/>
            </w:tcBorders>
            <w:shd w:val="clear" w:color="auto" w:fill="auto"/>
            <w:noWrap/>
            <w:vAlign w:val="bottom"/>
            <w:hideMark/>
          </w:tcPr>
          <w:p w14:paraId="6A687A1E"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lastRenderedPageBreak/>
              <w:t>Number of non-hydrogen atoms</w:t>
            </w:r>
          </w:p>
        </w:tc>
        <w:tc>
          <w:tcPr>
            <w:tcW w:w="2812" w:type="pct"/>
            <w:tcBorders>
              <w:top w:val="nil"/>
              <w:left w:val="nil"/>
              <w:bottom w:val="nil"/>
              <w:right w:val="nil"/>
            </w:tcBorders>
            <w:shd w:val="clear" w:color="auto" w:fill="auto"/>
            <w:noWrap/>
            <w:vAlign w:val="bottom"/>
            <w:hideMark/>
          </w:tcPr>
          <w:p w14:paraId="4521C496"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20431</w:t>
            </w:r>
          </w:p>
        </w:tc>
      </w:tr>
      <w:tr w:rsidR="00686DC6" w:rsidRPr="00686DC6" w14:paraId="7964FC4D" w14:textId="77777777" w:rsidTr="00F342D2">
        <w:trPr>
          <w:trHeight w:val="320"/>
        </w:trPr>
        <w:tc>
          <w:tcPr>
            <w:tcW w:w="2188" w:type="pct"/>
            <w:tcBorders>
              <w:top w:val="nil"/>
              <w:left w:val="nil"/>
              <w:bottom w:val="nil"/>
              <w:right w:val="nil"/>
            </w:tcBorders>
            <w:shd w:val="clear" w:color="auto" w:fill="auto"/>
            <w:noWrap/>
            <w:vAlign w:val="bottom"/>
            <w:hideMark/>
          </w:tcPr>
          <w:p w14:paraId="2938D88D"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  macromolecules</w:t>
            </w:r>
          </w:p>
        </w:tc>
        <w:tc>
          <w:tcPr>
            <w:tcW w:w="2812" w:type="pct"/>
            <w:tcBorders>
              <w:top w:val="nil"/>
              <w:left w:val="nil"/>
              <w:bottom w:val="nil"/>
              <w:right w:val="nil"/>
            </w:tcBorders>
            <w:shd w:val="clear" w:color="auto" w:fill="auto"/>
            <w:noWrap/>
            <w:vAlign w:val="bottom"/>
            <w:hideMark/>
          </w:tcPr>
          <w:p w14:paraId="04D84F40"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19627</w:t>
            </w:r>
          </w:p>
        </w:tc>
      </w:tr>
      <w:tr w:rsidR="00686DC6" w:rsidRPr="00686DC6" w14:paraId="35066C41" w14:textId="77777777" w:rsidTr="00F342D2">
        <w:trPr>
          <w:trHeight w:val="320"/>
        </w:trPr>
        <w:tc>
          <w:tcPr>
            <w:tcW w:w="2188" w:type="pct"/>
            <w:tcBorders>
              <w:top w:val="nil"/>
              <w:left w:val="nil"/>
              <w:bottom w:val="nil"/>
              <w:right w:val="nil"/>
            </w:tcBorders>
            <w:shd w:val="clear" w:color="auto" w:fill="auto"/>
            <w:noWrap/>
            <w:vAlign w:val="bottom"/>
            <w:hideMark/>
          </w:tcPr>
          <w:p w14:paraId="322FFCB3"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  ligands</w:t>
            </w:r>
          </w:p>
        </w:tc>
        <w:tc>
          <w:tcPr>
            <w:tcW w:w="2812" w:type="pct"/>
            <w:tcBorders>
              <w:top w:val="nil"/>
              <w:left w:val="nil"/>
              <w:bottom w:val="nil"/>
              <w:right w:val="nil"/>
            </w:tcBorders>
            <w:shd w:val="clear" w:color="auto" w:fill="auto"/>
            <w:noWrap/>
            <w:vAlign w:val="bottom"/>
            <w:hideMark/>
          </w:tcPr>
          <w:p w14:paraId="75FE3A10"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23</w:t>
            </w:r>
          </w:p>
        </w:tc>
      </w:tr>
      <w:tr w:rsidR="00686DC6" w:rsidRPr="00686DC6" w14:paraId="5F1C57A0" w14:textId="77777777" w:rsidTr="00F342D2">
        <w:trPr>
          <w:trHeight w:val="320"/>
        </w:trPr>
        <w:tc>
          <w:tcPr>
            <w:tcW w:w="2188" w:type="pct"/>
            <w:tcBorders>
              <w:top w:val="nil"/>
              <w:left w:val="nil"/>
              <w:bottom w:val="nil"/>
              <w:right w:val="nil"/>
            </w:tcBorders>
            <w:shd w:val="clear" w:color="auto" w:fill="auto"/>
            <w:noWrap/>
            <w:vAlign w:val="bottom"/>
            <w:hideMark/>
          </w:tcPr>
          <w:p w14:paraId="5273B794"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  solvent</w:t>
            </w:r>
          </w:p>
        </w:tc>
        <w:tc>
          <w:tcPr>
            <w:tcW w:w="2812" w:type="pct"/>
            <w:tcBorders>
              <w:top w:val="nil"/>
              <w:left w:val="nil"/>
              <w:bottom w:val="nil"/>
              <w:right w:val="nil"/>
            </w:tcBorders>
            <w:shd w:val="clear" w:color="auto" w:fill="auto"/>
            <w:noWrap/>
            <w:vAlign w:val="bottom"/>
            <w:hideMark/>
          </w:tcPr>
          <w:p w14:paraId="3C568AEC"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781</w:t>
            </w:r>
          </w:p>
        </w:tc>
      </w:tr>
      <w:tr w:rsidR="00686DC6" w:rsidRPr="00686DC6" w14:paraId="3A1EAE33" w14:textId="77777777" w:rsidTr="00F342D2">
        <w:trPr>
          <w:trHeight w:val="320"/>
        </w:trPr>
        <w:tc>
          <w:tcPr>
            <w:tcW w:w="2188" w:type="pct"/>
            <w:tcBorders>
              <w:top w:val="nil"/>
              <w:left w:val="nil"/>
              <w:bottom w:val="nil"/>
              <w:right w:val="nil"/>
            </w:tcBorders>
            <w:shd w:val="clear" w:color="auto" w:fill="auto"/>
            <w:noWrap/>
            <w:vAlign w:val="bottom"/>
            <w:hideMark/>
          </w:tcPr>
          <w:p w14:paraId="5D5A716F"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Protein residues</w:t>
            </w:r>
          </w:p>
        </w:tc>
        <w:tc>
          <w:tcPr>
            <w:tcW w:w="2812" w:type="pct"/>
            <w:tcBorders>
              <w:top w:val="nil"/>
              <w:left w:val="nil"/>
              <w:bottom w:val="nil"/>
              <w:right w:val="nil"/>
            </w:tcBorders>
            <w:shd w:val="clear" w:color="auto" w:fill="auto"/>
            <w:noWrap/>
            <w:vAlign w:val="bottom"/>
            <w:hideMark/>
          </w:tcPr>
          <w:p w14:paraId="71BEA722"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2551</w:t>
            </w:r>
          </w:p>
        </w:tc>
      </w:tr>
      <w:tr w:rsidR="00686DC6" w:rsidRPr="00686DC6" w14:paraId="082F875F" w14:textId="77777777" w:rsidTr="00F342D2">
        <w:trPr>
          <w:trHeight w:val="320"/>
        </w:trPr>
        <w:tc>
          <w:tcPr>
            <w:tcW w:w="2188" w:type="pct"/>
            <w:tcBorders>
              <w:top w:val="nil"/>
              <w:left w:val="nil"/>
              <w:bottom w:val="nil"/>
              <w:right w:val="nil"/>
            </w:tcBorders>
            <w:shd w:val="clear" w:color="auto" w:fill="auto"/>
            <w:noWrap/>
            <w:vAlign w:val="bottom"/>
            <w:hideMark/>
          </w:tcPr>
          <w:p w14:paraId="460DB544"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RMS(bonds)</w:t>
            </w:r>
          </w:p>
        </w:tc>
        <w:tc>
          <w:tcPr>
            <w:tcW w:w="2812" w:type="pct"/>
            <w:tcBorders>
              <w:top w:val="nil"/>
              <w:left w:val="nil"/>
              <w:bottom w:val="nil"/>
              <w:right w:val="nil"/>
            </w:tcBorders>
            <w:shd w:val="clear" w:color="auto" w:fill="auto"/>
            <w:noWrap/>
            <w:vAlign w:val="bottom"/>
            <w:hideMark/>
          </w:tcPr>
          <w:p w14:paraId="16EFCA45"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0.003</w:t>
            </w:r>
          </w:p>
        </w:tc>
      </w:tr>
      <w:tr w:rsidR="00686DC6" w:rsidRPr="00686DC6" w14:paraId="23301AE8" w14:textId="77777777" w:rsidTr="00F342D2">
        <w:trPr>
          <w:trHeight w:val="320"/>
        </w:trPr>
        <w:tc>
          <w:tcPr>
            <w:tcW w:w="2188" w:type="pct"/>
            <w:tcBorders>
              <w:top w:val="nil"/>
              <w:left w:val="nil"/>
              <w:bottom w:val="nil"/>
              <w:right w:val="nil"/>
            </w:tcBorders>
            <w:shd w:val="clear" w:color="auto" w:fill="auto"/>
            <w:noWrap/>
            <w:vAlign w:val="bottom"/>
            <w:hideMark/>
          </w:tcPr>
          <w:p w14:paraId="2268F3DF"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RMS(angles)</w:t>
            </w:r>
          </w:p>
        </w:tc>
        <w:tc>
          <w:tcPr>
            <w:tcW w:w="2812" w:type="pct"/>
            <w:tcBorders>
              <w:top w:val="nil"/>
              <w:left w:val="nil"/>
              <w:bottom w:val="nil"/>
              <w:right w:val="nil"/>
            </w:tcBorders>
            <w:shd w:val="clear" w:color="auto" w:fill="auto"/>
            <w:noWrap/>
            <w:vAlign w:val="bottom"/>
            <w:hideMark/>
          </w:tcPr>
          <w:p w14:paraId="2F6079DF"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0.48</w:t>
            </w:r>
          </w:p>
        </w:tc>
      </w:tr>
      <w:tr w:rsidR="00686DC6" w:rsidRPr="00686DC6" w14:paraId="47E1491E" w14:textId="77777777" w:rsidTr="00F342D2">
        <w:trPr>
          <w:trHeight w:val="320"/>
        </w:trPr>
        <w:tc>
          <w:tcPr>
            <w:tcW w:w="2188" w:type="pct"/>
            <w:tcBorders>
              <w:top w:val="nil"/>
              <w:left w:val="nil"/>
              <w:bottom w:val="nil"/>
              <w:right w:val="nil"/>
            </w:tcBorders>
            <w:shd w:val="clear" w:color="auto" w:fill="auto"/>
            <w:noWrap/>
            <w:vAlign w:val="bottom"/>
            <w:hideMark/>
          </w:tcPr>
          <w:p w14:paraId="07850748"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Ramachandran favored (%)</w:t>
            </w:r>
          </w:p>
        </w:tc>
        <w:tc>
          <w:tcPr>
            <w:tcW w:w="2812" w:type="pct"/>
            <w:tcBorders>
              <w:top w:val="nil"/>
              <w:left w:val="nil"/>
              <w:bottom w:val="nil"/>
              <w:right w:val="nil"/>
            </w:tcBorders>
            <w:shd w:val="clear" w:color="auto" w:fill="auto"/>
            <w:noWrap/>
            <w:vAlign w:val="bottom"/>
            <w:hideMark/>
          </w:tcPr>
          <w:p w14:paraId="15751632"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96.95</w:t>
            </w:r>
          </w:p>
        </w:tc>
      </w:tr>
      <w:tr w:rsidR="00686DC6" w:rsidRPr="00686DC6" w14:paraId="0051CEC0" w14:textId="77777777" w:rsidTr="00F342D2">
        <w:trPr>
          <w:trHeight w:val="320"/>
        </w:trPr>
        <w:tc>
          <w:tcPr>
            <w:tcW w:w="2188" w:type="pct"/>
            <w:tcBorders>
              <w:top w:val="nil"/>
              <w:left w:val="nil"/>
              <w:bottom w:val="nil"/>
              <w:right w:val="nil"/>
            </w:tcBorders>
            <w:shd w:val="clear" w:color="auto" w:fill="auto"/>
            <w:noWrap/>
            <w:vAlign w:val="bottom"/>
            <w:hideMark/>
          </w:tcPr>
          <w:p w14:paraId="28BECC48"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Ramachandran allowed (%)</w:t>
            </w:r>
          </w:p>
        </w:tc>
        <w:tc>
          <w:tcPr>
            <w:tcW w:w="2812" w:type="pct"/>
            <w:tcBorders>
              <w:top w:val="nil"/>
              <w:left w:val="nil"/>
              <w:bottom w:val="nil"/>
              <w:right w:val="nil"/>
            </w:tcBorders>
            <w:shd w:val="clear" w:color="auto" w:fill="auto"/>
            <w:noWrap/>
            <w:vAlign w:val="bottom"/>
            <w:hideMark/>
          </w:tcPr>
          <w:p w14:paraId="3AAFAB77"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3.05</w:t>
            </w:r>
          </w:p>
        </w:tc>
      </w:tr>
      <w:tr w:rsidR="00686DC6" w:rsidRPr="00686DC6" w14:paraId="0F49322B" w14:textId="77777777" w:rsidTr="00F342D2">
        <w:trPr>
          <w:trHeight w:val="320"/>
        </w:trPr>
        <w:tc>
          <w:tcPr>
            <w:tcW w:w="2188" w:type="pct"/>
            <w:tcBorders>
              <w:top w:val="nil"/>
              <w:left w:val="nil"/>
              <w:bottom w:val="nil"/>
              <w:right w:val="nil"/>
            </w:tcBorders>
            <w:shd w:val="clear" w:color="auto" w:fill="auto"/>
            <w:noWrap/>
            <w:vAlign w:val="bottom"/>
            <w:hideMark/>
          </w:tcPr>
          <w:p w14:paraId="5D75390C"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Ramachandran outliers (%)</w:t>
            </w:r>
          </w:p>
        </w:tc>
        <w:tc>
          <w:tcPr>
            <w:tcW w:w="2812" w:type="pct"/>
            <w:tcBorders>
              <w:top w:val="nil"/>
              <w:left w:val="nil"/>
              <w:bottom w:val="nil"/>
              <w:right w:val="nil"/>
            </w:tcBorders>
            <w:shd w:val="clear" w:color="auto" w:fill="auto"/>
            <w:noWrap/>
            <w:vAlign w:val="bottom"/>
            <w:hideMark/>
          </w:tcPr>
          <w:p w14:paraId="751A5C05"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0</w:t>
            </w:r>
          </w:p>
        </w:tc>
      </w:tr>
      <w:tr w:rsidR="00686DC6" w:rsidRPr="00686DC6" w14:paraId="4DD61A37" w14:textId="77777777" w:rsidTr="00F342D2">
        <w:trPr>
          <w:trHeight w:val="320"/>
        </w:trPr>
        <w:tc>
          <w:tcPr>
            <w:tcW w:w="2188" w:type="pct"/>
            <w:tcBorders>
              <w:top w:val="nil"/>
              <w:left w:val="nil"/>
              <w:bottom w:val="nil"/>
              <w:right w:val="nil"/>
            </w:tcBorders>
            <w:shd w:val="clear" w:color="auto" w:fill="auto"/>
            <w:noWrap/>
            <w:vAlign w:val="bottom"/>
            <w:hideMark/>
          </w:tcPr>
          <w:p w14:paraId="061642F6"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Rotamer outliers (%)</w:t>
            </w:r>
          </w:p>
        </w:tc>
        <w:tc>
          <w:tcPr>
            <w:tcW w:w="2812" w:type="pct"/>
            <w:tcBorders>
              <w:top w:val="nil"/>
              <w:left w:val="nil"/>
              <w:bottom w:val="nil"/>
              <w:right w:val="nil"/>
            </w:tcBorders>
            <w:shd w:val="clear" w:color="auto" w:fill="auto"/>
            <w:noWrap/>
            <w:vAlign w:val="bottom"/>
            <w:hideMark/>
          </w:tcPr>
          <w:p w14:paraId="1F1398B5"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0</w:t>
            </w:r>
          </w:p>
        </w:tc>
      </w:tr>
      <w:tr w:rsidR="00686DC6" w:rsidRPr="00686DC6" w14:paraId="2D61344F" w14:textId="77777777" w:rsidTr="00F342D2">
        <w:trPr>
          <w:trHeight w:val="320"/>
        </w:trPr>
        <w:tc>
          <w:tcPr>
            <w:tcW w:w="2188" w:type="pct"/>
            <w:tcBorders>
              <w:top w:val="nil"/>
              <w:left w:val="nil"/>
              <w:bottom w:val="nil"/>
              <w:right w:val="nil"/>
            </w:tcBorders>
            <w:shd w:val="clear" w:color="auto" w:fill="auto"/>
            <w:noWrap/>
            <w:vAlign w:val="bottom"/>
            <w:hideMark/>
          </w:tcPr>
          <w:p w14:paraId="29B88E3E"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Clashscore</w:t>
            </w:r>
          </w:p>
        </w:tc>
        <w:tc>
          <w:tcPr>
            <w:tcW w:w="2812" w:type="pct"/>
            <w:tcBorders>
              <w:top w:val="nil"/>
              <w:left w:val="nil"/>
              <w:bottom w:val="nil"/>
              <w:right w:val="nil"/>
            </w:tcBorders>
            <w:shd w:val="clear" w:color="auto" w:fill="auto"/>
            <w:noWrap/>
            <w:vAlign w:val="bottom"/>
            <w:hideMark/>
          </w:tcPr>
          <w:p w14:paraId="2835A755"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3.85</w:t>
            </w:r>
          </w:p>
        </w:tc>
      </w:tr>
      <w:tr w:rsidR="00686DC6" w:rsidRPr="00686DC6" w14:paraId="30B72FE6" w14:textId="77777777" w:rsidTr="00F342D2">
        <w:trPr>
          <w:trHeight w:val="320"/>
        </w:trPr>
        <w:tc>
          <w:tcPr>
            <w:tcW w:w="2188" w:type="pct"/>
            <w:tcBorders>
              <w:top w:val="nil"/>
              <w:left w:val="nil"/>
              <w:bottom w:val="nil"/>
              <w:right w:val="nil"/>
            </w:tcBorders>
            <w:shd w:val="clear" w:color="auto" w:fill="auto"/>
            <w:noWrap/>
            <w:vAlign w:val="bottom"/>
            <w:hideMark/>
          </w:tcPr>
          <w:p w14:paraId="052078AB" w14:textId="5268B194"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Average B-factor</w:t>
            </w:r>
            <w:r w:rsidR="00F342D2">
              <w:rPr>
                <w:b/>
                <w:bCs/>
                <w:color w:val="000000"/>
                <w:sz w:val="20"/>
                <w:szCs w:val="20"/>
                <w:lang w:bidi="ar-SA"/>
              </w:rPr>
              <w:t xml:space="preserve"> (Å</w:t>
            </w:r>
            <w:r w:rsidR="00F342D2">
              <w:rPr>
                <w:b/>
                <w:bCs/>
                <w:color w:val="000000"/>
                <w:sz w:val="20"/>
                <w:szCs w:val="20"/>
                <w:vertAlign w:val="superscript"/>
                <w:lang w:bidi="ar-SA"/>
              </w:rPr>
              <w:t>2</w:t>
            </w:r>
            <w:r w:rsidR="00F342D2">
              <w:rPr>
                <w:b/>
                <w:bCs/>
                <w:color w:val="000000"/>
                <w:sz w:val="20"/>
                <w:szCs w:val="20"/>
                <w:lang w:bidi="ar-SA"/>
              </w:rPr>
              <w:t>)</w:t>
            </w:r>
          </w:p>
        </w:tc>
        <w:tc>
          <w:tcPr>
            <w:tcW w:w="2812" w:type="pct"/>
            <w:tcBorders>
              <w:top w:val="nil"/>
              <w:left w:val="nil"/>
              <w:bottom w:val="nil"/>
              <w:right w:val="nil"/>
            </w:tcBorders>
            <w:shd w:val="clear" w:color="auto" w:fill="auto"/>
            <w:noWrap/>
            <w:vAlign w:val="bottom"/>
            <w:hideMark/>
          </w:tcPr>
          <w:p w14:paraId="49C1F3EA"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30.54</w:t>
            </w:r>
          </w:p>
        </w:tc>
      </w:tr>
      <w:tr w:rsidR="00686DC6" w:rsidRPr="00686DC6" w14:paraId="54CD97A4" w14:textId="77777777" w:rsidTr="00F342D2">
        <w:trPr>
          <w:trHeight w:val="320"/>
        </w:trPr>
        <w:tc>
          <w:tcPr>
            <w:tcW w:w="2188" w:type="pct"/>
            <w:tcBorders>
              <w:top w:val="nil"/>
              <w:left w:val="nil"/>
              <w:bottom w:val="nil"/>
              <w:right w:val="nil"/>
            </w:tcBorders>
            <w:shd w:val="clear" w:color="auto" w:fill="auto"/>
            <w:noWrap/>
            <w:vAlign w:val="bottom"/>
            <w:hideMark/>
          </w:tcPr>
          <w:p w14:paraId="7EB566DD"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  macromolecules</w:t>
            </w:r>
          </w:p>
        </w:tc>
        <w:tc>
          <w:tcPr>
            <w:tcW w:w="2812" w:type="pct"/>
            <w:tcBorders>
              <w:top w:val="nil"/>
              <w:left w:val="nil"/>
              <w:bottom w:val="nil"/>
              <w:right w:val="nil"/>
            </w:tcBorders>
            <w:shd w:val="clear" w:color="auto" w:fill="auto"/>
            <w:noWrap/>
            <w:vAlign w:val="bottom"/>
            <w:hideMark/>
          </w:tcPr>
          <w:p w14:paraId="10382419"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30.54</w:t>
            </w:r>
          </w:p>
        </w:tc>
      </w:tr>
      <w:tr w:rsidR="00686DC6" w:rsidRPr="00686DC6" w14:paraId="1B2502B4" w14:textId="77777777" w:rsidTr="00F342D2">
        <w:trPr>
          <w:trHeight w:val="320"/>
        </w:trPr>
        <w:tc>
          <w:tcPr>
            <w:tcW w:w="2188" w:type="pct"/>
            <w:tcBorders>
              <w:top w:val="nil"/>
              <w:left w:val="nil"/>
              <w:bottom w:val="nil"/>
              <w:right w:val="nil"/>
            </w:tcBorders>
            <w:shd w:val="clear" w:color="auto" w:fill="auto"/>
            <w:noWrap/>
            <w:vAlign w:val="bottom"/>
            <w:hideMark/>
          </w:tcPr>
          <w:p w14:paraId="6E3F5022"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  ligands</w:t>
            </w:r>
          </w:p>
        </w:tc>
        <w:tc>
          <w:tcPr>
            <w:tcW w:w="2812" w:type="pct"/>
            <w:tcBorders>
              <w:top w:val="nil"/>
              <w:left w:val="nil"/>
              <w:bottom w:val="nil"/>
              <w:right w:val="nil"/>
            </w:tcBorders>
            <w:shd w:val="clear" w:color="auto" w:fill="auto"/>
            <w:noWrap/>
            <w:vAlign w:val="bottom"/>
            <w:hideMark/>
          </w:tcPr>
          <w:p w14:paraId="0DF2153A"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29.25</w:t>
            </w:r>
          </w:p>
        </w:tc>
      </w:tr>
      <w:tr w:rsidR="00686DC6" w:rsidRPr="00686DC6" w14:paraId="6F4BCFB4" w14:textId="77777777" w:rsidTr="00F342D2">
        <w:trPr>
          <w:trHeight w:val="320"/>
        </w:trPr>
        <w:tc>
          <w:tcPr>
            <w:tcW w:w="2188" w:type="pct"/>
            <w:tcBorders>
              <w:top w:val="nil"/>
              <w:left w:val="nil"/>
              <w:bottom w:val="nil"/>
              <w:right w:val="nil"/>
            </w:tcBorders>
            <w:shd w:val="clear" w:color="auto" w:fill="auto"/>
            <w:noWrap/>
            <w:vAlign w:val="bottom"/>
            <w:hideMark/>
          </w:tcPr>
          <w:p w14:paraId="75E56271" w14:textId="77777777" w:rsidR="00686DC6" w:rsidRPr="00686DC6" w:rsidRDefault="00686DC6" w:rsidP="00686DC6">
            <w:pPr>
              <w:spacing w:line="240" w:lineRule="auto"/>
              <w:rPr>
                <w:b/>
                <w:bCs/>
                <w:color w:val="000000"/>
                <w:sz w:val="20"/>
                <w:szCs w:val="20"/>
                <w:lang w:bidi="ar-SA"/>
              </w:rPr>
            </w:pPr>
            <w:r w:rsidRPr="00686DC6">
              <w:rPr>
                <w:b/>
                <w:bCs/>
                <w:color w:val="000000"/>
                <w:sz w:val="20"/>
                <w:szCs w:val="20"/>
                <w:lang w:bidi="ar-SA"/>
              </w:rPr>
              <w:t>  solvent</w:t>
            </w:r>
          </w:p>
        </w:tc>
        <w:tc>
          <w:tcPr>
            <w:tcW w:w="2812" w:type="pct"/>
            <w:tcBorders>
              <w:top w:val="nil"/>
              <w:left w:val="nil"/>
              <w:bottom w:val="nil"/>
              <w:right w:val="nil"/>
            </w:tcBorders>
            <w:shd w:val="clear" w:color="auto" w:fill="auto"/>
            <w:noWrap/>
            <w:vAlign w:val="bottom"/>
            <w:hideMark/>
          </w:tcPr>
          <w:p w14:paraId="7BFE8BF2" w14:textId="77777777" w:rsidR="00686DC6" w:rsidRPr="00686DC6" w:rsidRDefault="00686DC6" w:rsidP="00F342D2">
            <w:pPr>
              <w:spacing w:line="240" w:lineRule="auto"/>
              <w:rPr>
                <w:color w:val="000000"/>
                <w:sz w:val="20"/>
                <w:szCs w:val="20"/>
                <w:lang w:bidi="ar-SA"/>
              </w:rPr>
            </w:pPr>
            <w:r w:rsidRPr="00686DC6">
              <w:rPr>
                <w:color w:val="000000"/>
                <w:sz w:val="20"/>
                <w:szCs w:val="20"/>
                <w:lang w:bidi="ar-SA"/>
              </w:rPr>
              <w:t>30.56</w:t>
            </w:r>
          </w:p>
        </w:tc>
      </w:tr>
    </w:tbl>
    <w:p w14:paraId="61B9B6EA" w14:textId="46AF76EF" w:rsidR="00686DC6" w:rsidRPr="00F342D2" w:rsidRDefault="00F342D2" w:rsidP="000A1546">
      <w:pPr>
        <w:spacing w:line="240" w:lineRule="auto"/>
        <w:rPr>
          <w:b/>
        </w:rPr>
      </w:pPr>
      <w:r w:rsidRPr="00F342D2">
        <w:rPr>
          <w:b/>
        </w:rPr>
        <w:t>Table C.</w:t>
      </w:r>
      <w:r>
        <w:rPr>
          <w:b/>
        </w:rPr>
        <w:t>2</w:t>
      </w:r>
      <w:r w:rsidRPr="00F342D2">
        <w:rPr>
          <w:b/>
        </w:rPr>
        <w:t xml:space="preserve"> The data collection and refinement statistics</w:t>
      </w:r>
      <w:r w:rsidR="000A1546">
        <w:rPr>
          <w:b/>
        </w:rPr>
        <w:t xml:space="preserve"> for the crystal structure of ClpP1</w:t>
      </w:r>
    </w:p>
    <w:sectPr w:rsidR="00686DC6" w:rsidRPr="00F342D2" w:rsidSect="007D5BF8">
      <w:pgSz w:w="12240" w:h="15840" w:code="1"/>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0B389" w14:textId="77777777" w:rsidR="00152AAE" w:rsidRDefault="00152AAE" w:rsidP="008E1C26">
      <w:pPr>
        <w:spacing w:line="240" w:lineRule="auto"/>
      </w:pPr>
      <w:r>
        <w:separator/>
      </w:r>
    </w:p>
  </w:endnote>
  <w:endnote w:type="continuationSeparator" w:id="0">
    <w:p w14:paraId="501EACA2" w14:textId="77777777" w:rsidR="00152AAE" w:rsidRDefault="00152AAE" w:rsidP="008E1C26">
      <w:pPr>
        <w:spacing w:line="240" w:lineRule="auto"/>
      </w:pPr>
      <w:r>
        <w:continuationSeparator/>
      </w:r>
    </w:p>
  </w:endnote>
  <w:endnote w:type="continuationNotice" w:id="1">
    <w:p w14:paraId="5EEA5C24" w14:textId="77777777" w:rsidR="00152AAE" w:rsidRDefault="00152A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w:panose1 w:val="00000500000000020000"/>
    <w:charset w:val="00"/>
    <w:family w:val="auto"/>
    <w:pitch w:val="variable"/>
    <w:sig w:usb0="E00002FF" w:usb1="5000205A"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02708675"/>
      <w:docPartObj>
        <w:docPartGallery w:val="Page Numbers (Bottom of Page)"/>
        <w:docPartUnique/>
      </w:docPartObj>
    </w:sdtPr>
    <w:sdtContent>
      <w:p w14:paraId="67074A50" w14:textId="2295E216" w:rsidR="007D5BF8" w:rsidRDefault="007D5BF8" w:rsidP="00AD00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20990425"/>
      <w:docPartObj>
        <w:docPartGallery w:val="Page Numbers (Bottom of Page)"/>
        <w:docPartUnique/>
      </w:docPartObj>
    </w:sdtPr>
    <w:sdtContent>
      <w:p w14:paraId="5CCE002D" w14:textId="4F57A5E6" w:rsidR="007D5BF8" w:rsidRDefault="007D5BF8" w:rsidP="00AD00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CA1F1" w14:textId="77777777" w:rsidR="007D5BF8" w:rsidRDefault="007D5B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B01A2" w14:textId="77777777" w:rsidR="00FA6D16" w:rsidRDefault="00FA6D16" w:rsidP="008E1C26">
    <w:pPr>
      <w:pStyle w:val="Footer"/>
      <w:jc w:val="center"/>
    </w:pPr>
    <w:r>
      <w:fldChar w:fldCharType="begin"/>
    </w:r>
    <w:r>
      <w:instrText xml:space="preserve"> PAGE   \* MERGEFORMAT </w:instrText>
    </w:r>
    <w:r>
      <w:fldChar w:fldCharType="separate"/>
    </w:r>
    <w:r>
      <w:rPr>
        <w:noProof/>
      </w:rPr>
      <w:t>x</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32"/>
      <w:gridCol w:w="2832"/>
      <w:gridCol w:w="2832"/>
    </w:tblGrid>
    <w:tr w:rsidR="53BEB6EF" w14:paraId="22610DD5" w14:textId="77777777" w:rsidTr="53BEB6EF">
      <w:tc>
        <w:tcPr>
          <w:tcW w:w="2832" w:type="dxa"/>
        </w:tcPr>
        <w:p w14:paraId="178A82A8" w14:textId="50504BDC" w:rsidR="53BEB6EF" w:rsidRDefault="53BEB6EF" w:rsidP="53BEB6EF">
          <w:pPr>
            <w:pStyle w:val="Header"/>
            <w:ind w:left="-115"/>
          </w:pPr>
        </w:p>
      </w:tc>
      <w:tc>
        <w:tcPr>
          <w:tcW w:w="2832" w:type="dxa"/>
        </w:tcPr>
        <w:p w14:paraId="756F7F6B" w14:textId="226C3686" w:rsidR="53BEB6EF" w:rsidRDefault="53BEB6EF" w:rsidP="53BEB6EF">
          <w:pPr>
            <w:pStyle w:val="Header"/>
            <w:jc w:val="center"/>
          </w:pPr>
        </w:p>
      </w:tc>
      <w:tc>
        <w:tcPr>
          <w:tcW w:w="2832" w:type="dxa"/>
        </w:tcPr>
        <w:p w14:paraId="1616BB75" w14:textId="29DA8E30" w:rsidR="53BEB6EF" w:rsidRDefault="53BEB6EF" w:rsidP="53BEB6EF">
          <w:pPr>
            <w:pStyle w:val="Header"/>
            <w:ind w:right="-115"/>
            <w:jc w:val="right"/>
          </w:pPr>
        </w:p>
      </w:tc>
    </w:tr>
  </w:tbl>
  <w:p w14:paraId="1E7DEB36" w14:textId="43827562" w:rsidR="00C84232" w:rsidRDefault="00C842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32"/>
      <w:gridCol w:w="2832"/>
      <w:gridCol w:w="2832"/>
    </w:tblGrid>
    <w:tr w:rsidR="53BEB6EF" w14:paraId="16F7B69F" w14:textId="77777777" w:rsidTr="53BEB6EF">
      <w:tc>
        <w:tcPr>
          <w:tcW w:w="2832" w:type="dxa"/>
        </w:tcPr>
        <w:p w14:paraId="087819AA" w14:textId="3EE6C67D" w:rsidR="53BEB6EF" w:rsidRDefault="53BEB6EF" w:rsidP="53BEB6EF">
          <w:pPr>
            <w:pStyle w:val="Header"/>
            <w:ind w:left="-115"/>
          </w:pPr>
        </w:p>
      </w:tc>
      <w:tc>
        <w:tcPr>
          <w:tcW w:w="2832" w:type="dxa"/>
        </w:tcPr>
        <w:p w14:paraId="0137862B" w14:textId="53260EEE" w:rsidR="53BEB6EF" w:rsidRDefault="53BEB6EF" w:rsidP="53BEB6EF">
          <w:pPr>
            <w:pStyle w:val="Header"/>
            <w:jc w:val="center"/>
          </w:pPr>
        </w:p>
      </w:tc>
      <w:tc>
        <w:tcPr>
          <w:tcW w:w="2832" w:type="dxa"/>
        </w:tcPr>
        <w:p w14:paraId="14928664" w14:textId="12FE943A" w:rsidR="53BEB6EF" w:rsidRDefault="53BEB6EF" w:rsidP="53BEB6EF">
          <w:pPr>
            <w:pStyle w:val="Header"/>
            <w:ind w:right="-115"/>
            <w:jc w:val="right"/>
          </w:pPr>
        </w:p>
      </w:tc>
    </w:tr>
  </w:tbl>
  <w:p w14:paraId="4B7C16E4" w14:textId="7D25494A" w:rsidR="00C84232" w:rsidRDefault="00C8423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5B9BA" w14:textId="2A147251" w:rsidR="00FA6D16" w:rsidRDefault="00FA6D16" w:rsidP="008E1C26">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53BEB6EF" w14:paraId="7DAEBA40" w14:textId="77777777" w:rsidTr="53BEB6EF">
      <w:tc>
        <w:tcPr>
          <w:tcW w:w="2880" w:type="dxa"/>
        </w:tcPr>
        <w:p w14:paraId="394FE099" w14:textId="0B4CB948" w:rsidR="53BEB6EF" w:rsidRDefault="53BEB6EF" w:rsidP="53BEB6EF">
          <w:pPr>
            <w:pStyle w:val="Header"/>
            <w:ind w:left="-115"/>
          </w:pPr>
        </w:p>
      </w:tc>
      <w:tc>
        <w:tcPr>
          <w:tcW w:w="2880" w:type="dxa"/>
        </w:tcPr>
        <w:p w14:paraId="0699A80A" w14:textId="2AD0865B" w:rsidR="53BEB6EF" w:rsidRDefault="53BEB6EF" w:rsidP="53BEB6EF">
          <w:pPr>
            <w:pStyle w:val="Header"/>
            <w:jc w:val="center"/>
          </w:pPr>
        </w:p>
      </w:tc>
      <w:tc>
        <w:tcPr>
          <w:tcW w:w="2880" w:type="dxa"/>
        </w:tcPr>
        <w:p w14:paraId="5078C37D" w14:textId="19980777" w:rsidR="53BEB6EF" w:rsidRDefault="53BEB6EF" w:rsidP="53BEB6EF">
          <w:pPr>
            <w:pStyle w:val="Header"/>
            <w:ind w:right="-115"/>
            <w:jc w:val="right"/>
          </w:pPr>
        </w:p>
      </w:tc>
    </w:tr>
  </w:tbl>
  <w:p w14:paraId="5F889B67" w14:textId="3908CD87" w:rsidR="00C84232" w:rsidRDefault="00C8423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32616559"/>
      <w:docPartObj>
        <w:docPartGallery w:val="Page Numbers (Bottom of Page)"/>
        <w:docPartUnique/>
      </w:docPartObj>
    </w:sdtPr>
    <w:sdtContent>
      <w:p w14:paraId="40BE2D72" w14:textId="1438BAAD" w:rsidR="007D5BF8" w:rsidRDefault="007D5BF8" w:rsidP="00AD00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322205A2" w14:textId="77777777" w:rsidR="007D5BF8" w:rsidRDefault="007D5BF8" w:rsidP="008E1C26">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007D5BF8" w14:paraId="1CF2FCB8" w14:textId="77777777" w:rsidTr="53BEB6EF">
      <w:tc>
        <w:tcPr>
          <w:tcW w:w="2880" w:type="dxa"/>
        </w:tcPr>
        <w:p w14:paraId="4C5230CE" w14:textId="097A8C02" w:rsidR="007D5BF8" w:rsidRDefault="007D5BF8" w:rsidP="53BEB6EF">
          <w:pPr>
            <w:pStyle w:val="Header"/>
            <w:ind w:left="-115"/>
          </w:pPr>
        </w:p>
      </w:tc>
      <w:tc>
        <w:tcPr>
          <w:tcW w:w="2880" w:type="dxa"/>
        </w:tcPr>
        <w:p w14:paraId="08271FC3" w14:textId="77777777" w:rsidR="007D5BF8" w:rsidRDefault="007D5BF8" w:rsidP="53BEB6EF">
          <w:pPr>
            <w:pStyle w:val="Header"/>
            <w:jc w:val="center"/>
          </w:pPr>
        </w:p>
      </w:tc>
      <w:tc>
        <w:tcPr>
          <w:tcW w:w="2880" w:type="dxa"/>
        </w:tcPr>
        <w:p w14:paraId="5FFA35E8" w14:textId="77777777" w:rsidR="007D5BF8" w:rsidRDefault="007D5BF8" w:rsidP="53BEB6EF">
          <w:pPr>
            <w:pStyle w:val="Header"/>
            <w:ind w:right="-115"/>
            <w:jc w:val="right"/>
          </w:pPr>
        </w:p>
      </w:tc>
    </w:tr>
  </w:tbl>
  <w:sdt>
    <w:sdtPr>
      <w:rPr>
        <w:rStyle w:val="PageNumber"/>
      </w:rPr>
      <w:id w:val="-1132635553"/>
      <w:docPartObj>
        <w:docPartGallery w:val="Page Numbers (Bottom of Page)"/>
        <w:docPartUnique/>
      </w:docPartObj>
    </w:sdtPr>
    <w:sdtContent>
      <w:p w14:paraId="4B527E37" w14:textId="77777777" w:rsidR="007D5BF8" w:rsidRDefault="007D5BF8" w:rsidP="007D5BF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30D5E6DA" w14:textId="77777777" w:rsidR="007D5BF8" w:rsidRDefault="007D5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58618" w14:textId="77777777" w:rsidR="00152AAE" w:rsidRDefault="00152AAE" w:rsidP="008E1C26">
      <w:pPr>
        <w:spacing w:line="240" w:lineRule="auto"/>
      </w:pPr>
      <w:r>
        <w:separator/>
      </w:r>
    </w:p>
  </w:footnote>
  <w:footnote w:type="continuationSeparator" w:id="0">
    <w:p w14:paraId="430BE3F3" w14:textId="77777777" w:rsidR="00152AAE" w:rsidRDefault="00152AAE" w:rsidP="008E1C26">
      <w:pPr>
        <w:spacing w:line="240" w:lineRule="auto"/>
      </w:pPr>
      <w:r>
        <w:continuationSeparator/>
      </w:r>
    </w:p>
  </w:footnote>
  <w:footnote w:type="continuationNotice" w:id="1">
    <w:p w14:paraId="1157BDF7" w14:textId="77777777" w:rsidR="00152AAE" w:rsidRDefault="00152AAE">
      <w:pPr>
        <w:spacing w:line="240" w:lineRule="auto"/>
      </w:pPr>
    </w:p>
  </w:footnote>
  <w:footnote w:id="2">
    <w:p w14:paraId="5278897E" w14:textId="3573B3B2" w:rsidR="00FA6D16" w:rsidRPr="00C363D7" w:rsidRDefault="00FA6D16" w:rsidP="00C363D7">
      <w:pPr>
        <w:pStyle w:val="FootnoteText"/>
        <w:spacing w:line="480" w:lineRule="auto"/>
        <w:jc w:val="both"/>
        <w:rPr>
          <w:bCs/>
        </w:rPr>
      </w:pPr>
      <w:r w:rsidRPr="00D104C9">
        <w:rPr>
          <w:rStyle w:val="FootnoteReference"/>
        </w:rPr>
        <w:footnoteRef/>
      </w:r>
      <w:r w:rsidRPr="00D104C9">
        <w:t xml:space="preserve"> </w:t>
      </w:r>
      <w:r w:rsidRPr="00D104C9">
        <w:rPr>
          <w:bCs/>
        </w:rPr>
        <w:t xml:space="preserve">Reprinted with permission from: </w:t>
      </w:r>
      <w:r w:rsidRPr="008F3611">
        <w:rPr>
          <w:bCs/>
        </w:rPr>
        <w:t>Nathan P. Lavey, Tyler Shadid, Jimmy D. Ballard, and Adam S. Duerfeldt</w:t>
      </w:r>
      <w:r w:rsidRPr="00D104C9">
        <w:rPr>
          <w:bCs/>
        </w:rPr>
        <w:t>, “</w:t>
      </w:r>
      <w:r w:rsidRPr="00D104C9">
        <w:rPr>
          <w:bCs/>
          <w:i/>
        </w:rPr>
        <w:t>Clostridium difficile</w:t>
      </w:r>
      <w:r w:rsidRPr="00D104C9">
        <w:rPr>
          <w:bCs/>
        </w:rPr>
        <w:t xml:space="preserve"> ClpP Homologues are Capable of Uncoupled Activity and Exhibit Different Levels of Susceptibility to Acyldepsipeptide Modulation” </w:t>
      </w:r>
      <w:r w:rsidRPr="008F3611">
        <w:rPr>
          <w:bCs/>
          <w:i/>
          <w:iCs/>
        </w:rPr>
        <w:t>ACS Infectious</w:t>
      </w:r>
      <w:r w:rsidRPr="00D104C9">
        <w:rPr>
          <w:bCs/>
          <w:i/>
          <w:iCs/>
        </w:rPr>
        <w:t xml:space="preserve"> </w:t>
      </w:r>
      <w:r w:rsidRPr="008F3611">
        <w:rPr>
          <w:bCs/>
          <w:i/>
          <w:iCs/>
        </w:rPr>
        <w:t>Diseases</w:t>
      </w:r>
      <w:r w:rsidRPr="008F3611">
        <w:rPr>
          <w:bCs/>
        </w:rPr>
        <w:t> 2019</w:t>
      </w:r>
      <w:r w:rsidR="00BC312C">
        <w:rPr>
          <w:bCs/>
        </w:rPr>
        <w:t>,</w:t>
      </w:r>
      <w:r w:rsidRPr="008F3611">
        <w:rPr>
          <w:bCs/>
        </w:rPr>
        <w:t> </w:t>
      </w:r>
      <w:r w:rsidRPr="008F3611">
        <w:rPr>
          <w:bCs/>
          <w:i/>
          <w:iCs/>
        </w:rPr>
        <w:t>5</w:t>
      </w:r>
      <w:r w:rsidRPr="008F3611">
        <w:rPr>
          <w:bCs/>
        </w:rPr>
        <w:t> (1), 79-89</w:t>
      </w:r>
      <w:r w:rsidRPr="00D104C9">
        <w:rPr>
          <w:bCs/>
        </w:rPr>
        <w:t xml:space="preserve"> </w:t>
      </w:r>
      <w:r w:rsidRPr="008F3611">
        <w:rPr>
          <w:bCs/>
        </w:rPr>
        <w:t>DOI: 10.1021/acsinfecdis.8b00199</w:t>
      </w:r>
      <w:r w:rsidRPr="00D104C9">
        <w:rPr>
          <w:bCs/>
        </w:rPr>
        <w:t>. Copyright 2018 American Chemical Society.</w:t>
      </w:r>
      <w:r>
        <w:rPr>
          <w:bCs/>
        </w:rPr>
        <w:t xml:space="preserve"> </w:t>
      </w:r>
      <w:r w:rsidRPr="00C363D7">
        <w:rPr>
          <w:bCs/>
        </w:rPr>
        <w:t>N.P.L.</w:t>
      </w:r>
      <w:r>
        <w:rPr>
          <w:bCs/>
        </w:rPr>
        <w:t xml:space="preserve"> conducted all experiments described herein except for: genomic sequencing </w:t>
      </w:r>
      <w:r w:rsidR="008E59BC">
        <w:rPr>
          <w:bCs/>
        </w:rPr>
        <w:t xml:space="preserve">performed by </w:t>
      </w:r>
      <w:r>
        <w:rPr>
          <w:bCs/>
        </w:rPr>
        <w:t>OMRF</w:t>
      </w:r>
      <w:r w:rsidR="008E59BC">
        <w:rPr>
          <w:bCs/>
        </w:rPr>
        <w:t xml:space="preserve"> personnel,</w:t>
      </w:r>
      <w:r>
        <w:rPr>
          <w:bCs/>
        </w:rPr>
        <w:t xml:space="preserve"> and qRT-PCR experiments conducted by</w:t>
      </w:r>
      <w:r w:rsidRPr="00C363D7">
        <w:rPr>
          <w:bCs/>
        </w:rPr>
        <w:t xml:space="preserve"> </w:t>
      </w:r>
      <w:r w:rsidR="008E59BC">
        <w:rPr>
          <w:bCs/>
        </w:rPr>
        <w:t>T. Shadid.</w:t>
      </w:r>
      <w:r w:rsidRPr="00C363D7">
        <w:rPr>
          <w:bCs/>
        </w:rPr>
        <w:t xml:space="preserve"> N.P.L. and A.S.D. designed the research studies, analyzed and interpreted the data, wrote</w:t>
      </w:r>
      <w:r w:rsidR="008E59BC">
        <w:rPr>
          <w:bCs/>
        </w:rPr>
        <w:t>,</w:t>
      </w:r>
      <w:r w:rsidRPr="00C363D7">
        <w:rPr>
          <w:bCs/>
        </w:rPr>
        <w:t xml:space="preserve"> and reviewed the manuscript. J.D.B. provided critical insight, expertise, personnel, and facilities and reviewed the manuscript.</w:t>
      </w:r>
    </w:p>
    <w:p w14:paraId="1AE7E741" w14:textId="063D4429" w:rsidR="00FA6D16" w:rsidRPr="00D104C9" w:rsidRDefault="00FA6D16" w:rsidP="008F3611">
      <w:pPr>
        <w:pStyle w:val="FootnoteText"/>
        <w:spacing w:line="480" w:lineRule="auto"/>
        <w:jc w:val="both"/>
        <w:rPr>
          <w:bCs/>
        </w:rPr>
      </w:pPr>
    </w:p>
    <w:p w14:paraId="07583523" w14:textId="0A68DF26" w:rsidR="00FA6D16" w:rsidRDefault="00FA6D16">
      <w:pPr>
        <w:pStyle w:val="FootnoteText"/>
      </w:pPr>
    </w:p>
  </w:footnote>
  <w:footnote w:id="3">
    <w:p w14:paraId="4267D332" w14:textId="19A68171" w:rsidR="00FA6D16" w:rsidRPr="00C363D7" w:rsidRDefault="00FA6D16" w:rsidP="00C363D7">
      <w:pPr>
        <w:pStyle w:val="FootnoteText"/>
        <w:spacing w:line="480" w:lineRule="auto"/>
        <w:jc w:val="both"/>
        <w:rPr>
          <w:bCs/>
        </w:rPr>
      </w:pPr>
      <w:r>
        <w:rPr>
          <w:rStyle w:val="FootnoteReference"/>
        </w:rPr>
        <w:footnoteRef/>
      </w:r>
      <w:r>
        <w:t xml:space="preserve"> This chapter is adapted from a manuscript currently under preparation. The authors are: </w:t>
      </w:r>
      <w:r w:rsidRPr="008F3611">
        <w:rPr>
          <w:bCs/>
        </w:rPr>
        <w:t>Nathan P. Lavey, Tyler Shadid, Jimmy D. Ballard, and Adam S. Duerfeldt</w:t>
      </w:r>
      <w:r>
        <w:rPr>
          <w:bCs/>
        </w:rPr>
        <w:t>.</w:t>
      </w:r>
      <w:r w:rsidRPr="00C363D7">
        <w:rPr>
          <w:bCs/>
        </w:rPr>
        <w:t xml:space="preserve"> N.P.L.</w:t>
      </w:r>
      <w:r>
        <w:rPr>
          <w:bCs/>
        </w:rPr>
        <w:t xml:space="preserve"> conducted all experiments described herein except CRISPR/Cas9 mutagenesis experiments conducted solely by</w:t>
      </w:r>
      <w:r w:rsidRPr="00C363D7">
        <w:rPr>
          <w:bCs/>
        </w:rPr>
        <w:t xml:space="preserve"> T.S.</w:t>
      </w:r>
      <w:r>
        <w:rPr>
          <w:bCs/>
        </w:rPr>
        <w:t xml:space="preserve"> which produced the ClpP mutants, and where specifically mentioned.</w:t>
      </w:r>
      <w:r w:rsidRPr="00C363D7">
        <w:rPr>
          <w:bCs/>
        </w:rPr>
        <w:t xml:space="preserve"> N.P.L. and A.S.D. designed the research studies, analyzed and interpreted the data, and wrote and reviewed the manuscript. J.D.B. provided critical insight, expertise, personnel, and facilities and reviewed the manuscript.</w:t>
      </w:r>
    </w:p>
    <w:p w14:paraId="76CE0519" w14:textId="0A198556" w:rsidR="00FA6D16" w:rsidRDefault="00FA6D16">
      <w:pPr>
        <w:pStyle w:val="FootnoteText"/>
      </w:pPr>
    </w:p>
  </w:footnote>
  <w:footnote w:id="4">
    <w:p w14:paraId="15E60AE3" w14:textId="08F6840E" w:rsidR="00FA6D16" w:rsidRPr="00C363D7" w:rsidRDefault="00FA6D16" w:rsidP="00D104C9">
      <w:pPr>
        <w:pStyle w:val="FootnoteText"/>
        <w:spacing w:line="480" w:lineRule="auto"/>
        <w:jc w:val="both"/>
        <w:rPr>
          <w:bCs/>
        </w:rPr>
      </w:pPr>
      <w:r>
        <w:rPr>
          <w:rStyle w:val="FootnoteReference"/>
        </w:rPr>
        <w:footnoteRef/>
      </w:r>
      <w:r>
        <w:t xml:space="preserve"> Reprinted with permission from: Nathan P. Lavey, Jesse A. Coker, Eliza A. Ruben, and Adam S. Duerfeldt, “Sclerotiamide: The First Non-Peptide-Based Natural Product Activator of Bacterial Caseinolytic Protease P” Journal of Natural Products 2016 79 (4), 1193-1197 DOI: 10.1021/acs.jnatprod.5b0109. </w:t>
      </w:r>
      <w:r w:rsidRPr="00D104C9">
        <w:rPr>
          <w:bCs/>
        </w:rPr>
        <w:t>Copyright 201</w:t>
      </w:r>
      <w:r>
        <w:rPr>
          <w:bCs/>
        </w:rPr>
        <w:t>6</w:t>
      </w:r>
      <w:r w:rsidRPr="00D104C9">
        <w:rPr>
          <w:bCs/>
        </w:rPr>
        <w:t xml:space="preserve"> American Chemical Society.</w:t>
      </w:r>
      <w:r>
        <w:rPr>
          <w:bCs/>
        </w:rPr>
        <w:t xml:space="preserve"> </w:t>
      </w:r>
      <w:r w:rsidRPr="00C363D7">
        <w:rPr>
          <w:bCs/>
        </w:rPr>
        <w:t>N.P.L.</w:t>
      </w:r>
      <w:r>
        <w:rPr>
          <w:bCs/>
        </w:rPr>
        <w:t xml:space="preserve"> conducted primary screen assays, secondary hit confirmation, and SDS-PAGE degradation assays. J.A.C. equally contributed to primary screen assays, secondary hit confirmation, and data analysis. E.A.R. helped with initial protein purification.</w:t>
      </w:r>
      <w:r w:rsidRPr="00C363D7">
        <w:rPr>
          <w:bCs/>
        </w:rPr>
        <w:t xml:space="preserve"> N.P.L. and A.S.D. designed the research studies, analyzed and interpreted the data, and wrote and reviewed the manuscript. </w:t>
      </w:r>
    </w:p>
  </w:footnote>
  <w:footnote w:id="5">
    <w:p w14:paraId="54DDA739" w14:textId="7129B0A9" w:rsidR="00FA6D16" w:rsidRPr="00C363D7" w:rsidRDefault="00FA6D16" w:rsidP="00C363D7">
      <w:pPr>
        <w:pStyle w:val="FootnoteText"/>
        <w:spacing w:line="480" w:lineRule="auto"/>
        <w:jc w:val="both"/>
        <w:rPr>
          <w:bCs/>
        </w:rPr>
      </w:pPr>
      <w:r>
        <w:rPr>
          <w:rStyle w:val="FootnoteReference"/>
        </w:rPr>
        <w:footnoteRef/>
      </w:r>
      <w:r>
        <w:t xml:space="preserve"> Yangxiong Li, Nathan P. Lavey, Jesse A. Coker, Jessica E. Knobbe, Dat C. Truong, Hongtao Yu, Yu-Shan Lin, Susan L. Nimmo, and Adam S. Duerfeldt. “Consequences of Depsipeptide Substitution on the ClpP Activation Activity of Antibacterial Acyldepsipeptides” ACS Medicinal Chemistry Letters 2017 8 (11), 1171-1176DOI: 10.1021/acsmedchemlett.7b00320. </w:t>
      </w:r>
      <w:r w:rsidRPr="00D104C9">
        <w:rPr>
          <w:bCs/>
        </w:rPr>
        <w:t>Copyright 201</w:t>
      </w:r>
      <w:r>
        <w:rPr>
          <w:bCs/>
        </w:rPr>
        <w:t>7</w:t>
      </w:r>
      <w:r w:rsidRPr="00D104C9">
        <w:rPr>
          <w:bCs/>
        </w:rPr>
        <w:t xml:space="preserve"> American Chemical Society.</w:t>
      </w:r>
      <w:r>
        <w:rPr>
          <w:bCs/>
        </w:rPr>
        <w:t xml:space="preserve"> </w:t>
      </w:r>
      <w:r w:rsidRPr="00C363D7">
        <w:rPr>
          <w:bCs/>
        </w:rPr>
        <w:t>N.P.L.</w:t>
      </w:r>
      <w:r>
        <w:rPr>
          <w:bCs/>
        </w:rPr>
        <w:t xml:space="preserve"> conducted the bioactivity analysis.</w:t>
      </w:r>
      <w:r w:rsidRPr="00C363D7">
        <w:rPr>
          <w:bCs/>
        </w:rPr>
        <w:t xml:space="preserve"> N.P.L. and A.S.D. designed the research studies, analyzed and interpreted the data, and wrote and reviewed the manuscript. </w:t>
      </w:r>
    </w:p>
    <w:p w14:paraId="333F5276" w14:textId="0667BD81" w:rsidR="00FA6D16" w:rsidRDefault="00FA6D16" w:rsidP="00D104C9">
      <w:pPr>
        <w:pStyle w:val="FootnoteText"/>
        <w:spacing w:line="480" w:lineRule="auto"/>
        <w:jc w:val="both"/>
      </w:pPr>
    </w:p>
  </w:footnote>
  <w:footnote w:id="6">
    <w:p w14:paraId="7644EC8B" w14:textId="77777777" w:rsidR="00FA6D16" w:rsidRPr="00F92E32" w:rsidRDefault="00FA6D16" w:rsidP="0096243D">
      <w:pPr>
        <w:pStyle w:val="FootnoteText"/>
        <w:spacing w:line="480" w:lineRule="auto"/>
        <w:jc w:val="both"/>
      </w:pPr>
      <w:r w:rsidRPr="00F92E32">
        <w:rPr>
          <w:rStyle w:val="FootnoteReference"/>
        </w:rPr>
        <w:footnoteRef/>
      </w:r>
      <w:r w:rsidRPr="00F92E32">
        <w:t xml:space="preserve"> </w:t>
      </w:r>
      <w:r w:rsidRPr="00F92E32">
        <w:rPr>
          <w:bCs/>
        </w:rPr>
        <w:t xml:space="preserve">N.P.L. conducted </w:t>
      </w:r>
      <w:r>
        <w:rPr>
          <w:bCs/>
        </w:rPr>
        <w:t>the crystallization, collected the datasets, and provided initial structural solutions. Leonard Thomas from the Macromolecular Core Laboratory provided the final refined structural solution, and validated the ClpP1 structure for Protein Database submission. All datasets were collected at the Stanford Synchrotron Radiation Lightsource.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32"/>
      <w:gridCol w:w="2832"/>
      <w:gridCol w:w="2832"/>
    </w:tblGrid>
    <w:tr w:rsidR="53BEB6EF" w14:paraId="390F8854" w14:textId="77777777" w:rsidTr="53BEB6EF">
      <w:tc>
        <w:tcPr>
          <w:tcW w:w="2832" w:type="dxa"/>
        </w:tcPr>
        <w:p w14:paraId="25E02D90" w14:textId="2B250A7D" w:rsidR="53BEB6EF" w:rsidRDefault="53BEB6EF" w:rsidP="53BEB6EF">
          <w:pPr>
            <w:pStyle w:val="Header"/>
            <w:ind w:left="-115"/>
          </w:pPr>
        </w:p>
      </w:tc>
      <w:tc>
        <w:tcPr>
          <w:tcW w:w="2832" w:type="dxa"/>
        </w:tcPr>
        <w:p w14:paraId="447D1AF2" w14:textId="1F6EACC9" w:rsidR="53BEB6EF" w:rsidRDefault="53BEB6EF" w:rsidP="53BEB6EF">
          <w:pPr>
            <w:pStyle w:val="Header"/>
            <w:jc w:val="center"/>
          </w:pPr>
        </w:p>
      </w:tc>
      <w:tc>
        <w:tcPr>
          <w:tcW w:w="2832" w:type="dxa"/>
        </w:tcPr>
        <w:p w14:paraId="5B9DBB5E" w14:textId="27F18011" w:rsidR="53BEB6EF" w:rsidRDefault="53BEB6EF" w:rsidP="53BEB6EF">
          <w:pPr>
            <w:pStyle w:val="Header"/>
            <w:ind w:right="-115"/>
            <w:jc w:val="right"/>
          </w:pPr>
        </w:p>
      </w:tc>
    </w:tr>
  </w:tbl>
  <w:p w14:paraId="722B968E" w14:textId="1437AF03" w:rsidR="00C84232" w:rsidRDefault="00C842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32"/>
      <w:gridCol w:w="2832"/>
      <w:gridCol w:w="2832"/>
    </w:tblGrid>
    <w:tr w:rsidR="53BEB6EF" w14:paraId="2AD8570B" w14:textId="77777777" w:rsidTr="53BEB6EF">
      <w:tc>
        <w:tcPr>
          <w:tcW w:w="2832" w:type="dxa"/>
        </w:tcPr>
        <w:p w14:paraId="7EB4A4D7" w14:textId="5A0C90C8" w:rsidR="53BEB6EF" w:rsidRDefault="53BEB6EF" w:rsidP="53BEB6EF">
          <w:pPr>
            <w:pStyle w:val="Header"/>
            <w:ind w:left="-115"/>
          </w:pPr>
        </w:p>
      </w:tc>
      <w:tc>
        <w:tcPr>
          <w:tcW w:w="2832" w:type="dxa"/>
        </w:tcPr>
        <w:p w14:paraId="18D02FA1" w14:textId="29BF2189" w:rsidR="53BEB6EF" w:rsidRDefault="53BEB6EF" w:rsidP="53BEB6EF">
          <w:pPr>
            <w:pStyle w:val="Header"/>
            <w:jc w:val="center"/>
          </w:pPr>
        </w:p>
      </w:tc>
      <w:tc>
        <w:tcPr>
          <w:tcW w:w="2832" w:type="dxa"/>
        </w:tcPr>
        <w:p w14:paraId="3B0615A9" w14:textId="41D37764" w:rsidR="53BEB6EF" w:rsidRDefault="53BEB6EF" w:rsidP="53BEB6EF">
          <w:pPr>
            <w:pStyle w:val="Header"/>
            <w:ind w:right="-115"/>
            <w:jc w:val="right"/>
          </w:pPr>
        </w:p>
      </w:tc>
    </w:tr>
  </w:tbl>
  <w:p w14:paraId="55B2C42C" w14:textId="637903D3" w:rsidR="00C84232" w:rsidRDefault="00C842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32"/>
      <w:gridCol w:w="2832"/>
      <w:gridCol w:w="2832"/>
    </w:tblGrid>
    <w:tr w:rsidR="53BEB6EF" w14:paraId="5D67F0FB" w14:textId="77777777" w:rsidTr="53BEB6EF">
      <w:tc>
        <w:tcPr>
          <w:tcW w:w="2832" w:type="dxa"/>
        </w:tcPr>
        <w:p w14:paraId="1490FA19" w14:textId="3F1AAC51" w:rsidR="53BEB6EF" w:rsidRDefault="53BEB6EF" w:rsidP="53BEB6EF">
          <w:pPr>
            <w:pStyle w:val="Header"/>
            <w:ind w:left="-115"/>
          </w:pPr>
        </w:p>
      </w:tc>
      <w:tc>
        <w:tcPr>
          <w:tcW w:w="2832" w:type="dxa"/>
        </w:tcPr>
        <w:p w14:paraId="51504B38" w14:textId="7DA59EEB" w:rsidR="53BEB6EF" w:rsidRDefault="53BEB6EF" w:rsidP="53BEB6EF">
          <w:pPr>
            <w:pStyle w:val="Header"/>
            <w:jc w:val="center"/>
          </w:pPr>
        </w:p>
      </w:tc>
      <w:tc>
        <w:tcPr>
          <w:tcW w:w="2832" w:type="dxa"/>
        </w:tcPr>
        <w:p w14:paraId="4BA3B9CD" w14:textId="5F502D5E" w:rsidR="53BEB6EF" w:rsidRDefault="53BEB6EF" w:rsidP="53BEB6EF">
          <w:pPr>
            <w:pStyle w:val="Header"/>
            <w:ind w:right="-115"/>
            <w:jc w:val="right"/>
          </w:pPr>
        </w:p>
      </w:tc>
    </w:tr>
  </w:tbl>
  <w:p w14:paraId="2EE4B0F6" w14:textId="5EBD2C35" w:rsidR="00C84232" w:rsidRDefault="00C842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32"/>
      <w:gridCol w:w="2832"/>
      <w:gridCol w:w="2832"/>
    </w:tblGrid>
    <w:tr w:rsidR="53BEB6EF" w14:paraId="3C3E5B8D" w14:textId="77777777" w:rsidTr="53BEB6EF">
      <w:tc>
        <w:tcPr>
          <w:tcW w:w="2832" w:type="dxa"/>
        </w:tcPr>
        <w:p w14:paraId="373CC882" w14:textId="34134CD2" w:rsidR="53BEB6EF" w:rsidRDefault="53BEB6EF" w:rsidP="53BEB6EF">
          <w:pPr>
            <w:pStyle w:val="Header"/>
            <w:ind w:left="-115"/>
          </w:pPr>
        </w:p>
      </w:tc>
      <w:tc>
        <w:tcPr>
          <w:tcW w:w="2832" w:type="dxa"/>
        </w:tcPr>
        <w:p w14:paraId="4EEE3357" w14:textId="526CC26F" w:rsidR="53BEB6EF" w:rsidRDefault="53BEB6EF" w:rsidP="53BEB6EF">
          <w:pPr>
            <w:pStyle w:val="Header"/>
            <w:jc w:val="center"/>
          </w:pPr>
        </w:p>
      </w:tc>
      <w:tc>
        <w:tcPr>
          <w:tcW w:w="2832" w:type="dxa"/>
        </w:tcPr>
        <w:p w14:paraId="3CA9D5AF" w14:textId="496691B2" w:rsidR="53BEB6EF" w:rsidRDefault="53BEB6EF" w:rsidP="53BEB6EF">
          <w:pPr>
            <w:pStyle w:val="Header"/>
            <w:ind w:right="-115"/>
            <w:jc w:val="right"/>
          </w:pPr>
        </w:p>
      </w:tc>
    </w:tr>
  </w:tbl>
  <w:p w14:paraId="77BA9A0B" w14:textId="466A374A" w:rsidR="00C84232" w:rsidRDefault="00C842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53BEB6EF" w14:paraId="1EF72296" w14:textId="77777777" w:rsidTr="53BEB6EF">
      <w:tc>
        <w:tcPr>
          <w:tcW w:w="2880" w:type="dxa"/>
        </w:tcPr>
        <w:p w14:paraId="0FDDDD93" w14:textId="2F335DA3" w:rsidR="53BEB6EF" w:rsidRDefault="53BEB6EF" w:rsidP="53BEB6EF">
          <w:pPr>
            <w:pStyle w:val="Header"/>
            <w:ind w:left="-115"/>
          </w:pPr>
        </w:p>
      </w:tc>
      <w:tc>
        <w:tcPr>
          <w:tcW w:w="2880" w:type="dxa"/>
        </w:tcPr>
        <w:p w14:paraId="1D034178" w14:textId="710F488C" w:rsidR="53BEB6EF" w:rsidRDefault="53BEB6EF" w:rsidP="53BEB6EF">
          <w:pPr>
            <w:pStyle w:val="Header"/>
            <w:jc w:val="center"/>
          </w:pPr>
        </w:p>
      </w:tc>
      <w:tc>
        <w:tcPr>
          <w:tcW w:w="2880" w:type="dxa"/>
        </w:tcPr>
        <w:p w14:paraId="7F25EC27" w14:textId="50B27868" w:rsidR="53BEB6EF" w:rsidRDefault="53BEB6EF" w:rsidP="53BEB6EF">
          <w:pPr>
            <w:pStyle w:val="Header"/>
            <w:ind w:right="-115"/>
            <w:jc w:val="right"/>
          </w:pPr>
        </w:p>
      </w:tc>
    </w:tr>
  </w:tbl>
  <w:p w14:paraId="30402698" w14:textId="4B017E91" w:rsidR="00C84232" w:rsidRDefault="00C8423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80"/>
      <w:gridCol w:w="2880"/>
      <w:gridCol w:w="2880"/>
    </w:tblGrid>
    <w:tr w:rsidR="53BEB6EF" w14:paraId="5394DAFA" w14:textId="77777777" w:rsidTr="53BEB6EF">
      <w:tc>
        <w:tcPr>
          <w:tcW w:w="2880" w:type="dxa"/>
        </w:tcPr>
        <w:p w14:paraId="600E7117" w14:textId="406406CD" w:rsidR="53BEB6EF" w:rsidRDefault="53BEB6EF" w:rsidP="53BEB6EF">
          <w:pPr>
            <w:pStyle w:val="Header"/>
            <w:ind w:left="-115"/>
          </w:pPr>
        </w:p>
      </w:tc>
      <w:tc>
        <w:tcPr>
          <w:tcW w:w="2880" w:type="dxa"/>
        </w:tcPr>
        <w:p w14:paraId="4480480D" w14:textId="2771A45A" w:rsidR="53BEB6EF" w:rsidRDefault="53BEB6EF" w:rsidP="53BEB6EF">
          <w:pPr>
            <w:pStyle w:val="Header"/>
            <w:jc w:val="center"/>
          </w:pPr>
        </w:p>
      </w:tc>
      <w:tc>
        <w:tcPr>
          <w:tcW w:w="2880" w:type="dxa"/>
        </w:tcPr>
        <w:p w14:paraId="5ECA3C37" w14:textId="50F3DBA9" w:rsidR="53BEB6EF" w:rsidRDefault="53BEB6EF" w:rsidP="53BEB6EF">
          <w:pPr>
            <w:pStyle w:val="Header"/>
            <w:ind w:right="-115"/>
            <w:jc w:val="right"/>
          </w:pPr>
        </w:p>
      </w:tc>
    </w:tr>
  </w:tbl>
  <w:p w14:paraId="7ED74668" w14:textId="067D8361" w:rsidR="00C84232" w:rsidRDefault="00C842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61CE4"/>
    <w:multiLevelType w:val="hybridMultilevel"/>
    <w:tmpl w:val="9F3ADAD2"/>
    <w:lvl w:ilvl="0" w:tplc="8AA4292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E5734"/>
    <w:multiLevelType w:val="multilevel"/>
    <w:tmpl w:val="512EBCE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DC5A8E"/>
    <w:multiLevelType w:val="hybridMultilevel"/>
    <w:tmpl w:val="EE20E3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11465F"/>
    <w:multiLevelType w:val="hybridMultilevel"/>
    <w:tmpl w:val="B2A63196"/>
    <w:lvl w:ilvl="0" w:tplc="381CE9E6">
      <w:start w:val="3"/>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4" w15:restartNumberingAfterBreak="0">
    <w:nsid w:val="1FB51187"/>
    <w:multiLevelType w:val="multilevel"/>
    <w:tmpl w:val="16D667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5414A"/>
    <w:multiLevelType w:val="hybridMultilevel"/>
    <w:tmpl w:val="D0C4921E"/>
    <w:lvl w:ilvl="0" w:tplc="017A126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C7B91"/>
    <w:multiLevelType w:val="hybridMultilevel"/>
    <w:tmpl w:val="00D41CE0"/>
    <w:lvl w:ilvl="0" w:tplc="96A6E314">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9510BE"/>
    <w:multiLevelType w:val="hybridMultilevel"/>
    <w:tmpl w:val="01289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6A6CE4"/>
    <w:multiLevelType w:val="hybridMultilevel"/>
    <w:tmpl w:val="24F0515C"/>
    <w:lvl w:ilvl="0" w:tplc="218692E6">
      <w:start w:val="3"/>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CC19DE"/>
    <w:multiLevelType w:val="hybridMultilevel"/>
    <w:tmpl w:val="D06424FC"/>
    <w:lvl w:ilvl="0" w:tplc="11E6F6B2">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262C71"/>
    <w:multiLevelType w:val="hybridMultilevel"/>
    <w:tmpl w:val="465ED318"/>
    <w:lvl w:ilvl="0" w:tplc="12E2B34E">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C3340F"/>
    <w:multiLevelType w:val="hybridMultilevel"/>
    <w:tmpl w:val="147ADD9E"/>
    <w:lvl w:ilvl="0" w:tplc="904C2CAC">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1D6441"/>
    <w:multiLevelType w:val="hybridMultilevel"/>
    <w:tmpl w:val="C2FA7E94"/>
    <w:lvl w:ilvl="0" w:tplc="CEB69ADE">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05189"/>
    <w:multiLevelType w:val="hybridMultilevel"/>
    <w:tmpl w:val="7CFC5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4A3DB4"/>
    <w:multiLevelType w:val="hybridMultilevel"/>
    <w:tmpl w:val="AA144194"/>
    <w:lvl w:ilvl="0" w:tplc="287A3320">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627E47"/>
    <w:multiLevelType w:val="hybridMultilevel"/>
    <w:tmpl w:val="A11416FE"/>
    <w:lvl w:ilvl="0" w:tplc="6E483A94">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7B4611"/>
    <w:multiLevelType w:val="hybridMultilevel"/>
    <w:tmpl w:val="87C8AA92"/>
    <w:lvl w:ilvl="0" w:tplc="CCF8F214">
      <w:start w:val="3"/>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C80276"/>
    <w:multiLevelType w:val="hybridMultilevel"/>
    <w:tmpl w:val="841A4188"/>
    <w:lvl w:ilvl="0" w:tplc="67EE9F3E">
      <w:start w:val="3"/>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B0F50"/>
    <w:multiLevelType w:val="hybridMultilevel"/>
    <w:tmpl w:val="40C0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D92356"/>
    <w:multiLevelType w:val="hybridMultilevel"/>
    <w:tmpl w:val="5A20F8E8"/>
    <w:lvl w:ilvl="0" w:tplc="1924B990">
      <w:start w:val="3"/>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C06CDB"/>
    <w:multiLevelType w:val="multilevel"/>
    <w:tmpl w:val="DCA8AD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784D0157"/>
    <w:multiLevelType w:val="hybridMultilevel"/>
    <w:tmpl w:val="43F2E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4A1FE0"/>
    <w:multiLevelType w:val="hybridMultilevel"/>
    <w:tmpl w:val="EE20E3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0"/>
  </w:num>
  <w:num w:numId="4">
    <w:abstractNumId w:val="5"/>
  </w:num>
  <w:num w:numId="5">
    <w:abstractNumId w:val="14"/>
  </w:num>
  <w:num w:numId="6">
    <w:abstractNumId w:val="16"/>
  </w:num>
  <w:num w:numId="7">
    <w:abstractNumId w:val="18"/>
  </w:num>
  <w:num w:numId="8">
    <w:abstractNumId w:val="25"/>
  </w:num>
  <w:num w:numId="9">
    <w:abstractNumId w:val="4"/>
  </w:num>
  <w:num w:numId="10">
    <w:abstractNumId w:val="23"/>
  </w:num>
  <w:num w:numId="11">
    <w:abstractNumId w:val="17"/>
  </w:num>
  <w:num w:numId="12">
    <w:abstractNumId w:val="8"/>
  </w:num>
  <w:num w:numId="13">
    <w:abstractNumId w:val="22"/>
  </w:num>
  <w:num w:numId="14">
    <w:abstractNumId w:val="2"/>
  </w:num>
  <w:num w:numId="15">
    <w:abstractNumId w:val="28"/>
  </w:num>
  <w:num w:numId="16">
    <w:abstractNumId w:val="24"/>
  </w:num>
  <w:num w:numId="17">
    <w:abstractNumId w:val="21"/>
  </w:num>
  <w:num w:numId="18">
    <w:abstractNumId w:val="9"/>
  </w:num>
  <w:num w:numId="19">
    <w:abstractNumId w:val="20"/>
  </w:num>
  <w:num w:numId="20">
    <w:abstractNumId w:val="19"/>
  </w:num>
  <w:num w:numId="21">
    <w:abstractNumId w:val="15"/>
  </w:num>
  <w:num w:numId="22">
    <w:abstractNumId w:val="0"/>
  </w:num>
  <w:num w:numId="23">
    <w:abstractNumId w:val="6"/>
  </w:num>
  <w:num w:numId="24">
    <w:abstractNumId w:val="12"/>
  </w:num>
  <w:num w:numId="25">
    <w:abstractNumId w:val="7"/>
  </w:num>
  <w:num w:numId="26">
    <w:abstractNumId w:val="11"/>
  </w:num>
  <w:num w:numId="27">
    <w:abstractNumId w:val="13"/>
  </w:num>
  <w:num w:numId="28">
    <w:abstractNumId w:val="27"/>
  </w:num>
  <w:num w:numId="29">
    <w:abstractNumId w:val="1"/>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4"/>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00338"/>
    <w:rsid w:val="00000732"/>
    <w:rsid w:val="00000AED"/>
    <w:rsid w:val="00001529"/>
    <w:rsid w:val="000021D6"/>
    <w:rsid w:val="000039EE"/>
    <w:rsid w:val="000040AD"/>
    <w:rsid w:val="00004A74"/>
    <w:rsid w:val="0000507C"/>
    <w:rsid w:val="000055EC"/>
    <w:rsid w:val="0000690F"/>
    <w:rsid w:val="00006CCA"/>
    <w:rsid w:val="00010D92"/>
    <w:rsid w:val="00012572"/>
    <w:rsid w:val="00013056"/>
    <w:rsid w:val="0001346E"/>
    <w:rsid w:val="000145B5"/>
    <w:rsid w:val="00015889"/>
    <w:rsid w:val="00015B5C"/>
    <w:rsid w:val="000200F9"/>
    <w:rsid w:val="00020CB0"/>
    <w:rsid w:val="00021D13"/>
    <w:rsid w:val="00022114"/>
    <w:rsid w:val="00022854"/>
    <w:rsid w:val="00022ABB"/>
    <w:rsid w:val="000233BD"/>
    <w:rsid w:val="00023842"/>
    <w:rsid w:val="00024210"/>
    <w:rsid w:val="00025A12"/>
    <w:rsid w:val="000276B6"/>
    <w:rsid w:val="00027848"/>
    <w:rsid w:val="00027F7B"/>
    <w:rsid w:val="00027FBF"/>
    <w:rsid w:val="00032B64"/>
    <w:rsid w:val="00034299"/>
    <w:rsid w:val="0003469E"/>
    <w:rsid w:val="0003550B"/>
    <w:rsid w:val="000359D0"/>
    <w:rsid w:val="000362ED"/>
    <w:rsid w:val="00036798"/>
    <w:rsid w:val="00036A70"/>
    <w:rsid w:val="00036D48"/>
    <w:rsid w:val="00037583"/>
    <w:rsid w:val="0004041C"/>
    <w:rsid w:val="0004183F"/>
    <w:rsid w:val="00041B04"/>
    <w:rsid w:val="0004417C"/>
    <w:rsid w:val="00044558"/>
    <w:rsid w:val="00045264"/>
    <w:rsid w:val="00045648"/>
    <w:rsid w:val="000462A9"/>
    <w:rsid w:val="00046B60"/>
    <w:rsid w:val="00046FFE"/>
    <w:rsid w:val="00047004"/>
    <w:rsid w:val="00052F3B"/>
    <w:rsid w:val="00053656"/>
    <w:rsid w:val="0005374D"/>
    <w:rsid w:val="00055833"/>
    <w:rsid w:val="00060F36"/>
    <w:rsid w:val="00062844"/>
    <w:rsid w:val="00063A09"/>
    <w:rsid w:val="00064FF3"/>
    <w:rsid w:val="000654BD"/>
    <w:rsid w:val="00066757"/>
    <w:rsid w:val="000672A9"/>
    <w:rsid w:val="0007262D"/>
    <w:rsid w:val="00075095"/>
    <w:rsid w:val="000750A4"/>
    <w:rsid w:val="000758F5"/>
    <w:rsid w:val="0007607F"/>
    <w:rsid w:val="00076B36"/>
    <w:rsid w:val="000778A7"/>
    <w:rsid w:val="00077A99"/>
    <w:rsid w:val="00077F0A"/>
    <w:rsid w:val="0008176F"/>
    <w:rsid w:val="000824E1"/>
    <w:rsid w:val="00082AA0"/>
    <w:rsid w:val="000837AE"/>
    <w:rsid w:val="000848CF"/>
    <w:rsid w:val="00085143"/>
    <w:rsid w:val="0008587D"/>
    <w:rsid w:val="0008646B"/>
    <w:rsid w:val="00086C40"/>
    <w:rsid w:val="00087437"/>
    <w:rsid w:val="000879FD"/>
    <w:rsid w:val="00090E26"/>
    <w:rsid w:val="0009132A"/>
    <w:rsid w:val="000919E9"/>
    <w:rsid w:val="00092159"/>
    <w:rsid w:val="0009224A"/>
    <w:rsid w:val="00094E85"/>
    <w:rsid w:val="000952D4"/>
    <w:rsid w:val="000976A1"/>
    <w:rsid w:val="00097D4E"/>
    <w:rsid w:val="000A110C"/>
    <w:rsid w:val="000A1546"/>
    <w:rsid w:val="000A1D7F"/>
    <w:rsid w:val="000A2514"/>
    <w:rsid w:val="000A2AD4"/>
    <w:rsid w:val="000A47D1"/>
    <w:rsid w:val="000A4D66"/>
    <w:rsid w:val="000A6885"/>
    <w:rsid w:val="000A7114"/>
    <w:rsid w:val="000A7615"/>
    <w:rsid w:val="000B159B"/>
    <w:rsid w:val="000B1634"/>
    <w:rsid w:val="000B2A2C"/>
    <w:rsid w:val="000B3DE5"/>
    <w:rsid w:val="000B479E"/>
    <w:rsid w:val="000B663E"/>
    <w:rsid w:val="000C0F10"/>
    <w:rsid w:val="000C18E6"/>
    <w:rsid w:val="000C2004"/>
    <w:rsid w:val="000C24B8"/>
    <w:rsid w:val="000C25DF"/>
    <w:rsid w:val="000C29ED"/>
    <w:rsid w:val="000C455A"/>
    <w:rsid w:val="000C56DA"/>
    <w:rsid w:val="000C5D3C"/>
    <w:rsid w:val="000C5D64"/>
    <w:rsid w:val="000C649D"/>
    <w:rsid w:val="000C6AB4"/>
    <w:rsid w:val="000C6B58"/>
    <w:rsid w:val="000C73E5"/>
    <w:rsid w:val="000C74E7"/>
    <w:rsid w:val="000C793B"/>
    <w:rsid w:val="000C7AA0"/>
    <w:rsid w:val="000C7F70"/>
    <w:rsid w:val="000D0540"/>
    <w:rsid w:val="000D6ACA"/>
    <w:rsid w:val="000E05D4"/>
    <w:rsid w:val="000E0B0A"/>
    <w:rsid w:val="000E36DD"/>
    <w:rsid w:val="000E4903"/>
    <w:rsid w:val="000E50B6"/>
    <w:rsid w:val="000E51FF"/>
    <w:rsid w:val="000E68A4"/>
    <w:rsid w:val="000E77E8"/>
    <w:rsid w:val="000E78E4"/>
    <w:rsid w:val="000E7E83"/>
    <w:rsid w:val="000F04DB"/>
    <w:rsid w:val="000F08D3"/>
    <w:rsid w:val="000F0EC0"/>
    <w:rsid w:val="000F25E2"/>
    <w:rsid w:val="000F36B8"/>
    <w:rsid w:val="000F3D5E"/>
    <w:rsid w:val="000F4656"/>
    <w:rsid w:val="000F47FD"/>
    <w:rsid w:val="000F4EDE"/>
    <w:rsid w:val="000F56FF"/>
    <w:rsid w:val="000F5F30"/>
    <w:rsid w:val="000F63F5"/>
    <w:rsid w:val="000F722E"/>
    <w:rsid w:val="000F7FFB"/>
    <w:rsid w:val="001000D3"/>
    <w:rsid w:val="00100D6C"/>
    <w:rsid w:val="0010158F"/>
    <w:rsid w:val="0010212E"/>
    <w:rsid w:val="00105BBB"/>
    <w:rsid w:val="00105CA0"/>
    <w:rsid w:val="0010726B"/>
    <w:rsid w:val="001076D2"/>
    <w:rsid w:val="00107746"/>
    <w:rsid w:val="001106E9"/>
    <w:rsid w:val="00111706"/>
    <w:rsid w:val="00111915"/>
    <w:rsid w:val="00112882"/>
    <w:rsid w:val="0011420D"/>
    <w:rsid w:val="001155D3"/>
    <w:rsid w:val="00115F47"/>
    <w:rsid w:val="001166CD"/>
    <w:rsid w:val="00117418"/>
    <w:rsid w:val="0011750C"/>
    <w:rsid w:val="00117B74"/>
    <w:rsid w:val="00121849"/>
    <w:rsid w:val="00122905"/>
    <w:rsid w:val="00123CE1"/>
    <w:rsid w:val="0012418F"/>
    <w:rsid w:val="00124D63"/>
    <w:rsid w:val="00124E4C"/>
    <w:rsid w:val="00125349"/>
    <w:rsid w:val="001255D5"/>
    <w:rsid w:val="00126A42"/>
    <w:rsid w:val="00126E6F"/>
    <w:rsid w:val="00127811"/>
    <w:rsid w:val="0013019A"/>
    <w:rsid w:val="001303B2"/>
    <w:rsid w:val="00131EF1"/>
    <w:rsid w:val="00132B85"/>
    <w:rsid w:val="00133825"/>
    <w:rsid w:val="001353CD"/>
    <w:rsid w:val="00135AEF"/>
    <w:rsid w:val="001365E5"/>
    <w:rsid w:val="00137762"/>
    <w:rsid w:val="00137BBE"/>
    <w:rsid w:val="00137FB4"/>
    <w:rsid w:val="001400DB"/>
    <w:rsid w:val="0014107C"/>
    <w:rsid w:val="0014171B"/>
    <w:rsid w:val="00141B69"/>
    <w:rsid w:val="00141BAC"/>
    <w:rsid w:val="0014201B"/>
    <w:rsid w:val="0014222B"/>
    <w:rsid w:val="00142D17"/>
    <w:rsid w:val="0014313B"/>
    <w:rsid w:val="00143C1B"/>
    <w:rsid w:val="001446A3"/>
    <w:rsid w:val="00144CC9"/>
    <w:rsid w:val="0014541E"/>
    <w:rsid w:val="00146485"/>
    <w:rsid w:val="001478F6"/>
    <w:rsid w:val="001504BE"/>
    <w:rsid w:val="001519B6"/>
    <w:rsid w:val="00152AAE"/>
    <w:rsid w:val="00154448"/>
    <w:rsid w:val="00156575"/>
    <w:rsid w:val="00160045"/>
    <w:rsid w:val="00160263"/>
    <w:rsid w:val="001603AA"/>
    <w:rsid w:val="00160EAB"/>
    <w:rsid w:val="001617D1"/>
    <w:rsid w:val="00162563"/>
    <w:rsid w:val="001644B9"/>
    <w:rsid w:val="001653FC"/>
    <w:rsid w:val="00165CDA"/>
    <w:rsid w:val="00166324"/>
    <w:rsid w:val="00166FAC"/>
    <w:rsid w:val="00171162"/>
    <w:rsid w:val="001712BB"/>
    <w:rsid w:val="00172240"/>
    <w:rsid w:val="001725D2"/>
    <w:rsid w:val="00173072"/>
    <w:rsid w:val="00173686"/>
    <w:rsid w:val="001752A4"/>
    <w:rsid w:val="0017537E"/>
    <w:rsid w:val="00175B48"/>
    <w:rsid w:val="00180402"/>
    <w:rsid w:val="0018044D"/>
    <w:rsid w:val="00180C33"/>
    <w:rsid w:val="00181246"/>
    <w:rsid w:val="001814D4"/>
    <w:rsid w:val="00181F0E"/>
    <w:rsid w:val="001837AE"/>
    <w:rsid w:val="00183851"/>
    <w:rsid w:val="00184C40"/>
    <w:rsid w:val="00184C44"/>
    <w:rsid w:val="00185309"/>
    <w:rsid w:val="001861C0"/>
    <w:rsid w:val="00186442"/>
    <w:rsid w:val="0018667F"/>
    <w:rsid w:val="00187691"/>
    <w:rsid w:val="0019216F"/>
    <w:rsid w:val="00192C80"/>
    <w:rsid w:val="00193688"/>
    <w:rsid w:val="001954A3"/>
    <w:rsid w:val="001959B1"/>
    <w:rsid w:val="0019604E"/>
    <w:rsid w:val="001968CF"/>
    <w:rsid w:val="00197551"/>
    <w:rsid w:val="00197F21"/>
    <w:rsid w:val="001A02F9"/>
    <w:rsid w:val="001A3DDE"/>
    <w:rsid w:val="001A3FA6"/>
    <w:rsid w:val="001A3FB3"/>
    <w:rsid w:val="001A545D"/>
    <w:rsid w:val="001A59E1"/>
    <w:rsid w:val="001A64E4"/>
    <w:rsid w:val="001A7052"/>
    <w:rsid w:val="001A7531"/>
    <w:rsid w:val="001A79DF"/>
    <w:rsid w:val="001B0C84"/>
    <w:rsid w:val="001B11BD"/>
    <w:rsid w:val="001B12EF"/>
    <w:rsid w:val="001B2FB7"/>
    <w:rsid w:val="001B33DD"/>
    <w:rsid w:val="001B3C96"/>
    <w:rsid w:val="001B4503"/>
    <w:rsid w:val="001B4813"/>
    <w:rsid w:val="001B4BAA"/>
    <w:rsid w:val="001B521A"/>
    <w:rsid w:val="001B61AD"/>
    <w:rsid w:val="001B68C5"/>
    <w:rsid w:val="001B71E3"/>
    <w:rsid w:val="001B770C"/>
    <w:rsid w:val="001C069A"/>
    <w:rsid w:val="001C10A0"/>
    <w:rsid w:val="001C17EC"/>
    <w:rsid w:val="001C1A8E"/>
    <w:rsid w:val="001C2D28"/>
    <w:rsid w:val="001C3B63"/>
    <w:rsid w:val="001C4616"/>
    <w:rsid w:val="001C5743"/>
    <w:rsid w:val="001C5EC8"/>
    <w:rsid w:val="001C65D4"/>
    <w:rsid w:val="001D00A8"/>
    <w:rsid w:val="001D0416"/>
    <w:rsid w:val="001D7237"/>
    <w:rsid w:val="001D772F"/>
    <w:rsid w:val="001D7CE2"/>
    <w:rsid w:val="001E1E43"/>
    <w:rsid w:val="001E2890"/>
    <w:rsid w:val="001E3D35"/>
    <w:rsid w:val="001E45F8"/>
    <w:rsid w:val="001E618C"/>
    <w:rsid w:val="001E729D"/>
    <w:rsid w:val="001F05E7"/>
    <w:rsid w:val="001F0A50"/>
    <w:rsid w:val="001F13B9"/>
    <w:rsid w:val="001F155E"/>
    <w:rsid w:val="001F2C88"/>
    <w:rsid w:val="001F2F3F"/>
    <w:rsid w:val="001F36AF"/>
    <w:rsid w:val="001F3929"/>
    <w:rsid w:val="001F6171"/>
    <w:rsid w:val="001F7022"/>
    <w:rsid w:val="001F7897"/>
    <w:rsid w:val="002008B6"/>
    <w:rsid w:val="00201E5F"/>
    <w:rsid w:val="00202EDF"/>
    <w:rsid w:val="0020471C"/>
    <w:rsid w:val="00204995"/>
    <w:rsid w:val="00204BCA"/>
    <w:rsid w:val="00204E84"/>
    <w:rsid w:val="00204F61"/>
    <w:rsid w:val="00205708"/>
    <w:rsid w:val="0020677B"/>
    <w:rsid w:val="002073CE"/>
    <w:rsid w:val="00207782"/>
    <w:rsid w:val="00210A4C"/>
    <w:rsid w:val="00211FC8"/>
    <w:rsid w:val="002128A9"/>
    <w:rsid w:val="0021403C"/>
    <w:rsid w:val="002145AB"/>
    <w:rsid w:val="002147D8"/>
    <w:rsid w:val="002158A7"/>
    <w:rsid w:val="00220F42"/>
    <w:rsid w:val="002224DF"/>
    <w:rsid w:val="00222AC4"/>
    <w:rsid w:val="00223DA9"/>
    <w:rsid w:val="00224269"/>
    <w:rsid w:val="00224D23"/>
    <w:rsid w:val="00227152"/>
    <w:rsid w:val="00227893"/>
    <w:rsid w:val="002307F6"/>
    <w:rsid w:val="002314C7"/>
    <w:rsid w:val="0023293B"/>
    <w:rsid w:val="00232BDB"/>
    <w:rsid w:val="00233857"/>
    <w:rsid w:val="00233CC6"/>
    <w:rsid w:val="002340CD"/>
    <w:rsid w:val="0023745C"/>
    <w:rsid w:val="00237623"/>
    <w:rsid w:val="00237D00"/>
    <w:rsid w:val="00240604"/>
    <w:rsid w:val="00240960"/>
    <w:rsid w:val="00240B79"/>
    <w:rsid w:val="00240DB7"/>
    <w:rsid w:val="002443D0"/>
    <w:rsid w:val="00244C26"/>
    <w:rsid w:val="00246DD9"/>
    <w:rsid w:val="002505C8"/>
    <w:rsid w:val="00251C2C"/>
    <w:rsid w:val="00252C1D"/>
    <w:rsid w:val="00253349"/>
    <w:rsid w:val="002533B6"/>
    <w:rsid w:val="002543E8"/>
    <w:rsid w:val="00255096"/>
    <w:rsid w:val="00255B4F"/>
    <w:rsid w:val="00255E68"/>
    <w:rsid w:val="0025603E"/>
    <w:rsid w:val="002565C0"/>
    <w:rsid w:val="00256F42"/>
    <w:rsid w:val="00257101"/>
    <w:rsid w:val="0025734D"/>
    <w:rsid w:val="00257382"/>
    <w:rsid w:val="0025754A"/>
    <w:rsid w:val="002575E2"/>
    <w:rsid w:val="002605F5"/>
    <w:rsid w:val="00260F9A"/>
    <w:rsid w:val="002634DE"/>
    <w:rsid w:val="002652F0"/>
    <w:rsid w:val="002654E5"/>
    <w:rsid w:val="00266510"/>
    <w:rsid w:val="00266F9C"/>
    <w:rsid w:val="00270C30"/>
    <w:rsid w:val="00271C5D"/>
    <w:rsid w:val="00271ED6"/>
    <w:rsid w:val="00274409"/>
    <w:rsid w:val="00274E2C"/>
    <w:rsid w:val="002754F9"/>
    <w:rsid w:val="00275A0F"/>
    <w:rsid w:val="00275B33"/>
    <w:rsid w:val="00276215"/>
    <w:rsid w:val="002766FD"/>
    <w:rsid w:val="00276DC7"/>
    <w:rsid w:val="00277B78"/>
    <w:rsid w:val="00277BD8"/>
    <w:rsid w:val="00280730"/>
    <w:rsid w:val="00282957"/>
    <w:rsid w:val="00282D3C"/>
    <w:rsid w:val="00284D1F"/>
    <w:rsid w:val="00285D85"/>
    <w:rsid w:val="002861BB"/>
    <w:rsid w:val="00286C2C"/>
    <w:rsid w:val="00290124"/>
    <w:rsid w:val="0029250C"/>
    <w:rsid w:val="002926D7"/>
    <w:rsid w:val="00292F28"/>
    <w:rsid w:val="0029419B"/>
    <w:rsid w:val="0029459E"/>
    <w:rsid w:val="002946BA"/>
    <w:rsid w:val="00295AF1"/>
    <w:rsid w:val="002971CA"/>
    <w:rsid w:val="00297AF7"/>
    <w:rsid w:val="002A088D"/>
    <w:rsid w:val="002A0FFA"/>
    <w:rsid w:val="002A1A21"/>
    <w:rsid w:val="002A34B5"/>
    <w:rsid w:val="002A3795"/>
    <w:rsid w:val="002A44B3"/>
    <w:rsid w:val="002A4AE9"/>
    <w:rsid w:val="002A4CBC"/>
    <w:rsid w:val="002A4D34"/>
    <w:rsid w:val="002A5E2A"/>
    <w:rsid w:val="002A68AE"/>
    <w:rsid w:val="002B0458"/>
    <w:rsid w:val="002B1066"/>
    <w:rsid w:val="002B38BC"/>
    <w:rsid w:val="002B52FE"/>
    <w:rsid w:val="002B55C4"/>
    <w:rsid w:val="002B5D6D"/>
    <w:rsid w:val="002B646C"/>
    <w:rsid w:val="002C0541"/>
    <w:rsid w:val="002C23A2"/>
    <w:rsid w:val="002C3514"/>
    <w:rsid w:val="002C3653"/>
    <w:rsid w:val="002C3C08"/>
    <w:rsid w:val="002C3D63"/>
    <w:rsid w:val="002C545C"/>
    <w:rsid w:val="002C6797"/>
    <w:rsid w:val="002C6D08"/>
    <w:rsid w:val="002D1B08"/>
    <w:rsid w:val="002D62E3"/>
    <w:rsid w:val="002D6E20"/>
    <w:rsid w:val="002D72FD"/>
    <w:rsid w:val="002D78A4"/>
    <w:rsid w:val="002E002C"/>
    <w:rsid w:val="002E157F"/>
    <w:rsid w:val="002E324F"/>
    <w:rsid w:val="002E5867"/>
    <w:rsid w:val="002E6D3B"/>
    <w:rsid w:val="002E79F8"/>
    <w:rsid w:val="002F06A5"/>
    <w:rsid w:val="002F29C1"/>
    <w:rsid w:val="002F2B46"/>
    <w:rsid w:val="002F3553"/>
    <w:rsid w:val="002F3FC3"/>
    <w:rsid w:val="002F464A"/>
    <w:rsid w:val="002F741D"/>
    <w:rsid w:val="002F7E8D"/>
    <w:rsid w:val="003002B5"/>
    <w:rsid w:val="003011D1"/>
    <w:rsid w:val="00301E21"/>
    <w:rsid w:val="00302142"/>
    <w:rsid w:val="00302153"/>
    <w:rsid w:val="003035C4"/>
    <w:rsid w:val="00303888"/>
    <w:rsid w:val="00303EB3"/>
    <w:rsid w:val="00304C71"/>
    <w:rsid w:val="00304FD6"/>
    <w:rsid w:val="003057F9"/>
    <w:rsid w:val="00305CD4"/>
    <w:rsid w:val="0030767B"/>
    <w:rsid w:val="00311328"/>
    <w:rsid w:val="003133C9"/>
    <w:rsid w:val="00313C52"/>
    <w:rsid w:val="00314A65"/>
    <w:rsid w:val="00314B59"/>
    <w:rsid w:val="00314F3F"/>
    <w:rsid w:val="00315BC6"/>
    <w:rsid w:val="0032031E"/>
    <w:rsid w:val="00321730"/>
    <w:rsid w:val="003218D0"/>
    <w:rsid w:val="00322450"/>
    <w:rsid w:val="0032380F"/>
    <w:rsid w:val="003240AA"/>
    <w:rsid w:val="0032568C"/>
    <w:rsid w:val="003261F6"/>
    <w:rsid w:val="00327CCD"/>
    <w:rsid w:val="003303D5"/>
    <w:rsid w:val="0033135E"/>
    <w:rsid w:val="003315C0"/>
    <w:rsid w:val="00333285"/>
    <w:rsid w:val="00333BC2"/>
    <w:rsid w:val="00336D54"/>
    <w:rsid w:val="00336F10"/>
    <w:rsid w:val="003403B3"/>
    <w:rsid w:val="00341F5B"/>
    <w:rsid w:val="003425C4"/>
    <w:rsid w:val="00343673"/>
    <w:rsid w:val="00343E42"/>
    <w:rsid w:val="003450B1"/>
    <w:rsid w:val="00346F3B"/>
    <w:rsid w:val="00347A6F"/>
    <w:rsid w:val="00347FAF"/>
    <w:rsid w:val="0035135E"/>
    <w:rsid w:val="003515D1"/>
    <w:rsid w:val="003539C2"/>
    <w:rsid w:val="00354706"/>
    <w:rsid w:val="00356585"/>
    <w:rsid w:val="003575F3"/>
    <w:rsid w:val="00360DC9"/>
    <w:rsid w:val="00361D20"/>
    <w:rsid w:val="003629AE"/>
    <w:rsid w:val="00362ED1"/>
    <w:rsid w:val="003635D6"/>
    <w:rsid w:val="00364A49"/>
    <w:rsid w:val="00364F82"/>
    <w:rsid w:val="00365766"/>
    <w:rsid w:val="00367C9A"/>
    <w:rsid w:val="0037106E"/>
    <w:rsid w:val="003716DB"/>
    <w:rsid w:val="00372205"/>
    <w:rsid w:val="003731F5"/>
    <w:rsid w:val="00373E5B"/>
    <w:rsid w:val="0037504F"/>
    <w:rsid w:val="0037692B"/>
    <w:rsid w:val="00377ADF"/>
    <w:rsid w:val="00380543"/>
    <w:rsid w:val="0038129D"/>
    <w:rsid w:val="003817CE"/>
    <w:rsid w:val="00381DD8"/>
    <w:rsid w:val="00382EC2"/>
    <w:rsid w:val="00383CCF"/>
    <w:rsid w:val="00384C2B"/>
    <w:rsid w:val="00384D66"/>
    <w:rsid w:val="003852E4"/>
    <w:rsid w:val="00385E9D"/>
    <w:rsid w:val="00386120"/>
    <w:rsid w:val="00386E26"/>
    <w:rsid w:val="00387010"/>
    <w:rsid w:val="00387A8F"/>
    <w:rsid w:val="00387C92"/>
    <w:rsid w:val="003910C7"/>
    <w:rsid w:val="00391127"/>
    <w:rsid w:val="00392BEF"/>
    <w:rsid w:val="00393159"/>
    <w:rsid w:val="00393B83"/>
    <w:rsid w:val="00393F04"/>
    <w:rsid w:val="00394EE7"/>
    <w:rsid w:val="00395F13"/>
    <w:rsid w:val="00396207"/>
    <w:rsid w:val="003A060D"/>
    <w:rsid w:val="003A0B5F"/>
    <w:rsid w:val="003A2B03"/>
    <w:rsid w:val="003A6000"/>
    <w:rsid w:val="003B0A2F"/>
    <w:rsid w:val="003B1E67"/>
    <w:rsid w:val="003B2096"/>
    <w:rsid w:val="003B3B53"/>
    <w:rsid w:val="003B4017"/>
    <w:rsid w:val="003B5CAA"/>
    <w:rsid w:val="003B60FB"/>
    <w:rsid w:val="003B73A8"/>
    <w:rsid w:val="003B79D7"/>
    <w:rsid w:val="003C1BAE"/>
    <w:rsid w:val="003C2212"/>
    <w:rsid w:val="003C2D29"/>
    <w:rsid w:val="003C40E1"/>
    <w:rsid w:val="003C555E"/>
    <w:rsid w:val="003C5BF0"/>
    <w:rsid w:val="003C68D4"/>
    <w:rsid w:val="003C6B47"/>
    <w:rsid w:val="003C700B"/>
    <w:rsid w:val="003D14A0"/>
    <w:rsid w:val="003D30AE"/>
    <w:rsid w:val="003D34F2"/>
    <w:rsid w:val="003D6F6A"/>
    <w:rsid w:val="003D792E"/>
    <w:rsid w:val="003D7E79"/>
    <w:rsid w:val="003E01A4"/>
    <w:rsid w:val="003E03CC"/>
    <w:rsid w:val="003E0CEF"/>
    <w:rsid w:val="003E1398"/>
    <w:rsid w:val="003E22B5"/>
    <w:rsid w:val="003E3257"/>
    <w:rsid w:val="003E46C0"/>
    <w:rsid w:val="003E738D"/>
    <w:rsid w:val="003E78E7"/>
    <w:rsid w:val="003E7EBE"/>
    <w:rsid w:val="003F0371"/>
    <w:rsid w:val="003F1CCD"/>
    <w:rsid w:val="003F417E"/>
    <w:rsid w:val="003F41F5"/>
    <w:rsid w:val="003F6130"/>
    <w:rsid w:val="003F77A5"/>
    <w:rsid w:val="0040032B"/>
    <w:rsid w:val="00401A11"/>
    <w:rsid w:val="0040227F"/>
    <w:rsid w:val="0040234F"/>
    <w:rsid w:val="00403CD7"/>
    <w:rsid w:val="00404B0F"/>
    <w:rsid w:val="0040659F"/>
    <w:rsid w:val="004066D2"/>
    <w:rsid w:val="00406C54"/>
    <w:rsid w:val="0040756F"/>
    <w:rsid w:val="004114BC"/>
    <w:rsid w:val="004131B6"/>
    <w:rsid w:val="00413BF1"/>
    <w:rsid w:val="00414FB5"/>
    <w:rsid w:val="00415194"/>
    <w:rsid w:val="004158D1"/>
    <w:rsid w:val="00417244"/>
    <w:rsid w:val="0042095C"/>
    <w:rsid w:val="004215ED"/>
    <w:rsid w:val="0042171D"/>
    <w:rsid w:val="00422632"/>
    <w:rsid w:val="004226BB"/>
    <w:rsid w:val="00422D5E"/>
    <w:rsid w:val="00424284"/>
    <w:rsid w:val="0042684B"/>
    <w:rsid w:val="00426906"/>
    <w:rsid w:val="00430710"/>
    <w:rsid w:val="004319FA"/>
    <w:rsid w:val="00431DD1"/>
    <w:rsid w:val="00434807"/>
    <w:rsid w:val="004351CC"/>
    <w:rsid w:val="004357D7"/>
    <w:rsid w:val="00435BCE"/>
    <w:rsid w:val="004371D9"/>
    <w:rsid w:val="00437A1F"/>
    <w:rsid w:val="0044049F"/>
    <w:rsid w:val="00440564"/>
    <w:rsid w:val="00440E67"/>
    <w:rsid w:val="00442963"/>
    <w:rsid w:val="00443140"/>
    <w:rsid w:val="004431F8"/>
    <w:rsid w:val="0044354E"/>
    <w:rsid w:val="00443699"/>
    <w:rsid w:val="00444828"/>
    <w:rsid w:val="00447040"/>
    <w:rsid w:val="004472FF"/>
    <w:rsid w:val="004479E1"/>
    <w:rsid w:val="00450235"/>
    <w:rsid w:val="00450498"/>
    <w:rsid w:val="004522F2"/>
    <w:rsid w:val="00452649"/>
    <w:rsid w:val="004533E4"/>
    <w:rsid w:val="004535AE"/>
    <w:rsid w:val="00455CB0"/>
    <w:rsid w:val="00456027"/>
    <w:rsid w:val="0045612C"/>
    <w:rsid w:val="004572AF"/>
    <w:rsid w:val="00457462"/>
    <w:rsid w:val="00457F72"/>
    <w:rsid w:val="004610C2"/>
    <w:rsid w:val="004612AE"/>
    <w:rsid w:val="00461941"/>
    <w:rsid w:val="00461AA9"/>
    <w:rsid w:val="004628CD"/>
    <w:rsid w:val="004664E3"/>
    <w:rsid w:val="00466A0C"/>
    <w:rsid w:val="00467596"/>
    <w:rsid w:val="004676D4"/>
    <w:rsid w:val="00467DB2"/>
    <w:rsid w:val="00470B00"/>
    <w:rsid w:val="00470CB0"/>
    <w:rsid w:val="00471193"/>
    <w:rsid w:val="00471BB7"/>
    <w:rsid w:val="004726FE"/>
    <w:rsid w:val="00472751"/>
    <w:rsid w:val="004727A0"/>
    <w:rsid w:val="00472B7F"/>
    <w:rsid w:val="00472F3C"/>
    <w:rsid w:val="00474227"/>
    <w:rsid w:val="00475698"/>
    <w:rsid w:val="0048069C"/>
    <w:rsid w:val="00481AF0"/>
    <w:rsid w:val="00481CCF"/>
    <w:rsid w:val="00483F49"/>
    <w:rsid w:val="004855DF"/>
    <w:rsid w:val="004872E5"/>
    <w:rsid w:val="004875BE"/>
    <w:rsid w:val="00487D00"/>
    <w:rsid w:val="00490338"/>
    <w:rsid w:val="0049046D"/>
    <w:rsid w:val="00490C41"/>
    <w:rsid w:val="00491947"/>
    <w:rsid w:val="004942B9"/>
    <w:rsid w:val="00494F28"/>
    <w:rsid w:val="0049592A"/>
    <w:rsid w:val="004959A8"/>
    <w:rsid w:val="0049682D"/>
    <w:rsid w:val="004A0572"/>
    <w:rsid w:val="004A0C2B"/>
    <w:rsid w:val="004A1AF2"/>
    <w:rsid w:val="004A2992"/>
    <w:rsid w:val="004A3B5E"/>
    <w:rsid w:val="004A4024"/>
    <w:rsid w:val="004A52B4"/>
    <w:rsid w:val="004A7222"/>
    <w:rsid w:val="004B0B13"/>
    <w:rsid w:val="004B1BD7"/>
    <w:rsid w:val="004B1C77"/>
    <w:rsid w:val="004B2848"/>
    <w:rsid w:val="004B2E19"/>
    <w:rsid w:val="004B3E7B"/>
    <w:rsid w:val="004B4371"/>
    <w:rsid w:val="004B4C91"/>
    <w:rsid w:val="004B543D"/>
    <w:rsid w:val="004B6951"/>
    <w:rsid w:val="004B6E9E"/>
    <w:rsid w:val="004B75EF"/>
    <w:rsid w:val="004C10F3"/>
    <w:rsid w:val="004C164A"/>
    <w:rsid w:val="004C27DE"/>
    <w:rsid w:val="004C2F79"/>
    <w:rsid w:val="004C42BD"/>
    <w:rsid w:val="004C470C"/>
    <w:rsid w:val="004C4D77"/>
    <w:rsid w:val="004C5D1A"/>
    <w:rsid w:val="004C6384"/>
    <w:rsid w:val="004D002B"/>
    <w:rsid w:val="004D1F0F"/>
    <w:rsid w:val="004D292E"/>
    <w:rsid w:val="004D307C"/>
    <w:rsid w:val="004D37CD"/>
    <w:rsid w:val="004D411A"/>
    <w:rsid w:val="004D5350"/>
    <w:rsid w:val="004D6D22"/>
    <w:rsid w:val="004E0142"/>
    <w:rsid w:val="004E03E4"/>
    <w:rsid w:val="004E0A37"/>
    <w:rsid w:val="004E1A35"/>
    <w:rsid w:val="004E20CE"/>
    <w:rsid w:val="004E3ED0"/>
    <w:rsid w:val="004E41F4"/>
    <w:rsid w:val="004E4672"/>
    <w:rsid w:val="004E51F2"/>
    <w:rsid w:val="004E52D8"/>
    <w:rsid w:val="004E68B4"/>
    <w:rsid w:val="004E7210"/>
    <w:rsid w:val="004E7821"/>
    <w:rsid w:val="004E7CA1"/>
    <w:rsid w:val="004F08F0"/>
    <w:rsid w:val="004F1B6C"/>
    <w:rsid w:val="004F2417"/>
    <w:rsid w:val="004F3410"/>
    <w:rsid w:val="004F4A0C"/>
    <w:rsid w:val="004F5941"/>
    <w:rsid w:val="004F5AEA"/>
    <w:rsid w:val="004F5EB0"/>
    <w:rsid w:val="004F6CF4"/>
    <w:rsid w:val="004F741F"/>
    <w:rsid w:val="004F7D53"/>
    <w:rsid w:val="0050060E"/>
    <w:rsid w:val="0050136F"/>
    <w:rsid w:val="00502E45"/>
    <w:rsid w:val="005033B8"/>
    <w:rsid w:val="00504319"/>
    <w:rsid w:val="0050616A"/>
    <w:rsid w:val="00506798"/>
    <w:rsid w:val="00507910"/>
    <w:rsid w:val="00507E6A"/>
    <w:rsid w:val="00511391"/>
    <w:rsid w:val="00511EA5"/>
    <w:rsid w:val="0051201C"/>
    <w:rsid w:val="00513336"/>
    <w:rsid w:val="00513D5A"/>
    <w:rsid w:val="00515C09"/>
    <w:rsid w:val="00516F7C"/>
    <w:rsid w:val="00516F93"/>
    <w:rsid w:val="00517050"/>
    <w:rsid w:val="00517D3A"/>
    <w:rsid w:val="00520442"/>
    <w:rsid w:val="00521F35"/>
    <w:rsid w:val="00522117"/>
    <w:rsid w:val="005236D9"/>
    <w:rsid w:val="0052378D"/>
    <w:rsid w:val="005241D5"/>
    <w:rsid w:val="00524ABA"/>
    <w:rsid w:val="00525FBC"/>
    <w:rsid w:val="00526EB9"/>
    <w:rsid w:val="00527D67"/>
    <w:rsid w:val="0053028C"/>
    <w:rsid w:val="005305C1"/>
    <w:rsid w:val="00530BCA"/>
    <w:rsid w:val="00530FCB"/>
    <w:rsid w:val="00531924"/>
    <w:rsid w:val="00531D49"/>
    <w:rsid w:val="00533BD7"/>
    <w:rsid w:val="005354E8"/>
    <w:rsid w:val="0053602A"/>
    <w:rsid w:val="00536607"/>
    <w:rsid w:val="00542061"/>
    <w:rsid w:val="00542181"/>
    <w:rsid w:val="0054260A"/>
    <w:rsid w:val="005427E0"/>
    <w:rsid w:val="00544D33"/>
    <w:rsid w:val="00545D87"/>
    <w:rsid w:val="00546489"/>
    <w:rsid w:val="005465C3"/>
    <w:rsid w:val="00547736"/>
    <w:rsid w:val="00550477"/>
    <w:rsid w:val="00551AA1"/>
    <w:rsid w:val="0055297E"/>
    <w:rsid w:val="00553C59"/>
    <w:rsid w:val="00553F8F"/>
    <w:rsid w:val="00556BF4"/>
    <w:rsid w:val="00557408"/>
    <w:rsid w:val="00557CF8"/>
    <w:rsid w:val="00560AD6"/>
    <w:rsid w:val="00562FF4"/>
    <w:rsid w:val="00564E1E"/>
    <w:rsid w:val="005671EE"/>
    <w:rsid w:val="0056724D"/>
    <w:rsid w:val="00570C21"/>
    <w:rsid w:val="00571071"/>
    <w:rsid w:val="00573D19"/>
    <w:rsid w:val="0057417D"/>
    <w:rsid w:val="0057469A"/>
    <w:rsid w:val="00576B3E"/>
    <w:rsid w:val="00576ED9"/>
    <w:rsid w:val="0057775C"/>
    <w:rsid w:val="00580717"/>
    <w:rsid w:val="00581EB9"/>
    <w:rsid w:val="00582191"/>
    <w:rsid w:val="00582CF7"/>
    <w:rsid w:val="00582EBC"/>
    <w:rsid w:val="00583C7E"/>
    <w:rsid w:val="00583F3B"/>
    <w:rsid w:val="00584B18"/>
    <w:rsid w:val="00585271"/>
    <w:rsid w:val="00585AA7"/>
    <w:rsid w:val="00586242"/>
    <w:rsid w:val="00586956"/>
    <w:rsid w:val="0059168C"/>
    <w:rsid w:val="00592A9E"/>
    <w:rsid w:val="0059342A"/>
    <w:rsid w:val="00594721"/>
    <w:rsid w:val="00594B1B"/>
    <w:rsid w:val="0059524A"/>
    <w:rsid w:val="005975AE"/>
    <w:rsid w:val="00597694"/>
    <w:rsid w:val="005A17AC"/>
    <w:rsid w:val="005A2B79"/>
    <w:rsid w:val="005A364F"/>
    <w:rsid w:val="005A3B86"/>
    <w:rsid w:val="005A406B"/>
    <w:rsid w:val="005A4867"/>
    <w:rsid w:val="005A4F59"/>
    <w:rsid w:val="005A4FBB"/>
    <w:rsid w:val="005A6AD7"/>
    <w:rsid w:val="005A791D"/>
    <w:rsid w:val="005A7DA4"/>
    <w:rsid w:val="005B0705"/>
    <w:rsid w:val="005B0735"/>
    <w:rsid w:val="005B10C4"/>
    <w:rsid w:val="005B16E2"/>
    <w:rsid w:val="005B1C7E"/>
    <w:rsid w:val="005B1E39"/>
    <w:rsid w:val="005B254C"/>
    <w:rsid w:val="005B2A4A"/>
    <w:rsid w:val="005B4426"/>
    <w:rsid w:val="005B5C1E"/>
    <w:rsid w:val="005B5EE3"/>
    <w:rsid w:val="005B5F0A"/>
    <w:rsid w:val="005B655A"/>
    <w:rsid w:val="005B74F2"/>
    <w:rsid w:val="005C0B36"/>
    <w:rsid w:val="005C32F8"/>
    <w:rsid w:val="005C5D50"/>
    <w:rsid w:val="005C67D8"/>
    <w:rsid w:val="005C768B"/>
    <w:rsid w:val="005D178C"/>
    <w:rsid w:val="005D19BE"/>
    <w:rsid w:val="005D2EE8"/>
    <w:rsid w:val="005D35FB"/>
    <w:rsid w:val="005D3810"/>
    <w:rsid w:val="005D6237"/>
    <w:rsid w:val="005D6A8F"/>
    <w:rsid w:val="005D6C41"/>
    <w:rsid w:val="005D6C8E"/>
    <w:rsid w:val="005E09FD"/>
    <w:rsid w:val="005E0F87"/>
    <w:rsid w:val="005E10FE"/>
    <w:rsid w:val="005E157B"/>
    <w:rsid w:val="005E21EA"/>
    <w:rsid w:val="005E32E5"/>
    <w:rsid w:val="005E331A"/>
    <w:rsid w:val="005E441D"/>
    <w:rsid w:val="005E44D5"/>
    <w:rsid w:val="005E6040"/>
    <w:rsid w:val="005E642F"/>
    <w:rsid w:val="005E64CF"/>
    <w:rsid w:val="005E6BC8"/>
    <w:rsid w:val="005E7D30"/>
    <w:rsid w:val="005E7DE8"/>
    <w:rsid w:val="005F107D"/>
    <w:rsid w:val="005F142B"/>
    <w:rsid w:val="005F35A1"/>
    <w:rsid w:val="005F68A9"/>
    <w:rsid w:val="005F744C"/>
    <w:rsid w:val="005F7B6C"/>
    <w:rsid w:val="005F7DDC"/>
    <w:rsid w:val="006005F0"/>
    <w:rsid w:val="006010A2"/>
    <w:rsid w:val="0060243A"/>
    <w:rsid w:val="0060498B"/>
    <w:rsid w:val="00604999"/>
    <w:rsid w:val="00604E19"/>
    <w:rsid w:val="006061EA"/>
    <w:rsid w:val="0060769C"/>
    <w:rsid w:val="00607921"/>
    <w:rsid w:val="006108CF"/>
    <w:rsid w:val="006113BA"/>
    <w:rsid w:val="00611E04"/>
    <w:rsid w:val="00615318"/>
    <w:rsid w:val="00616213"/>
    <w:rsid w:val="00617526"/>
    <w:rsid w:val="00617B87"/>
    <w:rsid w:val="00617EDB"/>
    <w:rsid w:val="00620243"/>
    <w:rsid w:val="0062110A"/>
    <w:rsid w:val="00622B25"/>
    <w:rsid w:val="00623397"/>
    <w:rsid w:val="006234B4"/>
    <w:rsid w:val="00623751"/>
    <w:rsid w:val="006237C4"/>
    <w:rsid w:val="00626D12"/>
    <w:rsid w:val="006273C0"/>
    <w:rsid w:val="00627BA2"/>
    <w:rsid w:val="00630BD1"/>
    <w:rsid w:val="006323FD"/>
    <w:rsid w:val="00632C4D"/>
    <w:rsid w:val="00633A63"/>
    <w:rsid w:val="00633C74"/>
    <w:rsid w:val="006341D6"/>
    <w:rsid w:val="00634439"/>
    <w:rsid w:val="006344BC"/>
    <w:rsid w:val="00634F22"/>
    <w:rsid w:val="006353EB"/>
    <w:rsid w:val="006355B7"/>
    <w:rsid w:val="006374D1"/>
    <w:rsid w:val="00637D1E"/>
    <w:rsid w:val="00637FB3"/>
    <w:rsid w:val="00640774"/>
    <w:rsid w:val="00640E2E"/>
    <w:rsid w:val="00641475"/>
    <w:rsid w:val="00642332"/>
    <w:rsid w:val="00643BEA"/>
    <w:rsid w:val="006448DF"/>
    <w:rsid w:val="00645A8F"/>
    <w:rsid w:val="00645DE5"/>
    <w:rsid w:val="00647814"/>
    <w:rsid w:val="00651100"/>
    <w:rsid w:val="00651176"/>
    <w:rsid w:val="00652D9E"/>
    <w:rsid w:val="00653C73"/>
    <w:rsid w:val="0065517C"/>
    <w:rsid w:val="006559C5"/>
    <w:rsid w:val="00656310"/>
    <w:rsid w:val="00657D45"/>
    <w:rsid w:val="0066085F"/>
    <w:rsid w:val="006608FA"/>
    <w:rsid w:val="00661C13"/>
    <w:rsid w:val="00661D54"/>
    <w:rsid w:val="0066216D"/>
    <w:rsid w:val="00662DAB"/>
    <w:rsid w:val="00663410"/>
    <w:rsid w:val="00664A5C"/>
    <w:rsid w:val="00664D0C"/>
    <w:rsid w:val="00665D32"/>
    <w:rsid w:val="006666D8"/>
    <w:rsid w:val="006669C6"/>
    <w:rsid w:val="00666F3F"/>
    <w:rsid w:val="00671156"/>
    <w:rsid w:val="00671553"/>
    <w:rsid w:val="00674A1B"/>
    <w:rsid w:val="006765FB"/>
    <w:rsid w:val="00677A23"/>
    <w:rsid w:val="00677A66"/>
    <w:rsid w:val="0068282D"/>
    <w:rsid w:val="00682D8D"/>
    <w:rsid w:val="00682E52"/>
    <w:rsid w:val="0068405D"/>
    <w:rsid w:val="00684AEE"/>
    <w:rsid w:val="00686DC6"/>
    <w:rsid w:val="00690B5B"/>
    <w:rsid w:val="00691427"/>
    <w:rsid w:val="006929DA"/>
    <w:rsid w:val="00693460"/>
    <w:rsid w:val="00693468"/>
    <w:rsid w:val="0069549B"/>
    <w:rsid w:val="00696635"/>
    <w:rsid w:val="00697198"/>
    <w:rsid w:val="00697266"/>
    <w:rsid w:val="006A17F6"/>
    <w:rsid w:val="006A287C"/>
    <w:rsid w:val="006A2CE0"/>
    <w:rsid w:val="006A428F"/>
    <w:rsid w:val="006A5EE1"/>
    <w:rsid w:val="006A6046"/>
    <w:rsid w:val="006A6340"/>
    <w:rsid w:val="006A6654"/>
    <w:rsid w:val="006A74C3"/>
    <w:rsid w:val="006A786A"/>
    <w:rsid w:val="006B116B"/>
    <w:rsid w:val="006B1D41"/>
    <w:rsid w:val="006B1E13"/>
    <w:rsid w:val="006B29D1"/>
    <w:rsid w:val="006B307F"/>
    <w:rsid w:val="006B403C"/>
    <w:rsid w:val="006B4498"/>
    <w:rsid w:val="006B4721"/>
    <w:rsid w:val="006B478E"/>
    <w:rsid w:val="006B56B3"/>
    <w:rsid w:val="006B5EC7"/>
    <w:rsid w:val="006B6755"/>
    <w:rsid w:val="006B7A96"/>
    <w:rsid w:val="006C02A8"/>
    <w:rsid w:val="006C06E4"/>
    <w:rsid w:val="006C07E9"/>
    <w:rsid w:val="006C16CB"/>
    <w:rsid w:val="006C2543"/>
    <w:rsid w:val="006C27EB"/>
    <w:rsid w:val="006C3771"/>
    <w:rsid w:val="006C4A26"/>
    <w:rsid w:val="006C4CEF"/>
    <w:rsid w:val="006C597A"/>
    <w:rsid w:val="006C5F7C"/>
    <w:rsid w:val="006C6ADD"/>
    <w:rsid w:val="006D0263"/>
    <w:rsid w:val="006D0C5F"/>
    <w:rsid w:val="006D1B98"/>
    <w:rsid w:val="006D6AE1"/>
    <w:rsid w:val="006D7171"/>
    <w:rsid w:val="006E0A98"/>
    <w:rsid w:val="006E1921"/>
    <w:rsid w:val="006E536B"/>
    <w:rsid w:val="006E5889"/>
    <w:rsid w:val="006E60BB"/>
    <w:rsid w:val="006E6F74"/>
    <w:rsid w:val="006E7296"/>
    <w:rsid w:val="006E72E0"/>
    <w:rsid w:val="006F0EED"/>
    <w:rsid w:val="006F0F16"/>
    <w:rsid w:val="006F10CE"/>
    <w:rsid w:val="006F401C"/>
    <w:rsid w:val="006F5D95"/>
    <w:rsid w:val="006F677E"/>
    <w:rsid w:val="006F76FF"/>
    <w:rsid w:val="0070017B"/>
    <w:rsid w:val="00701C3C"/>
    <w:rsid w:val="00701DB4"/>
    <w:rsid w:val="007021B7"/>
    <w:rsid w:val="007032F1"/>
    <w:rsid w:val="00704574"/>
    <w:rsid w:val="00705086"/>
    <w:rsid w:val="00705B1D"/>
    <w:rsid w:val="00707791"/>
    <w:rsid w:val="007100A3"/>
    <w:rsid w:val="00711873"/>
    <w:rsid w:val="007150A7"/>
    <w:rsid w:val="00715177"/>
    <w:rsid w:val="0071523A"/>
    <w:rsid w:val="0071598C"/>
    <w:rsid w:val="00715C6B"/>
    <w:rsid w:val="007160C7"/>
    <w:rsid w:val="007167D2"/>
    <w:rsid w:val="00716C01"/>
    <w:rsid w:val="00720288"/>
    <w:rsid w:val="00720DB2"/>
    <w:rsid w:val="007216C0"/>
    <w:rsid w:val="0072190B"/>
    <w:rsid w:val="007247B0"/>
    <w:rsid w:val="00726706"/>
    <w:rsid w:val="00727A45"/>
    <w:rsid w:val="0073025E"/>
    <w:rsid w:val="00730F0A"/>
    <w:rsid w:val="00730FB0"/>
    <w:rsid w:val="007310A9"/>
    <w:rsid w:val="00734110"/>
    <w:rsid w:val="00734A01"/>
    <w:rsid w:val="00735293"/>
    <w:rsid w:val="00736392"/>
    <w:rsid w:val="00742A98"/>
    <w:rsid w:val="00742E8C"/>
    <w:rsid w:val="00743A75"/>
    <w:rsid w:val="00746E16"/>
    <w:rsid w:val="0075068E"/>
    <w:rsid w:val="007519E9"/>
    <w:rsid w:val="0075455A"/>
    <w:rsid w:val="0075534F"/>
    <w:rsid w:val="007559B1"/>
    <w:rsid w:val="00755BAF"/>
    <w:rsid w:val="0075684A"/>
    <w:rsid w:val="0076040C"/>
    <w:rsid w:val="007617A4"/>
    <w:rsid w:val="00761B3A"/>
    <w:rsid w:val="00761FDB"/>
    <w:rsid w:val="007622F3"/>
    <w:rsid w:val="00762706"/>
    <w:rsid w:val="00763004"/>
    <w:rsid w:val="007661A9"/>
    <w:rsid w:val="00766FF2"/>
    <w:rsid w:val="00770468"/>
    <w:rsid w:val="007711F9"/>
    <w:rsid w:val="00771FD5"/>
    <w:rsid w:val="00772DAD"/>
    <w:rsid w:val="00773314"/>
    <w:rsid w:val="007739FB"/>
    <w:rsid w:val="00775701"/>
    <w:rsid w:val="00777812"/>
    <w:rsid w:val="00777AAB"/>
    <w:rsid w:val="00781690"/>
    <w:rsid w:val="00782019"/>
    <w:rsid w:val="007822B2"/>
    <w:rsid w:val="00782D37"/>
    <w:rsid w:val="00783FC6"/>
    <w:rsid w:val="00784171"/>
    <w:rsid w:val="00785815"/>
    <w:rsid w:val="007864D2"/>
    <w:rsid w:val="0078679A"/>
    <w:rsid w:val="007870DD"/>
    <w:rsid w:val="007874C8"/>
    <w:rsid w:val="00790332"/>
    <w:rsid w:val="00791EFB"/>
    <w:rsid w:val="00792C61"/>
    <w:rsid w:val="007932F6"/>
    <w:rsid w:val="00795F91"/>
    <w:rsid w:val="00796322"/>
    <w:rsid w:val="0079700C"/>
    <w:rsid w:val="00797BD1"/>
    <w:rsid w:val="00797F2B"/>
    <w:rsid w:val="007A11CF"/>
    <w:rsid w:val="007A1D99"/>
    <w:rsid w:val="007A27A2"/>
    <w:rsid w:val="007A44A3"/>
    <w:rsid w:val="007A490A"/>
    <w:rsid w:val="007A58F6"/>
    <w:rsid w:val="007A5CC7"/>
    <w:rsid w:val="007A5DE4"/>
    <w:rsid w:val="007A6010"/>
    <w:rsid w:val="007A6239"/>
    <w:rsid w:val="007A69F5"/>
    <w:rsid w:val="007A77A4"/>
    <w:rsid w:val="007B06B4"/>
    <w:rsid w:val="007B1081"/>
    <w:rsid w:val="007B114E"/>
    <w:rsid w:val="007B147C"/>
    <w:rsid w:val="007B1BE2"/>
    <w:rsid w:val="007B2E95"/>
    <w:rsid w:val="007B39AE"/>
    <w:rsid w:val="007B4885"/>
    <w:rsid w:val="007B4E85"/>
    <w:rsid w:val="007B51D8"/>
    <w:rsid w:val="007B5D00"/>
    <w:rsid w:val="007B77B6"/>
    <w:rsid w:val="007C0B39"/>
    <w:rsid w:val="007C0F00"/>
    <w:rsid w:val="007C32C8"/>
    <w:rsid w:val="007C48B9"/>
    <w:rsid w:val="007C7C56"/>
    <w:rsid w:val="007D114A"/>
    <w:rsid w:val="007D1E71"/>
    <w:rsid w:val="007D216A"/>
    <w:rsid w:val="007D4A72"/>
    <w:rsid w:val="007D5BF8"/>
    <w:rsid w:val="007D5E09"/>
    <w:rsid w:val="007D7EC8"/>
    <w:rsid w:val="007E0F8F"/>
    <w:rsid w:val="007E12DF"/>
    <w:rsid w:val="007E2EA9"/>
    <w:rsid w:val="007E4846"/>
    <w:rsid w:val="007E4C61"/>
    <w:rsid w:val="007E69A7"/>
    <w:rsid w:val="007E7544"/>
    <w:rsid w:val="007F2358"/>
    <w:rsid w:val="007F2525"/>
    <w:rsid w:val="007F2648"/>
    <w:rsid w:val="007F3785"/>
    <w:rsid w:val="007F3B1D"/>
    <w:rsid w:val="007F420E"/>
    <w:rsid w:val="007F48F2"/>
    <w:rsid w:val="007F72CB"/>
    <w:rsid w:val="0080085D"/>
    <w:rsid w:val="00800B5B"/>
    <w:rsid w:val="00800E79"/>
    <w:rsid w:val="00801320"/>
    <w:rsid w:val="00802F6B"/>
    <w:rsid w:val="00803999"/>
    <w:rsid w:val="008039CB"/>
    <w:rsid w:val="00804B40"/>
    <w:rsid w:val="00805630"/>
    <w:rsid w:val="0080576E"/>
    <w:rsid w:val="008070EF"/>
    <w:rsid w:val="00810CCC"/>
    <w:rsid w:val="00811EC4"/>
    <w:rsid w:val="00814505"/>
    <w:rsid w:val="0081752D"/>
    <w:rsid w:val="008177D4"/>
    <w:rsid w:val="00821DCC"/>
    <w:rsid w:val="0082393D"/>
    <w:rsid w:val="00823A26"/>
    <w:rsid w:val="008253D8"/>
    <w:rsid w:val="0082601C"/>
    <w:rsid w:val="008264BE"/>
    <w:rsid w:val="00827144"/>
    <w:rsid w:val="0083069D"/>
    <w:rsid w:val="00830EBB"/>
    <w:rsid w:val="008310A6"/>
    <w:rsid w:val="00831E8B"/>
    <w:rsid w:val="0083360C"/>
    <w:rsid w:val="00833EE5"/>
    <w:rsid w:val="00834180"/>
    <w:rsid w:val="008347E3"/>
    <w:rsid w:val="00834A51"/>
    <w:rsid w:val="00834C0E"/>
    <w:rsid w:val="00834EF3"/>
    <w:rsid w:val="0083710E"/>
    <w:rsid w:val="00837DF6"/>
    <w:rsid w:val="00840C1D"/>
    <w:rsid w:val="00841129"/>
    <w:rsid w:val="00842855"/>
    <w:rsid w:val="00842A3D"/>
    <w:rsid w:val="00842A41"/>
    <w:rsid w:val="00843251"/>
    <w:rsid w:val="0084425B"/>
    <w:rsid w:val="00844EB1"/>
    <w:rsid w:val="00845D98"/>
    <w:rsid w:val="008471A6"/>
    <w:rsid w:val="0084767D"/>
    <w:rsid w:val="00847A6B"/>
    <w:rsid w:val="0085286A"/>
    <w:rsid w:val="00852A0D"/>
    <w:rsid w:val="00852DF7"/>
    <w:rsid w:val="00853556"/>
    <w:rsid w:val="00853A08"/>
    <w:rsid w:val="0085413F"/>
    <w:rsid w:val="00854321"/>
    <w:rsid w:val="00855020"/>
    <w:rsid w:val="00855E61"/>
    <w:rsid w:val="008563E3"/>
    <w:rsid w:val="00856A87"/>
    <w:rsid w:val="0086117D"/>
    <w:rsid w:val="00861C26"/>
    <w:rsid w:val="00861EBF"/>
    <w:rsid w:val="00862BB1"/>
    <w:rsid w:val="0086424C"/>
    <w:rsid w:val="008647DE"/>
    <w:rsid w:val="00865803"/>
    <w:rsid w:val="00866156"/>
    <w:rsid w:val="00866614"/>
    <w:rsid w:val="00866F24"/>
    <w:rsid w:val="00870DA2"/>
    <w:rsid w:val="00872E9C"/>
    <w:rsid w:val="008732F7"/>
    <w:rsid w:val="00874AC1"/>
    <w:rsid w:val="00875612"/>
    <w:rsid w:val="00876BDD"/>
    <w:rsid w:val="00876ECB"/>
    <w:rsid w:val="00877D74"/>
    <w:rsid w:val="008809D0"/>
    <w:rsid w:val="00880C28"/>
    <w:rsid w:val="008813A4"/>
    <w:rsid w:val="00882771"/>
    <w:rsid w:val="008827C3"/>
    <w:rsid w:val="0088573D"/>
    <w:rsid w:val="00886D6A"/>
    <w:rsid w:val="00887924"/>
    <w:rsid w:val="00891C1E"/>
    <w:rsid w:val="00894394"/>
    <w:rsid w:val="008957C2"/>
    <w:rsid w:val="0089740B"/>
    <w:rsid w:val="008A0843"/>
    <w:rsid w:val="008A1534"/>
    <w:rsid w:val="008A1EE9"/>
    <w:rsid w:val="008A32B3"/>
    <w:rsid w:val="008A4F22"/>
    <w:rsid w:val="008A4F2D"/>
    <w:rsid w:val="008A6566"/>
    <w:rsid w:val="008A7636"/>
    <w:rsid w:val="008B1443"/>
    <w:rsid w:val="008B1593"/>
    <w:rsid w:val="008B268C"/>
    <w:rsid w:val="008B2ACD"/>
    <w:rsid w:val="008B36BB"/>
    <w:rsid w:val="008B3CEB"/>
    <w:rsid w:val="008B41B0"/>
    <w:rsid w:val="008B4E34"/>
    <w:rsid w:val="008B6521"/>
    <w:rsid w:val="008C0535"/>
    <w:rsid w:val="008C27FE"/>
    <w:rsid w:val="008C29CA"/>
    <w:rsid w:val="008C4C73"/>
    <w:rsid w:val="008C6F86"/>
    <w:rsid w:val="008D1129"/>
    <w:rsid w:val="008D1AE6"/>
    <w:rsid w:val="008D3F2F"/>
    <w:rsid w:val="008D43DB"/>
    <w:rsid w:val="008D476C"/>
    <w:rsid w:val="008D4A3C"/>
    <w:rsid w:val="008D6251"/>
    <w:rsid w:val="008D732A"/>
    <w:rsid w:val="008E0094"/>
    <w:rsid w:val="008E0360"/>
    <w:rsid w:val="008E0756"/>
    <w:rsid w:val="008E0F2B"/>
    <w:rsid w:val="008E1AF1"/>
    <w:rsid w:val="008E1C26"/>
    <w:rsid w:val="008E256D"/>
    <w:rsid w:val="008E36DE"/>
    <w:rsid w:val="008E3E5B"/>
    <w:rsid w:val="008E49F7"/>
    <w:rsid w:val="008E4EA7"/>
    <w:rsid w:val="008E571F"/>
    <w:rsid w:val="008E59BC"/>
    <w:rsid w:val="008E6A01"/>
    <w:rsid w:val="008E6C2A"/>
    <w:rsid w:val="008E6DE9"/>
    <w:rsid w:val="008E783F"/>
    <w:rsid w:val="008F08E2"/>
    <w:rsid w:val="008F128C"/>
    <w:rsid w:val="008F1822"/>
    <w:rsid w:val="008F18B9"/>
    <w:rsid w:val="008F299A"/>
    <w:rsid w:val="008F3325"/>
    <w:rsid w:val="008F3611"/>
    <w:rsid w:val="008F3685"/>
    <w:rsid w:val="008F4C31"/>
    <w:rsid w:val="008F5E71"/>
    <w:rsid w:val="008F629C"/>
    <w:rsid w:val="008F7157"/>
    <w:rsid w:val="008F7FCA"/>
    <w:rsid w:val="0090150D"/>
    <w:rsid w:val="0090168D"/>
    <w:rsid w:val="00901EE2"/>
    <w:rsid w:val="0090208F"/>
    <w:rsid w:val="00903291"/>
    <w:rsid w:val="00903EE6"/>
    <w:rsid w:val="00904408"/>
    <w:rsid w:val="00904F04"/>
    <w:rsid w:val="00905584"/>
    <w:rsid w:val="00905C05"/>
    <w:rsid w:val="00906F11"/>
    <w:rsid w:val="009117B8"/>
    <w:rsid w:val="00911A01"/>
    <w:rsid w:val="00911D1D"/>
    <w:rsid w:val="009120E4"/>
    <w:rsid w:val="00912308"/>
    <w:rsid w:val="00912A7E"/>
    <w:rsid w:val="00912D59"/>
    <w:rsid w:val="009150BC"/>
    <w:rsid w:val="00915FFE"/>
    <w:rsid w:val="0091691F"/>
    <w:rsid w:val="00917845"/>
    <w:rsid w:val="00917A7A"/>
    <w:rsid w:val="00917D6C"/>
    <w:rsid w:val="00921B54"/>
    <w:rsid w:val="00922133"/>
    <w:rsid w:val="00922B79"/>
    <w:rsid w:val="00922DC8"/>
    <w:rsid w:val="00922ED0"/>
    <w:rsid w:val="0092337B"/>
    <w:rsid w:val="009245C5"/>
    <w:rsid w:val="00925DC5"/>
    <w:rsid w:val="009273E2"/>
    <w:rsid w:val="00927B84"/>
    <w:rsid w:val="0093074D"/>
    <w:rsid w:val="00930C17"/>
    <w:rsid w:val="00931441"/>
    <w:rsid w:val="00931BB1"/>
    <w:rsid w:val="009340CB"/>
    <w:rsid w:val="00934121"/>
    <w:rsid w:val="009343F7"/>
    <w:rsid w:val="00935D4E"/>
    <w:rsid w:val="00936315"/>
    <w:rsid w:val="00936953"/>
    <w:rsid w:val="00937009"/>
    <w:rsid w:val="00940237"/>
    <w:rsid w:val="00940256"/>
    <w:rsid w:val="00940463"/>
    <w:rsid w:val="00940C56"/>
    <w:rsid w:val="009423B4"/>
    <w:rsid w:val="0094610F"/>
    <w:rsid w:val="00950159"/>
    <w:rsid w:val="00950575"/>
    <w:rsid w:val="009512E2"/>
    <w:rsid w:val="00952BBC"/>
    <w:rsid w:val="0095640F"/>
    <w:rsid w:val="009573FB"/>
    <w:rsid w:val="009604D2"/>
    <w:rsid w:val="00960C6F"/>
    <w:rsid w:val="009611AF"/>
    <w:rsid w:val="0096138C"/>
    <w:rsid w:val="0096243D"/>
    <w:rsid w:val="00964C7C"/>
    <w:rsid w:val="00964CB0"/>
    <w:rsid w:val="00965158"/>
    <w:rsid w:val="00965A0E"/>
    <w:rsid w:val="00966549"/>
    <w:rsid w:val="009671ED"/>
    <w:rsid w:val="009673FA"/>
    <w:rsid w:val="009725D2"/>
    <w:rsid w:val="00973050"/>
    <w:rsid w:val="009748A7"/>
    <w:rsid w:val="0097545F"/>
    <w:rsid w:val="00975852"/>
    <w:rsid w:val="00975D27"/>
    <w:rsid w:val="009761BB"/>
    <w:rsid w:val="009767FA"/>
    <w:rsid w:val="00976BD6"/>
    <w:rsid w:val="00976F8D"/>
    <w:rsid w:val="00977307"/>
    <w:rsid w:val="00982F4B"/>
    <w:rsid w:val="009831B8"/>
    <w:rsid w:val="0098439F"/>
    <w:rsid w:val="0098509D"/>
    <w:rsid w:val="00992245"/>
    <w:rsid w:val="00992537"/>
    <w:rsid w:val="00992991"/>
    <w:rsid w:val="00992C28"/>
    <w:rsid w:val="0099481B"/>
    <w:rsid w:val="009959B7"/>
    <w:rsid w:val="00997B15"/>
    <w:rsid w:val="009A0270"/>
    <w:rsid w:val="009A14FF"/>
    <w:rsid w:val="009A1894"/>
    <w:rsid w:val="009A3152"/>
    <w:rsid w:val="009A3B3F"/>
    <w:rsid w:val="009A7D4D"/>
    <w:rsid w:val="009A7D6E"/>
    <w:rsid w:val="009B203E"/>
    <w:rsid w:val="009B323F"/>
    <w:rsid w:val="009B3865"/>
    <w:rsid w:val="009B49FC"/>
    <w:rsid w:val="009B73FF"/>
    <w:rsid w:val="009B7F87"/>
    <w:rsid w:val="009C0302"/>
    <w:rsid w:val="009C7564"/>
    <w:rsid w:val="009C7BC9"/>
    <w:rsid w:val="009C7C4C"/>
    <w:rsid w:val="009C7F90"/>
    <w:rsid w:val="009D089F"/>
    <w:rsid w:val="009D0A87"/>
    <w:rsid w:val="009D0F0C"/>
    <w:rsid w:val="009D2563"/>
    <w:rsid w:val="009D2DD6"/>
    <w:rsid w:val="009D3E74"/>
    <w:rsid w:val="009D3F39"/>
    <w:rsid w:val="009D5BC0"/>
    <w:rsid w:val="009E028B"/>
    <w:rsid w:val="009E1780"/>
    <w:rsid w:val="009E51A7"/>
    <w:rsid w:val="009E597D"/>
    <w:rsid w:val="009E682E"/>
    <w:rsid w:val="009E777F"/>
    <w:rsid w:val="009E7926"/>
    <w:rsid w:val="009F0EF1"/>
    <w:rsid w:val="009F10D8"/>
    <w:rsid w:val="009F1606"/>
    <w:rsid w:val="009F1D19"/>
    <w:rsid w:val="009F2628"/>
    <w:rsid w:val="009F2BA2"/>
    <w:rsid w:val="009F3509"/>
    <w:rsid w:val="009F6FC3"/>
    <w:rsid w:val="009F7320"/>
    <w:rsid w:val="009F7A18"/>
    <w:rsid w:val="009F7B75"/>
    <w:rsid w:val="00A00090"/>
    <w:rsid w:val="00A003C9"/>
    <w:rsid w:val="00A0094B"/>
    <w:rsid w:val="00A00BDC"/>
    <w:rsid w:val="00A0128D"/>
    <w:rsid w:val="00A01D28"/>
    <w:rsid w:val="00A02C90"/>
    <w:rsid w:val="00A030A8"/>
    <w:rsid w:val="00A034AA"/>
    <w:rsid w:val="00A07B71"/>
    <w:rsid w:val="00A07C2E"/>
    <w:rsid w:val="00A07C95"/>
    <w:rsid w:val="00A1065B"/>
    <w:rsid w:val="00A1098F"/>
    <w:rsid w:val="00A11D08"/>
    <w:rsid w:val="00A126C1"/>
    <w:rsid w:val="00A14565"/>
    <w:rsid w:val="00A14700"/>
    <w:rsid w:val="00A14860"/>
    <w:rsid w:val="00A15929"/>
    <w:rsid w:val="00A15D32"/>
    <w:rsid w:val="00A1682E"/>
    <w:rsid w:val="00A2147D"/>
    <w:rsid w:val="00A21506"/>
    <w:rsid w:val="00A21AF2"/>
    <w:rsid w:val="00A22F45"/>
    <w:rsid w:val="00A23446"/>
    <w:rsid w:val="00A23EDB"/>
    <w:rsid w:val="00A241E2"/>
    <w:rsid w:val="00A27D2E"/>
    <w:rsid w:val="00A30658"/>
    <w:rsid w:val="00A306C2"/>
    <w:rsid w:val="00A30AC5"/>
    <w:rsid w:val="00A31353"/>
    <w:rsid w:val="00A34450"/>
    <w:rsid w:val="00A35744"/>
    <w:rsid w:val="00A37811"/>
    <w:rsid w:val="00A37D29"/>
    <w:rsid w:val="00A37EBD"/>
    <w:rsid w:val="00A4183C"/>
    <w:rsid w:val="00A42B9E"/>
    <w:rsid w:val="00A45063"/>
    <w:rsid w:val="00A455CD"/>
    <w:rsid w:val="00A460F3"/>
    <w:rsid w:val="00A468CE"/>
    <w:rsid w:val="00A50007"/>
    <w:rsid w:val="00A500FC"/>
    <w:rsid w:val="00A50432"/>
    <w:rsid w:val="00A523B9"/>
    <w:rsid w:val="00A5453D"/>
    <w:rsid w:val="00A55D34"/>
    <w:rsid w:val="00A5626C"/>
    <w:rsid w:val="00A57391"/>
    <w:rsid w:val="00A6002A"/>
    <w:rsid w:val="00A6066C"/>
    <w:rsid w:val="00A6076E"/>
    <w:rsid w:val="00A626FE"/>
    <w:rsid w:val="00A62DEC"/>
    <w:rsid w:val="00A644AF"/>
    <w:rsid w:val="00A65275"/>
    <w:rsid w:val="00A654AA"/>
    <w:rsid w:val="00A657DA"/>
    <w:rsid w:val="00A677D4"/>
    <w:rsid w:val="00A7035B"/>
    <w:rsid w:val="00A73C5B"/>
    <w:rsid w:val="00A73D78"/>
    <w:rsid w:val="00A74028"/>
    <w:rsid w:val="00A747CC"/>
    <w:rsid w:val="00A7482B"/>
    <w:rsid w:val="00A74C7E"/>
    <w:rsid w:val="00A77093"/>
    <w:rsid w:val="00A773AD"/>
    <w:rsid w:val="00A77B77"/>
    <w:rsid w:val="00A80C1C"/>
    <w:rsid w:val="00A82147"/>
    <w:rsid w:val="00A861C7"/>
    <w:rsid w:val="00A8626B"/>
    <w:rsid w:val="00A875BD"/>
    <w:rsid w:val="00A87D49"/>
    <w:rsid w:val="00A904EC"/>
    <w:rsid w:val="00A915A2"/>
    <w:rsid w:val="00A9193C"/>
    <w:rsid w:val="00A94D23"/>
    <w:rsid w:val="00A962D5"/>
    <w:rsid w:val="00A96CC6"/>
    <w:rsid w:val="00A97736"/>
    <w:rsid w:val="00AA0B13"/>
    <w:rsid w:val="00AA1B3B"/>
    <w:rsid w:val="00AA2974"/>
    <w:rsid w:val="00AA30B4"/>
    <w:rsid w:val="00AA351C"/>
    <w:rsid w:val="00AA4A11"/>
    <w:rsid w:val="00AA5436"/>
    <w:rsid w:val="00AA6271"/>
    <w:rsid w:val="00AB0130"/>
    <w:rsid w:val="00AB0624"/>
    <w:rsid w:val="00AB13D7"/>
    <w:rsid w:val="00AB1B30"/>
    <w:rsid w:val="00AB24B8"/>
    <w:rsid w:val="00AB3480"/>
    <w:rsid w:val="00AB37BB"/>
    <w:rsid w:val="00AB7889"/>
    <w:rsid w:val="00AC1626"/>
    <w:rsid w:val="00AC2105"/>
    <w:rsid w:val="00AC3278"/>
    <w:rsid w:val="00AC409A"/>
    <w:rsid w:val="00AC4528"/>
    <w:rsid w:val="00AC5847"/>
    <w:rsid w:val="00AC5974"/>
    <w:rsid w:val="00AC5E50"/>
    <w:rsid w:val="00AC6043"/>
    <w:rsid w:val="00AC66D4"/>
    <w:rsid w:val="00AD3A5B"/>
    <w:rsid w:val="00AD4B5E"/>
    <w:rsid w:val="00AD6ADC"/>
    <w:rsid w:val="00AD6C86"/>
    <w:rsid w:val="00AD7ACD"/>
    <w:rsid w:val="00AD7CEB"/>
    <w:rsid w:val="00AD7F7A"/>
    <w:rsid w:val="00AE0B3C"/>
    <w:rsid w:val="00AE1477"/>
    <w:rsid w:val="00AE1BA4"/>
    <w:rsid w:val="00AE2AB9"/>
    <w:rsid w:val="00AE3537"/>
    <w:rsid w:val="00AE3A53"/>
    <w:rsid w:val="00AE50E4"/>
    <w:rsid w:val="00AE6C6D"/>
    <w:rsid w:val="00AE754F"/>
    <w:rsid w:val="00AE75B6"/>
    <w:rsid w:val="00AE7ECF"/>
    <w:rsid w:val="00AF031D"/>
    <w:rsid w:val="00AF0BB2"/>
    <w:rsid w:val="00AF3B55"/>
    <w:rsid w:val="00AF47CB"/>
    <w:rsid w:val="00AF5A69"/>
    <w:rsid w:val="00AF5AAF"/>
    <w:rsid w:val="00AF5B4B"/>
    <w:rsid w:val="00AF61CB"/>
    <w:rsid w:val="00AF6228"/>
    <w:rsid w:val="00AF7640"/>
    <w:rsid w:val="00B0037B"/>
    <w:rsid w:val="00B0233E"/>
    <w:rsid w:val="00B03048"/>
    <w:rsid w:val="00B05C8A"/>
    <w:rsid w:val="00B05F54"/>
    <w:rsid w:val="00B06551"/>
    <w:rsid w:val="00B06590"/>
    <w:rsid w:val="00B06AAC"/>
    <w:rsid w:val="00B06CE8"/>
    <w:rsid w:val="00B07B2D"/>
    <w:rsid w:val="00B11133"/>
    <w:rsid w:val="00B1308F"/>
    <w:rsid w:val="00B13CF4"/>
    <w:rsid w:val="00B1446E"/>
    <w:rsid w:val="00B15449"/>
    <w:rsid w:val="00B1729E"/>
    <w:rsid w:val="00B172C7"/>
    <w:rsid w:val="00B20051"/>
    <w:rsid w:val="00B20F47"/>
    <w:rsid w:val="00B212B3"/>
    <w:rsid w:val="00B212C4"/>
    <w:rsid w:val="00B222A8"/>
    <w:rsid w:val="00B224CD"/>
    <w:rsid w:val="00B22982"/>
    <w:rsid w:val="00B22EAC"/>
    <w:rsid w:val="00B23064"/>
    <w:rsid w:val="00B23B76"/>
    <w:rsid w:val="00B24470"/>
    <w:rsid w:val="00B24559"/>
    <w:rsid w:val="00B24AE5"/>
    <w:rsid w:val="00B252BE"/>
    <w:rsid w:val="00B26104"/>
    <w:rsid w:val="00B26394"/>
    <w:rsid w:val="00B270FE"/>
    <w:rsid w:val="00B27C46"/>
    <w:rsid w:val="00B32653"/>
    <w:rsid w:val="00B33078"/>
    <w:rsid w:val="00B33776"/>
    <w:rsid w:val="00B3441C"/>
    <w:rsid w:val="00B360CA"/>
    <w:rsid w:val="00B36426"/>
    <w:rsid w:val="00B365AC"/>
    <w:rsid w:val="00B36BB6"/>
    <w:rsid w:val="00B378FE"/>
    <w:rsid w:val="00B40E2A"/>
    <w:rsid w:val="00B42882"/>
    <w:rsid w:val="00B429DA"/>
    <w:rsid w:val="00B43F15"/>
    <w:rsid w:val="00B44214"/>
    <w:rsid w:val="00B4464A"/>
    <w:rsid w:val="00B4528E"/>
    <w:rsid w:val="00B47BAD"/>
    <w:rsid w:val="00B506AD"/>
    <w:rsid w:val="00B51777"/>
    <w:rsid w:val="00B51A8C"/>
    <w:rsid w:val="00B530D8"/>
    <w:rsid w:val="00B57F9B"/>
    <w:rsid w:val="00B6008C"/>
    <w:rsid w:val="00B600F3"/>
    <w:rsid w:val="00B60666"/>
    <w:rsid w:val="00B60FB7"/>
    <w:rsid w:val="00B61059"/>
    <w:rsid w:val="00B62462"/>
    <w:rsid w:val="00B639FE"/>
    <w:rsid w:val="00B64827"/>
    <w:rsid w:val="00B64B49"/>
    <w:rsid w:val="00B64C86"/>
    <w:rsid w:val="00B64F91"/>
    <w:rsid w:val="00B67031"/>
    <w:rsid w:val="00B70AB5"/>
    <w:rsid w:val="00B70D3F"/>
    <w:rsid w:val="00B7126A"/>
    <w:rsid w:val="00B71307"/>
    <w:rsid w:val="00B71804"/>
    <w:rsid w:val="00B75FD0"/>
    <w:rsid w:val="00B80558"/>
    <w:rsid w:val="00B81A33"/>
    <w:rsid w:val="00B8270C"/>
    <w:rsid w:val="00B82F08"/>
    <w:rsid w:val="00B8478A"/>
    <w:rsid w:val="00B85FF9"/>
    <w:rsid w:val="00B87295"/>
    <w:rsid w:val="00B905E2"/>
    <w:rsid w:val="00B930BC"/>
    <w:rsid w:val="00B94CC4"/>
    <w:rsid w:val="00B94FDF"/>
    <w:rsid w:val="00B9675E"/>
    <w:rsid w:val="00BA066C"/>
    <w:rsid w:val="00BA15FC"/>
    <w:rsid w:val="00BA1A3A"/>
    <w:rsid w:val="00BA1BA2"/>
    <w:rsid w:val="00BA2106"/>
    <w:rsid w:val="00BA4811"/>
    <w:rsid w:val="00BA5A77"/>
    <w:rsid w:val="00BA6A1A"/>
    <w:rsid w:val="00BB0AB4"/>
    <w:rsid w:val="00BB108A"/>
    <w:rsid w:val="00BB1776"/>
    <w:rsid w:val="00BB18A4"/>
    <w:rsid w:val="00BB1AA1"/>
    <w:rsid w:val="00BB1F36"/>
    <w:rsid w:val="00BB2385"/>
    <w:rsid w:val="00BB33A3"/>
    <w:rsid w:val="00BB38F0"/>
    <w:rsid w:val="00BB3F72"/>
    <w:rsid w:val="00BB4049"/>
    <w:rsid w:val="00BB4CB2"/>
    <w:rsid w:val="00BB50E5"/>
    <w:rsid w:val="00BB678C"/>
    <w:rsid w:val="00BB6877"/>
    <w:rsid w:val="00BB7BEC"/>
    <w:rsid w:val="00BC11F6"/>
    <w:rsid w:val="00BC312C"/>
    <w:rsid w:val="00BC341E"/>
    <w:rsid w:val="00BC375E"/>
    <w:rsid w:val="00BC4296"/>
    <w:rsid w:val="00BC6960"/>
    <w:rsid w:val="00BD0686"/>
    <w:rsid w:val="00BD1142"/>
    <w:rsid w:val="00BD1339"/>
    <w:rsid w:val="00BD19A7"/>
    <w:rsid w:val="00BD45C8"/>
    <w:rsid w:val="00BD6FA8"/>
    <w:rsid w:val="00BD7D9C"/>
    <w:rsid w:val="00BE0A2F"/>
    <w:rsid w:val="00BE2960"/>
    <w:rsid w:val="00BE48AB"/>
    <w:rsid w:val="00BE4B5C"/>
    <w:rsid w:val="00BE5123"/>
    <w:rsid w:val="00BE5262"/>
    <w:rsid w:val="00BE716C"/>
    <w:rsid w:val="00BE7D6D"/>
    <w:rsid w:val="00BF0025"/>
    <w:rsid w:val="00BF0D90"/>
    <w:rsid w:val="00BF0DE6"/>
    <w:rsid w:val="00BF2DDF"/>
    <w:rsid w:val="00BF550B"/>
    <w:rsid w:val="00BF560C"/>
    <w:rsid w:val="00BF5FF2"/>
    <w:rsid w:val="00BF6B67"/>
    <w:rsid w:val="00C00907"/>
    <w:rsid w:val="00C00BB6"/>
    <w:rsid w:val="00C00F4F"/>
    <w:rsid w:val="00C01AB6"/>
    <w:rsid w:val="00C05EDA"/>
    <w:rsid w:val="00C0612B"/>
    <w:rsid w:val="00C065B5"/>
    <w:rsid w:val="00C06DDE"/>
    <w:rsid w:val="00C1015E"/>
    <w:rsid w:val="00C101FD"/>
    <w:rsid w:val="00C102D3"/>
    <w:rsid w:val="00C1235E"/>
    <w:rsid w:val="00C14AC1"/>
    <w:rsid w:val="00C14E64"/>
    <w:rsid w:val="00C16350"/>
    <w:rsid w:val="00C1637A"/>
    <w:rsid w:val="00C16C66"/>
    <w:rsid w:val="00C17123"/>
    <w:rsid w:val="00C17E3F"/>
    <w:rsid w:val="00C20A7B"/>
    <w:rsid w:val="00C20FEC"/>
    <w:rsid w:val="00C22514"/>
    <w:rsid w:val="00C22D36"/>
    <w:rsid w:val="00C23042"/>
    <w:rsid w:val="00C23E0B"/>
    <w:rsid w:val="00C24EB6"/>
    <w:rsid w:val="00C24FBC"/>
    <w:rsid w:val="00C25E28"/>
    <w:rsid w:val="00C26267"/>
    <w:rsid w:val="00C26DA7"/>
    <w:rsid w:val="00C2734D"/>
    <w:rsid w:val="00C278FF"/>
    <w:rsid w:val="00C27EB3"/>
    <w:rsid w:val="00C307DB"/>
    <w:rsid w:val="00C3083D"/>
    <w:rsid w:val="00C31558"/>
    <w:rsid w:val="00C319B7"/>
    <w:rsid w:val="00C31A29"/>
    <w:rsid w:val="00C33CDC"/>
    <w:rsid w:val="00C33EE0"/>
    <w:rsid w:val="00C33FB5"/>
    <w:rsid w:val="00C34AF9"/>
    <w:rsid w:val="00C35589"/>
    <w:rsid w:val="00C3558B"/>
    <w:rsid w:val="00C35A06"/>
    <w:rsid w:val="00C360E3"/>
    <w:rsid w:val="00C363D7"/>
    <w:rsid w:val="00C364B8"/>
    <w:rsid w:val="00C371B6"/>
    <w:rsid w:val="00C3745C"/>
    <w:rsid w:val="00C3777B"/>
    <w:rsid w:val="00C4062A"/>
    <w:rsid w:val="00C410FF"/>
    <w:rsid w:val="00C420C9"/>
    <w:rsid w:val="00C42894"/>
    <w:rsid w:val="00C42D1B"/>
    <w:rsid w:val="00C43088"/>
    <w:rsid w:val="00C46851"/>
    <w:rsid w:val="00C46DF4"/>
    <w:rsid w:val="00C50C93"/>
    <w:rsid w:val="00C534B0"/>
    <w:rsid w:val="00C5406D"/>
    <w:rsid w:val="00C54100"/>
    <w:rsid w:val="00C54BB8"/>
    <w:rsid w:val="00C55FB4"/>
    <w:rsid w:val="00C56684"/>
    <w:rsid w:val="00C57860"/>
    <w:rsid w:val="00C5788E"/>
    <w:rsid w:val="00C57A83"/>
    <w:rsid w:val="00C63283"/>
    <w:rsid w:val="00C634F4"/>
    <w:rsid w:val="00C63C23"/>
    <w:rsid w:val="00C65428"/>
    <w:rsid w:val="00C6592F"/>
    <w:rsid w:val="00C660CE"/>
    <w:rsid w:val="00C67465"/>
    <w:rsid w:val="00C703D8"/>
    <w:rsid w:val="00C70420"/>
    <w:rsid w:val="00C72DCC"/>
    <w:rsid w:val="00C75DDE"/>
    <w:rsid w:val="00C778AB"/>
    <w:rsid w:val="00C808EB"/>
    <w:rsid w:val="00C80D26"/>
    <w:rsid w:val="00C8326D"/>
    <w:rsid w:val="00C84232"/>
    <w:rsid w:val="00C84BE6"/>
    <w:rsid w:val="00C85C7F"/>
    <w:rsid w:val="00C87414"/>
    <w:rsid w:val="00C87C21"/>
    <w:rsid w:val="00C90A58"/>
    <w:rsid w:val="00C910AB"/>
    <w:rsid w:val="00C910B4"/>
    <w:rsid w:val="00C92079"/>
    <w:rsid w:val="00C93A93"/>
    <w:rsid w:val="00C93EB9"/>
    <w:rsid w:val="00C93EEB"/>
    <w:rsid w:val="00C9528F"/>
    <w:rsid w:val="00C953CC"/>
    <w:rsid w:val="00C9653B"/>
    <w:rsid w:val="00CA0CE7"/>
    <w:rsid w:val="00CA498F"/>
    <w:rsid w:val="00CA521B"/>
    <w:rsid w:val="00CA6082"/>
    <w:rsid w:val="00CA78FB"/>
    <w:rsid w:val="00CB2AE2"/>
    <w:rsid w:val="00CB2EA0"/>
    <w:rsid w:val="00CB301C"/>
    <w:rsid w:val="00CB32FD"/>
    <w:rsid w:val="00CB39DA"/>
    <w:rsid w:val="00CB3B7B"/>
    <w:rsid w:val="00CB4AE8"/>
    <w:rsid w:val="00CB6F0C"/>
    <w:rsid w:val="00CB7975"/>
    <w:rsid w:val="00CC11D4"/>
    <w:rsid w:val="00CC20E1"/>
    <w:rsid w:val="00CC3648"/>
    <w:rsid w:val="00CC64CA"/>
    <w:rsid w:val="00CC7C49"/>
    <w:rsid w:val="00CC7E26"/>
    <w:rsid w:val="00CD788C"/>
    <w:rsid w:val="00CD7E50"/>
    <w:rsid w:val="00CE0055"/>
    <w:rsid w:val="00CE2E27"/>
    <w:rsid w:val="00CE2EFC"/>
    <w:rsid w:val="00CE3437"/>
    <w:rsid w:val="00CE344E"/>
    <w:rsid w:val="00CE693F"/>
    <w:rsid w:val="00CE6F25"/>
    <w:rsid w:val="00CE752D"/>
    <w:rsid w:val="00CE781C"/>
    <w:rsid w:val="00CF2931"/>
    <w:rsid w:val="00CF2CDD"/>
    <w:rsid w:val="00CF56E2"/>
    <w:rsid w:val="00CF6767"/>
    <w:rsid w:val="00CF7690"/>
    <w:rsid w:val="00CF7E85"/>
    <w:rsid w:val="00D00B0D"/>
    <w:rsid w:val="00D00CC9"/>
    <w:rsid w:val="00D02F50"/>
    <w:rsid w:val="00D03161"/>
    <w:rsid w:val="00D03AE7"/>
    <w:rsid w:val="00D059F5"/>
    <w:rsid w:val="00D05A42"/>
    <w:rsid w:val="00D104C9"/>
    <w:rsid w:val="00D10842"/>
    <w:rsid w:val="00D125FB"/>
    <w:rsid w:val="00D13F3B"/>
    <w:rsid w:val="00D13FF0"/>
    <w:rsid w:val="00D14FCB"/>
    <w:rsid w:val="00D15069"/>
    <w:rsid w:val="00D15A0F"/>
    <w:rsid w:val="00D15A68"/>
    <w:rsid w:val="00D20D3B"/>
    <w:rsid w:val="00D2197A"/>
    <w:rsid w:val="00D22150"/>
    <w:rsid w:val="00D221F7"/>
    <w:rsid w:val="00D23AE1"/>
    <w:rsid w:val="00D252B9"/>
    <w:rsid w:val="00D2676A"/>
    <w:rsid w:val="00D27A03"/>
    <w:rsid w:val="00D315CD"/>
    <w:rsid w:val="00D3202E"/>
    <w:rsid w:val="00D323D6"/>
    <w:rsid w:val="00D32AF0"/>
    <w:rsid w:val="00D344F9"/>
    <w:rsid w:val="00D36050"/>
    <w:rsid w:val="00D374E8"/>
    <w:rsid w:val="00D37FD0"/>
    <w:rsid w:val="00D408DD"/>
    <w:rsid w:val="00D40985"/>
    <w:rsid w:val="00D40BD1"/>
    <w:rsid w:val="00D4118B"/>
    <w:rsid w:val="00D42184"/>
    <w:rsid w:val="00D43A6A"/>
    <w:rsid w:val="00D44D3E"/>
    <w:rsid w:val="00D46CE0"/>
    <w:rsid w:val="00D46F65"/>
    <w:rsid w:val="00D470EF"/>
    <w:rsid w:val="00D470FF"/>
    <w:rsid w:val="00D50142"/>
    <w:rsid w:val="00D51E1B"/>
    <w:rsid w:val="00D5241E"/>
    <w:rsid w:val="00D52611"/>
    <w:rsid w:val="00D53211"/>
    <w:rsid w:val="00D53338"/>
    <w:rsid w:val="00D537C9"/>
    <w:rsid w:val="00D53C9D"/>
    <w:rsid w:val="00D54046"/>
    <w:rsid w:val="00D54F29"/>
    <w:rsid w:val="00D54F6D"/>
    <w:rsid w:val="00D567BD"/>
    <w:rsid w:val="00D610A7"/>
    <w:rsid w:val="00D61DC4"/>
    <w:rsid w:val="00D624D5"/>
    <w:rsid w:val="00D62D16"/>
    <w:rsid w:val="00D65384"/>
    <w:rsid w:val="00D659E6"/>
    <w:rsid w:val="00D6656A"/>
    <w:rsid w:val="00D67B4D"/>
    <w:rsid w:val="00D706ED"/>
    <w:rsid w:val="00D70B7E"/>
    <w:rsid w:val="00D71466"/>
    <w:rsid w:val="00D71EE1"/>
    <w:rsid w:val="00D733B9"/>
    <w:rsid w:val="00D73494"/>
    <w:rsid w:val="00D73B62"/>
    <w:rsid w:val="00D75720"/>
    <w:rsid w:val="00D75B66"/>
    <w:rsid w:val="00D76399"/>
    <w:rsid w:val="00D7658B"/>
    <w:rsid w:val="00D778AF"/>
    <w:rsid w:val="00D80638"/>
    <w:rsid w:val="00D80A7B"/>
    <w:rsid w:val="00D80B59"/>
    <w:rsid w:val="00D81244"/>
    <w:rsid w:val="00D813BE"/>
    <w:rsid w:val="00D84267"/>
    <w:rsid w:val="00D851A2"/>
    <w:rsid w:val="00D86128"/>
    <w:rsid w:val="00D86C00"/>
    <w:rsid w:val="00D91186"/>
    <w:rsid w:val="00D919AE"/>
    <w:rsid w:val="00D9299A"/>
    <w:rsid w:val="00D9359F"/>
    <w:rsid w:val="00D93EA8"/>
    <w:rsid w:val="00D95691"/>
    <w:rsid w:val="00D97CFA"/>
    <w:rsid w:val="00DA02BF"/>
    <w:rsid w:val="00DA1614"/>
    <w:rsid w:val="00DA1953"/>
    <w:rsid w:val="00DA1971"/>
    <w:rsid w:val="00DA1C42"/>
    <w:rsid w:val="00DA258D"/>
    <w:rsid w:val="00DA27B7"/>
    <w:rsid w:val="00DA2D17"/>
    <w:rsid w:val="00DA443A"/>
    <w:rsid w:val="00DA4CD2"/>
    <w:rsid w:val="00DA5E74"/>
    <w:rsid w:val="00DA676D"/>
    <w:rsid w:val="00DA6D7A"/>
    <w:rsid w:val="00DA7781"/>
    <w:rsid w:val="00DA78E1"/>
    <w:rsid w:val="00DA7E4F"/>
    <w:rsid w:val="00DA7FDA"/>
    <w:rsid w:val="00DB00E8"/>
    <w:rsid w:val="00DB1124"/>
    <w:rsid w:val="00DB15B1"/>
    <w:rsid w:val="00DB2685"/>
    <w:rsid w:val="00DB3598"/>
    <w:rsid w:val="00DB57AB"/>
    <w:rsid w:val="00DB5EF2"/>
    <w:rsid w:val="00DB664C"/>
    <w:rsid w:val="00DB747B"/>
    <w:rsid w:val="00DB7CFF"/>
    <w:rsid w:val="00DB7EE6"/>
    <w:rsid w:val="00DC0622"/>
    <w:rsid w:val="00DC09AD"/>
    <w:rsid w:val="00DC0ED8"/>
    <w:rsid w:val="00DC2345"/>
    <w:rsid w:val="00DC2AD7"/>
    <w:rsid w:val="00DC2BBE"/>
    <w:rsid w:val="00DC53ED"/>
    <w:rsid w:val="00DC5C39"/>
    <w:rsid w:val="00DC6749"/>
    <w:rsid w:val="00DC69BA"/>
    <w:rsid w:val="00DC701F"/>
    <w:rsid w:val="00DC724C"/>
    <w:rsid w:val="00DD04F0"/>
    <w:rsid w:val="00DD0D28"/>
    <w:rsid w:val="00DD484C"/>
    <w:rsid w:val="00DD681A"/>
    <w:rsid w:val="00DD722B"/>
    <w:rsid w:val="00DE016A"/>
    <w:rsid w:val="00DE11FD"/>
    <w:rsid w:val="00DE1662"/>
    <w:rsid w:val="00DE1C6A"/>
    <w:rsid w:val="00DE1EF7"/>
    <w:rsid w:val="00DE4112"/>
    <w:rsid w:val="00DE43D2"/>
    <w:rsid w:val="00DE50F8"/>
    <w:rsid w:val="00DE55E7"/>
    <w:rsid w:val="00DE58BA"/>
    <w:rsid w:val="00DE7E96"/>
    <w:rsid w:val="00DF0FA1"/>
    <w:rsid w:val="00DF1641"/>
    <w:rsid w:val="00DF1F2F"/>
    <w:rsid w:val="00DF27D3"/>
    <w:rsid w:val="00DF3C0E"/>
    <w:rsid w:val="00DF46BB"/>
    <w:rsid w:val="00DF4B88"/>
    <w:rsid w:val="00DF62CA"/>
    <w:rsid w:val="00E00C46"/>
    <w:rsid w:val="00E03B7D"/>
    <w:rsid w:val="00E04997"/>
    <w:rsid w:val="00E0501B"/>
    <w:rsid w:val="00E0519D"/>
    <w:rsid w:val="00E055DF"/>
    <w:rsid w:val="00E06F6B"/>
    <w:rsid w:val="00E103AF"/>
    <w:rsid w:val="00E1086D"/>
    <w:rsid w:val="00E10AFD"/>
    <w:rsid w:val="00E11D2F"/>
    <w:rsid w:val="00E12A1E"/>
    <w:rsid w:val="00E12C81"/>
    <w:rsid w:val="00E15A7B"/>
    <w:rsid w:val="00E15BB4"/>
    <w:rsid w:val="00E169B1"/>
    <w:rsid w:val="00E20A4E"/>
    <w:rsid w:val="00E20B9A"/>
    <w:rsid w:val="00E21CC3"/>
    <w:rsid w:val="00E229A2"/>
    <w:rsid w:val="00E22A0D"/>
    <w:rsid w:val="00E2306C"/>
    <w:rsid w:val="00E24665"/>
    <w:rsid w:val="00E24C99"/>
    <w:rsid w:val="00E252B0"/>
    <w:rsid w:val="00E25BAA"/>
    <w:rsid w:val="00E2644F"/>
    <w:rsid w:val="00E265CB"/>
    <w:rsid w:val="00E27E15"/>
    <w:rsid w:val="00E30DA2"/>
    <w:rsid w:val="00E30FAF"/>
    <w:rsid w:val="00E32290"/>
    <w:rsid w:val="00E32308"/>
    <w:rsid w:val="00E338FB"/>
    <w:rsid w:val="00E3581D"/>
    <w:rsid w:val="00E35C6E"/>
    <w:rsid w:val="00E372C0"/>
    <w:rsid w:val="00E41092"/>
    <w:rsid w:val="00E4157F"/>
    <w:rsid w:val="00E4165A"/>
    <w:rsid w:val="00E416E3"/>
    <w:rsid w:val="00E4195D"/>
    <w:rsid w:val="00E41C80"/>
    <w:rsid w:val="00E43BD4"/>
    <w:rsid w:val="00E44994"/>
    <w:rsid w:val="00E4528F"/>
    <w:rsid w:val="00E453E8"/>
    <w:rsid w:val="00E462D6"/>
    <w:rsid w:val="00E47ADC"/>
    <w:rsid w:val="00E53D7E"/>
    <w:rsid w:val="00E54495"/>
    <w:rsid w:val="00E55716"/>
    <w:rsid w:val="00E577E7"/>
    <w:rsid w:val="00E578F7"/>
    <w:rsid w:val="00E579D5"/>
    <w:rsid w:val="00E57A4B"/>
    <w:rsid w:val="00E57CCB"/>
    <w:rsid w:val="00E6119A"/>
    <w:rsid w:val="00E625C1"/>
    <w:rsid w:val="00E63003"/>
    <w:rsid w:val="00E64595"/>
    <w:rsid w:val="00E64714"/>
    <w:rsid w:val="00E65251"/>
    <w:rsid w:val="00E65451"/>
    <w:rsid w:val="00E6582E"/>
    <w:rsid w:val="00E659DC"/>
    <w:rsid w:val="00E66A4C"/>
    <w:rsid w:val="00E66C79"/>
    <w:rsid w:val="00E66E0B"/>
    <w:rsid w:val="00E672B7"/>
    <w:rsid w:val="00E67C15"/>
    <w:rsid w:val="00E701FB"/>
    <w:rsid w:val="00E71054"/>
    <w:rsid w:val="00E711C6"/>
    <w:rsid w:val="00E73563"/>
    <w:rsid w:val="00E7432B"/>
    <w:rsid w:val="00E745B8"/>
    <w:rsid w:val="00E74932"/>
    <w:rsid w:val="00E764AE"/>
    <w:rsid w:val="00E76562"/>
    <w:rsid w:val="00E76C21"/>
    <w:rsid w:val="00E77477"/>
    <w:rsid w:val="00E77747"/>
    <w:rsid w:val="00E778FA"/>
    <w:rsid w:val="00E80753"/>
    <w:rsid w:val="00E807F7"/>
    <w:rsid w:val="00E830B8"/>
    <w:rsid w:val="00E836EC"/>
    <w:rsid w:val="00E878E4"/>
    <w:rsid w:val="00E87A8E"/>
    <w:rsid w:val="00E90327"/>
    <w:rsid w:val="00E91B9E"/>
    <w:rsid w:val="00E91D0D"/>
    <w:rsid w:val="00E91D1C"/>
    <w:rsid w:val="00E92330"/>
    <w:rsid w:val="00E92934"/>
    <w:rsid w:val="00E939D2"/>
    <w:rsid w:val="00E93E4F"/>
    <w:rsid w:val="00E94B30"/>
    <w:rsid w:val="00E95251"/>
    <w:rsid w:val="00E959FF"/>
    <w:rsid w:val="00E95CE7"/>
    <w:rsid w:val="00E95E24"/>
    <w:rsid w:val="00E96483"/>
    <w:rsid w:val="00E975CC"/>
    <w:rsid w:val="00EA05B4"/>
    <w:rsid w:val="00EA0868"/>
    <w:rsid w:val="00EA13D9"/>
    <w:rsid w:val="00EA1EA6"/>
    <w:rsid w:val="00EA30AE"/>
    <w:rsid w:val="00EA47CA"/>
    <w:rsid w:val="00EA504A"/>
    <w:rsid w:val="00EA7353"/>
    <w:rsid w:val="00EA7E4F"/>
    <w:rsid w:val="00EB37DD"/>
    <w:rsid w:val="00EB5189"/>
    <w:rsid w:val="00EB58FA"/>
    <w:rsid w:val="00EB69C4"/>
    <w:rsid w:val="00EB77D2"/>
    <w:rsid w:val="00EB7A91"/>
    <w:rsid w:val="00EC1FF5"/>
    <w:rsid w:val="00EC3A2F"/>
    <w:rsid w:val="00EC4567"/>
    <w:rsid w:val="00EC5DA5"/>
    <w:rsid w:val="00ED0F92"/>
    <w:rsid w:val="00ED1F24"/>
    <w:rsid w:val="00ED2FE0"/>
    <w:rsid w:val="00ED3570"/>
    <w:rsid w:val="00ED436A"/>
    <w:rsid w:val="00ED5906"/>
    <w:rsid w:val="00ED6F0B"/>
    <w:rsid w:val="00ED6FE0"/>
    <w:rsid w:val="00ED74F7"/>
    <w:rsid w:val="00ED7CB1"/>
    <w:rsid w:val="00ED7D88"/>
    <w:rsid w:val="00EE1461"/>
    <w:rsid w:val="00EE30E8"/>
    <w:rsid w:val="00EE363E"/>
    <w:rsid w:val="00EE3797"/>
    <w:rsid w:val="00EE3E6E"/>
    <w:rsid w:val="00EE413E"/>
    <w:rsid w:val="00EE4845"/>
    <w:rsid w:val="00EE6ABE"/>
    <w:rsid w:val="00EF0505"/>
    <w:rsid w:val="00EF351A"/>
    <w:rsid w:val="00EF4085"/>
    <w:rsid w:val="00EF4793"/>
    <w:rsid w:val="00EF525B"/>
    <w:rsid w:val="00EF5E81"/>
    <w:rsid w:val="00EF636D"/>
    <w:rsid w:val="00EF7746"/>
    <w:rsid w:val="00EF7AA8"/>
    <w:rsid w:val="00F0029C"/>
    <w:rsid w:val="00F00FF5"/>
    <w:rsid w:val="00F02B97"/>
    <w:rsid w:val="00F02C93"/>
    <w:rsid w:val="00F02E9D"/>
    <w:rsid w:val="00F058A6"/>
    <w:rsid w:val="00F067F6"/>
    <w:rsid w:val="00F07BA1"/>
    <w:rsid w:val="00F127B7"/>
    <w:rsid w:val="00F14EFD"/>
    <w:rsid w:val="00F14FC0"/>
    <w:rsid w:val="00F16652"/>
    <w:rsid w:val="00F173F3"/>
    <w:rsid w:val="00F178AD"/>
    <w:rsid w:val="00F20150"/>
    <w:rsid w:val="00F20EF8"/>
    <w:rsid w:val="00F2184F"/>
    <w:rsid w:val="00F2448B"/>
    <w:rsid w:val="00F24E40"/>
    <w:rsid w:val="00F27248"/>
    <w:rsid w:val="00F274FE"/>
    <w:rsid w:val="00F2790C"/>
    <w:rsid w:val="00F27DCF"/>
    <w:rsid w:val="00F31295"/>
    <w:rsid w:val="00F32608"/>
    <w:rsid w:val="00F3282A"/>
    <w:rsid w:val="00F32B72"/>
    <w:rsid w:val="00F342D2"/>
    <w:rsid w:val="00F34DB4"/>
    <w:rsid w:val="00F36F34"/>
    <w:rsid w:val="00F3717E"/>
    <w:rsid w:val="00F37E0F"/>
    <w:rsid w:val="00F37F46"/>
    <w:rsid w:val="00F42568"/>
    <w:rsid w:val="00F450FE"/>
    <w:rsid w:val="00F4522F"/>
    <w:rsid w:val="00F46A49"/>
    <w:rsid w:val="00F47E06"/>
    <w:rsid w:val="00F506DF"/>
    <w:rsid w:val="00F518B7"/>
    <w:rsid w:val="00F51BB6"/>
    <w:rsid w:val="00F52471"/>
    <w:rsid w:val="00F527B4"/>
    <w:rsid w:val="00F52A23"/>
    <w:rsid w:val="00F52DF3"/>
    <w:rsid w:val="00F542FA"/>
    <w:rsid w:val="00F54CCA"/>
    <w:rsid w:val="00F561E3"/>
    <w:rsid w:val="00F575F5"/>
    <w:rsid w:val="00F60264"/>
    <w:rsid w:val="00F63BC0"/>
    <w:rsid w:val="00F641F3"/>
    <w:rsid w:val="00F64857"/>
    <w:rsid w:val="00F65D5D"/>
    <w:rsid w:val="00F666F2"/>
    <w:rsid w:val="00F6768F"/>
    <w:rsid w:val="00F67C30"/>
    <w:rsid w:val="00F70EBA"/>
    <w:rsid w:val="00F7122D"/>
    <w:rsid w:val="00F712BE"/>
    <w:rsid w:val="00F7169A"/>
    <w:rsid w:val="00F71E0B"/>
    <w:rsid w:val="00F72BDB"/>
    <w:rsid w:val="00F72F67"/>
    <w:rsid w:val="00F73E8A"/>
    <w:rsid w:val="00F73FB6"/>
    <w:rsid w:val="00F742C6"/>
    <w:rsid w:val="00F7492D"/>
    <w:rsid w:val="00F75B95"/>
    <w:rsid w:val="00F75D96"/>
    <w:rsid w:val="00F75E77"/>
    <w:rsid w:val="00F75FFA"/>
    <w:rsid w:val="00F76CFF"/>
    <w:rsid w:val="00F77947"/>
    <w:rsid w:val="00F801EE"/>
    <w:rsid w:val="00F804F1"/>
    <w:rsid w:val="00F80FC4"/>
    <w:rsid w:val="00F82B4A"/>
    <w:rsid w:val="00F834CC"/>
    <w:rsid w:val="00F84079"/>
    <w:rsid w:val="00F85A0F"/>
    <w:rsid w:val="00F85D34"/>
    <w:rsid w:val="00F86129"/>
    <w:rsid w:val="00F8653A"/>
    <w:rsid w:val="00F8681E"/>
    <w:rsid w:val="00F9037C"/>
    <w:rsid w:val="00F909C9"/>
    <w:rsid w:val="00F91F28"/>
    <w:rsid w:val="00F92AA4"/>
    <w:rsid w:val="00F93475"/>
    <w:rsid w:val="00F93F02"/>
    <w:rsid w:val="00F95130"/>
    <w:rsid w:val="00F964B6"/>
    <w:rsid w:val="00FA04A3"/>
    <w:rsid w:val="00FA0A5B"/>
    <w:rsid w:val="00FA2084"/>
    <w:rsid w:val="00FA2402"/>
    <w:rsid w:val="00FA2425"/>
    <w:rsid w:val="00FA3339"/>
    <w:rsid w:val="00FA5CA6"/>
    <w:rsid w:val="00FA6D16"/>
    <w:rsid w:val="00FA6E94"/>
    <w:rsid w:val="00FA77CF"/>
    <w:rsid w:val="00FB0AAD"/>
    <w:rsid w:val="00FB36AA"/>
    <w:rsid w:val="00FB4BA7"/>
    <w:rsid w:val="00FB5287"/>
    <w:rsid w:val="00FB531B"/>
    <w:rsid w:val="00FB59BC"/>
    <w:rsid w:val="00FB69E2"/>
    <w:rsid w:val="00FB6C94"/>
    <w:rsid w:val="00FB7F61"/>
    <w:rsid w:val="00FC2218"/>
    <w:rsid w:val="00FC223C"/>
    <w:rsid w:val="00FC2916"/>
    <w:rsid w:val="00FC2E1A"/>
    <w:rsid w:val="00FC3AB7"/>
    <w:rsid w:val="00FC3B74"/>
    <w:rsid w:val="00FC4B2C"/>
    <w:rsid w:val="00FC5BD7"/>
    <w:rsid w:val="00FC6315"/>
    <w:rsid w:val="00FC643C"/>
    <w:rsid w:val="00FC66DF"/>
    <w:rsid w:val="00FC6A58"/>
    <w:rsid w:val="00FC773D"/>
    <w:rsid w:val="00FC7759"/>
    <w:rsid w:val="00FD04BB"/>
    <w:rsid w:val="00FD0C73"/>
    <w:rsid w:val="00FD220D"/>
    <w:rsid w:val="00FD5B67"/>
    <w:rsid w:val="00FE01BA"/>
    <w:rsid w:val="00FE1F52"/>
    <w:rsid w:val="00FE2245"/>
    <w:rsid w:val="00FE2AD8"/>
    <w:rsid w:val="00FE4112"/>
    <w:rsid w:val="00FE4CB3"/>
    <w:rsid w:val="00FE4E3C"/>
    <w:rsid w:val="00FE581C"/>
    <w:rsid w:val="00FE78A8"/>
    <w:rsid w:val="00FF08AE"/>
    <w:rsid w:val="00FF0F0F"/>
    <w:rsid w:val="00FF2542"/>
    <w:rsid w:val="00FF3890"/>
    <w:rsid w:val="00FF3ABC"/>
    <w:rsid w:val="00FF3E66"/>
    <w:rsid w:val="00FF4480"/>
    <w:rsid w:val="00FF5EF6"/>
    <w:rsid w:val="00FF6DDC"/>
    <w:rsid w:val="53BEB6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16EC3"/>
  <w15:docId w15:val="{571F8D3C-44F0-5A4C-9B14-DCA938254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A7222"/>
    <w:pPr>
      <w:spacing w:line="480" w:lineRule="auto"/>
    </w:pPr>
    <w:rPr>
      <w:sz w:val="24"/>
      <w:szCs w:val="24"/>
      <w:lang w:bidi="en-US"/>
    </w:rPr>
  </w:style>
  <w:style w:type="paragraph" w:styleId="Heading1">
    <w:name w:val="heading 1"/>
    <w:next w:val="Normal"/>
    <w:link w:val="Heading1Char"/>
    <w:autoRedefine/>
    <w:uiPriority w:val="9"/>
    <w:qFormat/>
    <w:rsid w:val="007D5BF8"/>
    <w:pPr>
      <w:spacing w:line="480" w:lineRule="auto"/>
      <w:jc w:val="center"/>
      <w:outlineLvl w:val="0"/>
    </w:pPr>
    <w:rPr>
      <w:b/>
      <w:bCs/>
      <w:sz w:val="28"/>
      <w:szCs w:val="28"/>
      <w:lang w:bidi="en-US"/>
    </w:rPr>
  </w:style>
  <w:style w:type="paragraph" w:styleId="Heading2">
    <w:name w:val="heading 2"/>
    <w:next w:val="Normal"/>
    <w:link w:val="Heading2Char"/>
    <w:autoRedefine/>
    <w:uiPriority w:val="9"/>
    <w:unhideWhenUsed/>
    <w:qFormat/>
    <w:rsid w:val="004E7821"/>
    <w:pPr>
      <w:keepNext/>
      <w:spacing w:line="480" w:lineRule="auto"/>
      <w:outlineLvl w:val="1"/>
    </w:pPr>
    <w:rPr>
      <w:b/>
      <w:sz w:val="24"/>
      <w:szCs w:val="28"/>
      <w:lang w:bidi="en-US"/>
    </w:rPr>
  </w:style>
  <w:style w:type="paragraph" w:styleId="Heading3">
    <w:name w:val="heading 3"/>
    <w:next w:val="Normal"/>
    <w:link w:val="Heading3Char"/>
    <w:autoRedefine/>
    <w:uiPriority w:val="9"/>
    <w:unhideWhenUsed/>
    <w:qFormat/>
    <w:rsid w:val="0012418F"/>
    <w:pPr>
      <w:keepNext/>
      <w:spacing w:line="480" w:lineRule="auto"/>
      <w:jc w:val="both"/>
      <w:outlineLvl w:val="2"/>
    </w:pPr>
    <w:rPr>
      <w:i/>
      <w:sz w:val="24"/>
      <w:szCs w:val="28"/>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D5BF8"/>
    <w:rPr>
      <w:b/>
      <w:bCs/>
      <w:sz w:val="28"/>
      <w:szCs w:val="28"/>
      <w:lang w:bidi="en-US"/>
    </w:rPr>
  </w:style>
  <w:style w:type="character" w:customStyle="1" w:styleId="Heading2Char">
    <w:name w:val="Heading 2 Char"/>
    <w:link w:val="Heading2"/>
    <w:uiPriority w:val="9"/>
    <w:rsid w:val="004E7821"/>
    <w:rPr>
      <w:b/>
      <w:sz w:val="24"/>
      <w:szCs w:val="28"/>
      <w:lang w:bidi="en-US"/>
    </w:rPr>
  </w:style>
  <w:style w:type="character" w:customStyle="1" w:styleId="Heading3Char">
    <w:name w:val="Heading 3 Char"/>
    <w:link w:val="Heading3"/>
    <w:uiPriority w:val="9"/>
    <w:rsid w:val="0012418F"/>
    <w:rPr>
      <w:i/>
      <w:sz w:val="24"/>
      <w:szCs w:val="28"/>
      <w:lang w:bidi="en-US"/>
    </w:rPr>
  </w:style>
  <w:style w:type="character" w:customStyle="1" w:styleId="Heading4Char">
    <w:name w:val="Heading 4 Char"/>
    <w:link w:val="Heading4"/>
    <w:uiPriority w:val="9"/>
    <w:semiHidden/>
    <w:rsid w:val="003A060D"/>
    <w:rPr>
      <w:rFonts w:cs="Times New Roman"/>
      <w:b/>
      <w:bCs/>
      <w:sz w:val="28"/>
      <w:szCs w:val="28"/>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8563E3"/>
    <w:pPr>
      <w:keepNext/>
      <w:jc w:val="both"/>
    </w:pPr>
    <w:rPr>
      <w:bCs w:val="0"/>
    </w:rPr>
  </w:style>
  <w:style w:type="character" w:customStyle="1" w:styleId="TitleChar">
    <w:name w:val="Title Char"/>
    <w:link w:val="Title"/>
    <w:uiPriority w:val="10"/>
    <w:rsid w:val="008563E3"/>
    <w:rPr>
      <w:rFonts w:ascii="Times New Roman" w:hAnsi="Times New Roman"/>
      <w:b/>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style>
  <w:style w:type="character" w:customStyle="1" w:styleId="SubtitleChar">
    <w:name w:val="Subtitle Char"/>
    <w:link w:val="Subtitle"/>
    <w:uiPriority w:val="11"/>
    <w:rsid w:val="00077F0A"/>
    <w:rPr>
      <w:sz w:val="24"/>
      <w:szCs w:val="24"/>
      <w:lang w:bidi="en-US"/>
    </w:rPr>
  </w:style>
  <w:style w:type="character" w:styleId="Strong">
    <w:name w:val="Strong"/>
    <w:uiPriority w:val="22"/>
    <w:unhideWhenUsed/>
    <w:qFormat/>
    <w:rsid w:val="003A060D"/>
    <w:rPr>
      <w:b/>
      <w:bCs/>
    </w:rPr>
  </w:style>
  <w:style w:type="character" w:styleId="Emphasis">
    <w:name w:val="Emphasis"/>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uiPriority w:val="21"/>
    <w:unhideWhenUsed/>
    <w:qFormat/>
    <w:rsid w:val="003A060D"/>
    <w:rPr>
      <w:b/>
      <w:i/>
      <w:sz w:val="24"/>
      <w:szCs w:val="24"/>
      <w:u w:val="single"/>
    </w:rPr>
  </w:style>
  <w:style w:type="character" w:styleId="SubtleReference">
    <w:name w:val="Subtle Reference"/>
    <w:uiPriority w:val="31"/>
    <w:unhideWhenUsed/>
    <w:qFormat/>
    <w:rsid w:val="003A060D"/>
    <w:rPr>
      <w:sz w:val="24"/>
      <w:szCs w:val="24"/>
      <w:u w:val="single"/>
    </w:rPr>
  </w:style>
  <w:style w:type="character" w:styleId="IntenseReference">
    <w:name w:val="Intense Reference"/>
    <w:uiPriority w:val="32"/>
    <w:unhideWhenUsed/>
    <w:qFormat/>
    <w:rsid w:val="003A060D"/>
    <w:rPr>
      <w:b/>
      <w:sz w:val="24"/>
      <w:u w:val="single"/>
    </w:rPr>
  </w:style>
  <w:style w:type="character" w:styleId="BookTitle">
    <w:name w:val="Book Title"/>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rsid w:val="004A7222"/>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761B3A"/>
    <w:pPr>
      <w:tabs>
        <w:tab w:val="right" w:leader="dot" w:pos="8486"/>
      </w:tabs>
      <w:ind w:left="720" w:hanging="720"/>
      <w:jc w:val="both"/>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styleId="PlaceholderText">
    <w:name w:val="Placeholder Text"/>
    <w:uiPriority w:val="99"/>
    <w:semiHidden/>
    <w:rsid w:val="00746E16"/>
    <w:rPr>
      <w:color w:val="808080"/>
    </w:rPr>
  </w:style>
  <w:style w:type="character" w:customStyle="1" w:styleId="BlockQuotationChar">
    <w:name w:val="Block Quotation Char"/>
    <w:link w:val="BlockQuotation"/>
    <w:rsid w:val="0070017B"/>
    <w:rPr>
      <w:rFonts w:ascii="Times New Roman" w:hAnsi="Times New Roman"/>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PageNumber">
    <w:name w:val="page number"/>
    <w:basedOn w:val="DefaultParagraphFont"/>
    <w:uiPriority w:val="99"/>
    <w:semiHidden/>
    <w:unhideWhenUsed/>
    <w:rsid w:val="008F7157"/>
  </w:style>
  <w:style w:type="character" w:styleId="UnresolvedMention">
    <w:name w:val="Unresolved Mention"/>
    <w:uiPriority w:val="99"/>
    <w:rsid w:val="0049592A"/>
    <w:rPr>
      <w:color w:val="605E5C"/>
      <w:shd w:val="clear" w:color="auto" w:fill="E1DFDD"/>
    </w:rPr>
  </w:style>
  <w:style w:type="paragraph" w:styleId="NormalWeb">
    <w:name w:val="Normal (Web)"/>
    <w:basedOn w:val="Normal"/>
    <w:uiPriority w:val="99"/>
    <w:semiHidden/>
    <w:unhideWhenUsed/>
    <w:rsid w:val="007E69A7"/>
    <w:pPr>
      <w:spacing w:before="100" w:beforeAutospacing="1" w:after="100" w:afterAutospacing="1" w:line="240" w:lineRule="auto"/>
    </w:pPr>
    <w:rPr>
      <w:rFonts w:eastAsia="SimSun"/>
      <w:lang w:eastAsia="zh-CN" w:bidi="ar-SA"/>
    </w:rPr>
  </w:style>
  <w:style w:type="character" w:styleId="CommentReference">
    <w:name w:val="annotation reference"/>
    <w:uiPriority w:val="99"/>
    <w:semiHidden/>
    <w:unhideWhenUsed/>
    <w:rsid w:val="00FF3890"/>
    <w:rPr>
      <w:sz w:val="16"/>
      <w:szCs w:val="16"/>
    </w:rPr>
  </w:style>
  <w:style w:type="paragraph" w:styleId="CommentText">
    <w:name w:val="annotation text"/>
    <w:basedOn w:val="Normal"/>
    <w:link w:val="CommentTextChar"/>
    <w:uiPriority w:val="99"/>
    <w:semiHidden/>
    <w:unhideWhenUsed/>
    <w:rsid w:val="00FF3890"/>
    <w:pPr>
      <w:spacing w:line="240" w:lineRule="auto"/>
    </w:pPr>
    <w:rPr>
      <w:sz w:val="20"/>
      <w:szCs w:val="20"/>
    </w:rPr>
  </w:style>
  <w:style w:type="character" w:customStyle="1" w:styleId="CommentTextChar">
    <w:name w:val="Comment Text Char"/>
    <w:link w:val="CommentText"/>
    <w:uiPriority w:val="99"/>
    <w:semiHidden/>
    <w:rsid w:val="00FF3890"/>
    <w:rPr>
      <w:rFonts w:ascii="Times New Roman" w:hAnsi="Times New Roman"/>
      <w:lang w:bidi="en-US"/>
    </w:rPr>
  </w:style>
  <w:style w:type="paragraph" w:styleId="CommentSubject">
    <w:name w:val="annotation subject"/>
    <w:basedOn w:val="CommentText"/>
    <w:next w:val="CommentText"/>
    <w:link w:val="CommentSubjectChar"/>
    <w:uiPriority w:val="99"/>
    <w:semiHidden/>
    <w:unhideWhenUsed/>
    <w:rsid w:val="00FF3890"/>
    <w:rPr>
      <w:b/>
      <w:bCs/>
    </w:rPr>
  </w:style>
  <w:style w:type="character" w:customStyle="1" w:styleId="CommentSubjectChar">
    <w:name w:val="Comment Subject Char"/>
    <w:link w:val="CommentSubject"/>
    <w:uiPriority w:val="99"/>
    <w:semiHidden/>
    <w:rsid w:val="00FF3890"/>
    <w:rPr>
      <w:rFonts w:ascii="Times New Roman" w:hAnsi="Times New Roman"/>
      <w:b/>
      <w:bCs/>
      <w:lang w:bidi="en-US"/>
    </w:rPr>
  </w:style>
  <w:style w:type="paragraph" w:customStyle="1" w:styleId="NormalWeb1">
    <w:name w:val="Normal (Web)1"/>
    <w:basedOn w:val="Normal"/>
    <w:next w:val="NormalWeb"/>
    <w:uiPriority w:val="99"/>
    <w:semiHidden/>
    <w:unhideWhenUsed/>
    <w:rsid w:val="00691427"/>
    <w:pPr>
      <w:spacing w:before="100" w:beforeAutospacing="1" w:after="100" w:afterAutospacing="1" w:line="240" w:lineRule="auto"/>
    </w:pPr>
    <w:rPr>
      <w:rFonts w:eastAsia="SimSun"/>
      <w:lang w:eastAsia="zh-CN" w:bidi="ar-SA"/>
    </w:rPr>
  </w:style>
  <w:style w:type="numbering" w:customStyle="1" w:styleId="NoList1">
    <w:name w:val="No List1"/>
    <w:next w:val="NoList"/>
    <w:uiPriority w:val="99"/>
    <w:semiHidden/>
    <w:unhideWhenUsed/>
    <w:rsid w:val="00C6592F"/>
  </w:style>
  <w:style w:type="table" w:customStyle="1" w:styleId="TableGrid1">
    <w:name w:val="Table Grid1"/>
    <w:basedOn w:val="TableNormal"/>
    <w:next w:val="TableGrid"/>
    <w:uiPriority w:val="39"/>
    <w:rsid w:val="00C65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2C4D"/>
    <w:rPr>
      <w:sz w:val="24"/>
      <w:szCs w:val="24"/>
      <w:lang w:bidi="en-US"/>
    </w:rPr>
  </w:style>
  <w:style w:type="paragraph" w:styleId="FootnoteText">
    <w:name w:val="footnote text"/>
    <w:basedOn w:val="Normal"/>
    <w:link w:val="FootnoteTextChar"/>
    <w:uiPriority w:val="99"/>
    <w:semiHidden/>
    <w:unhideWhenUsed/>
    <w:rsid w:val="008F3611"/>
    <w:pPr>
      <w:spacing w:line="240" w:lineRule="auto"/>
    </w:pPr>
    <w:rPr>
      <w:sz w:val="20"/>
      <w:szCs w:val="20"/>
    </w:rPr>
  </w:style>
  <w:style w:type="character" w:customStyle="1" w:styleId="FootnoteTextChar">
    <w:name w:val="Footnote Text Char"/>
    <w:basedOn w:val="DefaultParagraphFont"/>
    <w:link w:val="FootnoteText"/>
    <w:uiPriority w:val="99"/>
    <w:semiHidden/>
    <w:rsid w:val="008F3611"/>
    <w:rPr>
      <w:lang w:bidi="en-US"/>
    </w:rPr>
  </w:style>
  <w:style w:type="character" w:styleId="FootnoteReference">
    <w:name w:val="footnote reference"/>
    <w:basedOn w:val="DefaultParagraphFont"/>
    <w:uiPriority w:val="99"/>
    <w:semiHidden/>
    <w:unhideWhenUsed/>
    <w:rsid w:val="008F3611"/>
    <w:rPr>
      <w:vertAlign w:val="superscript"/>
    </w:rPr>
  </w:style>
  <w:style w:type="paragraph" w:styleId="TOC4">
    <w:name w:val="toc 4"/>
    <w:basedOn w:val="Normal"/>
    <w:next w:val="Normal"/>
    <w:autoRedefine/>
    <w:uiPriority w:val="39"/>
    <w:unhideWhenUsed/>
    <w:rsid w:val="004C5D1A"/>
    <w:pPr>
      <w:spacing w:after="100" w:line="240" w:lineRule="auto"/>
      <w:ind w:left="720"/>
    </w:pPr>
    <w:rPr>
      <w:rFonts w:asciiTheme="minorHAnsi" w:eastAsiaTheme="minorEastAsia" w:hAnsiTheme="minorHAnsi" w:cstheme="minorBidi"/>
      <w:lang w:bidi="ar-SA"/>
    </w:rPr>
  </w:style>
  <w:style w:type="paragraph" w:styleId="TOC5">
    <w:name w:val="toc 5"/>
    <w:basedOn w:val="Normal"/>
    <w:next w:val="Normal"/>
    <w:autoRedefine/>
    <w:uiPriority w:val="39"/>
    <w:unhideWhenUsed/>
    <w:rsid w:val="004C5D1A"/>
    <w:pPr>
      <w:spacing w:after="100" w:line="240" w:lineRule="auto"/>
      <w:ind w:left="96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4C5D1A"/>
    <w:pPr>
      <w:spacing w:after="100" w:line="240" w:lineRule="auto"/>
      <w:ind w:left="12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4C5D1A"/>
    <w:pPr>
      <w:spacing w:after="100" w:line="240" w:lineRule="auto"/>
      <w:ind w:left="144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4C5D1A"/>
    <w:pPr>
      <w:spacing w:after="100" w:line="240" w:lineRule="auto"/>
      <w:ind w:left="168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4C5D1A"/>
    <w:pPr>
      <w:spacing w:after="100" w:line="240" w:lineRule="auto"/>
      <w:ind w:left="1920"/>
    </w:pPr>
    <w:rPr>
      <w:rFonts w:asciiTheme="minorHAnsi" w:eastAsiaTheme="minorEastAsia" w:hAnsiTheme="minorHAnsi" w:cstheme="minorBid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5990">
      <w:bodyDiv w:val="1"/>
      <w:marLeft w:val="0"/>
      <w:marRight w:val="0"/>
      <w:marTop w:val="0"/>
      <w:marBottom w:val="0"/>
      <w:divBdr>
        <w:top w:val="none" w:sz="0" w:space="0" w:color="auto"/>
        <w:left w:val="none" w:sz="0" w:space="0" w:color="auto"/>
        <w:bottom w:val="none" w:sz="0" w:space="0" w:color="auto"/>
        <w:right w:val="none" w:sz="0" w:space="0" w:color="auto"/>
      </w:divBdr>
    </w:div>
    <w:div w:id="105853494">
      <w:bodyDiv w:val="1"/>
      <w:marLeft w:val="0"/>
      <w:marRight w:val="0"/>
      <w:marTop w:val="0"/>
      <w:marBottom w:val="0"/>
      <w:divBdr>
        <w:top w:val="none" w:sz="0" w:space="0" w:color="auto"/>
        <w:left w:val="none" w:sz="0" w:space="0" w:color="auto"/>
        <w:bottom w:val="none" w:sz="0" w:space="0" w:color="auto"/>
        <w:right w:val="none" w:sz="0" w:space="0" w:color="auto"/>
      </w:divBdr>
    </w:div>
    <w:div w:id="108667338">
      <w:bodyDiv w:val="1"/>
      <w:marLeft w:val="0"/>
      <w:marRight w:val="0"/>
      <w:marTop w:val="0"/>
      <w:marBottom w:val="0"/>
      <w:divBdr>
        <w:top w:val="none" w:sz="0" w:space="0" w:color="auto"/>
        <w:left w:val="none" w:sz="0" w:space="0" w:color="auto"/>
        <w:bottom w:val="none" w:sz="0" w:space="0" w:color="auto"/>
        <w:right w:val="none" w:sz="0" w:space="0" w:color="auto"/>
      </w:divBdr>
    </w:div>
    <w:div w:id="346639459">
      <w:bodyDiv w:val="1"/>
      <w:marLeft w:val="0"/>
      <w:marRight w:val="0"/>
      <w:marTop w:val="0"/>
      <w:marBottom w:val="0"/>
      <w:divBdr>
        <w:top w:val="none" w:sz="0" w:space="0" w:color="auto"/>
        <w:left w:val="none" w:sz="0" w:space="0" w:color="auto"/>
        <w:bottom w:val="none" w:sz="0" w:space="0" w:color="auto"/>
        <w:right w:val="none" w:sz="0" w:space="0" w:color="auto"/>
      </w:divBdr>
    </w:div>
    <w:div w:id="370497792">
      <w:bodyDiv w:val="1"/>
      <w:marLeft w:val="0"/>
      <w:marRight w:val="0"/>
      <w:marTop w:val="0"/>
      <w:marBottom w:val="0"/>
      <w:divBdr>
        <w:top w:val="none" w:sz="0" w:space="0" w:color="auto"/>
        <w:left w:val="none" w:sz="0" w:space="0" w:color="auto"/>
        <w:bottom w:val="none" w:sz="0" w:space="0" w:color="auto"/>
        <w:right w:val="none" w:sz="0" w:space="0" w:color="auto"/>
      </w:divBdr>
    </w:div>
    <w:div w:id="455104143">
      <w:bodyDiv w:val="1"/>
      <w:marLeft w:val="0"/>
      <w:marRight w:val="0"/>
      <w:marTop w:val="0"/>
      <w:marBottom w:val="0"/>
      <w:divBdr>
        <w:top w:val="none" w:sz="0" w:space="0" w:color="auto"/>
        <w:left w:val="none" w:sz="0" w:space="0" w:color="auto"/>
        <w:bottom w:val="none" w:sz="0" w:space="0" w:color="auto"/>
        <w:right w:val="none" w:sz="0" w:space="0" w:color="auto"/>
      </w:divBdr>
    </w:div>
    <w:div w:id="619072983">
      <w:bodyDiv w:val="1"/>
      <w:marLeft w:val="0"/>
      <w:marRight w:val="0"/>
      <w:marTop w:val="0"/>
      <w:marBottom w:val="0"/>
      <w:divBdr>
        <w:top w:val="none" w:sz="0" w:space="0" w:color="auto"/>
        <w:left w:val="none" w:sz="0" w:space="0" w:color="auto"/>
        <w:bottom w:val="none" w:sz="0" w:space="0" w:color="auto"/>
        <w:right w:val="none" w:sz="0" w:space="0" w:color="auto"/>
      </w:divBdr>
    </w:div>
    <w:div w:id="673537939">
      <w:bodyDiv w:val="1"/>
      <w:marLeft w:val="0"/>
      <w:marRight w:val="0"/>
      <w:marTop w:val="0"/>
      <w:marBottom w:val="0"/>
      <w:divBdr>
        <w:top w:val="none" w:sz="0" w:space="0" w:color="auto"/>
        <w:left w:val="none" w:sz="0" w:space="0" w:color="auto"/>
        <w:bottom w:val="none" w:sz="0" w:space="0" w:color="auto"/>
        <w:right w:val="none" w:sz="0" w:space="0" w:color="auto"/>
      </w:divBdr>
    </w:div>
    <w:div w:id="707678184">
      <w:bodyDiv w:val="1"/>
      <w:marLeft w:val="0"/>
      <w:marRight w:val="0"/>
      <w:marTop w:val="0"/>
      <w:marBottom w:val="0"/>
      <w:divBdr>
        <w:top w:val="none" w:sz="0" w:space="0" w:color="auto"/>
        <w:left w:val="none" w:sz="0" w:space="0" w:color="auto"/>
        <w:bottom w:val="none" w:sz="0" w:space="0" w:color="auto"/>
        <w:right w:val="none" w:sz="0" w:space="0" w:color="auto"/>
      </w:divBdr>
      <w:divsChild>
        <w:div w:id="1778476300">
          <w:marLeft w:val="0"/>
          <w:marRight w:val="0"/>
          <w:marTop w:val="0"/>
          <w:marBottom w:val="0"/>
          <w:divBdr>
            <w:top w:val="none" w:sz="0" w:space="0" w:color="auto"/>
            <w:left w:val="none" w:sz="0" w:space="0" w:color="auto"/>
            <w:bottom w:val="none" w:sz="0" w:space="0" w:color="auto"/>
            <w:right w:val="none" w:sz="0" w:space="0" w:color="auto"/>
          </w:divBdr>
          <w:divsChild>
            <w:div w:id="364526669">
              <w:marLeft w:val="0"/>
              <w:marRight w:val="0"/>
              <w:marTop w:val="0"/>
              <w:marBottom w:val="0"/>
              <w:divBdr>
                <w:top w:val="none" w:sz="0" w:space="0" w:color="auto"/>
                <w:left w:val="none" w:sz="0" w:space="0" w:color="auto"/>
                <w:bottom w:val="none" w:sz="0" w:space="0" w:color="auto"/>
                <w:right w:val="none" w:sz="0" w:space="0" w:color="auto"/>
              </w:divBdr>
              <w:divsChild>
                <w:div w:id="1710909071">
                  <w:marLeft w:val="0"/>
                  <w:marRight w:val="0"/>
                  <w:marTop w:val="0"/>
                  <w:marBottom w:val="0"/>
                  <w:divBdr>
                    <w:top w:val="none" w:sz="0" w:space="0" w:color="auto"/>
                    <w:left w:val="none" w:sz="0" w:space="0" w:color="auto"/>
                    <w:bottom w:val="none" w:sz="0" w:space="0" w:color="auto"/>
                    <w:right w:val="none" w:sz="0" w:space="0" w:color="auto"/>
                  </w:divBdr>
                  <w:divsChild>
                    <w:div w:id="9177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743803">
      <w:bodyDiv w:val="1"/>
      <w:marLeft w:val="0"/>
      <w:marRight w:val="0"/>
      <w:marTop w:val="0"/>
      <w:marBottom w:val="0"/>
      <w:divBdr>
        <w:top w:val="none" w:sz="0" w:space="0" w:color="auto"/>
        <w:left w:val="none" w:sz="0" w:space="0" w:color="auto"/>
        <w:bottom w:val="none" w:sz="0" w:space="0" w:color="auto"/>
        <w:right w:val="none" w:sz="0" w:space="0" w:color="auto"/>
      </w:divBdr>
    </w:div>
    <w:div w:id="736172135">
      <w:bodyDiv w:val="1"/>
      <w:marLeft w:val="0"/>
      <w:marRight w:val="0"/>
      <w:marTop w:val="0"/>
      <w:marBottom w:val="0"/>
      <w:divBdr>
        <w:top w:val="none" w:sz="0" w:space="0" w:color="auto"/>
        <w:left w:val="none" w:sz="0" w:space="0" w:color="auto"/>
        <w:bottom w:val="none" w:sz="0" w:space="0" w:color="auto"/>
        <w:right w:val="none" w:sz="0" w:space="0" w:color="auto"/>
      </w:divBdr>
    </w:div>
    <w:div w:id="800464504">
      <w:bodyDiv w:val="1"/>
      <w:marLeft w:val="0"/>
      <w:marRight w:val="0"/>
      <w:marTop w:val="0"/>
      <w:marBottom w:val="0"/>
      <w:divBdr>
        <w:top w:val="none" w:sz="0" w:space="0" w:color="auto"/>
        <w:left w:val="none" w:sz="0" w:space="0" w:color="auto"/>
        <w:bottom w:val="none" w:sz="0" w:space="0" w:color="auto"/>
        <w:right w:val="none" w:sz="0" w:space="0" w:color="auto"/>
      </w:divBdr>
    </w:div>
    <w:div w:id="915434693">
      <w:bodyDiv w:val="1"/>
      <w:marLeft w:val="0"/>
      <w:marRight w:val="0"/>
      <w:marTop w:val="0"/>
      <w:marBottom w:val="0"/>
      <w:divBdr>
        <w:top w:val="none" w:sz="0" w:space="0" w:color="auto"/>
        <w:left w:val="none" w:sz="0" w:space="0" w:color="auto"/>
        <w:bottom w:val="none" w:sz="0" w:space="0" w:color="auto"/>
        <w:right w:val="none" w:sz="0" w:space="0" w:color="auto"/>
      </w:divBdr>
    </w:div>
    <w:div w:id="1025253053">
      <w:bodyDiv w:val="1"/>
      <w:marLeft w:val="0"/>
      <w:marRight w:val="0"/>
      <w:marTop w:val="0"/>
      <w:marBottom w:val="0"/>
      <w:divBdr>
        <w:top w:val="none" w:sz="0" w:space="0" w:color="auto"/>
        <w:left w:val="none" w:sz="0" w:space="0" w:color="auto"/>
        <w:bottom w:val="none" w:sz="0" w:space="0" w:color="auto"/>
        <w:right w:val="none" w:sz="0" w:space="0" w:color="auto"/>
      </w:divBdr>
      <w:divsChild>
        <w:div w:id="1506436695">
          <w:marLeft w:val="0"/>
          <w:marRight w:val="0"/>
          <w:marTop w:val="0"/>
          <w:marBottom w:val="0"/>
          <w:divBdr>
            <w:top w:val="none" w:sz="0" w:space="0" w:color="auto"/>
            <w:left w:val="none" w:sz="0" w:space="0" w:color="auto"/>
            <w:bottom w:val="none" w:sz="0" w:space="0" w:color="auto"/>
            <w:right w:val="none" w:sz="0" w:space="0" w:color="auto"/>
          </w:divBdr>
          <w:divsChild>
            <w:div w:id="1995059846">
              <w:marLeft w:val="0"/>
              <w:marRight w:val="0"/>
              <w:marTop w:val="0"/>
              <w:marBottom w:val="0"/>
              <w:divBdr>
                <w:top w:val="none" w:sz="0" w:space="0" w:color="auto"/>
                <w:left w:val="none" w:sz="0" w:space="0" w:color="auto"/>
                <w:bottom w:val="none" w:sz="0" w:space="0" w:color="auto"/>
                <w:right w:val="none" w:sz="0" w:space="0" w:color="auto"/>
              </w:divBdr>
              <w:divsChild>
                <w:div w:id="2137025903">
                  <w:marLeft w:val="0"/>
                  <w:marRight w:val="0"/>
                  <w:marTop w:val="0"/>
                  <w:marBottom w:val="0"/>
                  <w:divBdr>
                    <w:top w:val="none" w:sz="0" w:space="0" w:color="auto"/>
                    <w:left w:val="none" w:sz="0" w:space="0" w:color="auto"/>
                    <w:bottom w:val="none" w:sz="0" w:space="0" w:color="auto"/>
                    <w:right w:val="none" w:sz="0" w:space="0" w:color="auto"/>
                  </w:divBdr>
                  <w:divsChild>
                    <w:div w:id="210321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76706176">
      <w:bodyDiv w:val="1"/>
      <w:marLeft w:val="0"/>
      <w:marRight w:val="0"/>
      <w:marTop w:val="0"/>
      <w:marBottom w:val="0"/>
      <w:divBdr>
        <w:top w:val="none" w:sz="0" w:space="0" w:color="auto"/>
        <w:left w:val="none" w:sz="0" w:space="0" w:color="auto"/>
        <w:bottom w:val="none" w:sz="0" w:space="0" w:color="auto"/>
        <w:right w:val="none" w:sz="0" w:space="0" w:color="auto"/>
      </w:divBdr>
    </w:div>
    <w:div w:id="1136603741">
      <w:bodyDiv w:val="1"/>
      <w:marLeft w:val="0"/>
      <w:marRight w:val="0"/>
      <w:marTop w:val="0"/>
      <w:marBottom w:val="0"/>
      <w:divBdr>
        <w:top w:val="none" w:sz="0" w:space="0" w:color="auto"/>
        <w:left w:val="none" w:sz="0" w:space="0" w:color="auto"/>
        <w:bottom w:val="none" w:sz="0" w:space="0" w:color="auto"/>
        <w:right w:val="none" w:sz="0" w:space="0" w:color="auto"/>
      </w:divBdr>
    </w:div>
    <w:div w:id="1168863518">
      <w:bodyDiv w:val="1"/>
      <w:marLeft w:val="0"/>
      <w:marRight w:val="0"/>
      <w:marTop w:val="0"/>
      <w:marBottom w:val="0"/>
      <w:divBdr>
        <w:top w:val="none" w:sz="0" w:space="0" w:color="auto"/>
        <w:left w:val="none" w:sz="0" w:space="0" w:color="auto"/>
        <w:bottom w:val="none" w:sz="0" w:space="0" w:color="auto"/>
        <w:right w:val="none" w:sz="0" w:space="0" w:color="auto"/>
      </w:divBdr>
    </w:div>
    <w:div w:id="1230530251">
      <w:bodyDiv w:val="1"/>
      <w:marLeft w:val="0"/>
      <w:marRight w:val="0"/>
      <w:marTop w:val="0"/>
      <w:marBottom w:val="0"/>
      <w:divBdr>
        <w:top w:val="none" w:sz="0" w:space="0" w:color="auto"/>
        <w:left w:val="none" w:sz="0" w:space="0" w:color="auto"/>
        <w:bottom w:val="none" w:sz="0" w:space="0" w:color="auto"/>
        <w:right w:val="none" w:sz="0" w:space="0" w:color="auto"/>
      </w:divBdr>
    </w:div>
    <w:div w:id="1256942985">
      <w:bodyDiv w:val="1"/>
      <w:marLeft w:val="0"/>
      <w:marRight w:val="0"/>
      <w:marTop w:val="0"/>
      <w:marBottom w:val="0"/>
      <w:divBdr>
        <w:top w:val="none" w:sz="0" w:space="0" w:color="auto"/>
        <w:left w:val="none" w:sz="0" w:space="0" w:color="auto"/>
        <w:bottom w:val="none" w:sz="0" w:space="0" w:color="auto"/>
        <w:right w:val="none" w:sz="0" w:space="0" w:color="auto"/>
      </w:divBdr>
    </w:div>
    <w:div w:id="1497451530">
      <w:bodyDiv w:val="1"/>
      <w:marLeft w:val="0"/>
      <w:marRight w:val="0"/>
      <w:marTop w:val="0"/>
      <w:marBottom w:val="0"/>
      <w:divBdr>
        <w:top w:val="none" w:sz="0" w:space="0" w:color="auto"/>
        <w:left w:val="none" w:sz="0" w:space="0" w:color="auto"/>
        <w:bottom w:val="none" w:sz="0" w:space="0" w:color="auto"/>
        <w:right w:val="none" w:sz="0" w:space="0" w:color="auto"/>
      </w:divBdr>
      <w:divsChild>
        <w:div w:id="1996489390">
          <w:marLeft w:val="0"/>
          <w:marRight w:val="0"/>
          <w:marTop w:val="0"/>
          <w:marBottom w:val="0"/>
          <w:divBdr>
            <w:top w:val="none" w:sz="0" w:space="0" w:color="auto"/>
            <w:left w:val="none" w:sz="0" w:space="0" w:color="auto"/>
            <w:bottom w:val="none" w:sz="0" w:space="0" w:color="auto"/>
            <w:right w:val="none" w:sz="0" w:space="0" w:color="auto"/>
          </w:divBdr>
          <w:divsChild>
            <w:div w:id="1004434396">
              <w:marLeft w:val="0"/>
              <w:marRight w:val="0"/>
              <w:marTop w:val="0"/>
              <w:marBottom w:val="0"/>
              <w:divBdr>
                <w:top w:val="none" w:sz="0" w:space="0" w:color="auto"/>
                <w:left w:val="none" w:sz="0" w:space="0" w:color="auto"/>
                <w:bottom w:val="none" w:sz="0" w:space="0" w:color="auto"/>
                <w:right w:val="none" w:sz="0" w:space="0" w:color="auto"/>
              </w:divBdr>
              <w:divsChild>
                <w:div w:id="831218646">
                  <w:marLeft w:val="0"/>
                  <w:marRight w:val="0"/>
                  <w:marTop w:val="0"/>
                  <w:marBottom w:val="0"/>
                  <w:divBdr>
                    <w:top w:val="none" w:sz="0" w:space="0" w:color="auto"/>
                    <w:left w:val="none" w:sz="0" w:space="0" w:color="auto"/>
                    <w:bottom w:val="none" w:sz="0" w:space="0" w:color="auto"/>
                    <w:right w:val="none" w:sz="0" w:space="0" w:color="auto"/>
                  </w:divBdr>
                  <w:divsChild>
                    <w:div w:id="10167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644533">
      <w:bodyDiv w:val="1"/>
      <w:marLeft w:val="0"/>
      <w:marRight w:val="0"/>
      <w:marTop w:val="0"/>
      <w:marBottom w:val="0"/>
      <w:divBdr>
        <w:top w:val="none" w:sz="0" w:space="0" w:color="auto"/>
        <w:left w:val="none" w:sz="0" w:space="0" w:color="auto"/>
        <w:bottom w:val="none" w:sz="0" w:space="0" w:color="auto"/>
        <w:right w:val="none" w:sz="0" w:space="0" w:color="auto"/>
      </w:divBdr>
    </w:div>
    <w:div w:id="1595474316">
      <w:bodyDiv w:val="1"/>
      <w:marLeft w:val="0"/>
      <w:marRight w:val="0"/>
      <w:marTop w:val="0"/>
      <w:marBottom w:val="0"/>
      <w:divBdr>
        <w:top w:val="none" w:sz="0" w:space="0" w:color="auto"/>
        <w:left w:val="none" w:sz="0" w:space="0" w:color="auto"/>
        <w:bottom w:val="none" w:sz="0" w:space="0" w:color="auto"/>
        <w:right w:val="none" w:sz="0" w:space="0" w:color="auto"/>
      </w:divBdr>
    </w:div>
    <w:div w:id="1602834178">
      <w:bodyDiv w:val="1"/>
      <w:marLeft w:val="0"/>
      <w:marRight w:val="0"/>
      <w:marTop w:val="0"/>
      <w:marBottom w:val="0"/>
      <w:divBdr>
        <w:top w:val="none" w:sz="0" w:space="0" w:color="auto"/>
        <w:left w:val="none" w:sz="0" w:space="0" w:color="auto"/>
        <w:bottom w:val="none" w:sz="0" w:space="0" w:color="auto"/>
        <w:right w:val="none" w:sz="0" w:space="0" w:color="auto"/>
      </w:divBdr>
    </w:div>
    <w:div w:id="1604339031">
      <w:bodyDiv w:val="1"/>
      <w:marLeft w:val="0"/>
      <w:marRight w:val="0"/>
      <w:marTop w:val="0"/>
      <w:marBottom w:val="0"/>
      <w:divBdr>
        <w:top w:val="none" w:sz="0" w:space="0" w:color="auto"/>
        <w:left w:val="none" w:sz="0" w:space="0" w:color="auto"/>
        <w:bottom w:val="none" w:sz="0" w:space="0" w:color="auto"/>
        <w:right w:val="none" w:sz="0" w:space="0" w:color="auto"/>
      </w:divBdr>
      <w:divsChild>
        <w:div w:id="81150426">
          <w:marLeft w:val="0"/>
          <w:marRight w:val="0"/>
          <w:marTop w:val="0"/>
          <w:marBottom w:val="360"/>
          <w:divBdr>
            <w:top w:val="none" w:sz="0" w:space="0" w:color="auto"/>
            <w:left w:val="none" w:sz="0" w:space="0" w:color="auto"/>
            <w:bottom w:val="none" w:sz="0" w:space="0" w:color="auto"/>
            <w:right w:val="none" w:sz="0" w:space="0" w:color="auto"/>
          </w:divBdr>
        </w:div>
        <w:div w:id="460419248">
          <w:marLeft w:val="0"/>
          <w:marRight w:val="0"/>
          <w:marTop w:val="0"/>
          <w:marBottom w:val="360"/>
          <w:divBdr>
            <w:top w:val="none" w:sz="0" w:space="0" w:color="auto"/>
            <w:left w:val="none" w:sz="0" w:space="0" w:color="auto"/>
            <w:bottom w:val="none" w:sz="0" w:space="0" w:color="auto"/>
            <w:right w:val="none" w:sz="0" w:space="0" w:color="auto"/>
          </w:divBdr>
        </w:div>
        <w:div w:id="903681219">
          <w:marLeft w:val="0"/>
          <w:marRight w:val="0"/>
          <w:marTop w:val="0"/>
          <w:marBottom w:val="360"/>
          <w:divBdr>
            <w:top w:val="none" w:sz="0" w:space="0" w:color="auto"/>
            <w:left w:val="none" w:sz="0" w:space="0" w:color="auto"/>
            <w:bottom w:val="none" w:sz="0" w:space="0" w:color="auto"/>
            <w:right w:val="none" w:sz="0" w:space="0" w:color="auto"/>
          </w:divBdr>
        </w:div>
        <w:div w:id="1263218572">
          <w:marLeft w:val="0"/>
          <w:marRight w:val="0"/>
          <w:marTop w:val="0"/>
          <w:marBottom w:val="360"/>
          <w:divBdr>
            <w:top w:val="none" w:sz="0" w:space="0" w:color="auto"/>
            <w:left w:val="none" w:sz="0" w:space="0" w:color="auto"/>
            <w:bottom w:val="none" w:sz="0" w:space="0" w:color="auto"/>
            <w:right w:val="none" w:sz="0" w:space="0" w:color="auto"/>
          </w:divBdr>
        </w:div>
      </w:divsChild>
    </w:div>
    <w:div w:id="1624266410">
      <w:bodyDiv w:val="1"/>
      <w:marLeft w:val="0"/>
      <w:marRight w:val="0"/>
      <w:marTop w:val="0"/>
      <w:marBottom w:val="0"/>
      <w:divBdr>
        <w:top w:val="none" w:sz="0" w:space="0" w:color="auto"/>
        <w:left w:val="none" w:sz="0" w:space="0" w:color="auto"/>
        <w:bottom w:val="none" w:sz="0" w:space="0" w:color="auto"/>
        <w:right w:val="none" w:sz="0" w:space="0" w:color="auto"/>
      </w:divBdr>
    </w:div>
    <w:div w:id="1672024288">
      <w:bodyDiv w:val="1"/>
      <w:marLeft w:val="0"/>
      <w:marRight w:val="0"/>
      <w:marTop w:val="0"/>
      <w:marBottom w:val="0"/>
      <w:divBdr>
        <w:top w:val="none" w:sz="0" w:space="0" w:color="auto"/>
        <w:left w:val="none" w:sz="0" w:space="0" w:color="auto"/>
        <w:bottom w:val="none" w:sz="0" w:space="0" w:color="auto"/>
        <w:right w:val="none" w:sz="0" w:space="0" w:color="auto"/>
      </w:divBdr>
    </w:div>
    <w:div w:id="1714307210">
      <w:bodyDiv w:val="1"/>
      <w:marLeft w:val="0"/>
      <w:marRight w:val="0"/>
      <w:marTop w:val="0"/>
      <w:marBottom w:val="0"/>
      <w:divBdr>
        <w:top w:val="none" w:sz="0" w:space="0" w:color="auto"/>
        <w:left w:val="none" w:sz="0" w:space="0" w:color="auto"/>
        <w:bottom w:val="none" w:sz="0" w:space="0" w:color="auto"/>
        <w:right w:val="none" w:sz="0" w:space="0" w:color="auto"/>
      </w:divBdr>
    </w:div>
    <w:div w:id="1773549565">
      <w:bodyDiv w:val="1"/>
      <w:marLeft w:val="0"/>
      <w:marRight w:val="0"/>
      <w:marTop w:val="0"/>
      <w:marBottom w:val="0"/>
      <w:divBdr>
        <w:top w:val="none" w:sz="0" w:space="0" w:color="auto"/>
        <w:left w:val="none" w:sz="0" w:space="0" w:color="auto"/>
        <w:bottom w:val="none" w:sz="0" w:space="0" w:color="auto"/>
        <w:right w:val="none" w:sz="0" w:space="0" w:color="auto"/>
      </w:divBdr>
    </w:div>
    <w:div w:id="1814907150">
      <w:bodyDiv w:val="1"/>
      <w:marLeft w:val="0"/>
      <w:marRight w:val="0"/>
      <w:marTop w:val="0"/>
      <w:marBottom w:val="0"/>
      <w:divBdr>
        <w:top w:val="none" w:sz="0" w:space="0" w:color="auto"/>
        <w:left w:val="none" w:sz="0" w:space="0" w:color="auto"/>
        <w:bottom w:val="none" w:sz="0" w:space="0" w:color="auto"/>
        <w:right w:val="none" w:sz="0" w:space="0" w:color="auto"/>
      </w:divBdr>
    </w:div>
    <w:div w:id="1826510706">
      <w:bodyDiv w:val="1"/>
      <w:marLeft w:val="0"/>
      <w:marRight w:val="0"/>
      <w:marTop w:val="0"/>
      <w:marBottom w:val="0"/>
      <w:divBdr>
        <w:top w:val="none" w:sz="0" w:space="0" w:color="auto"/>
        <w:left w:val="none" w:sz="0" w:space="0" w:color="auto"/>
        <w:bottom w:val="none" w:sz="0" w:space="0" w:color="auto"/>
        <w:right w:val="none" w:sz="0" w:space="0" w:color="auto"/>
      </w:divBdr>
    </w:div>
    <w:div w:id="1827163623">
      <w:bodyDiv w:val="1"/>
      <w:marLeft w:val="0"/>
      <w:marRight w:val="0"/>
      <w:marTop w:val="0"/>
      <w:marBottom w:val="0"/>
      <w:divBdr>
        <w:top w:val="none" w:sz="0" w:space="0" w:color="auto"/>
        <w:left w:val="none" w:sz="0" w:space="0" w:color="auto"/>
        <w:bottom w:val="none" w:sz="0" w:space="0" w:color="auto"/>
        <w:right w:val="none" w:sz="0" w:space="0" w:color="auto"/>
      </w:divBdr>
    </w:div>
    <w:div w:id="1870603801">
      <w:bodyDiv w:val="1"/>
      <w:marLeft w:val="0"/>
      <w:marRight w:val="0"/>
      <w:marTop w:val="0"/>
      <w:marBottom w:val="0"/>
      <w:divBdr>
        <w:top w:val="none" w:sz="0" w:space="0" w:color="auto"/>
        <w:left w:val="none" w:sz="0" w:space="0" w:color="auto"/>
        <w:bottom w:val="none" w:sz="0" w:space="0" w:color="auto"/>
        <w:right w:val="none" w:sz="0" w:space="0" w:color="auto"/>
      </w:divBdr>
      <w:divsChild>
        <w:div w:id="58401617">
          <w:marLeft w:val="0"/>
          <w:marRight w:val="0"/>
          <w:marTop w:val="0"/>
          <w:marBottom w:val="360"/>
          <w:divBdr>
            <w:top w:val="none" w:sz="0" w:space="0" w:color="auto"/>
            <w:left w:val="none" w:sz="0" w:space="0" w:color="auto"/>
            <w:bottom w:val="none" w:sz="0" w:space="0" w:color="auto"/>
            <w:right w:val="none" w:sz="0" w:space="0" w:color="auto"/>
          </w:divBdr>
        </w:div>
        <w:div w:id="893656414">
          <w:marLeft w:val="0"/>
          <w:marRight w:val="0"/>
          <w:marTop w:val="0"/>
          <w:marBottom w:val="360"/>
          <w:divBdr>
            <w:top w:val="none" w:sz="0" w:space="0" w:color="auto"/>
            <w:left w:val="none" w:sz="0" w:space="0" w:color="auto"/>
            <w:bottom w:val="none" w:sz="0" w:space="0" w:color="auto"/>
            <w:right w:val="none" w:sz="0" w:space="0" w:color="auto"/>
          </w:divBdr>
        </w:div>
        <w:div w:id="945383324">
          <w:marLeft w:val="0"/>
          <w:marRight w:val="0"/>
          <w:marTop w:val="0"/>
          <w:marBottom w:val="360"/>
          <w:divBdr>
            <w:top w:val="none" w:sz="0" w:space="0" w:color="auto"/>
            <w:left w:val="none" w:sz="0" w:space="0" w:color="auto"/>
            <w:bottom w:val="none" w:sz="0" w:space="0" w:color="auto"/>
            <w:right w:val="none" w:sz="0" w:space="0" w:color="auto"/>
          </w:divBdr>
        </w:div>
        <w:div w:id="1953005295">
          <w:marLeft w:val="0"/>
          <w:marRight w:val="0"/>
          <w:marTop w:val="0"/>
          <w:marBottom w:val="360"/>
          <w:divBdr>
            <w:top w:val="none" w:sz="0" w:space="0" w:color="auto"/>
            <w:left w:val="none" w:sz="0" w:space="0" w:color="auto"/>
            <w:bottom w:val="none" w:sz="0" w:space="0" w:color="auto"/>
            <w:right w:val="none" w:sz="0" w:space="0" w:color="auto"/>
          </w:divBdr>
        </w:div>
      </w:divsChild>
    </w:div>
    <w:div w:id="1915427835">
      <w:bodyDiv w:val="1"/>
      <w:marLeft w:val="0"/>
      <w:marRight w:val="0"/>
      <w:marTop w:val="0"/>
      <w:marBottom w:val="0"/>
      <w:divBdr>
        <w:top w:val="none" w:sz="0" w:space="0" w:color="auto"/>
        <w:left w:val="none" w:sz="0" w:space="0" w:color="auto"/>
        <w:bottom w:val="none" w:sz="0" w:space="0" w:color="auto"/>
        <w:right w:val="none" w:sz="0" w:space="0" w:color="auto"/>
      </w:divBdr>
    </w:div>
    <w:div w:id="1941571693">
      <w:bodyDiv w:val="1"/>
      <w:marLeft w:val="0"/>
      <w:marRight w:val="0"/>
      <w:marTop w:val="0"/>
      <w:marBottom w:val="0"/>
      <w:divBdr>
        <w:top w:val="none" w:sz="0" w:space="0" w:color="auto"/>
        <w:left w:val="none" w:sz="0" w:space="0" w:color="auto"/>
        <w:bottom w:val="none" w:sz="0" w:space="0" w:color="auto"/>
        <w:right w:val="none" w:sz="0" w:space="0" w:color="auto"/>
      </w:divBdr>
    </w:div>
    <w:div w:id="2053308428">
      <w:bodyDiv w:val="1"/>
      <w:marLeft w:val="0"/>
      <w:marRight w:val="0"/>
      <w:marTop w:val="0"/>
      <w:marBottom w:val="0"/>
      <w:divBdr>
        <w:top w:val="none" w:sz="0" w:space="0" w:color="auto"/>
        <w:left w:val="none" w:sz="0" w:space="0" w:color="auto"/>
        <w:bottom w:val="none" w:sz="0" w:space="0" w:color="auto"/>
        <w:right w:val="none" w:sz="0" w:space="0" w:color="auto"/>
      </w:divBdr>
    </w:div>
    <w:div w:id="207828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footer" Target="footer8.xml"/><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image" Target="media/image34.png"/><Relationship Id="rId68" Type="http://schemas.openxmlformats.org/officeDocument/2006/relationships/oleObject" Target="embeddings/oleObject9.bin"/><Relationship Id="rId84" Type="http://schemas.openxmlformats.org/officeDocument/2006/relationships/image" Target="media/image54.jpeg"/><Relationship Id="rId89" Type="http://schemas.openxmlformats.org/officeDocument/2006/relationships/image" Target="media/image59.png"/><Relationship Id="rId16" Type="http://schemas.openxmlformats.org/officeDocument/2006/relationships/header" Target="header5.xml"/><Relationship Id="rId11" Type="http://schemas.openxmlformats.org/officeDocument/2006/relationships/header" Target="header2.xml"/><Relationship Id="rId32" Type="http://schemas.openxmlformats.org/officeDocument/2006/relationships/image" Target="media/image9.emf"/><Relationship Id="rId37" Type="http://schemas.openxmlformats.org/officeDocument/2006/relationships/oleObject" Target="embeddings/oleObject5.bin"/><Relationship Id="rId53" Type="http://schemas.openxmlformats.org/officeDocument/2006/relationships/image" Target="media/image25.png"/><Relationship Id="rId58" Type="http://schemas.openxmlformats.org/officeDocument/2006/relationships/image" Target="media/image29.png"/><Relationship Id="rId74" Type="http://schemas.openxmlformats.org/officeDocument/2006/relationships/image" Target="media/image44.png"/><Relationship Id="rId79" Type="http://schemas.openxmlformats.org/officeDocument/2006/relationships/image" Target="media/image49.emf"/><Relationship Id="rId5" Type="http://schemas.openxmlformats.org/officeDocument/2006/relationships/webSettings" Target="webSettings.xml"/><Relationship Id="rId90" Type="http://schemas.openxmlformats.org/officeDocument/2006/relationships/image" Target="media/image60.png"/><Relationship Id="rId14" Type="http://schemas.openxmlformats.org/officeDocument/2006/relationships/header" Target="header4.xml"/><Relationship Id="rId22" Type="http://schemas.openxmlformats.org/officeDocument/2006/relationships/image" Target="media/image1.png"/><Relationship Id="rId27" Type="http://schemas.openxmlformats.org/officeDocument/2006/relationships/image" Target="media/image6.emf"/><Relationship Id="rId30" Type="http://schemas.openxmlformats.org/officeDocument/2006/relationships/image" Target="media/image8.emf"/><Relationship Id="rId35" Type="http://schemas.openxmlformats.org/officeDocument/2006/relationships/oleObject" Target="embeddings/oleObject4.bin"/><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7.png"/><Relationship Id="rId64" Type="http://schemas.openxmlformats.org/officeDocument/2006/relationships/image" Target="media/image35.png"/><Relationship Id="rId69" Type="http://schemas.openxmlformats.org/officeDocument/2006/relationships/image" Target="media/image39.emf"/><Relationship Id="rId77" Type="http://schemas.openxmlformats.org/officeDocument/2006/relationships/image" Target="media/image47.emf"/><Relationship Id="rId8" Type="http://schemas.openxmlformats.org/officeDocument/2006/relationships/header" Target="header1.xml"/><Relationship Id="rId51" Type="http://schemas.openxmlformats.org/officeDocument/2006/relationships/image" Target="media/image23.png"/><Relationship Id="rId72" Type="http://schemas.openxmlformats.org/officeDocument/2006/relationships/image" Target="media/image42.emf"/><Relationship Id="rId80" Type="http://schemas.openxmlformats.org/officeDocument/2006/relationships/image" Target="media/image50.png"/><Relationship Id="rId85" Type="http://schemas.openxmlformats.org/officeDocument/2006/relationships/image" Target="media/image55.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image" Target="media/image4.emf"/><Relationship Id="rId33" Type="http://schemas.openxmlformats.org/officeDocument/2006/relationships/oleObject" Target="embeddings/oleObject3.bin"/><Relationship Id="rId38" Type="http://schemas.openxmlformats.org/officeDocument/2006/relationships/image" Target="media/image12.emf"/><Relationship Id="rId46" Type="http://schemas.openxmlformats.org/officeDocument/2006/relationships/image" Target="media/image18.png"/><Relationship Id="rId59" Type="http://schemas.openxmlformats.org/officeDocument/2006/relationships/image" Target="media/image30.png"/><Relationship Id="rId67" Type="http://schemas.openxmlformats.org/officeDocument/2006/relationships/image" Target="media/image38.emf"/><Relationship Id="rId20" Type="http://schemas.openxmlformats.org/officeDocument/2006/relationships/footer" Target="footer7.xml"/><Relationship Id="rId41" Type="http://schemas.openxmlformats.org/officeDocument/2006/relationships/oleObject" Target="embeddings/oleObject7.bin"/><Relationship Id="rId54" Type="http://schemas.openxmlformats.org/officeDocument/2006/relationships/image" Target="media/image26.emf"/><Relationship Id="rId62" Type="http://schemas.openxmlformats.org/officeDocument/2006/relationships/image" Target="media/image33.png"/><Relationship Id="rId70" Type="http://schemas.openxmlformats.org/officeDocument/2006/relationships/image" Target="media/image40.emf"/><Relationship Id="rId75" Type="http://schemas.openxmlformats.org/officeDocument/2006/relationships/image" Target="media/image45.emf"/><Relationship Id="rId83" Type="http://schemas.openxmlformats.org/officeDocument/2006/relationships/image" Target="media/image53.jpeg"/><Relationship Id="rId88" Type="http://schemas.openxmlformats.org/officeDocument/2006/relationships/image" Target="media/image58.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2.png"/><Relationship Id="rId28" Type="http://schemas.openxmlformats.org/officeDocument/2006/relationships/oleObject" Target="embeddings/oleObject1.bin"/><Relationship Id="rId36" Type="http://schemas.openxmlformats.org/officeDocument/2006/relationships/image" Target="media/image11.emf"/><Relationship Id="rId49" Type="http://schemas.openxmlformats.org/officeDocument/2006/relationships/image" Target="media/image21.png"/><Relationship Id="rId57" Type="http://schemas.openxmlformats.org/officeDocument/2006/relationships/image" Target="media/image28.png"/><Relationship Id="rId10" Type="http://schemas.openxmlformats.org/officeDocument/2006/relationships/footer" Target="footer2.xml"/><Relationship Id="rId31" Type="http://schemas.openxmlformats.org/officeDocument/2006/relationships/oleObject" Target="embeddings/oleObject2.bin"/><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1.png"/><Relationship Id="rId65" Type="http://schemas.openxmlformats.org/officeDocument/2006/relationships/image" Target="media/image36.png"/><Relationship Id="rId73" Type="http://schemas.openxmlformats.org/officeDocument/2006/relationships/image" Target="media/image43.png"/><Relationship Id="rId78" Type="http://schemas.openxmlformats.org/officeDocument/2006/relationships/image" Target="media/image48.emf"/><Relationship Id="rId81" Type="http://schemas.openxmlformats.org/officeDocument/2006/relationships/image" Target="media/image51.jpeg"/><Relationship Id="rId86"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oleObject" Target="embeddings/oleObject6.bin"/><Relationship Id="rId34" Type="http://schemas.openxmlformats.org/officeDocument/2006/relationships/image" Target="media/image10.emf"/><Relationship Id="rId50" Type="http://schemas.openxmlformats.org/officeDocument/2006/relationships/image" Target="media/image22.png"/><Relationship Id="rId55" Type="http://schemas.openxmlformats.org/officeDocument/2006/relationships/oleObject" Target="embeddings/oleObject8.bin"/><Relationship Id="rId76" Type="http://schemas.openxmlformats.org/officeDocument/2006/relationships/image" Target="media/image46.emf"/><Relationship Id="rId7" Type="http://schemas.openxmlformats.org/officeDocument/2006/relationships/endnotes" Target="endnotes.xml"/><Relationship Id="rId71" Type="http://schemas.openxmlformats.org/officeDocument/2006/relationships/image" Target="media/image41.emf"/><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image" Target="media/image3.png"/><Relationship Id="rId40" Type="http://schemas.openxmlformats.org/officeDocument/2006/relationships/image" Target="media/image13.emf"/><Relationship Id="rId45" Type="http://schemas.openxmlformats.org/officeDocument/2006/relationships/image" Target="media/image17.png"/><Relationship Id="rId66" Type="http://schemas.openxmlformats.org/officeDocument/2006/relationships/image" Target="media/image37.png"/><Relationship Id="rId87" Type="http://schemas.openxmlformats.org/officeDocument/2006/relationships/image" Target="media/image57.jpeg"/><Relationship Id="rId61" Type="http://schemas.openxmlformats.org/officeDocument/2006/relationships/image" Target="media/image32.jpeg"/><Relationship Id="rId82" Type="http://schemas.openxmlformats.org/officeDocument/2006/relationships/image" Target="media/image52.jpeg"/><Relationship Id="rId19"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51040-1FCE-0F47-9E24-B465C680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187</Pages>
  <Words>145309</Words>
  <Characters>828262</Characters>
  <Application>Microsoft Office Word</Application>
  <DocSecurity>0</DocSecurity>
  <Lines>6902</Lines>
  <Paragraphs>1943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971628</CharactersWithSpaces>
  <SharedDoc>false</SharedDoc>
  <HLinks>
    <vt:vector size="918" baseType="variant">
      <vt:variant>
        <vt:i4>2883585</vt:i4>
      </vt:variant>
      <vt:variant>
        <vt:i4>905</vt:i4>
      </vt:variant>
      <vt:variant>
        <vt:i4>0</vt:i4>
      </vt:variant>
      <vt:variant>
        <vt:i4>5</vt:i4>
      </vt:variant>
      <vt:variant>
        <vt:lpwstr/>
      </vt:variant>
      <vt:variant>
        <vt:lpwstr>_Toc5807442</vt:lpwstr>
      </vt:variant>
      <vt:variant>
        <vt:i4>2883585</vt:i4>
      </vt:variant>
      <vt:variant>
        <vt:i4>899</vt:i4>
      </vt:variant>
      <vt:variant>
        <vt:i4>0</vt:i4>
      </vt:variant>
      <vt:variant>
        <vt:i4>5</vt:i4>
      </vt:variant>
      <vt:variant>
        <vt:lpwstr/>
      </vt:variant>
      <vt:variant>
        <vt:lpwstr>_Toc5807441</vt:lpwstr>
      </vt:variant>
      <vt:variant>
        <vt:i4>2883585</vt:i4>
      </vt:variant>
      <vt:variant>
        <vt:i4>893</vt:i4>
      </vt:variant>
      <vt:variant>
        <vt:i4>0</vt:i4>
      </vt:variant>
      <vt:variant>
        <vt:i4>5</vt:i4>
      </vt:variant>
      <vt:variant>
        <vt:lpwstr/>
      </vt:variant>
      <vt:variant>
        <vt:lpwstr>_Toc5807440</vt:lpwstr>
      </vt:variant>
      <vt:variant>
        <vt:i4>2818049</vt:i4>
      </vt:variant>
      <vt:variant>
        <vt:i4>887</vt:i4>
      </vt:variant>
      <vt:variant>
        <vt:i4>0</vt:i4>
      </vt:variant>
      <vt:variant>
        <vt:i4>5</vt:i4>
      </vt:variant>
      <vt:variant>
        <vt:lpwstr/>
      </vt:variant>
      <vt:variant>
        <vt:lpwstr>_Toc5807439</vt:lpwstr>
      </vt:variant>
      <vt:variant>
        <vt:i4>2818049</vt:i4>
      </vt:variant>
      <vt:variant>
        <vt:i4>881</vt:i4>
      </vt:variant>
      <vt:variant>
        <vt:i4>0</vt:i4>
      </vt:variant>
      <vt:variant>
        <vt:i4>5</vt:i4>
      </vt:variant>
      <vt:variant>
        <vt:lpwstr/>
      </vt:variant>
      <vt:variant>
        <vt:lpwstr>_Toc5807438</vt:lpwstr>
      </vt:variant>
      <vt:variant>
        <vt:i4>2818049</vt:i4>
      </vt:variant>
      <vt:variant>
        <vt:i4>875</vt:i4>
      </vt:variant>
      <vt:variant>
        <vt:i4>0</vt:i4>
      </vt:variant>
      <vt:variant>
        <vt:i4>5</vt:i4>
      </vt:variant>
      <vt:variant>
        <vt:lpwstr/>
      </vt:variant>
      <vt:variant>
        <vt:lpwstr>_Toc5807437</vt:lpwstr>
      </vt:variant>
      <vt:variant>
        <vt:i4>2818049</vt:i4>
      </vt:variant>
      <vt:variant>
        <vt:i4>869</vt:i4>
      </vt:variant>
      <vt:variant>
        <vt:i4>0</vt:i4>
      </vt:variant>
      <vt:variant>
        <vt:i4>5</vt:i4>
      </vt:variant>
      <vt:variant>
        <vt:lpwstr/>
      </vt:variant>
      <vt:variant>
        <vt:lpwstr>_Toc5807436</vt:lpwstr>
      </vt:variant>
      <vt:variant>
        <vt:i4>2818049</vt:i4>
      </vt:variant>
      <vt:variant>
        <vt:i4>863</vt:i4>
      </vt:variant>
      <vt:variant>
        <vt:i4>0</vt:i4>
      </vt:variant>
      <vt:variant>
        <vt:i4>5</vt:i4>
      </vt:variant>
      <vt:variant>
        <vt:lpwstr/>
      </vt:variant>
      <vt:variant>
        <vt:lpwstr>_Toc5807435</vt:lpwstr>
      </vt:variant>
      <vt:variant>
        <vt:i4>2818049</vt:i4>
      </vt:variant>
      <vt:variant>
        <vt:i4>857</vt:i4>
      </vt:variant>
      <vt:variant>
        <vt:i4>0</vt:i4>
      </vt:variant>
      <vt:variant>
        <vt:i4>5</vt:i4>
      </vt:variant>
      <vt:variant>
        <vt:lpwstr/>
      </vt:variant>
      <vt:variant>
        <vt:lpwstr>_Toc5807434</vt:lpwstr>
      </vt:variant>
      <vt:variant>
        <vt:i4>2818049</vt:i4>
      </vt:variant>
      <vt:variant>
        <vt:i4>851</vt:i4>
      </vt:variant>
      <vt:variant>
        <vt:i4>0</vt:i4>
      </vt:variant>
      <vt:variant>
        <vt:i4>5</vt:i4>
      </vt:variant>
      <vt:variant>
        <vt:lpwstr/>
      </vt:variant>
      <vt:variant>
        <vt:lpwstr>_Toc5807433</vt:lpwstr>
      </vt:variant>
      <vt:variant>
        <vt:i4>2818049</vt:i4>
      </vt:variant>
      <vt:variant>
        <vt:i4>845</vt:i4>
      </vt:variant>
      <vt:variant>
        <vt:i4>0</vt:i4>
      </vt:variant>
      <vt:variant>
        <vt:i4>5</vt:i4>
      </vt:variant>
      <vt:variant>
        <vt:lpwstr/>
      </vt:variant>
      <vt:variant>
        <vt:lpwstr>_Toc5807432</vt:lpwstr>
      </vt:variant>
      <vt:variant>
        <vt:i4>2818049</vt:i4>
      </vt:variant>
      <vt:variant>
        <vt:i4>839</vt:i4>
      </vt:variant>
      <vt:variant>
        <vt:i4>0</vt:i4>
      </vt:variant>
      <vt:variant>
        <vt:i4>5</vt:i4>
      </vt:variant>
      <vt:variant>
        <vt:lpwstr/>
      </vt:variant>
      <vt:variant>
        <vt:lpwstr>_Toc5807431</vt:lpwstr>
      </vt:variant>
      <vt:variant>
        <vt:i4>2818049</vt:i4>
      </vt:variant>
      <vt:variant>
        <vt:i4>833</vt:i4>
      </vt:variant>
      <vt:variant>
        <vt:i4>0</vt:i4>
      </vt:variant>
      <vt:variant>
        <vt:i4>5</vt:i4>
      </vt:variant>
      <vt:variant>
        <vt:lpwstr/>
      </vt:variant>
      <vt:variant>
        <vt:lpwstr>_Toc5807430</vt:lpwstr>
      </vt:variant>
      <vt:variant>
        <vt:i4>2752513</vt:i4>
      </vt:variant>
      <vt:variant>
        <vt:i4>827</vt:i4>
      </vt:variant>
      <vt:variant>
        <vt:i4>0</vt:i4>
      </vt:variant>
      <vt:variant>
        <vt:i4>5</vt:i4>
      </vt:variant>
      <vt:variant>
        <vt:lpwstr/>
      </vt:variant>
      <vt:variant>
        <vt:lpwstr>_Toc5807429</vt:lpwstr>
      </vt:variant>
      <vt:variant>
        <vt:i4>2752513</vt:i4>
      </vt:variant>
      <vt:variant>
        <vt:i4>821</vt:i4>
      </vt:variant>
      <vt:variant>
        <vt:i4>0</vt:i4>
      </vt:variant>
      <vt:variant>
        <vt:i4>5</vt:i4>
      </vt:variant>
      <vt:variant>
        <vt:lpwstr/>
      </vt:variant>
      <vt:variant>
        <vt:lpwstr>_Toc5807428</vt:lpwstr>
      </vt:variant>
      <vt:variant>
        <vt:i4>2752513</vt:i4>
      </vt:variant>
      <vt:variant>
        <vt:i4>815</vt:i4>
      </vt:variant>
      <vt:variant>
        <vt:i4>0</vt:i4>
      </vt:variant>
      <vt:variant>
        <vt:i4>5</vt:i4>
      </vt:variant>
      <vt:variant>
        <vt:lpwstr/>
      </vt:variant>
      <vt:variant>
        <vt:lpwstr>_Toc5807427</vt:lpwstr>
      </vt:variant>
      <vt:variant>
        <vt:i4>2752513</vt:i4>
      </vt:variant>
      <vt:variant>
        <vt:i4>809</vt:i4>
      </vt:variant>
      <vt:variant>
        <vt:i4>0</vt:i4>
      </vt:variant>
      <vt:variant>
        <vt:i4>5</vt:i4>
      </vt:variant>
      <vt:variant>
        <vt:lpwstr/>
      </vt:variant>
      <vt:variant>
        <vt:lpwstr>_Toc5807426</vt:lpwstr>
      </vt:variant>
      <vt:variant>
        <vt:i4>2752513</vt:i4>
      </vt:variant>
      <vt:variant>
        <vt:i4>803</vt:i4>
      </vt:variant>
      <vt:variant>
        <vt:i4>0</vt:i4>
      </vt:variant>
      <vt:variant>
        <vt:i4>5</vt:i4>
      </vt:variant>
      <vt:variant>
        <vt:lpwstr/>
      </vt:variant>
      <vt:variant>
        <vt:lpwstr>_Toc5807425</vt:lpwstr>
      </vt:variant>
      <vt:variant>
        <vt:i4>2752513</vt:i4>
      </vt:variant>
      <vt:variant>
        <vt:i4>797</vt:i4>
      </vt:variant>
      <vt:variant>
        <vt:i4>0</vt:i4>
      </vt:variant>
      <vt:variant>
        <vt:i4>5</vt:i4>
      </vt:variant>
      <vt:variant>
        <vt:lpwstr/>
      </vt:variant>
      <vt:variant>
        <vt:lpwstr>_Toc5807424</vt:lpwstr>
      </vt:variant>
      <vt:variant>
        <vt:i4>2752513</vt:i4>
      </vt:variant>
      <vt:variant>
        <vt:i4>791</vt:i4>
      </vt:variant>
      <vt:variant>
        <vt:i4>0</vt:i4>
      </vt:variant>
      <vt:variant>
        <vt:i4>5</vt:i4>
      </vt:variant>
      <vt:variant>
        <vt:lpwstr/>
      </vt:variant>
      <vt:variant>
        <vt:lpwstr>_Toc5807423</vt:lpwstr>
      </vt:variant>
      <vt:variant>
        <vt:i4>2752513</vt:i4>
      </vt:variant>
      <vt:variant>
        <vt:i4>785</vt:i4>
      </vt:variant>
      <vt:variant>
        <vt:i4>0</vt:i4>
      </vt:variant>
      <vt:variant>
        <vt:i4>5</vt:i4>
      </vt:variant>
      <vt:variant>
        <vt:lpwstr/>
      </vt:variant>
      <vt:variant>
        <vt:lpwstr>_Toc5807422</vt:lpwstr>
      </vt:variant>
      <vt:variant>
        <vt:i4>2752513</vt:i4>
      </vt:variant>
      <vt:variant>
        <vt:i4>779</vt:i4>
      </vt:variant>
      <vt:variant>
        <vt:i4>0</vt:i4>
      </vt:variant>
      <vt:variant>
        <vt:i4>5</vt:i4>
      </vt:variant>
      <vt:variant>
        <vt:lpwstr/>
      </vt:variant>
      <vt:variant>
        <vt:lpwstr>_Toc5807421</vt:lpwstr>
      </vt:variant>
      <vt:variant>
        <vt:i4>2752513</vt:i4>
      </vt:variant>
      <vt:variant>
        <vt:i4>773</vt:i4>
      </vt:variant>
      <vt:variant>
        <vt:i4>0</vt:i4>
      </vt:variant>
      <vt:variant>
        <vt:i4>5</vt:i4>
      </vt:variant>
      <vt:variant>
        <vt:lpwstr/>
      </vt:variant>
      <vt:variant>
        <vt:lpwstr>_Toc5807420</vt:lpwstr>
      </vt:variant>
      <vt:variant>
        <vt:i4>2686977</vt:i4>
      </vt:variant>
      <vt:variant>
        <vt:i4>767</vt:i4>
      </vt:variant>
      <vt:variant>
        <vt:i4>0</vt:i4>
      </vt:variant>
      <vt:variant>
        <vt:i4>5</vt:i4>
      </vt:variant>
      <vt:variant>
        <vt:lpwstr/>
      </vt:variant>
      <vt:variant>
        <vt:lpwstr>_Toc5807419</vt:lpwstr>
      </vt:variant>
      <vt:variant>
        <vt:i4>2686977</vt:i4>
      </vt:variant>
      <vt:variant>
        <vt:i4>761</vt:i4>
      </vt:variant>
      <vt:variant>
        <vt:i4>0</vt:i4>
      </vt:variant>
      <vt:variant>
        <vt:i4>5</vt:i4>
      </vt:variant>
      <vt:variant>
        <vt:lpwstr/>
      </vt:variant>
      <vt:variant>
        <vt:lpwstr>_Toc5807418</vt:lpwstr>
      </vt:variant>
      <vt:variant>
        <vt:i4>2686977</vt:i4>
      </vt:variant>
      <vt:variant>
        <vt:i4>755</vt:i4>
      </vt:variant>
      <vt:variant>
        <vt:i4>0</vt:i4>
      </vt:variant>
      <vt:variant>
        <vt:i4>5</vt:i4>
      </vt:variant>
      <vt:variant>
        <vt:lpwstr/>
      </vt:variant>
      <vt:variant>
        <vt:lpwstr>_Toc5807417</vt:lpwstr>
      </vt:variant>
      <vt:variant>
        <vt:i4>2686977</vt:i4>
      </vt:variant>
      <vt:variant>
        <vt:i4>749</vt:i4>
      </vt:variant>
      <vt:variant>
        <vt:i4>0</vt:i4>
      </vt:variant>
      <vt:variant>
        <vt:i4>5</vt:i4>
      </vt:variant>
      <vt:variant>
        <vt:lpwstr/>
      </vt:variant>
      <vt:variant>
        <vt:lpwstr>_Toc5807416</vt:lpwstr>
      </vt:variant>
      <vt:variant>
        <vt:i4>2686977</vt:i4>
      </vt:variant>
      <vt:variant>
        <vt:i4>743</vt:i4>
      </vt:variant>
      <vt:variant>
        <vt:i4>0</vt:i4>
      </vt:variant>
      <vt:variant>
        <vt:i4>5</vt:i4>
      </vt:variant>
      <vt:variant>
        <vt:lpwstr/>
      </vt:variant>
      <vt:variant>
        <vt:lpwstr>_Toc5807415</vt:lpwstr>
      </vt:variant>
      <vt:variant>
        <vt:i4>2686977</vt:i4>
      </vt:variant>
      <vt:variant>
        <vt:i4>737</vt:i4>
      </vt:variant>
      <vt:variant>
        <vt:i4>0</vt:i4>
      </vt:variant>
      <vt:variant>
        <vt:i4>5</vt:i4>
      </vt:variant>
      <vt:variant>
        <vt:lpwstr/>
      </vt:variant>
      <vt:variant>
        <vt:lpwstr>_Toc5807414</vt:lpwstr>
      </vt:variant>
      <vt:variant>
        <vt:i4>2686977</vt:i4>
      </vt:variant>
      <vt:variant>
        <vt:i4>731</vt:i4>
      </vt:variant>
      <vt:variant>
        <vt:i4>0</vt:i4>
      </vt:variant>
      <vt:variant>
        <vt:i4>5</vt:i4>
      </vt:variant>
      <vt:variant>
        <vt:lpwstr/>
      </vt:variant>
      <vt:variant>
        <vt:lpwstr>_Toc5807413</vt:lpwstr>
      </vt:variant>
      <vt:variant>
        <vt:i4>2686977</vt:i4>
      </vt:variant>
      <vt:variant>
        <vt:i4>725</vt:i4>
      </vt:variant>
      <vt:variant>
        <vt:i4>0</vt:i4>
      </vt:variant>
      <vt:variant>
        <vt:i4>5</vt:i4>
      </vt:variant>
      <vt:variant>
        <vt:lpwstr/>
      </vt:variant>
      <vt:variant>
        <vt:lpwstr>_Toc5807412</vt:lpwstr>
      </vt:variant>
      <vt:variant>
        <vt:i4>2686977</vt:i4>
      </vt:variant>
      <vt:variant>
        <vt:i4>719</vt:i4>
      </vt:variant>
      <vt:variant>
        <vt:i4>0</vt:i4>
      </vt:variant>
      <vt:variant>
        <vt:i4>5</vt:i4>
      </vt:variant>
      <vt:variant>
        <vt:lpwstr/>
      </vt:variant>
      <vt:variant>
        <vt:lpwstr>_Toc5807411</vt:lpwstr>
      </vt:variant>
      <vt:variant>
        <vt:i4>2686977</vt:i4>
      </vt:variant>
      <vt:variant>
        <vt:i4>713</vt:i4>
      </vt:variant>
      <vt:variant>
        <vt:i4>0</vt:i4>
      </vt:variant>
      <vt:variant>
        <vt:i4>5</vt:i4>
      </vt:variant>
      <vt:variant>
        <vt:lpwstr/>
      </vt:variant>
      <vt:variant>
        <vt:lpwstr>_Toc5807410</vt:lpwstr>
      </vt:variant>
      <vt:variant>
        <vt:i4>2621441</vt:i4>
      </vt:variant>
      <vt:variant>
        <vt:i4>707</vt:i4>
      </vt:variant>
      <vt:variant>
        <vt:i4>0</vt:i4>
      </vt:variant>
      <vt:variant>
        <vt:i4>5</vt:i4>
      </vt:variant>
      <vt:variant>
        <vt:lpwstr/>
      </vt:variant>
      <vt:variant>
        <vt:lpwstr>_Toc5807409</vt:lpwstr>
      </vt:variant>
      <vt:variant>
        <vt:i4>2621441</vt:i4>
      </vt:variant>
      <vt:variant>
        <vt:i4>701</vt:i4>
      </vt:variant>
      <vt:variant>
        <vt:i4>0</vt:i4>
      </vt:variant>
      <vt:variant>
        <vt:i4>5</vt:i4>
      </vt:variant>
      <vt:variant>
        <vt:lpwstr/>
      </vt:variant>
      <vt:variant>
        <vt:lpwstr>_Toc5807408</vt:lpwstr>
      </vt:variant>
      <vt:variant>
        <vt:i4>2621441</vt:i4>
      </vt:variant>
      <vt:variant>
        <vt:i4>695</vt:i4>
      </vt:variant>
      <vt:variant>
        <vt:i4>0</vt:i4>
      </vt:variant>
      <vt:variant>
        <vt:i4>5</vt:i4>
      </vt:variant>
      <vt:variant>
        <vt:lpwstr/>
      </vt:variant>
      <vt:variant>
        <vt:lpwstr>_Toc5807407</vt:lpwstr>
      </vt:variant>
      <vt:variant>
        <vt:i4>2621441</vt:i4>
      </vt:variant>
      <vt:variant>
        <vt:i4>689</vt:i4>
      </vt:variant>
      <vt:variant>
        <vt:i4>0</vt:i4>
      </vt:variant>
      <vt:variant>
        <vt:i4>5</vt:i4>
      </vt:variant>
      <vt:variant>
        <vt:lpwstr/>
      </vt:variant>
      <vt:variant>
        <vt:lpwstr>_Toc5807406</vt:lpwstr>
      </vt:variant>
      <vt:variant>
        <vt:i4>2621441</vt:i4>
      </vt:variant>
      <vt:variant>
        <vt:i4>683</vt:i4>
      </vt:variant>
      <vt:variant>
        <vt:i4>0</vt:i4>
      </vt:variant>
      <vt:variant>
        <vt:i4>5</vt:i4>
      </vt:variant>
      <vt:variant>
        <vt:lpwstr/>
      </vt:variant>
      <vt:variant>
        <vt:lpwstr>_Toc5807405</vt:lpwstr>
      </vt:variant>
      <vt:variant>
        <vt:i4>2621441</vt:i4>
      </vt:variant>
      <vt:variant>
        <vt:i4>680</vt:i4>
      </vt:variant>
      <vt:variant>
        <vt:i4>0</vt:i4>
      </vt:variant>
      <vt:variant>
        <vt:i4>5</vt:i4>
      </vt:variant>
      <vt:variant>
        <vt:lpwstr/>
      </vt:variant>
      <vt:variant>
        <vt:lpwstr>_Toc5807404</vt:lpwstr>
      </vt:variant>
      <vt:variant>
        <vt:i4>2621441</vt:i4>
      </vt:variant>
      <vt:variant>
        <vt:i4>677</vt:i4>
      </vt:variant>
      <vt:variant>
        <vt:i4>0</vt:i4>
      </vt:variant>
      <vt:variant>
        <vt:i4>5</vt:i4>
      </vt:variant>
      <vt:variant>
        <vt:lpwstr/>
      </vt:variant>
      <vt:variant>
        <vt:lpwstr>_Toc5807403</vt:lpwstr>
      </vt:variant>
      <vt:variant>
        <vt:i4>2621441</vt:i4>
      </vt:variant>
      <vt:variant>
        <vt:i4>674</vt:i4>
      </vt:variant>
      <vt:variant>
        <vt:i4>0</vt:i4>
      </vt:variant>
      <vt:variant>
        <vt:i4>5</vt:i4>
      </vt:variant>
      <vt:variant>
        <vt:lpwstr/>
      </vt:variant>
      <vt:variant>
        <vt:lpwstr>_Toc5807402</vt:lpwstr>
      </vt:variant>
      <vt:variant>
        <vt:i4>2621441</vt:i4>
      </vt:variant>
      <vt:variant>
        <vt:i4>671</vt:i4>
      </vt:variant>
      <vt:variant>
        <vt:i4>0</vt:i4>
      </vt:variant>
      <vt:variant>
        <vt:i4>5</vt:i4>
      </vt:variant>
      <vt:variant>
        <vt:lpwstr/>
      </vt:variant>
      <vt:variant>
        <vt:lpwstr>_Toc5807401</vt:lpwstr>
      </vt:variant>
      <vt:variant>
        <vt:i4>2621441</vt:i4>
      </vt:variant>
      <vt:variant>
        <vt:i4>668</vt:i4>
      </vt:variant>
      <vt:variant>
        <vt:i4>0</vt:i4>
      </vt:variant>
      <vt:variant>
        <vt:i4>5</vt:i4>
      </vt:variant>
      <vt:variant>
        <vt:lpwstr/>
      </vt:variant>
      <vt:variant>
        <vt:lpwstr>_Toc5807400</vt:lpwstr>
      </vt:variant>
      <vt:variant>
        <vt:i4>2162694</vt:i4>
      </vt:variant>
      <vt:variant>
        <vt:i4>662</vt:i4>
      </vt:variant>
      <vt:variant>
        <vt:i4>0</vt:i4>
      </vt:variant>
      <vt:variant>
        <vt:i4>5</vt:i4>
      </vt:variant>
      <vt:variant>
        <vt:lpwstr/>
      </vt:variant>
      <vt:variant>
        <vt:lpwstr>_Toc5807399</vt:lpwstr>
      </vt:variant>
      <vt:variant>
        <vt:i4>2162694</vt:i4>
      </vt:variant>
      <vt:variant>
        <vt:i4>656</vt:i4>
      </vt:variant>
      <vt:variant>
        <vt:i4>0</vt:i4>
      </vt:variant>
      <vt:variant>
        <vt:i4>5</vt:i4>
      </vt:variant>
      <vt:variant>
        <vt:lpwstr/>
      </vt:variant>
      <vt:variant>
        <vt:lpwstr>_Toc5807398</vt:lpwstr>
      </vt:variant>
      <vt:variant>
        <vt:i4>2162694</vt:i4>
      </vt:variant>
      <vt:variant>
        <vt:i4>650</vt:i4>
      </vt:variant>
      <vt:variant>
        <vt:i4>0</vt:i4>
      </vt:variant>
      <vt:variant>
        <vt:i4>5</vt:i4>
      </vt:variant>
      <vt:variant>
        <vt:lpwstr/>
      </vt:variant>
      <vt:variant>
        <vt:lpwstr>_Toc5807397</vt:lpwstr>
      </vt:variant>
      <vt:variant>
        <vt:i4>2162694</vt:i4>
      </vt:variant>
      <vt:variant>
        <vt:i4>644</vt:i4>
      </vt:variant>
      <vt:variant>
        <vt:i4>0</vt:i4>
      </vt:variant>
      <vt:variant>
        <vt:i4>5</vt:i4>
      </vt:variant>
      <vt:variant>
        <vt:lpwstr/>
      </vt:variant>
      <vt:variant>
        <vt:lpwstr>_Toc5807395</vt:lpwstr>
      </vt:variant>
      <vt:variant>
        <vt:i4>2162694</vt:i4>
      </vt:variant>
      <vt:variant>
        <vt:i4>638</vt:i4>
      </vt:variant>
      <vt:variant>
        <vt:i4>0</vt:i4>
      </vt:variant>
      <vt:variant>
        <vt:i4>5</vt:i4>
      </vt:variant>
      <vt:variant>
        <vt:lpwstr/>
      </vt:variant>
      <vt:variant>
        <vt:lpwstr>_Toc5807394</vt:lpwstr>
      </vt:variant>
      <vt:variant>
        <vt:i4>2162694</vt:i4>
      </vt:variant>
      <vt:variant>
        <vt:i4>632</vt:i4>
      </vt:variant>
      <vt:variant>
        <vt:i4>0</vt:i4>
      </vt:variant>
      <vt:variant>
        <vt:i4>5</vt:i4>
      </vt:variant>
      <vt:variant>
        <vt:lpwstr/>
      </vt:variant>
      <vt:variant>
        <vt:lpwstr>_Toc5807393</vt:lpwstr>
      </vt:variant>
      <vt:variant>
        <vt:i4>2162694</vt:i4>
      </vt:variant>
      <vt:variant>
        <vt:i4>623</vt:i4>
      </vt:variant>
      <vt:variant>
        <vt:i4>0</vt:i4>
      </vt:variant>
      <vt:variant>
        <vt:i4>5</vt:i4>
      </vt:variant>
      <vt:variant>
        <vt:lpwstr/>
      </vt:variant>
      <vt:variant>
        <vt:lpwstr>_Toc5807392</vt:lpwstr>
      </vt:variant>
      <vt:variant>
        <vt:i4>2162694</vt:i4>
      </vt:variant>
      <vt:variant>
        <vt:i4>617</vt:i4>
      </vt:variant>
      <vt:variant>
        <vt:i4>0</vt:i4>
      </vt:variant>
      <vt:variant>
        <vt:i4>5</vt:i4>
      </vt:variant>
      <vt:variant>
        <vt:lpwstr/>
      </vt:variant>
      <vt:variant>
        <vt:lpwstr>_Toc5807391</vt:lpwstr>
      </vt:variant>
      <vt:variant>
        <vt:i4>2162694</vt:i4>
      </vt:variant>
      <vt:variant>
        <vt:i4>611</vt:i4>
      </vt:variant>
      <vt:variant>
        <vt:i4>0</vt:i4>
      </vt:variant>
      <vt:variant>
        <vt:i4>5</vt:i4>
      </vt:variant>
      <vt:variant>
        <vt:lpwstr/>
      </vt:variant>
      <vt:variant>
        <vt:lpwstr>_Toc5807390</vt:lpwstr>
      </vt:variant>
      <vt:variant>
        <vt:i4>2097158</vt:i4>
      </vt:variant>
      <vt:variant>
        <vt:i4>605</vt:i4>
      </vt:variant>
      <vt:variant>
        <vt:i4>0</vt:i4>
      </vt:variant>
      <vt:variant>
        <vt:i4>5</vt:i4>
      </vt:variant>
      <vt:variant>
        <vt:lpwstr/>
      </vt:variant>
      <vt:variant>
        <vt:lpwstr>_Toc5807389</vt:lpwstr>
      </vt:variant>
      <vt:variant>
        <vt:i4>3014662</vt:i4>
      </vt:variant>
      <vt:variant>
        <vt:i4>596</vt:i4>
      </vt:variant>
      <vt:variant>
        <vt:i4>0</vt:i4>
      </vt:variant>
      <vt:variant>
        <vt:i4>5</vt:i4>
      </vt:variant>
      <vt:variant>
        <vt:lpwstr/>
      </vt:variant>
      <vt:variant>
        <vt:lpwstr>_Toc7986964</vt:lpwstr>
      </vt:variant>
      <vt:variant>
        <vt:i4>3014662</vt:i4>
      </vt:variant>
      <vt:variant>
        <vt:i4>590</vt:i4>
      </vt:variant>
      <vt:variant>
        <vt:i4>0</vt:i4>
      </vt:variant>
      <vt:variant>
        <vt:i4>5</vt:i4>
      </vt:variant>
      <vt:variant>
        <vt:lpwstr/>
      </vt:variant>
      <vt:variant>
        <vt:lpwstr>_Toc7986963</vt:lpwstr>
      </vt:variant>
      <vt:variant>
        <vt:i4>3014662</vt:i4>
      </vt:variant>
      <vt:variant>
        <vt:i4>584</vt:i4>
      </vt:variant>
      <vt:variant>
        <vt:i4>0</vt:i4>
      </vt:variant>
      <vt:variant>
        <vt:i4>5</vt:i4>
      </vt:variant>
      <vt:variant>
        <vt:lpwstr/>
      </vt:variant>
      <vt:variant>
        <vt:lpwstr>_Toc7986962</vt:lpwstr>
      </vt:variant>
      <vt:variant>
        <vt:i4>3014662</vt:i4>
      </vt:variant>
      <vt:variant>
        <vt:i4>578</vt:i4>
      </vt:variant>
      <vt:variant>
        <vt:i4>0</vt:i4>
      </vt:variant>
      <vt:variant>
        <vt:i4>5</vt:i4>
      </vt:variant>
      <vt:variant>
        <vt:lpwstr/>
      </vt:variant>
      <vt:variant>
        <vt:lpwstr>_Toc7986961</vt:lpwstr>
      </vt:variant>
      <vt:variant>
        <vt:i4>3014662</vt:i4>
      </vt:variant>
      <vt:variant>
        <vt:i4>572</vt:i4>
      </vt:variant>
      <vt:variant>
        <vt:i4>0</vt:i4>
      </vt:variant>
      <vt:variant>
        <vt:i4>5</vt:i4>
      </vt:variant>
      <vt:variant>
        <vt:lpwstr/>
      </vt:variant>
      <vt:variant>
        <vt:lpwstr>_Toc7986960</vt:lpwstr>
      </vt:variant>
      <vt:variant>
        <vt:i4>2949126</vt:i4>
      </vt:variant>
      <vt:variant>
        <vt:i4>566</vt:i4>
      </vt:variant>
      <vt:variant>
        <vt:i4>0</vt:i4>
      </vt:variant>
      <vt:variant>
        <vt:i4>5</vt:i4>
      </vt:variant>
      <vt:variant>
        <vt:lpwstr/>
      </vt:variant>
      <vt:variant>
        <vt:lpwstr>_Toc7986959</vt:lpwstr>
      </vt:variant>
      <vt:variant>
        <vt:i4>2949126</vt:i4>
      </vt:variant>
      <vt:variant>
        <vt:i4>560</vt:i4>
      </vt:variant>
      <vt:variant>
        <vt:i4>0</vt:i4>
      </vt:variant>
      <vt:variant>
        <vt:i4>5</vt:i4>
      </vt:variant>
      <vt:variant>
        <vt:lpwstr/>
      </vt:variant>
      <vt:variant>
        <vt:lpwstr>_Toc7986958</vt:lpwstr>
      </vt:variant>
      <vt:variant>
        <vt:i4>2949126</vt:i4>
      </vt:variant>
      <vt:variant>
        <vt:i4>554</vt:i4>
      </vt:variant>
      <vt:variant>
        <vt:i4>0</vt:i4>
      </vt:variant>
      <vt:variant>
        <vt:i4>5</vt:i4>
      </vt:variant>
      <vt:variant>
        <vt:lpwstr/>
      </vt:variant>
      <vt:variant>
        <vt:lpwstr>_Toc7986957</vt:lpwstr>
      </vt:variant>
      <vt:variant>
        <vt:i4>2949126</vt:i4>
      </vt:variant>
      <vt:variant>
        <vt:i4>548</vt:i4>
      </vt:variant>
      <vt:variant>
        <vt:i4>0</vt:i4>
      </vt:variant>
      <vt:variant>
        <vt:i4>5</vt:i4>
      </vt:variant>
      <vt:variant>
        <vt:lpwstr/>
      </vt:variant>
      <vt:variant>
        <vt:lpwstr>_Toc7986956</vt:lpwstr>
      </vt:variant>
      <vt:variant>
        <vt:i4>2949126</vt:i4>
      </vt:variant>
      <vt:variant>
        <vt:i4>542</vt:i4>
      </vt:variant>
      <vt:variant>
        <vt:i4>0</vt:i4>
      </vt:variant>
      <vt:variant>
        <vt:i4>5</vt:i4>
      </vt:variant>
      <vt:variant>
        <vt:lpwstr/>
      </vt:variant>
      <vt:variant>
        <vt:lpwstr>_Toc7986955</vt:lpwstr>
      </vt:variant>
      <vt:variant>
        <vt:i4>2949126</vt:i4>
      </vt:variant>
      <vt:variant>
        <vt:i4>536</vt:i4>
      </vt:variant>
      <vt:variant>
        <vt:i4>0</vt:i4>
      </vt:variant>
      <vt:variant>
        <vt:i4>5</vt:i4>
      </vt:variant>
      <vt:variant>
        <vt:lpwstr/>
      </vt:variant>
      <vt:variant>
        <vt:lpwstr>_Toc7986954</vt:lpwstr>
      </vt:variant>
      <vt:variant>
        <vt:i4>2949126</vt:i4>
      </vt:variant>
      <vt:variant>
        <vt:i4>530</vt:i4>
      </vt:variant>
      <vt:variant>
        <vt:i4>0</vt:i4>
      </vt:variant>
      <vt:variant>
        <vt:i4>5</vt:i4>
      </vt:variant>
      <vt:variant>
        <vt:lpwstr/>
      </vt:variant>
      <vt:variant>
        <vt:lpwstr>_Toc7986953</vt:lpwstr>
      </vt:variant>
      <vt:variant>
        <vt:i4>2949126</vt:i4>
      </vt:variant>
      <vt:variant>
        <vt:i4>524</vt:i4>
      </vt:variant>
      <vt:variant>
        <vt:i4>0</vt:i4>
      </vt:variant>
      <vt:variant>
        <vt:i4>5</vt:i4>
      </vt:variant>
      <vt:variant>
        <vt:lpwstr/>
      </vt:variant>
      <vt:variant>
        <vt:lpwstr>_Toc7986952</vt:lpwstr>
      </vt:variant>
      <vt:variant>
        <vt:i4>2949126</vt:i4>
      </vt:variant>
      <vt:variant>
        <vt:i4>518</vt:i4>
      </vt:variant>
      <vt:variant>
        <vt:i4>0</vt:i4>
      </vt:variant>
      <vt:variant>
        <vt:i4>5</vt:i4>
      </vt:variant>
      <vt:variant>
        <vt:lpwstr/>
      </vt:variant>
      <vt:variant>
        <vt:lpwstr>_Toc7986951</vt:lpwstr>
      </vt:variant>
      <vt:variant>
        <vt:i4>2949126</vt:i4>
      </vt:variant>
      <vt:variant>
        <vt:i4>512</vt:i4>
      </vt:variant>
      <vt:variant>
        <vt:i4>0</vt:i4>
      </vt:variant>
      <vt:variant>
        <vt:i4>5</vt:i4>
      </vt:variant>
      <vt:variant>
        <vt:lpwstr/>
      </vt:variant>
      <vt:variant>
        <vt:lpwstr>_Toc7986950</vt:lpwstr>
      </vt:variant>
      <vt:variant>
        <vt:i4>2883590</vt:i4>
      </vt:variant>
      <vt:variant>
        <vt:i4>506</vt:i4>
      </vt:variant>
      <vt:variant>
        <vt:i4>0</vt:i4>
      </vt:variant>
      <vt:variant>
        <vt:i4>5</vt:i4>
      </vt:variant>
      <vt:variant>
        <vt:lpwstr/>
      </vt:variant>
      <vt:variant>
        <vt:lpwstr>_Toc7986949</vt:lpwstr>
      </vt:variant>
      <vt:variant>
        <vt:i4>2883590</vt:i4>
      </vt:variant>
      <vt:variant>
        <vt:i4>500</vt:i4>
      </vt:variant>
      <vt:variant>
        <vt:i4>0</vt:i4>
      </vt:variant>
      <vt:variant>
        <vt:i4>5</vt:i4>
      </vt:variant>
      <vt:variant>
        <vt:lpwstr/>
      </vt:variant>
      <vt:variant>
        <vt:lpwstr>_Toc7986948</vt:lpwstr>
      </vt:variant>
      <vt:variant>
        <vt:i4>2883590</vt:i4>
      </vt:variant>
      <vt:variant>
        <vt:i4>494</vt:i4>
      </vt:variant>
      <vt:variant>
        <vt:i4>0</vt:i4>
      </vt:variant>
      <vt:variant>
        <vt:i4>5</vt:i4>
      </vt:variant>
      <vt:variant>
        <vt:lpwstr/>
      </vt:variant>
      <vt:variant>
        <vt:lpwstr>_Toc7986947</vt:lpwstr>
      </vt:variant>
      <vt:variant>
        <vt:i4>2883590</vt:i4>
      </vt:variant>
      <vt:variant>
        <vt:i4>488</vt:i4>
      </vt:variant>
      <vt:variant>
        <vt:i4>0</vt:i4>
      </vt:variant>
      <vt:variant>
        <vt:i4>5</vt:i4>
      </vt:variant>
      <vt:variant>
        <vt:lpwstr/>
      </vt:variant>
      <vt:variant>
        <vt:lpwstr>_Toc7986946</vt:lpwstr>
      </vt:variant>
      <vt:variant>
        <vt:i4>2883590</vt:i4>
      </vt:variant>
      <vt:variant>
        <vt:i4>482</vt:i4>
      </vt:variant>
      <vt:variant>
        <vt:i4>0</vt:i4>
      </vt:variant>
      <vt:variant>
        <vt:i4>5</vt:i4>
      </vt:variant>
      <vt:variant>
        <vt:lpwstr/>
      </vt:variant>
      <vt:variant>
        <vt:lpwstr>_Toc7986945</vt:lpwstr>
      </vt:variant>
      <vt:variant>
        <vt:i4>2883590</vt:i4>
      </vt:variant>
      <vt:variant>
        <vt:i4>476</vt:i4>
      </vt:variant>
      <vt:variant>
        <vt:i4>0</vt:i4>
      </vt:variant>
      <vt:variant>
        <vt:i4>5</vt:i4>
      </vt:variant>
      <vt:variant>
        <vt:lpwstr/>
      </vt:variant>
      <vt:variant>
        <vt:lpwstr>_Toc7986944</vt:lpwstr>
      </vt:variant>
      <vt:variant>
        <vt:i4>2883590</vt:i4>
      </vt:variant>
      <vt:variant>
        <vt:i4>470</vt:i4>
      </vt:variant>
      <vt:variant>
        <vt:i4>0</vt:i4>
      </vt:variant>
      <vt:variant>
        <vt:i4>5</vt:i4>
      </vt:variant>
      <vt:variant>
        <vt:lpwstr/>
      </vt:variant>
      <vt:variant>
        <vt:lpwstr>_Toc7986943</vt:lpwstr>
      </vt:variant>
      <vt:variant>
        <vt:i4>2883590</vt:i4>
      </vt:variant>
      <vt:variant>
        <vt:i4>464</vt:i4>
      </vt:variant>
      <vt:variant>
        <vt:i4>0</vt:i4>
      </vt:variant>
      <vt:variant>
        <vt:i4>5</vt:i4>
      </vt:variant>
      <vt:variant>
        <vt:lpwstr/>
      </vt:variant>
      <vt:variant>
        <vt:lpwstr>_Toc7986942</vt:lpwstr>
      </vt:variant>
      <vt:variant>
        <vt:i4>2883590</vt:i4>
      </vt:variant>
      <vt:variant>
        <vt:i4>458</vt:i4>
      </vt:variant>
      <vt:variant>
        <vt:i4>0</vt:i4>
      </vt:variant>
      <vt:variant>
        <vt:i4>5</vt:i4>
      </vt:variant>
      <vt:variant>
        <vt:lpwstr/>
      </vt:variant>
      <vt:variant>
        <vt:lpwstr>_Toc7986941</vt:lpwstr>
      </vt:variant>
      <vt:variant>
        <vt:i4>2883590</vt:i4>
      </vt:variant>
      <vt:variant>
        <vt:i4>452</vt:i4>
      </vt:variant>
      <vt:variant>
        <vt:i4>0</vt:i4>
      </vt:variant>
      <vt:variant>
        <vt:i4>5</vt:i4>
      </vt:variant>
      <vt:variant>
        <vt:lpwstr/>
      </vt:variant>
      <vt:variant>
        <vt:lpwstr>_Toc7986940</vt:lpwstr>
      </vt:variant>
      <vt:variant>
        <vt:i4>2818054</vt:i4>
      </vt:variant>
      <vt:variant>
        <vt:i4>446</vt:i4>
      </vt:variant>
      <vt:variant>
        <vt:i4>0</vt:i4>
      </vt:variant>
      <vt:variant>
        <vt:i4>5</vt:i4>
      </vt:variant>
      <vt:variant>
        <vt:lpwstr/>
      </vt:variant>
      <vt:variant>
        <vt:lpwstr>_Toc7986939</vt:lpwstr>
      </vt:variant>
      <vt:variant>
        <vt:i4>2818054</vt:i4>
      </vt:variant>
      <vt:variant>
        <vt:i4>440</vt:i4>
      </vt:variant>
      <vt:variant>
        <vt:i4>0</vt:i4>
      </vt:variant>
      <vt:variant>
        <vt:i4>5</vt:i4>
      </vt:variant>
      <vt:variant>
        <vt:lpwstr/>
      </vt:variant>
      <vt:variant>
        <vt:lpwstr>_Toc7986938</vt:lpwstr>
      </vt:variant>
      <vt:variant>
        <vt:i4>2818054</vt:i4>
      </vt:variant>
      <vt:variant>
        <vt:i4>434</vt:i4>
      </vt:variant>
      <vt:variant>
        <vt:i4>0</vt:i4>
      </vt:variant>
      <vt:variant>
        <vt:i4>5</vt:i4>
      </vt:variant>
      <vt:variant>
        <vt:lpwstr/>
      </vt:variant>
      <vt:variant>
        <vt:lpwstr>_Toc7986937</vt:lpwstr>
      </vt:variant>
      <vt:variant>
        <vt:i4>2818054</vt:i4>
      </vt:variant>
      <vt:variant>
        <vt:i4>428</vt:i4>
      </vt:variant>
      <vt:variant>
        <vt:i4>0</vt:i4>
      </vt:variant>
      <vt:variant>
        <vt:i4>5</vt:i4>
      </vt:variant>
      <vt:variant>
        <vt:lpwstr/>
      </vt:variant>
      <vt:variant>
        <vt:lpwstr>_Toc7986936</vt:lpwstr>
      </vt:variant>
      <vt:variant>
        <vt:i4>2818054</vt:i4>
      </vt:variant>
      <vt:variant>
        <vt:i4>422</vt:i4>
      </vt:variant>
      <vt:variant>
        <vt:i4>0</vt:i4>
      </vt:variant>
      <vt:variant>
        <vt:i4>5</vt:i4>
      </vt:variant>
      <vt:variant>
        <vt:lpwstr/>
      </vt:variant>
      <vt:variant>
        <vt:lpwstr>_Toc7986935</vt:lpwstr>
      </vt:variant>
      <vt:variant>
        <vt:i4>2818054</vt:i4>
      </vt:variant>
      <vt:variant>
        <vt:i4>416</vt:i4>
      </vt:variant>
      <vt:variant>
        <vt:i4>0</vt:i4>
      </vt:variant>
      <vt:variant>
        <vt:i4>5</vt:i4>
      </vt:variant>
      <vt:variant>
        <vt:lpwstr/>
      </vt:variant>
      <vt:variant>
        <vt:lpwstr>_Toc7986934</vt:lpwstr>
      </vt:variant>
      <vt:variant>
        <vt:i4>2818054</vt:i4>
      </vt:variant>
      <vt:variant>
        <vt:i4>410</vt:i4>
      </vt:variant>
      <vt:variant>
        <vt:i4>0</vt:i4>
      </vt:variant>
      <vt:variant>
        <vt:i4>5</vt:i4>
      </vt:variant>
      <vt:variant>
        <vt:lpwstr/>
      </vt:variant>
      <vt:variant>
        <vt:lpwstr>_Toc7986933</vt:lpwstr>
      </vt:variant>
      <vt:variant>
        <vt:i4>2818054</vt:i4>
      </vt:variant>
      <vt:variant>
        <vt:i4>404</vt:i4>
      </vt:variant>
      <vt:variant>
        <vt:i4>0</vt:i4>
      </vt:variant>
      <vt:variant>
        <vt:i4>5</vt:i4>
      </vt:variant>
      <vt:variant>
        <vt:lpwstr/>
      </vt:variant>
      <vt:variant>
        <vt:lpwstr>_Toc7986932</vt:lpwstr>
      </vt:variant>
      <vt:variant>
        <vt:i4>2818054</vt:i4>
      </vt:variant>
      <vt:variant>
        <vt:i4>398</vt:i4>
      </vt:variant>
      <vt:variant>
        <vt:i4>0</vt:i4>
      </vt:variant>
      <vt:variant>
        <vt:i4>5</vt:i4>
      </vt:variant>
      <vt:variant>
        <vt:lpwstr/>
      </vt:variant>
      <vt:variant>
        <vt:lpwstr>_Toc7986931</vt:lpwstr>
      </vt:variant>
      <vt:variant>
        <vt:i4>2818054</vt:i4>
      </vt:variant>
      <vt:variant>
        <vt:i4>392</vt:i4>
      </vt:variant>
      <vt:variant>
        <vt:i4>0</vt:i4>
      </vt:variant>
      <vt:variant>
        <vt:i4>5</vt:i4>
      </vt:variant>
      <vt:variant>
        <vt:lpwstr/>
      </vt:variant>
      <vt:variant>
        <vt:lpwstr>_Toc7986930</vt:lpwstr>
      </vt:variant>
      <vt:variant>
        <vt:i4>2752518</vt:i4>
      </vt:variant>
      <vt:variant>
        <vt:i4>386</vt:i4>
      </vt:variant>
      <vt:variant>
        <vt:i4>0</vt:i4>
      </vt:variant>
      <vt:variant>
        <vt:i4>5</vt:i4>
      </vt:variant>
      <vt:variant>
        <vt:lpwstr/>
      </vt:variant>
      <vt:variant>
        <vt:lpwstr>_Toc7986929</vt:lpwstr>
      </vt:variant>
      <vt:variant>
        <vt:i4>2752518</vt:i4>
      </vt:variant>
      <vt:variant>
        <vt:i4>380</vt:i4>
      </vt:variant>
      <vt:variant>
        <vt:i4>0</vt:i4>
      </vt:variant>
      <vt:variant>
        <vt:i4>5</vt:i4>
      </vt:variant>
      <vt:variant>
        <vt:lpwstr/>
      </vt:variant>
      <vt:variant>
        <vt:lpwstr>_Toc7986928</vt:lpwstr>
      </vt:variant>
      <vt:variant>
        <vt:i4>2752518</vt:i4>
      </vt:variant>
      <vt:variant>
        <vt:i4>374</vt:i4>
      </vt:variant>
      <vt:variant>
        <vt:i4>0</vt:i4>
      </vt:variant>
      <vt:variant>
        <vt:i4>5</vt:i4>
      </vt:variant>
      <vt:variant>
        <vt:lpwstr/>
      </vt:variant>
      <vt:variant>
        <vt:lpwstr>_Toc7986927</vt:lpwstr>
      </vt:variant>
      <vt:variant>
        <vt:i4>2752518</vt:i4>
      </vt:variant>
      <vt:variant>
        <vt:i4>368</vt:i4>
      </vt:variant>
      <vt:variant>
        <vt:i4>0</vt:i4>
      </vt:variant>
      <vt:variant>
        <vt:i4>5</vt:i4>
      </vt:variant>
      <vt:variant>
        <vt:lpwstr/>
      </vt:variant>
      <vt:variant>
        <vt:lpwstr>_Toc7986926</vt:lpwstr>
      </vt:variant>
      <vt:variant>
        <vt:i4>2752518</vt:i4>
      </vt:variant>
      <vt:variant>
        <vt:i4>362</vt:i4>
      </vt:variant>
      <vt:variant>
        <vt:i4>0</vt:i4>
      </vt:variant>
      <vt:variant>
        <vt:i4>5</vt:i4>
      </vt:variant>
      <vt:variant>
        <vt:lpwstr/>
      </vt:variant>
      <vt:variant>
        <vt:lpwstr>_Toc7986925</vt:lpwstr>
      </vt:variant>
      <vt:variant>
        <vt:i4>2752518</vt:i4>
      </vt:variant>
      <vt:variant>
        <vt:i4>356</vt:i4>
      </vt:variant>
      <vt:variant>
        <vt:i4>0</vt:i4>
      </vt:variant>
      <vt:variant>
        <vt:i4>5</vt:i4>
      </vt:variant>
      <vt:variant>
        <vt:lpwstr/>
      </vt:variant>
      <vt:variant>
        <vt:lpwstr>_Toc7986924</vt:lpwstr>
      </vt:variant>
      <vt:variant>
        <vt:i4>2752518</vt:i4>
      </vt:variant>
      <vt:variant>
        <vt:i4>350</vt:i4>
      </vt:variant>
      <vt:variant>
        <vt:i4>0</vt:i4>
      </vt:variant>
      <vt:variant>
        <vt:i4>5</vt:i4>
      </vt:variant>
      <vt:variant>
        <vt:lpwstr/>
      </vt:variant>
      <vt:variant>
        <vt:lpwstr>_Toc7986923</vt:lpwstr>
      </vt:variant>
      <vt:variant>
        <vt:i4>2752518</vt:i4>
      </vt:variant>
      <vt:variant>
        <vt:i4>344</vt:i4>
      </vt:variant>
      <vt:variant>
        <vt:i4>0</vt:i4>
      </vt:variant>
      <vt:variant>
        <vt:i4>5</vt:i4>
      </vt:variant>
      <vt:variant>
        <vt:lpwstr/>
      </vt:variant>
      <vt:variant>
        <vt:lpwstr>_Toc7986922</vt:lpwstr>
      </vt:variant>
      <vt:variant>
        <vt:i4>2752518</vt:i4>
      </vt:variant>
      <vt:variant>
        <vt:i4>338</vt:i4>
      </vt:variant>
      <vt:variant>
        <vt:i4>0</vt:i4>
      </vt:variant>
      <vt:variant>
        <vt:i4>5</vt:i4>
      </vt:variant>
      <vt:variant>
        <vt:lpwstr/>
      </vt:variant>
      <vt:variant>
        <vt:lpwstr>_Toc7986921</vt:lpwstr>
      </vt:variant>
      <vt:variant>
        <vt:i4>2752518</vt:i4>
      </vt:variant>
      <vt:variant>
        <vt:i4>332</vt:i4>
      </vt:variant>
      <vt:variant>
        <vt:i4>0</vt:i4>
      </vt:variant>
      <vt:variant>
        <vt:i4>5</vt:i4>
      </vt:variant>
      <vt:variant>
        <vt:lpwstr/>
      </vt:variant>
      <vt:variant>
        <vt:lpwstr>_Toc7986920</vt:lpwstr>
      </vt:variant>
      <vt:variant>
        <vt:i4>2686982</vt:i4>
      </vt:variant>
      <vt:variant>
        <vt:i4>326</vt:i4>
      </vt:variant>
      <vt:variant>
        <vt:i4>0</vt:i4>
      </vt:variant>
      <vt:variant>
        <vt:i4>5</vt:i4>
      </vt:variant>
      <vt:variant>
        <vt:lpwstr/>
      </vt:variant>
      <vt:variant>
        <vt:lpwstr>_Toc7986919</vt:lpwstr>
      </vt:variant>
      <vt:variant>
        <vt:i4>2686982</vt:i4>
      </vt:variant>
      <vt:variant>
        <vt:i4>320</vt:i4>
      </vt:variant>
      <vt:variant>
        <vt:i4>0</vt:i4>
      </vt:variant>
      <vt:variant>
        <vt:i4>5</vt:i4>
      </vt:variant>
      <vt:variant>
        <vt:lpwstr/>
      </vt:variant>
      <vt:variant>
        <vt:lpwstr>_Toc7986918</vt:lpwstr>
      </vt:variant>
      <vt:variant>
        <vt:i4>2686982</vt:i4>
      </vt:variant>
      <vt:variant>
        <vt:i4>314</vt:i4>
      </vt:variant>
      <vt:variant>
        <vt:i4>0</vt:i4>
      </vt:variant>
      <vt:variant>
        <vt:i4>5</vt:i4>
      </vt:variant>
      <vt:variant>
        <vt:lpwstr/>
      </vt:variant>
      <vt:variant>
        <vt:lpwstr>_Toc7986917</vt:lpwstr>
      </vt:variant>
      <vt:variant>
        <vt:i4>2686982</vt:i4>
      </vt:variant>
      <vt:variant>
        <vt:i4>308</vt:i4>
      </vt:variant>
      <vt:variant>
        <vt:i4>0</vt:i4>
      </vt:variant>
      <vt:variant>
        <vt:i4>5</vt:i4>
      </vt:variant>
      <vt:variant>
        <vt:lpwstr/>
      </vt:variant>
      <vt:variant>
        <vt:lpwstr>_Toc7986916</vt:lpwstr>
      </vt:variant>
      <vt:variant>
        <vt:i4>2686982</vt:i4>
      </vt:variant>
      <vt:variant>
        <vt:i4>302</vt:i4>
      </vt:variant>
      <vt:variant>
        <vt:i4>0</vt:i4>
      </vt:variant>
      <vt:variant>
        <vt:i4>5</vt:i4>
      </vt:variant>
      <vt:variant>
        <vt:lpwstr/>
      </vt:variant>
      <vt:variant>
        <vt:lpwstr>_Toc7986915</vt:lpwstr>
      </vt:variant>
      <vt:variant>
        <vt:i4>2686982</vt:i4>
      </vt:variant>
      <vt:variant>
        <vt:i4>296</vt:i4>
      </vt:variant>
      <vt:variant>
        <vt:i4>0</vt:i4>
      </vt:variant>
      <vt:variant>
        <vt:i4>5</vt:i4>
      </vt:variant>
      <vt:variant>
        <vt:lpwstr/>
      </vt:variant>
      <vt:variant>
        <vt:lpwstr>_Toc7986914</vt:lpwstr>
      </vt:variant>
      <vt:variant>
        <vt:i4>2686982</vt:i4>
      </vt:variant>
      <vt:variant>
        <vt:i4>290</vt:i4>
      </vt:variant>
      <vt:variant>
        <vt:i4>0</vt:i4>
      </vt:variant>
      <vt:variant>
        <vt:i4>5</vt:i4>
      </vt:variant>
      <vt:variant>
        <vt:lpwstr/>
      </vt:variant>
      <vt:variant>
        <vt:lpwstr>_Toc7986913</vt:lpwstr>
      </vt:variant>
      <vt:variant>
        <vt:i4>2686982</vt:i4>
      </vt:variant>
      <vt:variant>
        <vt:i4>284</vt:i4>
      </vt:variant>
      <vt:variant>
        <vt:i4>0</vt:i4>
      </vt:variant>
      <vt:variant>
        <vt:i4>5</vt:i4>
      </vt:variant>
      <vt:variant>
        <vt:lpwstr/>
      </vt:variant>
      <vt:variant>
        <vt:lpwstr>_Toc7986912</vt:lpwstr>
      </vt:variant>
      <vt:variant>
        <vt:i4>2686982</vt:i4>
      </vt:variant>
      <vt:variant>
        <vt:i4>278</vt:i4>
      </vt:variant>
      <vt:variant>
        <vt:i4>0</vt:i4>
      </vt:variant>
      <vt:variant>
        <vt:i4>5</vt:i4>
      </vt:variant>
      <vt:variant>
        <vt:lpwstr/>
      </vt:variant>
      <vt:variant>
        <vt:lpwstr>_Toc7986911</vt:lpwstr>
      </vt:variant>
      <vt:variant>
        <vt:i4>2686982</vt:i4>
      </vt:variant>
      <vt:variant>
        <vt:i4>272</vt:i4>
      </vt:variant>
      <vt:variant>
        <vt:i4>0</vt:i4>
      </vt:variant>
      <vt:variant>
        <vt:i4>5</vt:i4>
      </vt:variant>
      <vt:variant>
        <vt:lpwstr/>
      </vt:variant>
      <vt:variant>
        <vt:lpwstr>_Toc7986910</vt:lpwstr>
      </vt:variant>
      <vt:variant>
        <vt:i4>2621446</vt:i4>
      </vt:variant>
      <vt:variant>
        <vt:i4>266</vt:i4>
      </vt:variant>
      <vt:variant>
        <vt:i4>0</vt:i4>
      </vt:variant>
      <vt:variant>
        <vt:i4>5</vt:i4>
      </vt:variant>
      <vt:variant>
        <vt:lpwstr/>
      </vt:variant>
      <vt:variant>
        <vt:lpwstr>_Toc7986909</vt:lpwstr>
      </vt:variant>
      <vt:variant>
        <vt:i4>2621446</vt:i4>
      </vt:variant>
      <vt:variant>
        <vt:i4>260</vt:i4>
      </vt:variant>
      <vt:variant>
        <vt:i4>0</vt:i4>
      </vt:variant>
      <vt:variant>
        <vt:i4>5</vt:i4>
      </vt:variant>
      <vt:variant>
        <vt:lpwstr/>
      </vt:variant>
      <vt:variant>
        <vt:lpwstr>_Toc7986908</vt:lpwstr>
      </vt:variant>
      <vt:variant>
        <vt:i4>2621446</vt:i4>
      </vt:variant>
      <vt:variant>
        <vt:i4>254</vt:i4>
      </vt:variant>
      <vt:variant>
        <vt:i4>0</vt:i4>
      </vt:variant>
      <vt:variant>
        <vt:i4>5</vt:i4>
      </vt:variant>
      <vt:variant>
        <vt:lpwstr/>
      </vt:variant>
      <vt:variant>
        <vt:lpwstr>_Toc7986907</vt:lpwstr>
      </vt:variant>
      <vt:variant>
        <vt:i4>2621446</vt:i4>
      </vt:variant>
      <vt:variant>
        <vt:i4>248</vt:i4>
      </vt:variant>
      <vt:variant>
        <vt:i4>0</vt:i4>
      </vt:variant>
      <vt:variant>
        <vt:i4>5</vt:i4>
      </vt:variant>
      <vt:variant>
        <vt:lpwstr/>
      </vt:variant>
      <vt:variant>
        <vt:lpwstr>_Toc7986906</vt:lpwstr>
      </vt:variant>
      <vt:variant>
        <vt:i4>2621446</vt:i4>
      </vt:variant>
      <vt:variant>
        <vt:i4>242</vt:i4>
      </vt:variant>
      <vt:variant>
        <vt:i4>0</vt:i4>
      </vt:variant>
      <vt:variant>
        <vt:i4>5</vt:i4>
      </vt:variant>
      <vt:variant>
        <vt:lpwstr/>
      </vt:variant>
      <vt:variant>
        <vt:lpwstr>_Toc7986905</vt:lpwstr>
      </vt:variant>
      <vt:variant>
        <vt:i4>2621446</vt:i4>
      </vt:variant>
      <vt:variant>
        <vt:i4>236</vt:i4>
      </vt:variant>
      <vt:variant>
        <vt:i4>0</vt:i4>
      </vt:variant>
      <vt:variant>
        <vt:i4>5</vt:i4>
      </vt:variant>
      <vt:variant>
        <vt:lpwstr/>
      </vt:variant>
      <vt:variant>
        <vt:lpwstr>_Toc7986904</vt:lpwstr>
      </vt:variant>
      <vt:variant>
        <vt:i4>2621446</vt:i4>
      </vt:variant>
      <vt:variant>
        <vt:i4>230</vt:i4>
      </vt:variant>
      <vt:variant>
        <vt:i4>0</vt:i4>
      </vt:variant>
      <vt:variant>
        <vt:i4>5</vt:i4>
      </vt:variant>
      <vt:variant>
        <vt:lpwstr/>
      </vt:variant>
      <vt:variant>
        <vt:lpwstr>_Toc7986903</vt:lpwstr>
      </vt:variant>
      <vt:variant>
        <vt:i4>2621446</vt:i4>
      </vt:variant>
      <vt:variant>
        <vt:i4>224</vt:i4>
      </vt:variant>
      <vt:variant>
        <vt:i4>0</vt:i4>
      </vt:variant>
      <vt:variant>
        <vt:i4>5</vt:i4>
      </vt:variant>
      <vt:variant>
        <vt:lpwstr/>
      </vt:variant>
      <vt:variant>
        <vt:lpwstr>_Toc7986902</vt:lpwstr>
      </vt:variant>
      <vt:variant>
        <vt:i4>2621446</vt:i4>
      </vt:variant>
      <vt:variant>
        <vt:i4>218</vt:i4>
      </vt:variant>
      <vt:variant>
        <vt:i4>0</vt:i4>
      </vt:variant>
      <vt:variant>
        <vt:i4>5</vt:i4>
      </vt:variant>
      <vt:variant>
        <vt:lpwstr/>
      </vt:variant>
      <vt:variant>
        <vt:lpwstr>_Toc7986901</vt:lpwstr>
      </vt:variant>
      <vt:variant>
        <vt:i4>2621446</vt:i4>
      </vt:variant>
      <vt:variant>
        <vt:i4>212</vt:i4>
      </vt:variant>
      <vt:variant>
        <vt:i4>0</vt:i4>
      </vt:variant>
      <vt:variant>
        <vt:i4>5</vt:i4>
      </vt:variant>
      <vt:variant>
        <vt:lpwstr/>
      </vt:variant>
      <vt:variant>
        <vt:lpwstr>_Toc7986900</vt:lpwstr>
      </vt:variant>
      <vt:variant>
        <vt:i4>2162695</vt:i4>
      </vt:variant>
      <vt:variant>
        <vt:i4>206</vt:i4>
      </vt:variant>
      <vt:variant>
        <vt:i4>0</vt:i4>
      </vt:variant>
      <vt:variant>
        <vt:i4>5</vt:i4>
      </vt:variant>
      <vt:variant>
        <vt:lpwstr/>
      </vt:variant>
      <vt:variant>
        <vt:lpwstr>_Toc7986899</vt:lpwstr>
      </vt:variant>
      <vt:variant>
        <vt:i4>2162695</vt:i4>
      </vt:variant>
      <vt:variant>
        <vt:i4>200</vt:i4>
      </vt:variant>
      <vt:variant>
        <vt:i4>0</vt:i4>
      </vt:variant>
      <vt:variant>
        <vt:i4>5</vt:i4>
      </vt:variant>
      <vt:variant>
        <vt:lpwstr/>
      </vt:variant>
      <vt:variant>
        <vt:lpwstr>_Toc7986898</vt:lpwstr>
      </vt:variant>
      <vt:variant>
        <vt:i4>2162695</vt:i4>
      </vt:variant>
      <vt:variant>
        <vt:i4>194</vt:i4>
      </vt:variant>
      <vt:variant>
        <vt:i4>0</vt:i4>
      </vt:variant>
      <vt:variant>
        <vt:i4>5</vt:i4>
      </vt:variant>
      <vt:variant>
        <vt:lpwstr/>
      </vt:variant>
      <vt:variant>
        <vt:lpwstr>_Toc7986897</vt:lpwstr>
      </vt:variant>
      <vt:variant>
        <vt:i4>2162695</vt:i4>
      </vt:variant>
      <vt:variant>
        <vt:i4>188</vt:i4>
      </vt:variant>
      <vt:variant>
        <vt:i4>0</vt:i4>
      </vt:variant>
      <vt:variant>
        <vt:i4>5</vt:i4>
      </vt:variant>
      <vt:variant>
        <vt:lpwstr/>
      </vt:variant>
      <vt:variant>
        <vt:lpwstr>_Toc7986896</vt:lpwstr>
      </vt:variant>
      <vt:variant>
        <vt:i4>2162695</vt:i4>
      </vt:variant>
      <vt:variant>
        <vt:i4>182</vt:i4>
      </vt:variant>
      <vt:variant>
        <vt:i4>0</vt:i4>
      </vt:variant>
      <vt:variant>
        <vt:i4>5</vt:i4>
      </vt:variant>
      <vt:variant>
        <vt:lpwstr/>
      </vt:variant>
      <vt:variant>
        <vt:lpwstr>_Toc7986895</vt:lpwstr>
      </vt:variant>
      <vt:variant>
        <vt:i4>2162695</vt:i4>
      </vt:variant>
      <vt:variant>
        <vt:i4>176</vt:i4>
      </vt:variant>
      <vt:variant>
        <vt:i4>0</vt:i4>
      </vt:variant>
      <vt:variant>
        <vt:i4>5</vt:i4>
      </vt:variant>
      <vt:variant>
        <vt:lpwstr/>
      </vt:variant>
      <vt:variant>
        <vt:lpwstr>_Toc7986894</vt:lpwstr>
      </vt:variant>
      <vt:variant>
        <vt:i4>2162695</vt:i4>
      </vt:variant>
      <vt:variant>
        <vt:i4>170</vt:i4>
      </vt:variant>
      <vt:variant>
        <vt:i4>0</vt:i4>
      </vt:variant>
      <vt:variant>
        <vt:i4>5</vt:i4>
      </vt:variant>
      <vt:variant>
        <vt:lpwstr/>
      </vt:variant>
      <vt:variant>
        <vt:lpwstr>_Toc7986893</vt:lpwstr>
      </vt:variant>
      <vt:variant>
        <vt:i4>2162695</vt:i4>
      </vt:variant>
      <vt:variant>
        <vt:i4>164</vt:i4>
      </vt:variant>
      <vt:variant>
        <vt:i4>0</vt:i4>
      </vt:variant>
      <vt:variant>
        <vt:i4>5</vt:i4>
      </vt:variant>
      <vt:variant>
        <vt:lpwstr/>
      </vt:variant>
      <vt:variant>
        <vt:lpwstr>_Toc7986892</vt:lpwstr>
      </vt:variant>
      <vt:variant>
        <vt:i4>2162695</vt:i4>
      </vt:variant>
      <vt:variant>
        <vt:i4>158</vt:i4>
      </vt:variant>
      <vt:variant>
        <vt:i4>0</vt:i4>
      </vt:variant>
      <vt:variant>
        <vt:i4>5</vt:i4>
      </vt:variant>
      <vt:variant>
        <vt:lpwstr/>
      </vt:variant>
      <vt:variant>
        <vt:lpwstr>_Toc7986891</vt:lpwstr>
      </vt:variant>
      <vt:variant>
        <vt:i4>2162695</vt:i4>
      </vt:variant>
      <vt:variant>
        <vt:i4>152</vt:i4>
      </vt:variant>
      <vt:variant>
        <vt:i4>0</vt:i4>
      </vt:variant>
      <vt:variant>
        <vt:i4>5</vt:i4>
      </vt:variant>
      <vt:variant>
        <vt:lpwstr/>
      </vt:variant>
      <vt:variant>
        <vt:lpwstr>_Toc7986890</vt:lpwstr>
      </vt:variant>
      <vt:variant>
        <vt:i4>2097159</vt:i4>
      </vt:variant>
      <vt:variant>
        <vt:i4>146</vt:i4>
      </vt:variant>
      <vt:variant>
        <vt:i4>0</vt:i4>
      </vt:variant>
      <vt:variant>
        <vt:i4>5</vt:i4>
      </vt:variant>
      <vt:variant>
        <vt:lpwstr/>
      </vt:variant>
      <vt:variant>
        <vt:lpwstr>_Toc7986889</vt:lpwstr>
      </vt:variant>
      <vt:variant>
        <vt:i4>2097159</vt:i4>
      </vt:variant>
      <vt:variant>
        <vt:i4>140</vt:i4>
      </vt:variant>
      <vt:variant>
        <vt:i4>0</vt:i4>
      </vt:variant>
      <vt:variant>
        <vt:i4>5</vt:i4>
      </vt:variant>
      <vt:variant>
        <vt:lpwstr/>
      </vt:variant>
      <vt:variant>
        <vt:lpwstr>_Toc7986888</vt:lpwstr>
      </vt:variant>
      <vt:variant>
        <vt:i4>2097159</vt:i4>
      </vt:variant>
      <vt:variant>
        <vt:i4>134</vt:i4>
      </vt:variant>
      <vt:variant>
        <vt:i4>0</vt:i4>
      </vt:variant>
      <vt:variant>
        <vt:i4>5</vt:i4>
      </vt:variant>
      <vt:variant>
        <vt:lpwstr/>
      </vt:variant>
      <vt:variant>
        <vt:lpwstr>_Toc7986887</vt:lpwstr>
      </vt:variant>
      <vt:variant>
        <vt:i4>2097159</vt:i4>
      </vt:variant>
      <vt:variant>
        <vt:i4>128</vt:i4>
      </vt:variant>
      <vt:variant>
        <vt:i4>0</vt:i4>
      </vt:variant>
      <vt:variant>
        <vt:i4>5</vt:i4>
      </vt:variant>
      <vt:variant>
        <vt:lpwstr/>
      </vt:variant>
      <vt:variant>
        <vt:lpwstr>_Toc7986886</vt:lpwstr>
      </vt:variant>
      <vt:variant>
        <vt:i4>2097159</vt:i4>
      </vt:variant>
      <vt:variant>
        <vt:i4>122</vt:i4>
      </vt:variant>
      <vt:variant>
        <vt:i4>0</vt:i4>
      </vt:variant>
      <vt:variant>
        <vt:i4>5</vt:i4>
      </vt:variant>
      <vt:variant>
        <vt:lpwstr/>
      </vt:variant>
      <vt:variant>
        <vt:lpwstr>_Toc7986885</vt:lpwstr>
      </vt:variant>
      <vt:variant>
        <vt:i4>2097159</vt:i4>
      </vt:variant>
      <vt:variant>
        <vt:i4>116</vt:i4>
      </vt:variant>
      <vt:variant>
        <vt:i4>0</vt:i4>
      </vt:variant>
      <vt:variant>
        <vt:i4>5</vt:i4>
      </vt:variant>
      <vt:variant>
        <vt:lpwstr/>
      </vt:variant>
      <vt:variant>
        <vt:lpwstr>_Toc7986884</vt:lpwstr>
      </vt:variant>
      <vt:variant>
        <vt:i4>2097159</vt:i4>
      </vt:variant>
      <vt:variant>
        <vt:i4>110</vt:i4>
      </vt:variant>
      <vt:variant>
        <vt:i4>0</vt:i4>
      </vt:variant>
      <vt:variant>
        <vt:i4>5</vt:i4>
      </vt:variant>
      <vt:variant>
        <vt:lpwstr/>
      </vt:variant>
      <vt:variant>
        <vt:lpwstr>_Toc7986883</vt:lpwstr>
      </vt:variant>
      <vt:variant>
        <vt:i4>2097159</vt:i4>
      </vt:variant>
      <vt:variant>
        <vt:i4>104</vt:i4>
      </vt:variant>
      <vt:variant>
        <vt:i4>0</vt:i4>
      </vt:variant>
      <vt:variant>
        <vt:i4>5</vt:i4>
      </vt:variant>
      <vt:variant>
        <vt:lpwstr/>
      </vt:variant>
      <vt:variant>
        <vt:lpwstr>_Toc7986882</vt:lpwstr>
      </vt:variant>
      <vt:variant>
        <vt:i4>2097159</vt:i4>
      </vt:variant>
      <vt:variant>
        <vt:i4>98</vt:i4>
      </vt:variant>
      <vt:variant>
        <vt:i4>0</vt:i4>
      </vt:variant>
      <vt:variant>
        <vt:i4>5</vt:i4>
      </vt:variant>
      <vt:variant>
        <vt:lpwstr/>
      </vt:variant>
      <vt:variant>
        <vt:lpwstr>_Toc7986881</vt:lpwstr>
      </vt:variant>
      <vt:variant>
        <vt:i4>2097159</vt:i4>
      </vt:variant>
      <vt:variant>
        <vt:i4>92</vt:i4>
      </vt:variant>
      <vt:variant>
        <vt:i4>0</vt:i4>
      </vt:variant>
      <vt:variant>
        <vt:i4>5</vt:i4>
      </vt:variant>
      <vt:variant>
        <vt:lpwstr/>
      </vt:variant>
      <vt:variant>
        <vt:lpwstr>_Toc7986880</vt:lpwstr>
      </vt:variant>
      <vt:variant>
        <vt:i4>3080199</vt:i4>
      </vt:variant>
      <vt:variant>
        <vt:i4>86</vt:i4>
      </vt:variant>
      <vt:variant>
        <vt:i4>0</vt:i4>
      </vt:variant>
      <vt:variant>
        <vt:i4>5</vt:i4>
      </vt:variant>
      <vt:variant>
        <vt:lpwstr/>
      </vt:variant>
      <vt:variant>
        <vt:lpwstr>_Toc7986879</vt:lpwstr>
      </vt:variant>
      <vt:variant>
        <vt:i4>3080199</vt:i4>
      </vt:variant>
      <vt:variant>
        <vt:i4>80</vt:i4>
      </vt:variant>
      <vt:variant>
        <vt:i4>0</vt:i4>
      </vt:variant>
      <vt:variant>
        <vt:i4>5</vt:i4>
      </vt:variant>
      <vt:variant>
        <vt:lpwstr/>
      </vt:variant>
      <vt:variant>
        <vt:lpwstr>_Toc7986878</vt:lpwstr>
      </vt:variant>
      <vt:variant>
        <vt:i4>3080199</vt:i4>
      </vt:variant>
      <vt:variant>
        <vt:i4>74</vt:i4>
      </vt:variant>
      <vt:variant>
        <vt:i4>0</vt:i4>
      </vt:variant>
      <vt:variant>
        <vt:i4>5</vt:i4>
      </vt:variant>
      <vt:variant>
        <vt:lpwstr/>
      </vt:variant>
      <vt:variant>
        <vt:lpwstr>_Toc7986877</vt:lpwstr>
      </vt:variant>
      <vt:variant>
        <vt:i4>3080199</vt:i4>
      </vt:variant>
      <vt:variant>
        <vt:i4>68</vt:i4>
      </vt:variant>
      <vt:variant>
        <vt:i4>0</vt:i4>
      </vt:variant>
      <vt:variant>
        <vt:i4>5</vt:i4>
      </vt:variant>
      <vt:variant>
        <vt:lpwstr/>
      </vt:variant>
      <vt:variant>
        <vt:lpwstr>_Toc7986876</vt:lpwstr>
      </vt:variant>
      <vt:variant>
        <vt:i4>3080199</vt:i4>
      </vt:variant>
      <vt:variant>
        <vt:i4>62</vt:i4>
      </vt:variant>
      <vt:variant>
        <vt:i4>0</vt:i4>
      </vt:variant>
      <vt:variant>
        <vt:i4>5</vt:i4>
      </vt:variant>
      <vt:variant>
        <vt:lpwstr/>
      </vt:variant>
      <vt:variant>
        <vt:lpwstr>_Toc7986875</vt:lpwstr>
      </vt:variant>
      <vt:variant>
        <vt:i4>3080199</vt:i4>
      </vt:variant>
      <vt:variant>
        <vt:i4>56</vt:i4>
      </vt:variant>
      <vt:variant>
        <vt:i4>0</vt:i4>
      </vt:variant>
      <vt:variant>
        <vt:i4>5</vt:i4>
      </vt:variant>
      <vt:variant>
        <vt:lpwstr/>
      </vt:variant>
      <vt:variant>
        <vt:lpwstr>_Toc7986874</vt:lpwstr>
      </vt:variant>
      <vt:variant>
        <vt:i4>3080199</vt:i4>
      </vt:variant>
      <vt:variant>
        <vt:i4>50</vt:i4>
      </vt:variant>
      <vt:variant>
        <vt:i4>0</vt:i4>
      </vt:variant>
      <vt:variant>
        <vt:i4>5</vt:i4>
      </vt:variant>
      <vt:variant>
        <vt:lpwstr/>
      </vt:variant>
      <vt:variant>
        <vt:lpwstr>_Toc7986873</vt:lpwstr>
      </vt:variant>
      <vt:variant>
        <vt:i4>3080199</vt:i4>
      </vt:variant>
      <vt:variant>
        <vt:i4>44</vt:i4>
      </vt:variant>
      <vt:variant>
        <vt:i4>0</vt:i4>
      </vt:variant>
      <vt:variant>
        <vt:i4>5</vt:i4>
      </vt:variant>
      <vt:variant>
        <vt:lpwstr/>
      </vt:variant>
      <vt:variant>
        <vt:lpwstr>_Toc7986872</vt:lpwstr>
      </vt:variant>
      <vt:variant>
        <vt:i4>3080199</vt:i4>
      </vt:variant>
      <vt:variant>
        <vt:i4>38</vt:i4>
      </vt:variant>
      <vt:variant>
        <vt:i4>0</vt:i4>
      </vt:variant>
      <vt:variant>
        <vt:i4>5</vt:i4>
      </vt:variant>
      <vt:variant>
        <vt:lpwstr/>
      </vt:variant>
      <vt:variant>
        <vt:lpwstr>_Toc7986871</vt:lpwstr>
      </vt:variant>
      <vt:variant>
        <vt:i4>3080199</vt:i4>
      </vt:variant>
      <vt:variant>
        <vt:i4>32</vt:i4>
      </vt:variant>
      <vt:variant>
        <vt:i4>0</vt:i4>
      </vt:variant>
      <vt:variant>
        <vt:i4>5</vt:i4>
      </vt:variant>
      <vt:variant>
        <vt:lpwstr/>
      </vt:variant>
      <vt:variant>
        <vt:lpwstr>_Toc7986870</vt:lpwstr>
      </vt:variant>
      <vt:variant>
        <vt:i4>3014663</vt:i4>
      </vt:variant>
      <vt:variant>
        <vt:i4>26</vt:i4>
      </vt:variant>
      <vt:variant>
        <vt:i4>0</vt:i4>
      </vt:variant>
      <vt:variant>
        <vt:i4>5</vt:i4>
      </vt:variant>
      <vt:variant>
        <vt:lpwstr/>
      </vt:variant>
      <vt:variant>
        <vt:lpwstr>_Toc7986869</vt:lpwstr>
      </vt:variant>
      <vt:variant>
        <vt:i4>3014663</vt:i4>
      </vt:variant>
      <vt:variant>
        <vt:i4>20</vt:i4>
      </vt:variant>
      <vt:variant>
        <vt:i4>0</vt:i4>
      </vt:variant>
      <vt:variant>
        <vt:i4>5</vt:i4>
      </vt:variant>
      <vt:variant>
        <vt:lpwstr/>
      </vt:variant>
      <vt:variant>
        <vt:lpwstr>_Toc7986868</vt:lpwstr>
      </vt:variant>
      <vt:variant>
        <vt:i4>3014663</vt:i4>
      </vt:variant>
      <vt:variant>
        <vt:i4>14</vt:i4>
      </vt:variant>
      <vt:variant>
        <vt:i4>0</vt:i4>
      </vt:variant>
      <vt:variant>
        <vt:i4>5</vt:i4>
      </vt:variant>
      <vt:variant>
        <vt:lpwstr/>
      </vt:variant>
      <vt:variant>
        <vt:lpwstr>_Toc7986867</vt:lpwstr>
      </vt:variant>
      <vt:variant>
        <vt:i4>3014663</vt:i4>
      </vt:variant>
      <vt:variant>
        <vt:i4>8</vt:i4>
      </vt:variant>
      <vt:variant>
        <vt:i4>0</vt:i4>
      </vt:variant>
      <vt:variant>
        <vt:i4>5</vt:i4>
      </vt:variant>
      <vt:variant>
        <vt:lpwstr/>
      </vt:variant>
      <vt:variant>
        <vt:lpwstr>_Toc7986866</vt:lpwstr>
      </vt:variant>
      <vt:variant>
        <vt:i4>3014663</vt:i4>
      </vt:variant>
      <vt:variant>
        <vt:i4>2</vt:i4>
      </vt:variant>
      <vt:variant>
        <vt:i4>0</vt:i4>
      </vt:variant>
      <vt:variant>
        <vt:i4>5</vt:i4>
      </vt:variant>
      <vt:variant>
        <vt:lpwstr/>
      </vt:variant>
      <vt:variant>
        <vt:lpwstr>_Toc7986865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cp:lastModifiedBy>Lavey, Nathan P.</cp:lastModifiedBy>
  <cp:revision>2</cp:revision>
  <cp:lastPrinted>2019-01-28T22:32:00Z</cp:lastPrinted>
  <dcterms:created xsi:type="dcterms:W3CDTF">2019-05-10T19:59:00Z</dcterms:created>
  <dcterms:modified xsi:type="dcterms:W3CDTF">2019-05-10T19:59:00Z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Id">
    <vt:lpwstr>http://www.zotero.org/styles/nature</vt:lpwstr>
  </property>
  <property fmtid="{D5CDD505-2E9C-101B-9397-08002B2CF9AE}" pid="3" name="InsertAsFootnote">
    <vt:lpwstr>0</vt:lpwstr>
  </property>
</Properties>
</file>