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2C111C" w14:textId="77777777" w:rsidR="006C690B" w:rsidRPr="00723DA9" w:rsidRDefault="006C690B" w:rsidP="006C690B">
      <w:pPr>
        <w:pStyle w:val="Default"/>
        <w:spacing w:line="480" w:lineRule="auto"/>
        <w:jc w:val="center"/>
      </w:pPr>
      <w:r w:rsidRPr="00723DA9">
        <w:rPr>
          <w:color w:val="1C1C1C"/>
        </w:rPr>
        <w:t>UNIVERSITY OF OKLAHOMA</w:t>
      </w:r>
    </w:p>
    <w:p w14:paraId="10992F20" w14:textId="77777777" w:rsidR="006C690B" w:rsidRPr="00723DA9" w:rsidRDefault="006C690B" w:rsidP="006C690B">
      <w:pPr>
        <w:pStyle w:val="Default"/>
        <w:spacing w:line="480" w:lineRule="auto"/>
        <w:jc w:val="center"/>
        <w:rPr>
          <w:color w:val="1C1C1C"/>
        </w:rPr>
      </w:pPr>
      <w:r w:rsidRPr="00723DA9">
        <w:rPr>
          <w:color w:val="1C1C1C"/>
        </w:rPr>
        <w:t>GRADUATE COLLEGE</w:t>
      </w:r>
    </w:p>
    <w:p w14:paraId="5FB18AD5" w14:textId="77777777" w:rsidR="006C690B" w:rsidRPr="00723DA9" w:rsidRDefault="006C690B" w:rsidP="006C690B">
      <w:pPr>
        <w:pStyle w:val="Default"/>
        <w:spacing w:line="480" w:lineRule="auto"/>
        <w:jc w:val="center"/>
        <w:rPr>
          <w:color w:val="1C1C1C"/>
        </w:rPr>
      </w:pPr>
    </w:p>
    <w:p w14:paraId="3927EDAA" w14:textId="77777777" w:rsidR="006C690B" w:rsidRPr="00723DA9" w:rsidRDefault="006C690B" w:rsidP="006C690B">
      <w:pPr>
        <w:pStyle w:val="Default"/>
        <w:spacing w:line="480" w:lineRule="auto"/>
        <w:jc w:val="center"/>
        <w:rPr>
          <w:color w:val="1C1C1C"/>
        </w:rPr>
      </w:pPr>
    </w:p>
    <w:p w14:paraId="4BD555E5" w14:textId="6381887D" w:rsidR="006C690B" w:rsidRPr="00723DA9" w:rsidRDefault="006C690B" w:rsidP="006C690B">
      <w:pPr>
        <w:pStyle w:val="Default"/>
        <w:spacing w:line="480" w:lineRule="auto"/>
        <w:jc w:val="center"/>
      </w:pPr>
      <w:r w:rsidRPr="00723DA9">
        <w:t xml:space="preserve">IMPROVING </w:t>
      </w:r>
      <w:r>
        <w:t xml:space="preserve">SHORT-TERM FORECAST OF SEVERE </w:t>
      </w:r>
      <w:r w:rsidR="00B47AFC">
        <w:t xml:space="preserve">AND HIGH-IMPACT </w:t>
      </w:r>
      <w:r>
        <w:t>WEATHER EVENTS</w:t>
      </w:r>
      <w:r w:rsidRPr="00723DA9">
        <w:t xml:space="preserve"> USING A </w:t>
      </w:r>
      <w:r>
        <w:t>WEATHER-DEPENDENT</w:t>
      </w:r>
      <w:r w:rsidRPr="00723DA9">
        <w:t xml:space="preserve"> HYBRID ENSEMBLE-VARIATIONAL DATA ASSIMILATION SYSTEM WITH </w:t>
      </w:r>
      <w:r w:rsidR="000D6A74">
        <w:t xml:space="preserve">RADAR AND </w:t>
      </w:r>
      <w:r>
        <w:t>SATELLITE DERIVED</w:t>
      </w:r>
      <w:r w:rsidRPr="00723DA9">
        <w:t xml:space="preserve"> OBSERVATIONS</w:t>
      </w:r>
    </w:p>
    <w:p w14:paraId="524D0270" w14:textId="77777777" w:rsidR="006C690B" w:rsidRPr="00723DA9" w:rsidRDefault="006C690B" w:rsidP="006C690B">
      <w:pPr>
        <w:pStyle w:val="Default"/>
        <w:spacing w:line="480" w:lineRule="auto"/>
        <w:jc w:val="center"/>
      </w:pPr>
    </w:p>
    <w:p w14:paraId="54F7F526" w14:textId="3C442A92" w:rsidR="006C690B" w:rsidRDefault="006C690B" w:rsidP="00E751CB">
      <w:pPr>
        <w:pStyle w:val="Default"/>
        <w:spacing w:line="480" w:lineRule="auto"/>
        <w:jc w:val="center"/>
      </w:pPr>
    </w:p>
    <w:p w14:paraId="1E21F96F" w14:textId="77777777" w:rsidR="00E751CB" w:rsidRPr="00723DA9" w:rsidRDefault="00E751CB" w:rsidP="00E751CB">
      <w:pPr>
        <w:pStyle w:val="Default"/>
        <w:spacing w:line="480" w:lineRule="auto"/>
        <w:jc w:val="center"/>
      </w:pPr>
    </w:p>
    <w:p w14:paraId="47849DE1" w14:textId="77777777" w:rsidR="006C690B" w:rsidRPr="00723DA9" w:rsidRDefault="006C690B" w:rsidP="006C690B">
      <w:pPr>
        <w:pStyle w:val="Default"/>
        <w:spacing w:line="480" w:lineRule="auto"/>
        <w:jc w:val="center"/>
        <w:rPr>
          <w:color w:val="1C1C1C"/>
        </w:rPr>
      </w:pPr>
      <w:r w:rsidRPr="00723DA9">
        <w:rPr>
          <w:color w:val="1C1C1C"/>
        </w:rPr>
        <w:t>A DISSERTATION</w:t>
      </w:r>
    </w:p>
    <w:p w14:paraId="45A989DE" w14:textId="77777777" w:rsidR="006C690B" w:rsidRPr="00723DA9" w:rsidRDefault="006C690B" w:rsidP="006C690B">
      <w:pPr>
        <w:pStyle w:val="Default"/>
        <w:spacing w:line="480" w:lineRule="auto"/>
        <w:jc w:val="center"/>
        <w:rPr>
          <w:color w:val="1C1C1C"/>
        </w:rPr>
      </w:pPr>
      <w:r w:rsidRPr="00723DA9">
        <w:rPr>
          <w:color w:val="1C1C1C"/>
        </w:rPr>
        <w:t>SUBMITTED TO THE GRADUATE FACULTY</w:t>
      </w:r>
    </w:p>
    <w:p w14:paraId="141AEE48" w14:textId="77777777" w:rsidR="006C690B" w:rsidRPr="00723DA9" w:rsidRDefault="006C690B" w:rsidP="006C690B">
      <w:pPr>
        <w:pStyle w:val="Default"/>
        <w:spacing w:line="480" w:lineRule="auto"/>
        <w:jc w:val="center"/>
        <w:rPr>
          <w:color w:val="1C1C1C"/>
        </w:rPr>
      </w:pPr>
      <w:r w:rsidRPr="00723DA9">
        <w:rPr>
          <w:color w:val="1C1C1C"/>
        </w:rPr>
        <w:t>in partial fulfillment of the requirements for the</w:t>
      </w:r>
    </w:p>
    <w:p w14:paraId="6833F175" w14:textId="77777777" w:rsidR="006C690B" w:rsidRPr="00723DA9" w:rsidRDefault="006C690B" w:rsidP="006C690B">
      <w:pPr>
        <w:pStyle w:val="Default"/>
        <w:spacing w:line="480" w:lineRule="auto"/>
        <w:jc w:val="center"/>
        <w:rPr>
          <w:color w:val="1C1C1C"/>
        </w:rPr>
      </w:pPr>
      <w:r w:rsidRPr="00723DA9">
        <w:rPr>
          <w:color w:val="1C1C1C"/>
        </w:rPr>
        <w:t>Degree of</w:t>
      </w:r>
    </w:p>
    <w:p w14:paraId="2BC30347" w14:textId="77777777" w:rsidR="006C690B" w:rsidRPr="00723DA9" w:rsidRDefault="006C690B" w:rsidP="006C690B">
      <w:pPr>
        <w:pStyle w:val="Default"/>
        <w:spacing w:line="480" w:lineRule="auto"/>
        <w:jc w:val="center"/>
        <w:rPr>
          <w:color w:val="1C1C1C"/>
        </w:rPr>
      </w:pPr>
      <w:r w:rsidRPr="00723DA9">
        <w:rPr>
          <w:color w:val="1C1C1C"/>
        </w:rPr>
        <w:t>DOCTOR OF PHILOSOPHY</w:t>
      </w:r>
      <w:r w:rsidRPr="00723DA9">
        <w:rPr>
          <w:color w:val="1C1C1C"/>
        </w:rPr>
        <w:cr/>
      </w:r>
    </w:p>
    <w:p w14:paraId="7361723D" w14:textId="77777777" w:rsidR="006C690B" w:rsidRPr="00723DA9" w:rsidRDefault="006C690B" w:rsidP="006C690B">
      <w:pPr>
        <w:pStyle w:val="Default"/>
        <w:spacing w:line="480" w:lineRule="auto"/>
        <w:jc w:val="center"/>
        <w:rPr>
          <w:color w:val="1C1C1C"/>
        </w:rPr>
      </w:pPr>
    </w:p>
    <w:p w14:paraId="7C6877E1" w14:textId="77777777" w:rsidR="006C690B" w:rsidRPr="00723DA9" w:rsidRDefault="006C690B" w:rsidP="006C690B">
      <w:pPr>
        <w:pStyle w:val="Default"/>
        <w:spacing w:line="480" w:lineRule="auto"/>
        <w:jc w:val="center"/>
        <w:rPr>
          <w:color w:val="1C1C1C"/>
        </w:rPr>
      </w:pPr>
      <w:r w:rsidRPr="00723DA9">
        <w:rPr>
          <w:color w:val="1C1C1C"/>
        </w:rPr>
        <w:t>By</w:t>
      </w:r>
    </w:p>
    <w:p w14:paraId="4ECBFE54" w14:textId="2F1844E0" w:rsidR="006C690B" w:rsidRPr="00723DA9" w:rsidRDefault="006C690B" w:rsidP="006C690B">
      <w:pPr>
        <w:pStyle w:val="Default"/>
        <w:spacing w:line="480" w:lineRule="auto"/>
        <w:jc w:val="center"/>
        <w:rPr>
          <w:color w:val="1C1C1C"/>
        </w:rPr>
      </w:pPr>
      <w:r>
        <w:rPr>
          <w:color w:val="1C1C1C"/>
        </w:rPr>
        <w:t>SIJIE PAN</w:t>
      </w:r>
    </w:p>
    <w:p w14:paraId="36F2F859" w14:textId="7C469C9D" w:rsidR="006C690B" w:rsidRDefault="006C690B" w:rsidP="00E751CB">
      <w:pPr>
        <w:pStyle w:val="Default"/>
        <w:spacing w:line="480" w:lineRule="auto"/>
        <w:jc w:val="center"/>
        <w:rPr>
          <w:color w:val="1C1C1C"/>
        </w:rPr>
      </w:pPr>
      <w:r w:rsidRPr="00723DA9">
        <w:rPr>
          <w:color w:val="1C1C1C"/>
        </w:rPr>
        <w:t>Norman, Oklahoma</w:t>
      </w:r>
    </w:p>
    <w:p w14:paraId="3BF32AC5" w14:textId="433DFDF3" w:rsidR="00E751CB" w:rsidRPr="00723DA9" w:rsidRDefault="00E751CB" w:rsidP="00E751CB">
      <w:pPr>
        <w:pStyle w:val="Default"/>
        <w:spacing w:line="480" w:lineRule="auto"/>
        <w:jc w:val="center"/>
        <w:rPr>
          <w:color w:val="1C1C1C"/>
        </w:rPr>
      </w:pPr>
      <w:r>
        <w:rPr>
          <w:color w:val="1C1C1C"/>
        </w:rPr>
        <w:t>2023</w:t>
      </w:r>
    </w:p>
    <w:p w14:paraId="6182806B" w14:textId="402925C7" w:rsidR="000D6A74" w:rsidRPr="00723DA9" w:rsidRDefault="000D6A74" w:rsidP="000D6A74">
      <w:pPr>
        <w:pStyle w:val="Default"/>
        <w:spacing w:line="480" w:lineRule="auto"/>
        <w:jc w:val="center"/>
      </w:pPr>
      <w:r w:rsidRPr="00723DA9">
        <w:lastRenderedPageBreak/>
        <w:t xml:space="preserve">IMPROVING </w:t>
      </w:r>
      <w:r>
        <w:t xml:space="preserve">SHORT-TERM FORECAST OF SEVERE </w:t>
      </w:r>
      <w:r w:rsidR="00B47AFC">
        <w:t xml:space="preserve">AND HIGH-IMPACT </w:t>
      </w:r>
      <w:r>
        <w:t>WEATHER EVENTS</w:t>
      </w:r>
      <w:r w:rsidRPr="00723DA9">
        <w:t xml:space="preserve"> USING A </w:t>
      </w:r>
      <w:r>
        <w:t>WEATHER-DEPENDENT</w:t>
      </w:r>
      <w:r w:rsidRPr="00723DA9">
        <w:t xml:space="preserve"> HYBRID ENSEMBLE-VARIATIONAL DATA ASSIMILATION SYSTEM WITH </w:t>
      </w:r>
      <w:r>
        <w:t>RADAR AND SATELLITE DERIVED</w:t>
      </w:r>
      <w:r w:rsidRPr="00723DA9">
        <w:t xml:space="preserve"> OBSERVATIONS</w:t>
      </w:r>
    </w:p>
    <w:p w14:paraId="6500E3BE" w14:textId="77777777" w:rsidR="006C690B" w:rsidRPr="00723DA9" w:rsidRDefault="006C690B" w:rsidP="006C690B">
      <w:pPr>
        <w:jc w:val="center"/>
        <w:rPr>
          <w:rFonts w:cs="Times New Roman"/>
          <w:color w:val="1C1C1C"/>
          <w:szCs w:val="24"/>
        </w:rPr>
      </w:pPr>
    </w:p>
    <w:p w14:paraId="40C8A8AC" w14:textId="77777777" w:rsidR="00E751CB" w:rsidRPr="00723DA9" w:rsidRDefault="00E751CB" w:rsidP="00E751CB">
      <w:pPr>
        <w:jc w:val="center"/>
        <w:rPr>
          <w:rFonts w:cs="Times New Roman"/>
          <w:color w:val="1C1C1C"/>
          <w:szCs w:val="24"/>
        </w:rPr>
      </w:pPr>
      <w:r w:rsidRPr="00723DA9">
        <w:rPr>
          <w:rFonts w:cs="Times New Roman"/>
          <w:color w:val="1C1C1C"/>
          <w:szCs w:val="24"/>
        </w:rPr>
        <w:t>A DISSERTATION APPROVED FOR THE</w:t>
      </w:r>
    </w:p>
    <w:p w14:paraId="6CFB97D6" w14:textId="040C38C0" w:rsidR="00E751CB" w:rsidRDefault="00E751CB" w:rsidP="00E751CB">
      <w:pPr>
        <w:jc w:val="center"/>
        <w:rPr>
          <w:rFonts w:cs="Times New Roman"/>
          <w:color w:val="1C1C1C"/>
          <w:szCs w:val="24"/>
        </w:rPr>
      </w:pPr>
      <w:r w:rsidRPr="00723DA9">
        <w:rPr>
          <w:rFonts w:cs="Times New Roman"/>
          <w:color w:val="1C1C1C"/>
          <w:szCs w:val="24"/>
        </w:rPr>
        <w:t>SCHOOL OF METEOROLOGY</w:t>
      </w:r>
    </w:p>
    <w:p w14:paraId="63E9BD71" w14:textId="77777777" w:rsidR="00E751CB" w:rsidRPr="00723DA9" w:rsidRDefault="00E751CB" w:rsidP="00E751CB">
      <w:pPr>
        <w:jc w:val="center"/>
        <w:rPr>
          <w:rFonts w:cs="Times New Roman"/>
          <w:color w:val="1C1C1C"/>
          <w:szCs w:val="24"/>
        </w:rPr>
      </w:pPr>
    </w:p>
    <w:p w14:paraId="0AFCE648" w14:textId="77777777" w:rsidR="00E751CB" w:rsidRPr="00723DA9" w:rsidRDefault="00E751CB" w:rsidP="00E751CB">
      <w:pPr>
        <w:jc w:val="center"/>
        <w:rPr>
          <w:rFonts w:cs="Times New Roman"/>
          <w:color w:val="1C1C1C"/>
          <w:szCs w:val="24"/>
        </w:rPr>
      </w:pPr>
    </w:p>
    <w:p w14:paraId="231AFD3F" w14:textId="77777777" w:rsidR="00E751CB" w:rsidRPr="00723DA9" w:rsidRDefault="00E751CB" w:rsidP="00E751CB">
      <w:pPr>
        <w:jc w:val="center"/>
        <w:rPr>
          <w:rFonts w:cs="Times New Roman"/>
          <w:color w:val="1C1C1C"/>
          <w:szCs w:val="24"/>
        </w:rPr>
      </w:pPr>
    </w:p>
    <w:p w14:paraId="5D72305A" w14:textId="77777777" w:rsidR="00E751CB" w:rsidRPr="00723DA9" w:rsidRDefault="00E751CB" w:rsidP="00E751CB">
      <w:pPr>
        <w:jc w:val="center"/>
        <w:rPr>
          <w:rFonts w:cs="Times New Roman"/>
          <w:color w:val="1C1C1C"/>
          <w:szCs w:val="24"/>
        </w:rPr>
      </w:pPr>
      <w:r w:rsidRPr="00777221">
        <w:rPr>
          <w:rFonts w:cs="Times New Roman"/>
          <w:color w:val="1C1C1C"/>
          <w:szCs w:val="24"/>
        </w:rPr>
        <w:t>BY THE COMMITTEE CONSISTING OF</w:t>
      </w:r>
    </w:p>
    <w:p w14:paraId="41CA819B" w14:textId="77777777" w:rsidR="006C690B" w:rsidRPr="00723DA9" w:rsidRDefault="006C690B" w:rsidP="006C690B">
      <w:pPr>
        <w:jc w:val="center"/>
        <w:rPr>
          <w:rFonts w:cs="Times New Roman"/>
          <w:color w:val="1C1C1C"/>
          <w:szCs w:val="24"/>
        </w:rPr>
      </w:pPr>
    </w:p>
    <w:p w14:paraId="10DAEB62" w14:textId="77777777" w:rsidR="006C690B" w:rsidRPr="00723DA9" w:rsidRDefault="006C690B" w:rsidP="006C690B">
      <w:pPr>
        <w:jc w:val="center"/>
        <w:rPr>
          <w:rFonts w:cs="Times New Roman"/>
          <w:color w:val="1C1C1C"/>
          <w:szCs w:val="24"/>
        </w:rPr>
      </w:pPr>
    </w:p>
    <w:p w14:paraId="3984BA6F" w14:textId="77777777" w:rsidR="006C690B" w:rsidRPr="00723DA9" w:rsidRDefault="006C690B" w:rsidP="006C690B">
      <w:pPr>
        <w:jc w:val="center"/>
        <w:rPr>
          <w:rFonts w:cs="Times New Roman"/>
          <w:color w:val="1C1C1C"/>
          <w:szCs w:val="24"/>
        </w:rPr>
      </w:pPr>
    </w:p>
    <w:p w14:paraId="33F11821" w14:textId="77777777" w:rsidR="006C690B" w:rsidRPr="00723DA9" w:rsidRDefault="006C690B" w:rsidP="006C690B">
      <w:pPr>
        <w:jc w:val="right"/>
        <w:rPr>
          <w:rFonts w:cs="Times New Roman"/>
          <w:color w:val="1C1C1C"/>
          <w:szCs w:val="24"/>
        </w:rPr>
      </w:pPr>
      <w:r w:rsidRPr="00723DA9">
        <w:rPr>
          <w:rFonts w:cs="Times New Roman"/>
          <w:color w:val="1C1C1C"/>
          <w:szCs w:val="24"/>
        </w:rPr>
        <w:t>Dr. Xuguang Wang, Chair</w:t>
      </w:r>
    </w:p>
    <w:p w14:paraId="433781BB" w14:textId="248846B2" w:rsidR="006C690B" w:rsidRDefault="006C690B" w:rsidP="006C690B">
      <w:pPr>
        <w:jc w:val="right"/>
        <w:rPr>
          <w:rFonts w:cs="Times New Roman"/>
          <w:color w:val="1C1C1C"/>
          <w:szCs w:val="24"/>
        </w:rPr>
      </w:pPr>
      <w:r w:rsidRPr="00723DA9">
        <w:rPr>
          <w:rFonts w:cs="Times New Roman"/>
          <w:color w:val="1C1C1C"/>
          <w:szCs w:val="24"/>
        </w:rPr>
        <w:t xml:space="preserve">Dr. </w:t>
      </w:r>
      <w:r>
        <w:rPr>
          <w:rFonts w:cs="Times New Roman"/>
          <w:color w:val="1C1C1C"/>
          <w:szCs w:val="24"/>
        </w:rPr>
        <w:t>Jidong Gao</w:t>
      </w:r>
      <w:r w:rsidR="00004EE8">
        <w:rPr>
          <w:rFonts w:cs="Times New Roman"/>
          <w:color w:val="1C1C1C"/>
          <w:szCs w:val="24"/>
        </w:rPr>
        <w:t>, Co-Chair</w:t>
      </w:r>
    </w:p>
    <w:p w14:paraId="7F3EE8EC" w14:textId="2165D1D0" w:rsidR="001367AC" w:rsidRDefault="001367AC" w:rsidP="006C690B">
      <w:pPr>
        <w:jc w:val="right"/>
        <w:rPr>
          <w:rFonts w:cs="Times New Roman"/>
          <w:color w:val="1C1C1C"/>
          <w:szCs w:val="24"/>
        </w:rPr>
      </w:pPr>
      <w:r>
        <w:rPr>
          <w:rFonts w:cs="Times New Roman"/>
          <w:color w:val="1C1C1C"/>
          <w:szCs w:val="24"/>
        </w:rPr>
        <w:t>Dr. Nathan Goodman</w:t>
      </w:r>
    </w:p>
    <w:p w14:paraId="05D61066" w14:textId="5A36A690" w:rsidR="001367AC" w:rsidRDefault="001367AC" w:rsidP="001367AC">
      <w:pPr>
        <w:jc w:val="right"/>
        <w:rPr>
          <w:rFonts w:cs="Times New Roman"/>
          <w:color w:val="1C1C1C"/>
          <w:szCs w:val="24"/>
        </w:rPr>
      </w:pPr>
      <w:r w:rsidRPr="00723DA9">
        <w:rPr>
          <w:rFonts w:cs="Times New Roman"/>
          <w:color w:val="1C1C1C"/>
          <w:szCs w:val="24"/>
        </w:rPr>
        <w:t xml:space="preserve">Dr. </w:t>
      </w:r>
      <w:r>
        <w:rPr>
          <w:rFonts w:cs="Times New Roman"/>
          <w:color w:val="1C1C1C"/>
          <w:szCs w:val="24"/>
        </w:rPr>
        <w:t>Cameron Homeyer</w:t>
      </w:r>
    </w:p>
    <w:p w14:paraId="4378B14F" w14:textId="2285BA0A" w:rsidR="006C690B" w:rsidRPr="00723DA9" w:rsidRDefault="006C690B" w:rsidP="006C690B">
      <w:pPr>
        <w:jc w:val="right"/>
        <w:rPr>
          <w:rFonts w:cs="Times New Roman"/>
          <w:color w:val="1C1C1C"/>
          <w:szCs w:val="24"/>
        </w:rPr>
      </w:pPr>
      <w:r w:rsidRPr="00723DA9">
        <w:rPr>
          <w:rFonts w:cs="Times New Roman"/>
          <w:color w:val="1C1C1C"/>
          <w:szCs w:val="24"/>
        </w:rPr>
        <w:t xml:space="preserve">Dr. </w:t>
      </w:r>
      <w:r>
        <w:rPr>
          <w:rFonts w:cs="Times New Roman"/>
          <w:color w:val="1C1C1C"/>
          <w:szCs w:val="24"/>
        </w:rPr>
        <w:t>Thomas Jones</w:t>
      </w:r>
    </w:p>
    <w:p w14:paraId="0836FD64" w14:textId="6C0C2763" w:rsidR="006C690B" w:rsidRDefault="006C690B" w:rsidP="006C690B">
      <w:pPr>
        <w:jc w:val="right"/>
        <w:rPr>
          <w:rFonts w:cs="Times New Roman"/>
          <w:color w:val="1C1C1C"/>
          <w:szCs w:val="24"/>
        </w:rPr>
      </w:pPr>
      <w:r w:rsidRPr="00723DA9">
        <w:rPr>
          <w:rFonts w:cs="Times New Roman"/>
          <w:color w:val="1C1C1C"/>
          <w:szCs w:val="24"/>
        </w:rPr>
        <w:t xml:space="preserve">Dr. </w:t>
      </w:r>
      <w:r>
        <w:rPr>
          <w:rFonts w:cs="Times New Roman"/>
          <w:color w:val="1C1C1C"/>
          <w:szCs w:val="24"/>
        </w:rPr>
        <w:t>Greg Mcfarquhar</w:t>
      </w:r>
    </w:p>
    <w:p w14:paraId="40A3A910" w14:textId="0DC47C0B" w:rsidR="006C690B" w:rsidRPr="00723DA9" w:rsidRDefault="006C690B" w:rsidP="006C690B">
      <w:pPr>
        <w:jc w:val="right"/>
        <w:rPr>
          <w:rFonts w:cs="Times New Roman"/>
          <w:color w:val="1C1C1C"/>
          <w:szCs w:val="24"/>
        </w:rPr>
      </w:pPr>
      <w:r w:rsidRPr="00723DA9">
        <w:rPr>
          <w:rFonts w:cs="Times New Roman"/>
          <w:color w:val="1C1C1C"/>
          <w:szCs w:val="24"/>
        </w:rPr>
        <w:br w:type="page"/>
      </w:r>
    </w:p>
    <w:p w14:paraId="1F3E7E10" w14:textId="77777777" w:rsidR="00E751CB" w:rsidRPr="00723DA9" w:rsidRDefault="00E751CB" w:rsidP="00E751CB">
      <w:pPr>
        <w:jc w:val="center"/>
        <w:rPr>
          <w:rFonts w:cs="Times New Roman"/>
          <w:szCs w:val="24"/>
        </w:rPr>
      </w:pPr>
    </w:p>
    <w:p w14:paraId="3B76E908" w14:textId="77777777" w:rsidR="00E751CB" w:rsidRPr="00723DA9" w:rsidRDefault="00E751CB" w:rsidP="00E751CB">
      <w:pPr>
        <w:jc w:val="center"/>
        <w:rPr>
          <w:rFonts w:cs="Times New Roman"/>
          <w:szCs w:val="24"/>
        </w:rPr>
      </w:pPr>
    </w:p>
    <w:p w14:paraId="5BD69ABE" w14:textId="77777777" w:rsidR="00E751CB" w:rsidRPr="00723DA9" w:rsidRDefault="00E751CB" w:rsidP="00E751CB">
      <w:pPr>
        <w:jc w:val="center"/>
        <w:rPr>
          <w:rFonts w:cs="Times New Roman"/>
          <w:szCs w:val="24"/>
        </w:rPr>
      </w:pPr>
    </w:p>
    <w:p w14:paraId="52FB45C3" w14:textId="77777777" w:rsidR="00E751CB" w:rsidRPr="00723DA9" w:rsidRDefault="00E751CB" w:rsidP="00E751CB">
      <w:pPr>
        <w:jc w:val="center"/>
        <w:rPr>
          <w:rFonts w:cs="Times New Roman"/>
          <w:szCs w:val="24"/>
        </w:rPr>
      </w:pPr>
    </w:p>
    <w:p w14:paraId="0CB02269" w14:textId="77777777" w:rsidR="00E751CB" w:rsidRPr="00723DA9" w:rsidRDefault="00E751CB" w:rsidP="00E751CB">
      <w:pPr>
        <w:jc w:val="center"/>
        <w:rPr>
          <w:rFonts w:cs="Times New Roman"/>
          <w:szCs w:val="24"/>
        </w:rPr>
      </w:pPr>
    </w:p>
    <w:p w14:paraId="5C24BE14" w14:textId="77777777" w:rsidR="00E751CB" w:rsidRPr="00723DA9" w:rsidRDefault="00E751CB" w:rsidP="00E751CB">
      <w:pPr>
        <w:jc w:val="center"/>
        <w:rPr>
          <w:rFonts w:cs="Times New Roman"/>
          <w:szCs w:val="24"/>
        </w:rPr>
      </w:pPr>
    </w:p>
    <w:p w14:paraId="089CFE5A" w14:textId="77777777" w:rsidR="00E751CB" w:rsidRPr="00723DA9" w:rsidRDefault="00E751CB" w:rsidP="00E751CB">
      <w:pPr>
        <w:jc w:val="center"/>
        <w:rPr>
          <w:rFonts w:cs="Times New Roman"/>
          <w:szCs w:val="24"/>
        </w:rPr>
      </w:pPr>
    </w:p>
    <w:p w14:paraId="09D68A8E" w14:textId="77777777" w:rsidR="00E751CB" w:rsidRPr="00723DA9" w:rsidRDefault="00E751CB" w:rsidP="00E751CB">
      <w:pPr>
        <w:jc w:val="center"/>
        <w:rPr>
          <w:rFonts w:cs="Times New Roman"/>
          <w:szCs w:val="24"/>
        </w:rPr>
      </w:pPr>
    </w:p>
    <w:p w14:paraId="068E247C" w14:textId="77777777" w:rsidR="00E751CB" w:rsidRPr="00723DA9" w:rsidRDefault="00E751CB" w:rsidP="00E751CB">
      <w:pPr>
        <w:jc w:val="center"/>
        <w:rPr>
          <w:rFonts w:cs="Times New Roman"/>
          <w:szCs w:val="24"/>
        </w:rPr>
      </w:pPr>
    </w:p>
    <w:p w14:paraId="161A53AF" w14:textId="77777777" w:rsidR="00E751CB" w:rsidRPr="00723DA9" w:rsidRDefault="00E751CB" w:rsidP="00E751CB">
      <w:pPr>
        <w:jc w:val="center"/>
        <w:rPr>
          <w:rFonts w:cs="Times New Roman"/>
          <w:szCs w:val="24"/>
        </w:rPr>
      </w:pPr>
    </w:p>
    <w:p w14:paraId="0B09219E" w14:textId="77777777" w:rsidR="00E751CB" w:rsidRPr="00723DA9" w:rsidRDefault="00E751CB" w:rsidP="00E751CB">
      <w:pPr>
        <w:jc w:val="center"/>
        <w:rPr>
          <w:rFonts w:cs="Times New Roman"/>
          <w:szCs w:val="24"/>
        </w:rPr>
      </w:pPr>
    </w:p>
    <w:p w14:paraId="785B50FC" w14:textId="77777777" w:rsidR="00E751CB" w:rsidRPr="00723DA9" w:rsidRDefault="00E751CB" w:rsidP="00E751CB">
      <w:pPr>
        <w:jc w:val="center"/>
        <w:rPr>
          <w:rFonts w:cs="Times New Roman"/>
          <w:szCs w:val="24"/>
        </w:rPr>
      </w:pPr>
    </w:p>
    <w:p w14:paraId="623EC24A" w14:textId="77777777" w:rsidR="00E751CB" w:rsidRPr="00723DA9" w:rsidRDefault="00E751CB" w:rsidP="00E751CB">
      <w:pPr>
        <w:jc w:val="center"/>
        <w:rPr>
          <w:rFonts w:cs="Times New Roman"/>
          <w:szCs w:val="24"/>
        </w:rPr>
      </w:pPr>
    </w:p>
    <w:p w14:paraId="1CB07CB5" w14:textId="77777777" w:rsidR="00E751CB" w:rsidRPr="00723DA9" w:rsidRDefault="00E751CB" w:rsidP="00E751CB">
      <w:pPr>
        <w:jc w:val="center"/>
        <w:rPr>
          <w:rFonts w:cs="Times New Roman"/>
          <w:szCs w:val="24"/>
        </w:rPr>
      </w:pPr>
    </w:p>
    <w:p w14:paraId="39ACEDD7" w14:textId="77777777" w:rsidR="00E751CB" w:rsidRPr="00723DA9" w:rsidRDefault="00E751CB" w:rsidP="00E751CB">
      <w:pPr>
        <w:jc w:val="center"/>
        <w:rPr>
          <w:rFonts w:cs="Times New Roman"/>
          <w:szCs w:val="24"/>
        </w:rPr>
      </w:pPr>
    </w:p>
    <w:p w14:paraId="3A2D32E3" w14:textId="77777777" w:rsidR="00E751CB" w:rsidRPr="00723DA9" w:rsidRDefault="00E751CB" w:rsidP="00E751CB">
      <w:pPr>
        <w:jc w:val="center"/>
        <w:rPr>
          <w:rFonts w:cs="Times New Roman"/>
          <w:szCs w:val="24"/>
        </w:rPr>
      </w:pPr>
    </w:p>
    <w:p w14:paraId="5D48BC5C" w14:textId="20F2DD12" w:rsidR="006C690B" w:rsidRDefault="006C690B" w:rsidP="006C690B">
      <w:pPr>
        <w:jc w:val="center"/>
        <w:rPr>
          <w:rFonts w:cs="Times New Roman"/>
          <w:szCs w:val="24"/>
        </w:rPr>
      </w:pPr>
    </w:p>
    <w:p w14:paraId="2017CBCA" w14:textId="4BF1CC77" w:rsidR="00E751CB" w:rsidRDefault="00E751CB" w:rsidP="006C690B">
      <w:pPr>
        <w:jc w:val="center"/>
        <w:rPr>
          <w:rFonts w:cs="Times New Roman"/>
          <w:szCs w:val="24"/>
        </w:rPr>
      </w:pPr>
    </w:p>
    <w:p w14:paraId="163DC108" w14:textId="5A23148A" w:rsidR="00E751CB" w:rsidRDefault="00E751CB" w:rsidP="006C690B">
      <w:pPr>
        <w:jc w:val="center"/>
        <w:rPr>
          <w:rFonts w:cs="Times New Roman"/>
          <w:szCs w:val="24"/>
        </w:rPr>
      </w:pPr>
    </w:p>
    <w:p w14:paraId="0ED7DAA9" w14:textId="77777777" w:rsidR="00E751CB" w:rsidRPr="00723DA9" w:rsidRDefault="00E751CB" w:rsidP="006C690B">
      <w:pPr>
        <w:jc w:val="center"/>
        <w:rPr>
          <w:rFonts w:cs="Times New Roman"/>
          <w:szCs w:val="24"/>
        </w:rPr>
      </w:pPr>
    </w:p>
    <w:p w14:paraId="4A6F0F54" w14:textId="77777777" w:rsidR="006C690B" w:rsidRPr="00723DA9" w:rsidRDefault="006C690B" w:rsidP="006C690B">
      <w:pPr>
        <w:jc w:val="center"/>
        <w:rPr>
          <w:rFonts w:cs="Times New Roman"/>
          <w:szCs w:val="24"/>
        </w:rPr>
      </w:pPr>
      <w:r w:rsidRPr="00723DA9">
        <w:rPr>
          <w:rFonts w:cs="Times New Roman"/>
          <w:szCs w:val="24"/>
        </w:rPr>
        <w:t xml:space="preserve">© Copyright by </w:t>
      </w:r>
      <w:r>
        <w:rPr>
          <w:rFonts w:cs="Times New Roman"/>
          <w:szCs w:val="24"/>
        </w:rPr>
        <w:t>SIJIE PAN</w:t>
      </w:r>
      <w:r w:rsidRPr="00723DA9">
        <w:rPr>
          <w:rFonts w:cs="Times New Roman"/>
          <w:szCs w:val="24"/>
        </w:rPr>
        <w:t xml:space="preserve"> 20</w:t>
      </w:r>
      <w:r>
        <w:rPr>
          <w:rFonts w:cs="Times New Roman"/>
          <w:szCs w:val="24"/>
        </w:rPr>
        <w:t>23</w:t>
      </w:r>
    </w:p>
    <w:p w14:paraId="21ABF7AA" w14:textId="77777777" w:rsidR="006C690B" w:rsidRPr="00723DA9" w:rsidRDefault="006C690B" w:rsidP="006C690B">
      <w:pPr>
        <w:jc w:val="center"/>
        <w:rPr>
          <w:rFonts w:cs="Times New Roman"/>
          <w:szCs w:val="24"/>
        </w:rPr>
      </w:pPr>
      <w:r w:rsidRPr="00723DA9">
        <w:rPr>
          <w:rFonts w:cs="Times New Roman"/>
          <w:szCs w:val="24"/>
        </w:rPr>
        <w:t>All Rights Reserved.</w:t>
      </w:r>
    </w:p>
    <w:p w14:paraId="5D48E8AF" w14:textId="77777777" w:rsidR="006C690B" w:rsidRPr="00723DA9" w:rsidRDefault="006C690B" w:rsidP="006C690B">
      <w:pPr>
        <w:rPr>
          <w:rFonts w:cs="Times New Roman"/>
          <w:szCs w:val="24"/>
        </w:rPr>
      </w:pPr>
      <w:r w:rsidRPr="00723DA9">
        <w:rPr>
          <w:rFonts w:cs="Times New Roman"/>
          <w:szCs w:val="24"/>
        </w:rPr>
        <w:br w:type="page"/>
      </w:r>
    </w:p>
    <w:p w14:paraId="511356B1" w14:textId="77777777" w:rsidR="006C690B" w:rsidRPr="00723DA9" w:rsidRDefault="006C690B">
      <w:pPr>
        <w:pStyle w:val="Heading1"/>
        <w:rPr>
          <w:rFonts w:cs="Times New Roman"/>
          <w:b w:val="0"/>
          <w:color w:val="auto"/>
          <w:sz w:val="28"/>
          <w:szCs w:val="28"/>
        </w:rPr>
        <w:sectPr w:rsidR="006C690B" w:rsidRPr="00723DA9">
          <w:footerReference w:type="default" r:id="rId8"/>
          <w:pgSz w:w="12240" w:h="15840"/>
          <w:pgMar w:top="1440" w:right="1440" w:bottom="1440" w:left="1440" w:header="720" w:footer="720" w:gutter="0"/>
          <w:cols w:space="720"/>
          <w:docGrid w:linePitch="360"/>
        </w:sectPr>
      </w:pPr>
    </w:p>
    <w:p w14:paraId="6DF1AB53" w14:textId="77777777" w:rsidR="006C690B" w:rsidRPr="00723DA9" w:rsidRDefault="006C690B" w:rsidP="00AD13C1">
      <w:pPr>
        <w:pStyle w:val="Heading1"/>
        <w:numPr>
          <w:ilvl w:val="0"/>
          <w:numId w:val="0"/>
        </w:numPr>
        <w:rPr>
          <w:rFonts w:cs="Times New Roman"/>
          <w:b w:val="0"/>
          <w:color w:val="auto"/>
          <w:szCs w:val="24"/>
        </w:rPr>
      </w:pPr>
      <w:bookmarkStart w:id="0" w:name="_Toc130995421"/>
      <w:bookmarkStart w:id="1" w:name="_Toc131018286"/>
      <w:r w:rsidRPr="00723DA9">
        <w:rPr>
          <w:rFonts w:cs="Times New Roman"/>
          <w:color w:val="auto"/>
          <w:szCs w:val="24"/>
        </w:rPr>
        <w:lastRenderedPageBreak/>
        <w:t>Acknowledgements</w:t>
      </w:r>
      <w:bookmarkEnd w:id="0"/>
      <w:bookmarkEnd w:id="1"/>
    </w:p>
    <w:p w14:paraId="2FB3D6EF" w14:textId="10F8596B" w:rsidR="00E619D3" w:rsidRDefault="00E619D3" w:rsidP="00E619D3">
      <w:r>
        <w:t>I would like to express my sincere gratitude and appreciation to the individuals who have been instrumental in the successful completion of my dissertation. First and foremost, I would like to extend my heartfelt thanks to my esteemed advisors, Drs. Jidong Gao and Xuguang Wang, for their invaluable guidance and unwavering support. Their patience, expertise, and encouragement have been integral in helping me achieve my research goals. I am also grateful to my committee members - Drs. Thomas Jones, Greg Mcfarquhar, Cameron Homeyer, and Nathan Goodman - for their valuable feedback and support throughout my academic journey.</w:t>
      </w:r>
    </w:p>
    <w:p w14:paraId="142AC282" w14:textId="228B28CD" w:rsidR="00E619D3" w:rsidRDefault="00E619D3" w:rsidP="00E619D3">
      <w:r>
        <w:t>In addition, I am also indebted to my friends and colleagues, including Alex Fierro, Junjun Hu, Anwei Lai, Patrick Skinner, Qingyu Wang, Yunheng Wang, and Juan Zhao, for their assistance and encouragement during the course of my studies.</w:t>
      </w:r>
    </w:p>
    <w:p w14:paraId="61FD0D1D" w14:textId="26A3EC45" w:rsidR="00E619D3" w:rsidRDefault="00E619D3" w:rsidP="00E619D3">
      <w:r>
        <w:t xml:space="preserve">My thank also go to the National Severe Storms Laboratory (NSSL) and the Cooperative Institute for Severe and High-Impact Weather Research and Operations (CIWRO) for their unwavering support and guidance, especially Drs. Pamela Heinselman, </w:t>
      </w:r>
      <w:r w:rsidR="00F57FE3">
        <w:t>L</w:t>
      </w:r>
      <w:r w:rsidR="00F57FE3">
        <w:rPr>
          <w:rFonts w:hint="eastAsia"/>
        </w:rPr>
        <w:t>ou</w:t>
      </w:r>
      <w:r>
        <w:t xml:space="preserve"> Wicker, and Nusrat Yussouf, whose expertise and professionalism have been invaluable to my research. Furthermore, I am grateful for the time and effort invested by the dedicated staff members at CIWRO and the School of Meteorology for their invaluable contributions to my dissertation. Their unwavering support, encouragement, and guidance have been integral in shaping my research and academic journey.</w:t>
      </w:r>
    </w:p>
    <w:p w14:paraId="73539071" w14:textId="23525888" w:rsidR="00E619D3" w:rsidRDefault="00E619D3" w:rsidP="00E619D3">
      <w:r>
        <w:t xml:space="preserve">I would like to acknowledge the generous support of the National Oceanic and Atmospheric Administration (NOAA) Warn-on-Forecast project #NA16OAR4320115 and National Science Foundation grant AGS-1341878, as well as the NOAA/Office of Oceanic and Atmospheric Research under the NOAA-University of Oklahoma Cooperative Agreement #NA08OAR4320904. </w:t>
      </w:r>
      <w:r>
        <w:lastRenderedPageBreak/>
        <w:t>The experiments were performed on the supercomputers Odin from the NOAA NSSL and Schooner from the University of Oklahoma.</w:t>
      </w:r>
    </w:p>
    <w:p w14:paraId="0B9A55CF" w14:textId="67D9289F" w:rsidR="006C690B" w:rsidRPr="00723DA9" w:rsidRDefault="00E619D3" w:rsidP="00E619D3">
      <w:r>
        <w:t>Lastly, I would like to express my heartfelt appreciation to my parents, Songhai Pan and Hongmei Cui, and my aunt, Qiao Cui, for their unending love and support throughout my academic and personal journey. Without their constant encouragement and guidance, my achievements would not have been possible.</w:t>
      </w:r>
      <w:r w:rsidR="006C690B" w:rsidRPr="00723DA9">
        <w:br w:type="page"/>
      </w:r>
    </w:p>
    <w:sdt>
      <w:sdtPr>
        <w:rPr>
          <w:rFonts w:ascii="Times New Roman Bold" w:eastAsiaTheme="minorEastAsia" w:hAnsi="Times New Roman Bold" w:cs="Times New Roman"/>
          <w:b w:val="0"/>
          <w:bCs/>
          <w:color w:val="auto"/>
          <w:szCs w:val="24"/>
          <w:lang w:eastAsia="zh-CN"/>
        </w:rPr>
        <w:id w:val="1630289229"/>
        <w:docPartObj>
          <w:docPartGallery w:val="Table of Contents"/>
          <w:docPartUnique/>
        </w:docPartObj>
      </w:sdtPr>
      <w:sdtEndPr>
        <w:rPr>
          <w:rFonts w:cs="Calibri (Body)"/>
          <w:b/>
          <w:noProof/>
          <w:szCs w:val="20"/>
        </w:rPr>
      </w:sdtEndPr>
      <w:sdtContent>
        <w:p w14:paraId="453BD10F" w14:textId="77777777" w:rsidR="0045081A" w:rsidRPr="00723DA9" w:rsidRDefault="0045081A" w:rsidP="0045081A">
          <w:pPr>
            <w:pStyle w:val="TOCHeading"/>
            <w:numPr>
              <w:ilvl w:val="0"/>
              <w:numId w:val="0"/>
            </w:numPr>
            <w:spacing w:after="0" w:line="240" w:lineRule="auto"/>
            <w:jc w:val="center"/>
            <w:rPr>
              <w:rFonts w:cs="Times New Roman"/>
              <w:b w:val="0"/>
              <w:color w:val="auto"/>
              <w:szCs w:val="24"/>
            </w:rPr>
          </w:pPr>
          <w:r w:rsidRPr="00723DA9">
            <w:rPr>
              <w:rFonts w:cs="Times New Roman"/>
              <w:color w:val="auto"/>
              <w:szCs w:val="24"/>
            </w:rPr>
            <w:t>Table of Contents</w:t>
          </w:r>
        </w:p>
        <w:p w14:paraId="25469F96" w14:textId="68CFBF24" w:rsidR="00E619D3" w:rsidRDefault="00EF6098">
          <w:pPr>
            <w:pStyle w:val="TOC1"/>
            <w:tabs>
              <w:tab w:val="right" w:leader="dot" w:pos="9350"/>
            </w:tabs>
            <w:rPr>
              <w:rFonts w:asciiTheme="minorHAnsi" w:hAnsiTheme="minorHAnsi" w:cstheme="minorBidi"/>
              <w:b w:val="0"/>
              <w:bCs w:val="0"/>
              <w:noProof/>
              <w:szCs w:val="24"/>
            </w:rPr>
          </w:pPr>
          <w:r>
            <w:rPr>
              <w:rFonts w:cs="Times New Roman"/>
              <w:szCs w:val="24"/>
            </w:rPr>
            <w:fldChar w:fldCharType="begin"/>
          </w:r>
          <w:r>
            <w:rPr>
              <w:rFonts w:cs="Times New Roman"/>
              <w:szCs w:val="24"/>
            </w:rPr>
            <w:instrText xml:space="preserve"> TOC \o "1-4" \h \z \u </w:instrText>
          </w:r>
          <w:r>
            <w:rPr>
              <w:rFonts w:cs="Times New Roman"/>
              <w:szCs w:val="24"/>
            </w:rPr>
            <w:fldChar w:fldCharType="separate"/>
          </w:r>
          <w:hyperlink w:anchor="_Toc131018286" w:history="1">
            <w:r w:rsidR="00E619D3" w:rsidRPr="005D751B">
              <w:rPr>
                <w:rStyle w:val="Hyperlink"/>
                <w:rFonts w:cs="Times New Roman"/>
                <w:noProof/>
              </w:rPr>
              <w:t>Acknowledgements</w:t>
            </w:r>
            <w:r w:rsidR="00E619D3">
              <w:rPr>
                <w:noProof/>
                <w:webHidden/>
              </w:rPr>
              <w:tab/>
            </w:r>
            <w:r w:rsidR="00E619D3">
              <w:rPr>
                <w:noProof/>
                <w:webHidden/>
              </w:rPr>
              <w:fldChar w:fldCharType="begin"/>
            </w:r>
            <w:r w:rsidR="00E619D3">
              <w:rPr>
                <w:noProof/>
                <w:webHidden/>
              </w:rPr>
              <w:instrText xml:space="preserve"> PAGEREF _Toc131018286 \h </w:instrText>
            </w:r>
            <w:r w:rsidR="00E619D3">
              <w:rPr>
                <w:noProof/>
                <w:webHidden/>
              </w:rPr>
            </w:r>
            <w:r w:rsidR="00E619D3">
              <w:rPr>
                <w:noProof/>
                <w:webHidden/>
              </w:rPr>
              <w:fldChar w:fldCharType="separate"/>
            </w:r>
            <w:r w:rsidR="00E619D3">
              <w:rPr>
                <w:noProof/>
                <w:webHidden/>
              </w:rPr>
              <w:t>iv</w:t>
            </w:r>
            <w:r w:rsidR="00E619D3">
              <w:rPr>
                <w:noProof/>
                <w:webHidden/>
              </w:rPr>
              <w:fldChar w:fldCharType="end"/>
            </w:r>
          </w:hyperlink>
        </w:p>
        <w:p w14:paraId="21650474" w14:textId="284FBC6B" w:rsidR="00E619D3" w:rsidRDefault="007B297F">
          <w:pPr>
            <w:pStyle w:val="TOC1"/>
            <w:tabs>
              <w:tab w:val="right" w:leader="dot" w:pos="9350"/>
            </w:tabs>
            <w:rPr>
              <w:rFonts w:asciiTheme="minorHAnsi" w:hAnsiTheme="minorHAnsi" w:cstheme="minorBidi"/>
              <w:b w:val="0"/>
              <w:bCs w:val="0"/>
              <w:noProof/>
              <w:szCs w:val="24"/>
            </w:rPr>
          </w:pPr>
          <w:hyperlink w:anchor="_Toc131018287" w:history="1">
            <w:r w:rsidR="00E619D3" w:rsidRPr="005D751B">
              <w:rPr>
                <w:rStyle w:val="Hyperlink"/>
                <w:rFonts w:cs="Times New Roman"/>
                <w:noProof/>
              </w:rPr>
              <w:t>List of Tables</w:t>
            </w:r>
            <w:r w:rsidR="00E619D3">
              <w:rPr>
                <w:noProof/>
                <w:webHidden/>
              </w:rPr>
              <w:tab/>
            </w:r>
            <w:r w:rsidR="00E619D3">
              <w:rPr>
                <w:noProof/>
                <w:webHidden/>
              </w:rPr>
              <w:fldChar w:fldCharType="begin"/>
            </w:r>
            <w:r w:rsidR="00E619D3">
              <w:rPr>
                <w:noProof/>
                <w:webHidden/>
              </w:rPr>
              <w:instrText xml:space="preserve"> PAGEREF _Toc131018287 \h </w:instrText>
            </w:r>
            <w:r w:rsidR="00E619D3">
              <w:rPr>
                <w:noProof/>
                <w:webHidden/>
              </w:rPr>
            </w:r>
            <w:r w:rsidR="00E619D3">
              <w:rPr>
                <w:noProof/>
                <w:webHidden/>
              </w:rPr>
              <w:fldChar w:fldCharType="separate"/>
            </w:r>
            <w:r w:rsidR="00E619D3">
              <w:rPr>
                <w:noProof/>
                <w:webHidden/>
              </w:rPr>
              <w:t>viii</w:t>
            </w:r>
            <w:r w:rsidR="00E619D3">
              <w:rPr>
                <w:noProof/>
                <w:webHidden/>
              </w:rPr>
              <w:fldChar w:fldCharType="end"/>
            </w:r>
          </w:hyperlink>
        </w:p>
        <w:p w14:paraId="3B688A24" w14:textId="29A525CC" w:rsidR="00E619D3" w:rsidRDefault="007B297F">
          <w:pPr>
            <w:pStyle w:val="TOC1"/>
            <w:tabs>
              <w:tab w:val="right" w:leader="dot" w:pos="9350"/>
            </w:tabs>
            <w:rPr>
              <w:rFonts w:asciiTheme="minorHAnsi" w:hAnsiTheme="minorHAnsi" w:cstheme="minorBidi"/>
              <w:b w:val="0"/>
              <w:bCs w:val="0"/>
              <w:noProof/>
              <w:szCs w:val="24"/>
            </w:rPr>
          </w:pPr>
          <w:hyperlink w:anchor="_Toc131018288" w:history="1">
            <w:r w:rsidR="00E619D3" w:rsidRPr="005D751B">
              <w:rPr>
                <w:rStyle w:val="Hyperlink"/>
                <w:rFonts w:cs="Times New Roman"/>
                <w:noProof/>
              </w:rPr>
              <w:t>List of Figures</w:t>
            </w:r>
            <w:r w:rsidR="00E619D3">
              <w:rPr>
                <w:noProof/>
                <w:webHidden/>
              </w:rPr>
              <w:tab/>
            </w:r>
            <w:r w:rsidR="00E619D3">
              <w:rPr>
                <w:noProof/>
                <w:webHidden/>
              </w:rPr>
              <w:fldChar w:fldCharType="begin"/>
            </w:r>
            <w:r w:rsidR="00E619D3">
              <w:rPr>
                <w:noProof/>
                <w:webHidden/>
              </w:rPr>
              <w:instrText xml:space="preserve"> PAGEREF _Toc131018288 \h </w:instrText>
            </w:r>
            <w:r w:rsidR="00E619D3">
              <w:rPr>
                <w:noProof/>
                <w:webHidden/>
              </w:rPr>
            </w:r>
            <w:r w:rsidR="00E619D3">
              <w:rPr>
                <w:noProof/>
                <w:webHidden/>
              </w:rPr>
              <w:fldChar w:fldCharType="separate"/>
            </w:r>
            <w:r w:rsidR="00E619D3">
              <w:rPr>
                <w:noProof/>
                <w:webHidden/>
              </w:rPr>
              <w:t>ix</w:t>
            </w:r>
            <w:r w:rsidR="00E619D3">
              <w:rPr>
                <w:noProof/>
                <w:webHidden/>
              </w:rPr>
              <w:fldChar w:fldCharType="end"/>
            </w:r>
          </w:hyperlink>
        </w:p>
        <w:p w14:paraId="3488632B" w14:textId="10C2A7C4" w:rsidR="00E619D3" w:rsidRDefault="007B297F">
          <w:pPr>
            <w:pStyle w:val="TOC1"/>
            <w:tabs>
              <w:tab w:val="right" w:leader="dot" w:pos="9350"/>
            </w:tabs>
            <w:rPr>
              <w:rFonts w:asciiTheme="minorHAnsi" w:hAnsiTheme="minorHAnsi" w:cstheme="minorBidi"/>
              <w:b w:val="0"/>
              <w:bCs w:val="0"/>
              <w:noProof/>
              <w:szCs w:val="24"/>
            </w:rPr>
          </w:pPr>
          <w:hyperlink w:anchor="_Toc131018289" w:history="1">
            <w:r w:rsidR="00E619D3" w:rsidRPr="005D751B">
              <w:rPr>
                <w:rStyle w:val="Hyperlink"/>
                <w:noProof/>
              </w:rPr>
              <w:t>Abstract</w:t>
            </w:r>
            <w:r w:rsidR="00E619D3">
              <w:rPr>
                <w:noProof/>
                <w:webHidden/>
              </w:rPr>
              <w:tab/>
            </w:r>
            <w:r w:rsidR="00E619D3">
              <w:rPr>
                <w:noProof/>
                <w:webHidden/>
              </w:rPr>
              <w:fldChar w:fldCharType="begin"/>
            </w:r>
            <w:r w:rsidR="00E619D3">
              <w:rPr>
                <w:noProof/>
                <w:webHidden/>
              </w:rPr>
              <w:instrText xml:space="preserve"> PAGEREF _Toc131018289 \h </w:instrText>
            </w:r>
            <w:r w:rsidR="00E619D3">
              <w:rPr>
                <w:noProof/>
                <w:webHidden/>
              </w:rPr>
            </w:r>
            <w:r w:rsidR="00E619D3">
              <w:rPr>
                <w:noProof/>
                <w:webHidden/>
              </w:rPr>
              <w:fldChar w:fldCharType="separate"/>
            </w:r>
            <w:r w:rsidR="00E619D3">
              <w:rPr>
                <w:noProof/>
                <w:webHidden/>
              </w:rPr>
              <w:t>xiii</w:t>
            </w:r>
            <w:r w:rsidR="00E619D3">
              <w:rPr>
                <w:noProof/>
                <w:webHidden/>
              </w:rPr>
              <w:fldChar w:fldCharType="end"/>
            </w:r>
          </w:hyperlink>
        </w:p>
        <w:p w14:paraId="6F512529" w14:textId="29F61101" w:rsidR="00E619D3" w:rsidRDefault="007B297F">
          <w:pPr>
            <w:pStyle w:val="TOC1"/>
            <w:tabs>
              <w:tab w:val="right" w:leader="dot" w:pos="9350"/>
            </w:tabs>
            <w:rPr>
              <w:rFonts w:asciiTheme="minorHAnsi" w:hAnsiTheme="minorHAnsi" w:cstheme="minorBidi"/>
              <w:b w:val="0"/>
              <w:bCs w:val="0"/>
              <w:noProof/>
              <w:szCs w:val="24"/>
            </w:rPr>
          </w:pPr>
          <w:hyperlink w:anchor="_Toc131018290" w:history="1">
            <w:r w:rsidR="00E619D3" w:rsidRPr="005D751B">
              <w:rPr>
                <w:rStyle w:val="Hyperlink"/>
                <w:noProof/>
              </w:rPr>
              <w:t>Chapter 1 Introduction and overview</w:t>
            </w:r>
            <w:r w:rsidR="00E619D3">
              <w:rPr>
                <w:noProof/>
                <w:webHidden/>
              </w:rPr>
              <w:tab/>
            </w:r>
            <w:r w:rsidR="00E619D3">
              <w:rPr>
                <w:noProof/>
                <w:webHidden/>
              </w:rPr>
              <w:fldChar w:fldCharType="begin"/>
            </w:r>
            <w:r w:rsidR="00E619D3">
              <w:rPr>
                <w:noProof/>
                <w:webHidden/>
              </w:rPr>
              <w:instrText xml:space="preserve"> PAGEREF _Toc131018290 \h </w:instrText>
            </w:r>
            <w:r w:rsidR="00E619D3">
              <w:rPr>
                <w:noProof/>
                <w:webHidden/>
              </w:rPr>
            </w:r>
            <w:r w:rsidR="00E619D3">
              <w:rPr>
                <w:noProof/>
                <w:webHidden/>
              </w:rPr>
              <w:fldChar w:fldCharType="separate"/>
            </w:r>
            <w:r w:rsidR="00E619D3">
              <w:rPr>
                <w:noProof/>
                <w:webHidden/>
              </w:rPr>
              <w:t>1</w:t>
            </w:r>
            <w:r w:rsidR="00E619D3">
              <w:rPr>
                <w:noProof/>
                <w:webHidden/>
              </w:rPr>
              <w:fldChar w:fldCharType="end"/>
            </w:r>
          </w:hyperlink>
        </w:p>
        <w:p w14:paraId="170B8D1C" w14:textId="4A089C25" w:rsidR="00E619D3" w:rsidRDefault="007B297F">
          <w:pPr>
            <w:pStyle w:val="TOC2"/>
            <w:tabs>
              <w:tab w:val="left" w:pos="864"/>
              <w:tab w:val="right" w:leader="dot" w:pos="9350"/>
            </w:tabs>
            <w:rPr>
              <w:rFonts w:asciiTheme="minorHAnsi" w:hAnsiTheme="minorHAnsi" w:cstheme="minorBidi"/>
              <w:noProof/>
              <w:szCs w:val="24"/>
            </w:rPr>
          </w:pPr>
          <w:hyperlink w:anchor="_Toc131018291" w:history="1">
            <w:r w:rsidR="00E619D3" w:rsidRPr="005D751B">
              <w:rPr>
                <w:rStyle w:val="Hyperlink"/>
                <w:noProof/>
              </w:rPr>
              <w:t>1.1</w:t>
            </w:r>
            <w:r w:rsidR="00E619D3">
              <w:rPr>
                <w:rFonts w:asciiTheme="minorHAnsi" w:hAnsiTheme="minorHAnsi" w:cstheme="minorBidi"/>
                <w:noProof/>
                <w:szCs w:val="24"/>
              </w:rPr>
              <w:tab/>
            </w:r>
            <w:r w:rsidR="00E619D3" w:rsidRPr="005D751B">
              <w:rPr>
                <w:rStyle w:val="Hyperlink"/>
                <w:noProof/>
              </w:rPr>
              <w:t>Background and motivation</w:t>
            </w:r>
            <w:r w:rsidR="00E619D3">
              <w:rPr>
                <w:noProof/>
                <w:webHidden/>
              </w:rPr>
              <w:tab/>
            </w:r>
            <w:r w:rsidR="00E619D3">
              <w:rPr>
                <w:noProof/>
                <w:webHidden/>
              </w:rPr>
              <w:fldChar w:fldCharType="begin"/>
            </w:r>
            <w:r w:rsidR="00E619D3">
              <w:rPr>
                <w:noProof/>
                <w:webHidden/>
              </w:rPr>
              <w:instrText xml:space="preserve"> PAGEREF _Toc131018291 \h </w:instrText>
            </w:r>
            <w:r w:rsidR="00E619D3">
              <w:rPr>
                <w:noProof/>
                <w:webHidden/>
              </w:rPr>
            </w:r>
            <w:r w:rsidR="00E619D3">
              <w:rPr>
                <w:noProof/>
                <w:webHidden/>
              </w:rPr>
              <w:fldChar w:fldCharType="separate"/>
            </w:r>
            <w:r w:rsidR="00E619D3">
              <w:rPr>
                <w:noProof/>
                <w:webHidden/>
              </w:rPr>
              <w:t>1</w:t>
            </w:r>
            <w:r w:rsidR="00E619D3">
              <w:rPr>
                <w:noProof/>
                <w:webHidden/>
              </w:rPr>
              <w:fldChar w:fldCharType="end"/>
            </w:r>
          </w:hyperlink>
        </w:p>
        <w:p w14:paraId="31311E59" w14:textId="2B7764A1" w:rsidR="00E619D3" w:rsidRDefault="007B297F">
          <w:pPr>
            <w:pStyle w:val="TOC2"/>
            <w:tabs>
              <w:tab w:val="left" w:pos="864"/>
              <w:tab w:val="right" w:leader="dot" w:pos="9350"/>
            </w:tabs>
            <w:rPr>
              <w:rFonts w:asciiTheme="minorHAnsi" w:hAnsiTheme="minorHAnsi" w:cstheme="minorBidi"/>
              <w:noProof/>
              <w:szCs w:val="24"/>
            </w:rPr>
          </w:pPr>
          <w:hyperlink w:anchor="_Toc131018292" w:history="1">
            <w:r w:rsidR="00E619D3" w:rsidRPr="005D751B">
              <w:rPr>
                <w:rStyle w:val="Hyperlink"/>
                <w:noProof/>
              </w:rPr>
              <w:t>1.2</w:t>
            </w:r>
            <w:r w:rsidR="00E619D3">
              <w:rPr>
                <w:rFonts w:asciiTheme="minorHAnsi" w:hAnsiTheme="minorHAnsi" w:cstheme="minorBidi"/>
                <w:noProof/>
                <w:szCs w:val="24"/>
              </w:rPr>
              <w:tab/>
            </w:r>
            <w:r w:rsidR="00E619D3" w:rsidRPr="005D751B">
              <w:rPr>
                <w:rStyle w:val="Hyperlink"/>
                <w:noProof/>
              </w:rPr>
              <w:t>Overview of the dissertation</w:t>
            </w:r>
            <w:r w:rsidR="00E619D3">
              <w:rPr>
                <w:noProof/>
                <w:webHidden/>
              </w:rPr>
              <w:tab/>
            </w:r>
            <w:r w:rsidR="00E619D3">
              <w:rPr>
                <w:noProof/>
                <w:webHidden/>
              </w:rPr>
              <w:fldChar w:fldCharType="begin"/>
            </w:r>
            <w:r w:rsidR="00E619D3">
              <w:rPr>
                <w:noProof/>
                <w:webHidden/>
              </w:rPr>
              <w:instrText xml:space="preserve"> PAGEREF _Toc131018292 \h </w:instrText>
            </w:r>
            <w:r w:rsidR="00E619D3">
              <w:rPr>
                <w:noProof/>
                <w:webHidden/>
              </w:rPr>
            </w:r>
            <w:r w:rsidR="00E619D3">
              <w:rPr>
                <w:noProof/>
                <w:webHidden/>
              </w:rPr>
              <w:fldChar w:fldCharType="separate"/>
            </w:r>
            <w:r w:rsidR="00E619D3">
              <w:rPr>
                <w:noProof/>
                <w:webHidden/>
              </w:rPr>
              <w:t>6</w:t>
            </w:r>
            <w:r w:rsidR="00E619D3">
              <w:rPr>
                <w:noProof/>
                <w:webHidden/>
              </w:rPr>
              <w:fldChar w:fldCharType="end"/>
            </w:r>
          </w:hyperlink>
        </w:p>
        <w:p w14:paraId="4466187E" w14:textId="76A0C2DF" w:rsidR="00E619D3" w:rsidRDefault="007B297F">
          <w:pPr>
            <w:pStyle w:val="TOC1"/>
            <w:tabs>
              <w:tab w:val="right" w:leader="dot" w:pos="9350"/>
            </w:tabs>
            <w:rPr>
              <w:rFonts w:asciiTheme="minorHAnsi" w:hAnsiTheme="minorHAnsi" w:cstheme="minorBidi"/>
              <w:b w:val="0"/>
              <w:bCs w:val="0"/>
              <w:noProof/>
              <w:szCs w:val="24"/>
            </w:rPr>
          </w:pPr>
          <w:hyperlink w:anchor="_Toc131018293" w:history="1">
            <w:r w:rsidR="00E619D3" w:rsidRPr="005D751B">
              <w:rPr>
                <w:rStyle w:val="Hyperlink"/>
                <w:noProof/>
              </w:rPr>
              <w:t>Chapter 2 The Methods and Systems Description</w:t>
            </w:r>
            <w:r w:rsidR="00E619D3">
              <w:rPr>
                <w:noProof/>
                <w:webHidden/>
              </w:rPr>
              <w:tab/>
            </w:r>
            <w:r w:rsidR="00E619D3">
              <w:rPr>
                <w:noProof/>
                <w:webHidden/>
              </w:rPr>
              <w:fldChar w:fldCharType="begin"/>
            </w:r>
            <w:r w:rsidR="00E619D3">
              <w:rPr>
                <w:noProof/>
                <w:webHidden/>
              </w:rPr>
              <w:instrText xml:space="preserve"> PAGEREF _Toc131018293 \h </w:instrText>
            </w:r>
            <w:r w:rsidR="00E619D3">
              <w:rPr>
                <w:noProof/>
                <w:webHidden/>
              </w:rPr>
            </w:r>
            <w:r w:rsidR="00E619D3">
              <w:rPr>
                <w:noProof/>
                <w:webHidden/>
              </w:rPr>
              <w:fldChar w:fldCharType="separate"/>
            </w:r>
            <w:r w:rsidR="00E619D3">
              <w:rPr>
                <w:noProof/>
                <w:webHidden/>
              </w:rPr>
              <w:t>8</w:t>
            </w:r>
            <w:r w:rsidR="00E619D3">
              <w:rPr>
                <w:noProof/>
                <w:webHidden/>
              </w:rPr>
              <w:fldChar w:fldCharType="end"/>
            </w:r>
          </w:hyperlink>
        </w:p>
        <w:p w14:paraId="1BC683A6" w14:textId="5CA95D1A" w:rsidR="00E619D3" w:rsidRDefault="007B297F">
          <w:pPr>
            <w:pStyle w:val="TOC2"/>
            <w:tabs>
              <w:tab w:val="left" w:pos="864"/>
              <w:tab w:val="right" w:leader="dot" w:pos="9350"/>
            </w:tabs>
            <w:rPr>
              <w:rFonts w:asciiTheme="minorHAnsi" w:hAnsiTheme="minorHAnsi" w:cstheme="minorBidi"/>
              <w:noProof/>
              <w:szCs w:val="24"/>
            </w:rPr>
          </w:pPr>
          <w:hyperlink w:anchor="_Toc131018294" w:history="1">
            <w:r w:rsidR="00E619D3" w:rsidRPr="005D751B">
              <w:rPr>
                <w:rStyle w:val="Hyperlink"/>
                <w:noProof/>
              </w:rPr>
              <w:t>2.1</w:t>
            </w:r>
            <w:r w:rsidR="00E619D3">
              <w:rPr>
                <w:rFonts w:asciiTheme="minorHAnsi" w:hAnsiTheme="minorHAnsi" w:cstheme="minorBidi"/>
                <w:noProof/>
                <w:szCs w:val="24"/>
              </w:rPr>
              <w:tab/>
            </w:r>
            <w:r w:rsidR="00E619D3" w:rsidRPr="005D751B">
              <w:rPr>
                <w:rStyle w:val="Hyperlink"/>
                <w:noProof/>
              </w:rPr>
              <w:t>Overview of the Early Version of the pure 3DVAR System</w:t>
            </w:r>
            <w:r w:rsidR="00E619D3">
              <w:rPr>
                <w:noProof/>
                <w:webHidden/>
              </w:rPr>
              <w:tab/>
            </w:r>
            <w:r w:rsidR="00E619D3">
              <w:rPr>
                <w:noProof/>
                <w:webHidden/>
              </w:rPr>
              <w:fldChar w:fldCharType="begin"/>
            </w:r>
            <w:r w:rsidR="00E619D3">
              <w:rPr>
                <w:noProof/>
                <w:webHidden/>
              </w:rPr>
              <w:instrText xml:space="preserve"> PAGEREF _Toc131018294 \h </w:instrText>
            </w:r>
            <w:r w:rsidR="00E619D3">
              <w:rPr>
                <w:noProof/>
                <w:webHidden/>
              </w:rPr>
            </w:r>
            <w:r w:rsidR="00E619D3">
              <w:rPr>
                <w:noProof/>
                <w:webHidden/>
              </w:rPr>
              <w:fldChar w:fldCharType="separate"/>
            </w:r>
            <w:r w:rsidR="00E619D3">
              <w:rPr>
                <w:noProof/>
                <w:webHidden/>
              </w:rPr>
              <w:t>8</w:t>
            </w:r>
            <w:r w:rsidR="00E619D3">
              <w:rPr>
                <w:noProof/>
                <w:webHidden/>
              </w:rPr>
              <w:fldChar w:fldCharType="end"/>
            </w:r>
          </w:hyperlink>
        </w:p>
        <w:p w14:paraId="29B54408" w14:textId="2D235BE2" w:rsidR="00E619D3" w:rsidRDefault="007B297F">
          <w:pPr>
            <w:pStyle w:val="TOC2"/>
            <w:tabs>
              <w:tab w:val="left" w:pos="864"/>
              <w:tab w:val="right" w:leader="dot" w:pos="9350"/>
            </w:tabs>
            <w:rPr>
              <w:rFonts w:asciiTheme="minorHAnsi" w:hAnsiTheme="minorHAnsi" w:cstheme="minorBidi"/>
              <w:noProof/>
              <w:szCs w:val="24"/>
            </w:rPr>
          </w:pPr>
          <w:hyperlink w:anchor="_Toc131018295" w:history="1">
            <w:r w:rsidR="00E619D3" w:rsidRPr="005D751B">
              <w:rPr>
                <w:rStyle w:val="Hyperlink"/>
                <w:noProof/>
              </w:rPr>
              <w:t>2.2</w:t>
            </w:r>
            <w:r w:rsidR="00E619D3">
              <w:rPr>
                <w:rFonts w:asciiTheme="minorHAnsi" w:hAnsiTheme="minorHAnsi" w:cstheme="minorBidi"/>
                <w:noProof/>
                <w:szCs w:val="24"/>
              </w:rPr>
              <w:tab/>
            </w:r>
            <w:r w:rsidR="00E619D3" w:rsidRPr="005D751B">
              <w:rPr>
                <w:rStyle w:val="Hyperlink"/>
                <w:noProof/>
              </w:rPr>
              <w:t>Overview of the Warn-on-Forecast Hybrid DA and Forecast System</w:t>
            </w:r>
            <w:r w:rsidR="00E619D3">
              <w:rPr>
                <w:noProof/>
                <w:webHidden/>
              </w:rPr>
              <w:tab/>
            </w:r>
            <w:r w:rsidR="00E619D3">
              <w:rPr>
                <w:noProof/>
                <w:webHidden/>
              </w:rPr>
              <w:fldChar w:fldCharType="begin"/>
            </w:r>
            <w:r w:rsidR="00E619D3">
              <w:rPr>
                <w:noProof/>
                <w:webHidden/>
              </w:rPr>
              <w:instrText xml:space="preserve"> PAGEREF _Toc131018295 \h </w:instrText>
            </w:r>
            <w:r w:rsidR="00E619D3">
              <w:rPr>
                <w:noProof/>
                <w:webHidden/>
              </w:rPr>
            </w:r>
            <w:r w:rsidR="00E619D3">
              <w:rPr>
                <w:noProof/>
                <w:webHidden/>
              </w:rPr>
              <w:fldChar w:fldCharType="separate"/>
            </w:r>
            <w:r w:rsidR="00E619D3">
              <w:rPr>
                <w:noProof/>
                <w:webHidden/>
              </w:rPr>
              <w:t>10</w:t>
            </w:r>
            <w:r w:rsidR="00E619D3">
              <w:rPr>
                <w:noProof/>
                <w:webHidden/>
              </w:rPr>
              <w:fldChar w:fldCharType="end"/>
            </w:r>
          </w:hyperlink>
        </w:p>
        <w:p w14:paraId="29FFC0BF" w14:textId="55FB537D" w:rsidR="00E619D3" w:rsidRDefault="007B297F">
          <w:pPr>
            <w:pStyle w:val="TOC2"/>
            <w:tabs>
              <w:tab w:val="left" w:pos="864"/>
              <w:tab w:val="right" w:leader="dot" w:pos="9350"/>
            </w:tabs>
            <w:rPr>
              <w:rFonts w:asciiTheme="minorHAnsi" w:hAnsiTheme="minorHAnsi" w:cstheme="minorBidi"/>
              <w:noProof/>
              <w:szCs w:val="24"/>
            </w:rPr>
          </w:pPr>
          <w:hyperlink w:anchor="_Toc131018296" w:history="1">
            <w:r w:rsidR="00E619D3" w:rsidRPr="005D751B">
              <w:rPr>
                <w:rStyle w:val="Hyperlink"/>
                <w:noProof/>
              </w:rPr>
              <w:t>2.3</w:t>
            </w:r>
            <w:r w:rsidR="00E619D3">
              <w:rPr>
                <w:rFonts w:asciiTheme="minorHAnsi" w:hAnsiTheme="minorHAnsi" w:cstheme="minorBidi"/>
                <w:noProof/>
                <w:szCs w:val="24"/>
              </w:rPr>
              <w:tab/>
            </w:r>
            <w:r w:rsidR="00E619D3" w:rsidRPr="005D751B">
              <w:rPr>
                <w:rStyle w:val="Hyperlink"/>
                <w:noProof/>
              </w:rPr>
              <w:t>Overview of the Warn-on-Forecast ensemble DA and Forecast System (WoFS)</w:t>
            </w:r>
            <w:r w:rsidR="00E619D3">
              <w:rPr>
                <w:noProof/>
                <w:webHidden/>
              </w:rPr>
              <w:tab/>
            </w:r>
            <w:r w:rsidR="00E619D3">
              <w:rPr>
                <w:noProof/>
                <w:webHidden/>
              </w:rPr>
              <w:fldChar w:fldCharType="begin"/>
            </w:r>
            <w:r w:rsidR="00E619D3">
              <w:rPr>
                <w:noProof/>
                <w:webHidden/>
              </w:rPr>
              <w:instrText xml:space="preserve"> PAGEREF _Toc131018296 \h </w:instrText>
            </w:r>
            <w:r w:rsidR="00E619D3">
              <w:rPr>
                <w:noProof/>
                <w:webHidden/>
              </w:rPr>
            </w:r>
            <w:r w:rsidR="00E619D3">
              <w:rPr>
                <w:noProof/>
                <w:webHidden/>
              </w:rPr>
              <w:fldChar w:fldCharType="separate"/>
            </w:r>
            <w:r w:rsidR="00E619D3">
              <w:rPr>
                <w:noProof/>
                <w:webHidden/>
              </w:rPr>
              <w:t>11</w:t>
            </w:r>
            <w:r w:rsidR="00E619D3">
              <w:rPr>
                <w:noProof/>
                <w:webHidden/>
              </w:rPr>
              <w:fldChar w:fldCharType="end"/>
            </w:r>
          </w:hyperlink>
        </w:p>
        <w:p w14:paraId="5392310F" w14:textId="4C11BE08" w:rsidR="00E619D3" w:rsidRDefault="007B297F">
          <w:pPr>
            <w:pStyle w:val="TOC2"/>
            <w:tabs>
              <w:tab w:val="left" w:pos="864"/>
              <w:tab w:val="right" w:leader="dot" w:pos="9350"/>
            </w:tabs>
            <w:rPr>
              <w:rFonts w:asciiTheme="minorHAnsi" w:hAnsiTheme="minorHAnsi" w:cstheme="minorBidi"/>
              <w:noProof/>
              <w:szCs w:val="24"/>
            </w:rPr>
          </w:pPr>
          <w:hyperlink w:anchor="_Toc131018297" w:history="1">
            <w:r w:rsidR="00E619D3" w:rsidRPr="005D751B">
              <w:rPr>
                <w:rStyle w:val="Hyperlink"/>
                <w:noProof/>
              </w:rPr>
              <w:t>2.4</w:t>
            </w:r>
            <w:r w:rsidR="00E619D3">
              <w:rPr>
                <w:rFonts w:asciiTheme="minorHAnsi" w:hAnsiTheme="minorHAnsi" w:cstheme="minorBidi"/>
                <w:noProof/>
                <w:szCs w:val="24"/>
              </w:rPr>
              <w:tab/>
            </w:r>
            <w:r w:rsidR="00E619D3" w:rsidRPr="005D751B">
              <w:rPr>
                <w:rStyle w:val="Hyperlink"/>
                <w:noProof/>
              </w:rPr>
              <w:t>Overview of Radar Observation Forward Operators and GLM derived Water Vapor Used in the Early Version of WoF-Hybrid</w:t>
            </w:r>
            <w:r w:rsidR="00E619D3">
              <w:rPr>
                <w:noProof/>
                <w:webHidden/>
              </w:rPr>
              <w:tab/>
            </w:r>
            <w:r w:rsidR="00E619D3">
              <w:rPr>
                <w:noProof/>
                <w:webHidden/>
              </w:rPr>
              <w:fldChar w:fldCharType="begin"/>
            </w:r>
            <w:r w:rsidR="00E619D3">
              <w:rPr>
                <w:noProof/>
                <w:webHidden/>
              </w:rPr>
              <w:instrText xml:space="preserve"> PAGEREF _Toc131018297 \h </w:instrText>
            </w:r>
            <w:r w:rsidR="00E619D3">
              <w:rPr>
                <w:noProof/>
                <w:webHidden/>
              </w:rPr>
            </w:r>
            <w:r w:rsidR="00E619D3">
              <w:rPr>
                <w:noProof/>
                <w:webHidden/>
              </w:rPr>
              <w:fldChar w:fldCharType="separate"/>
            </w:r>
            <w:r w:rsidR="00E619D3">
              <w:rPr>
                <w:noProof/>
                <w:webHidden/>
              </w:rPr>
              <w:t>12</w:t>
            </w:r>
            <w:r w:rsidR="00E619D3">
              <w:rPr>
                <w:noProof/>
                <w:webHidden/>
              </w:rPr>
              <w:fldChar w:fldCharType="end"/>
            </w:r>
          </w:hyperlink>
        </w:p>
        <w:p w14:paraId="2A70E5D7" w14:textId="68ADD951" w:rsidR="00E619D3" w:rsidRDefault="007B297F">
          <w:pPr>
            <w:pStyle w:val="TOC3"/>
            <w:tabs>
              <w:tab w:val="left" w:pos="1440"/>
              <w:tab w:val="right" w:leader="dot" w:pos="9350"/>
            </w:tabs>
            <w:rPr>
              <w:rFonts w:asciiTheme="minorHAnsi" w:hAnsiTheme="minorHAnsi" w:cstheme="minorBidi"/>
              <w:iCs w:val="0"/>
              <w:noProof/>
              <w:szCs w:val="24"/>
            </w:rPr>
          </w:pPr>
          <w:hyperlink w:anchor="_Toc131018298" w:history="1">
            <w:r w:rsidR="00E619D3" w:rsidRPr="005D751B">
              <w:rPr>
                <w:rStyle w:val="Hyperlink"/>
                <w:noProof/>
              </w:rPr>
              <w:t>2.4.1</w:t>
            </w:r>
            <w:r w:rsidR="00E619D3">
              <w:rPr>
                <w:rFonts w:asciiTheme="minorHAnsi" w:hAnsiTheme="minorHAnsi" w:cstheme="minorBidi"/>
                <w:iCs w:val="0"/>
                <w:noProof/>
                <w:szCs w:val="24"/>
              </w:rPr>
              <w:tab/>
            </w:r>
            <w:r w:rsidR="00E619D3" w:rsidRPr="005D751B">
              <w:rPr>
                <w:rStyle w:val="Hyperlink"/>
                <w:noProof/>
              </w:rPr>
              <w:t>Radar and conventional observation</w:t>
            </w:r>
            <w:r w:rsidR="00E619D3">
              <w:rPr>
                <w:noProof/>
                <w:webHidden/>
              </w:rPr>
              <w:tab/>
            </w:r>
            <w:r w:rsidR="00E619D3">
              <w:rPr>
                <w:noProof/>
                <w:webHidden/>
              </w:rPr>
              <w:fldChar w:fldCharType="begin"/>
            </w:r>
            <w:r w:rsidR="00E619D3">
              <w:rPr>
                <w:noProof/>
                <w:webHidden/>
              </w:rPr>
              <w:instrText xml:space="preserve"> PAGEREF _Toc131018298 \h </w:instrText>
            </w:r>
            <w:r w:rsidR="00E619D3">
              <w:rPr>
                <w:noProof/>
                <w:webHidden/>
              </w:rPr>
            </w:r>
            <w:r w:rsidR="00E619D3">
              <w:rPr>
                <w:noProof/>
                <w:webHidden/>
              </w:rPr>
              <w:fldChar w:fldCharType="separate"/>
            </w:r>
            <w:r w:rsidR="00E619D3">
              <w:rPr>
                <w:noProof/>
                <w:webHidden/>
              </w:rPr>
              <w:t>12</w:t>
            </w:r>
            <w:r w:rsidR="00E619D3">
              <w:rPr>
                <w:noProof/>
                <w:webHidden/>
              </w:rPr>
              <w:fldChar w:fldCharType="end"/>
            </w:r>
          </w:hyperlink>
        </w:p>
        <w:p w14:paraId="482E3755" w14:textId="3FB622CE" w:rsidR="00E619D3" w:rsidRDefault="007B297F">
          <w:pPr>
            <w:pStyle w:val="TOC3"/>
            <w:tabs>
              <w:tab w:val="left" w:pos="1440"/>
              <w:tab w:val="right" w:leader="dot" w:pos="9350"/>
            </w:tabs>
            <w:rPr>
              <w:rFonts w:asciiTheme="minorHAnsi" w:hAnsiTheme="minorHAnsi" w:cstheme="minorBidi"/>
              <w:iCs w:val="0"/>
              <w:noProof/>
              <w:szCs w:val="24"/>
            </w:rPr>
          </w:pPr>
          <w:hyperlink w:anchor="_Toc131018299" w:history="1">
            <w:r w:rsidR="00E619D3" w:rsidRPr="005D751B">
              <w:rPr>
                <w:rStyle w:val="Hyperlink"/>
                <w:noProof/>
              </w:rPr>
              <w:t>2.4.2</w:t>
            </w:r>
            <w:r w:rsidR="00E619D3">
              <w:rPr>
                <w:rFonts w:asciiTheme="minorHAnsi" w:hAnsiTheme="minorHAnsi" w:cstheme="minorBidi"/>
                <w:iCs w:val="0"/>
                <w:noProof/>
                <w:szCs w:val="24"/>
              </w:rPr>
              <w:tab/>
            </w:r>
            <w:r w:rsidR="00E619D3" w:rsidRPr="005D751B">
              <w:rPr>
                <w:rStyle w:val="Hyperlink"/>
                <w:noProof/>
              </w:rPr>
              <w:t>Geostationary Lightning Mapper (GLM) derived water vapor</w:t>
            </w:r>
            <w:r w:rsidR="00E619D3">
              <w:rPr>
                <w:noProof/>
                <w:webHidden/>
              </w:rPr>
              <w:tab/>
            </w:r>
            <w:r w:rsidR="00E619D3">
              <w:rPr>
                <w:noProof/>
                <w:webHidden/>
              </w:rPr>
              <w:fldChar w:fldCharType="begin"/>
            </w:r>
            <w:r w:rsidR="00E619D3">
              <w:rPr>
                <w:noProof/>
                <w:webHidden/>
              </w:rPr>
              <w:instrText xml:space="preserve"> PAGEREF _Toc131018299 \h </w:instrText>
            </w:r>
            <w:r w:rsidR="00E619D3">
              <w:rPr>
                <w:noProof/>
                <w:webHidden/>
              </w:rPr>
            </w:r>
            <w:r w:rsidR="00E619D3">
              <w:rPr>
                <w:noProof/>
                <w:webHidden/>
              </w:rPr>
              <w:fldChar w:fldCharType="separate"/>
            </w:r>
            <w:r w:rsidR="00E619D3">
              <w:rPr>
                <w:noProof/>
                <w:webHidden/>
              </w:rPr>
              <w:t>13</w:t>
            </w:r>
            <w:r w:rsidR="00E619D3">
              <w:rPr>
                <w:noProof/>
                <w:webHidden/>
              </w:rPr>
              <w:fldChar w:fldCharType="end"/>
            </w:r>
          </w:hyperlink>
        </w:p>
        <w:p w14:paraId="300D83A2" w14:textId="3C01162E" w:rsidR="00E619D3" w:rsidRDefault="007B297F">
          <w:pPr>
            <w:pStyle w:val="TOC1"/>
            <w:tabs>
              <w:tab w:val="right" w:leader="dot" w:pos="9350"/>
            </w:tabs>
            <w:rPr>
              <w:rFonts w:asciiTheme="minorHAnsi" w:hAnsiTheme="minorHAnsi" w:cstheme="minorBidi"/>
              <w:b w:val="0"/>
              <w:bCs w:val="0"/>
              <w:noProof/>
              <w:szCs w:val="24"/>
            </w:rPr>
          </w:pPr>
          <w:hyperlink w:anchor="_Toc131018300" w:history="1">
            <w:r w:rsidR="00E619D3" w:rsidRPr="005D751B">
              <w:rPr>
                <w:rStyle w:val="Hyperlink"/>
                <w:noProof/>
              </w:rPr>
              <w:t>Chapter 3 The Impact of Assimilating Satellite-derived Layered Precipitable Water, Cloud Water Path and Radar Data on Short-Range Thunderstorm Forecasts</w:t>
            </w:r>
            <w:r w:rsidR="00E619D3">
              <w:rPr>
                <w:noProof/>
                <w:webHidden/>
              </w:rPr>
              <w:tab/>
            </w:r>
            <w:r w:rsidR="00E619D3">
              <w:rPr>
                <w:noProof/>
                <w:webHidden/>
              </w:rPr>
              <w:fldChar w:fldCharType="begin"/>
            </w:r>
            <w:r w:rsidR="00E619D3">
              <w:rPr>
                <w:noProof/>
                <w:webHidden/>
              </w:rPr>
              <w:instrText xml:space="preserve"> PAGEREF _Toc131018300 \h </w:instrText>
            </w:r>
            <w:r w:rsidR="00E619D3">
              <w:rPr>
                <w:noProof/>
                <w:webHidden/>
              </w:rPr>
            </w:r>
            <w:r w:rsidR="00E619D3">
              <w:rPr>
                <w:noProof/>
                <w:webHidden/>
              </w:rPr>
              <w:fldChar w:fldCharType="separate"/>
            </w:r>
            <w:r w:rsidR="00E619D3">
              <w:rPr>
                <w:noProof/>
                <w:webHidden/>
              </w:rPr>
              <w:t>15</w:t>
            </w:r>
            <w:r w:rsidR="00E619D3">
              <w:rPr>
                <w:noProof/>
                <w:webHidden/>
              </w:rPr>
              <w:fldChar w:fldCharType="end"/>
            </w:r>
          </w:hyperlink>
        </w:p>
        <w:p w14:paraId="117FA9D5" w14:textId="72D0ABF3" w:rsidR="00E619D3" w:rsidRDefault="007B297F">
          <w:pPr>
            <w:pStyle w:val="TOC2"/>
            <w:tabs>
              <w:tab w:val="left" w:pos="864"/>
              <w:tab w:val="right" w:leader="dot" w:pos="9350"/>
            </w:tabs>
            <w:rPr>
              <w:rFonts w:asciiTheme="minorHAnsi" w:hAnsiTheme="minorHAnsi" w:cstheme="minorBidi"/>
              <w:noProof/>
              <w:szCs w:val="24"/>
            </w:rPr>
          </w:pPr>
          <w:hyperlink w:anchor="_Toc131018301" w:history="1">
            <w:r w:rsidR="00E619D3" w:rsidRPr="005D751B">
              <w:rPr>
                <w:rStyle w:val="Hyperlink"/>
                <w:noProof/>
              </w:rPr>
              <w:t>3.1</w:t>
            </w:r>
            <w:r w:rsidR="00E619D3">
              <w:rPr>
                <w:rFonts w:asciiTheme="minorHAnsi" w:hAnsiTheme="minorHAnsi" w:cstheme="minorBidi"/>
                <w:noProof/>
                <w:szCs w:val="24"/>
              </w:rPr>
              <w:tab/>
            </w:r>
            <w:r w:rsidR="00E619D3" w:rsidRPr="005D751B">
              <w:rPr>
                <w:rStyle w:val="Hyperlink"/>
                <w:noProof/>
              </w:rPr>
              <w:t>Introduction</w:t>
            </w:r>
            <w:r w:rsidR="00E619D3">
              <w:rPr>
                <w:noProof/>
                <w:webHidden/>
              </w:rPr>
              <w:tab/>
            </w:r>
            <w:r w:rsidR="00E619D3">
              <w:rPr>
                <w:noProof/>
                <w:webHidden/>
              </w:rPr>
              <w:fldChar w:fldCharType="begin"/>
            </w:r>
            <w:r w:rsidR="00E619D3">
              <w:rPr>
                <w:noProof/>
                <w:webHidden/>
              </w:rPr>
              <w:instrText xml:space="preserve"> PAGEREF _Toc131018301 \h </w:instrText>
            </w:r>
            <w:r w:rsidR="00E619D3">
              <w:rPr>
                <w:noProof/>
                <w:webHidden/>
              </w:rPr>
            </w:r>
            <w:r w:rsidR="00E619D3">
              <w:rPr>
                <w:noProof/>
                <w:webHidden/>
              </w:rPr>
              <w:fldChar w:fldCharType="separate"/>
            </w:r>
            <w:r w:rsidR="00E619D3">
              <w:rPr>
                <w:noProof/>
                <w:webHidden/>
              </w:rPr>
              <w:t>15</w:t>
            </w:r>
            <w:r w:rsidR="00E619D3">
              <w:rPr>
                <w:noProof/>
                <w:webHidden/>
              </w:rPr>
              <w:fldChar w:fldCharType="end"/>
            </w:r>
          </w:hyperlink>
        </w:p>
        <w:p w14:paraId="69A30AE5" w14:textId="01D8E146" w:rsidR="00E619D3" w:rsidRDefault="007B297F">
          <w:pPr>
            <w:pStyle w:val="TOC2"/>
            <w:tabs>
              <w:tab w:val="left" w:pos="864"/>
              <w:tab w:val="right" w:leader="dot" w:pos="9350"/>
            </w:tabs>
            <w:rPr>
              <w:rFonts w:asciiTheme="minorHAnsi" w:hAnsiTheme="minorHAnsi" w:cstheme="minorBidi"/>
              <w:noProof/>
              <w:szCs w:val="24"/>
            </w:rPr>
          </w:pPr>
          <w:hyperlink w:anchor="_Toc131018302" w:history="1">
            <w:r w:rsidR="00E619D3" w:rsidRPr="005D751B">
              <w:rPr>
                <w:rStyle w:val="Hyperlink"/>
                <w:noProof/>
              </w:rPr>
              <w:t>3.2</w:t>
            </w:r>
            <w:r w:rsidR="00E619D3">
              <w:rPr>
                <w:rFonts w:asciiTheme="minorHAnsi" w:hAnsiTheme="minorHAnsi" w:cstheme="minorBidi"/>
                <w:noProof/>
                <w:szCs w:val="24"/>
              </w:rPr>
              <w:tab/>
            </w:r>
            <w:r w:rsidR="00E619D3" w:rsidRPr="005D751B">
              <w:rPr>
                <w:rStyle w:val="Hyperlink"/>
                <w:noProof/>
              </w:rPr>
              <w:t>CWP and LPW Forward Operators</w:t>
            </w:r>
            <w:r w:rsidR="00E619D3">
              <w:rPr>
                <w:noProof/>
                <w:webHidden/>
              </w:rPr>
              <w:tab/>
            </w:r>
            <w:r w:rsidR="00E619D3">
              <w:rPr>
                <w:noProof/>
                <w:webHidden/>
              </w:rPr>
              <w:fldChar w:fldCharType="begin"/>
            </w:r>
            <w:r w:rsidR="00E619D3">
              <w:rPr>
                <w:noProof/>
                <w:webHidden/>
              </w:rPr>
              <w:instrText xml:space="preserve"> PAGEREF _Toc131018302 \h </w:instrText>
            </w:r>
            <w:r w:rsidR="00E619D3">
              <w:rPr>
                <w:noProof/>
                <w:webHidden/>
              </w:rPr>
            </w:r>
            <w:r w:rsidR="00E619D3">
              <w:rPr>
                <w:noProof/>
                <w:webHidden/>
              </w:rPr>
              <w:fldChar w:fldCharType="separate"/>
            </w:r>
            <w:r w:rsidR="00E619D3">
              <w:rPr>
                <w:noProof/>
                <w:webHidden/>
              </w:rPr>
              <w:t>17</w:t>
            </w:r>
            <w:r w:rsidR="00E619D3">
              <w:rPr>
                <w:noProof/>
                <w:webHidden/>
              </w:rPr>
              <w:fldChar w:fldCharType="end"/>
            </w:r>
          </w:hyperlink>
        </w:p>
        <w:p w14:paraId="2EE5EE13" w14:textId="6E1C0D34" w:rsidR="00E619D3" w:rsidRDefault="007B297F">
          <w:pPr>
            <w:pStyle w:val="TOC3"/>
            <w:tabs>
              <w:tab w:val="left" w:pos="1440"/>
              <w:tab w:val="right" w:leader="dot" w:pos="9350"/>
            </w:tabs>
            <w:rPr>
              <w:rFonts w:asciiTheme="minorHAnsi" w:hAnsiTheme="minorHAnsi" w:cstheme="minorBidi"/>
              <w:iCs w:val="0"/>
              <w:noProof/>
              <w:szCs w:val="24"/>
            </w:rPr>
          </w:pPr>
          <w:hyperlink w:anchor="_Toc131018303" w:history="1">
            <w:r w:rsidR="00E619D3" w:rsidRPr="005D751B">
              <w:rPr>
                <w:rStyle w:val="Hyperlink"/>
                <w:noProof/>
              </w:rPr>
              <w:t>3.2.1</w:t>
            </w:r>
            <w:r w:rsidR="00E619D3">
              <w:rPr>
                <w:rFonts w:asciiTheme="minorHAnsi" w:hAnsiTheme="minorHAnsi" w:cstheme="minorBidi"/>
                <w:iCs w:val="0"/>
                <w:noProof/>
                <w:szCs w:val="24"/>
              </w:rPr>
              <w:tab/>
            </w:r>
            <w:r w:rsidR="00E619D3" w:rsidRPr="005D751B">
              <w:rPr>
                <w:rStyle w:val="Hyperlink"/>
                <w:noProof/>
              </w:rPr>
              <w:t>CWP from GOES-13 Imager measurements</w:t>
            </w:r>
            <w:r w:rsidR="00E619D3">
              <w:rPr>
                <w:noProof/>
                <w:webHidden/>
              </w:rPr>
              <w:tab/>
            </w:r>
            <w:r w:rsidR="00E619D3">
              <w:rPr>
                <w:noProof/>
                <w:webHidden/>
              </w:rPr>
              <w:fldChar w:fldCharType="begin"/>
            </w:r>
            <w:r w:rsidR="00E619D3">
              <w:rPr>
                <w:noProof/>
                <w:webHidden/>
              </w:rPr>
              <w:instrText xml:space="preserve"> PAGEREF _Toc131018303 \h </w:instrText>
            </w:r>
            <w:r w:rsidR="00E619D3">
              <w:rPr>
                <w:noProof/>
                <w:webHidden/>
              </w:rPr>
            </w:r>
            <w:r w:rsidR="00E619D3">
              <w:rPr>
                <w:noProof/>
                <w:webHidden/>
              </w:rPr>
              <w:fldChar w:fldCharType="separate"/>
            </w:r>
            <w:r w:rsidR="00E619D3">
              <w:rPr>
                <w:noProof/>
                <w:webHidden/>
              </w:rPr>
              <w:t>17</w:t>
            </w:r>
            <w:r w:rsidR="00E619D3">
              <w:rPr>
                <w:noProof/>
                <w:webHidden/>
              </w:rPr>
              <w:fldChar w:fldCharType="end"/>
            </w:r>
          </w:hyperlink>
        </w:p>
        <w:p w14:paraId="45EB248C" w14:textId="26D4EFEE" w:rsidR="00E619D3" w:rsidRDefault="007B297F">
          <w:pPr>
            <w:pStyle w:val="TOC3"/>
            <w:tabs>
              <w:tab w:val="left" w:pos="1440"/>
              <w:tab w:val="right" w:leader="dot" w:pos="9350"/>
            </w:tabs>
            <w:rPr>
              <w:rFonts w:asciiTheme="minorHAnsi" w:hAnsiTheme="minorHAnsi" w:cstheme="minorBidi"/>
              <w:iCs w:val="0"/>
              <w:noProof/>
              <w:szCs w:val="24"/>
            </w:rPr>
          </w:pPr>
          <w:hyperlink w:anchor="_Toc131018304" w:history="1">
            <w:r w:rsidR="00E619D3" w:rsidRPr="005D751B">
              <w:rPr>
                <w:rStyle w:val="Hyperlink"/>
                <w:noProof/>
              </w:rPr>
              <w:t>3.2.2</w:t>
            </w:r>
            <w:r w:rsidR="00E619D3">
              <w:rPr>
                <w:rFonts w:asciiTheme="minorHAnsi" w:hAnsiTheme="minorHAnsi" w:cstheme="minorBidi"/>
                <w:iCs w:val="0"/>
                <w:noProof/>
                <w:szCs w:val="24"/>
              </w:rPr>
              <w:tab/>
            </w:r>
            <w:r w:rsidR="00E619D3" w:rsidRPr="005D751B">
              <w:rPr>
                <w:rStyle w:val="Hyperlink"/>
                <w:noProof/>
              </w:rPr>
              <w:t>LPW derived from ABI</w:t>
            </w:r>
            <w:r w:rsidR="00E619D3">
              <w:rPr>
                <w:noProof/>
                <w:webHidden/>
              </w:rPr>
              <w:tab/>
            </w:r>
            <w:r w:rsidR="00E619D3">
              <w:rPr>
                <w:noProof/>
                <w:webHidden/>
              </w:rPr>
              <w:fldChar w:fldCharType="begin"/>
            </w:r>
            <w:r w:rsidR="00E619D3">
              <w:rPr>
                <w:noProof/>
                <w:webHidden/>
              </w:rPr>
              <w:instrText xml:space="preserve"> PAGEREF _Toc131018304 \h </w:instrText>
            </w:r>
            <w:r w:rsidR="00E619D3">
              <w:rPr>
                <w:noProof/>
                <w:webHidden/>
              </w:rPr>
            </w:r>
            <w:r w:rsidR="00E619D3">
              <w:rPr>
                <w:noProof/>
                <w:webHidden/>
              </w:rPr>
              <w:fldChar w:fldCharType="separate"/>
            </w:r>
            <w:r w:rsidR="00E619D3">
              <w:rPr>
                <w:noProof/>
                <w:webHidden/>
              </w:rPr>
              <w:t>18</w:t>
            </w:r>
            <w:r w:rsidR="00E619D3">
              <w:rPr>
                <w:noProof/>
                <w:webHidden/>
              </w:rPr>
              <w:fldChar w:fldCharType="end"/>
            </w:r>
          </w:hyperlink>
        </w:p>
        <w:p w14:paraId="68E5D9EF" w14:textId="7EDB7AB8" w:rsidR="00E619D3" w:rsidRDefault="007B297F">
          <w:pPr>
            <w:pStyle w:val="TOC2"/>
            <w:tabs>
              <w:tab w:val="left" w:pos="864"/>
              <w:tab w:val="right" w:leader="dot" w:pos="9350"/>
            </w:tabs>
            <w:rPr>
              <w:rFonts w:asciiTheme="minorHAnsi" w:hAnsiTheme="minorHAnsi" w:cstheme="minorBidi"/>
              <w:noProof/>
              <w:szCs w:val="24"/>
            </w:rPr>
          </w:pPr>
          <w:hyperlink w:anchor="_Toc131018305" w:history="1">
            <w:r w:rsidR="00E619D3" w:rsidRPr="005D751B">
              <w:rPr>
                <w:rStyle w:val="Hyperlink"/>
                <w:noProof/>
              </w:rPr>
              <w:t>3.3</w:t>
            </w:r>
            <w:r w:rsidR="00E619D3">
              <w:rPr>
                <w:rFonts w:asciiTheme="minorHAnsi" w:hAnsiTheme="minorHAnsi" w:cstheme="minorBidi"/>
                <w:noProof/>
                <w:szCs w:val="24"/>
              </w:rPr>
              <w:tab/>
            </w:r>
            <w:r w:rsidR="00E619D3" w:rsidRPr="005D751B">
              <w:rPr>
                <w:rStyle w:val="Hyperlink"/>
                <w:noProof/>
              </w:rPr>
              <w:t>Model Configuration and Experimental Design</w:t>
            </w:r>
            <w:r w:rsidR="00E619D3">
              <w:rPr>
                <w:noProof/>
                <w:webHidden/>
              </w:rPr>
              <w:tab/>
            </w:r>
            <w:r w:rsidR="00E619D3">
              <w:rPr>
                <w:noProof/>
                <w:webHidden/>
              </w:rPr>
              <w:fldChar w:fldCharType="begin"/>
            </w:r>
            <w:r w:rsidR="00E619D3">
              <w:rPr>
                <w:noProof/>
                <w:webHidden/>
              </w:rPr>
              <w:instrText xml:space="preserve"> PAGEREF _Toc131018305 \h </w:instrText>
            </w:r>
            <w:r w:rsidR="00E619D3">
              <w:rPr>
                <w:noProof/>
                <w:webHidden/>
              </w:rPr>
            </w:r>
            <w:r w:rsidR="00E619D3">
              <w:rPr>
                <w:noProof/>
                <w:webHidden/>
              </w:rPr>
              <w:fldChar w:fldCharType="separate"/>
            </w:r>
            <w:r w:rsidR="00E619D3">
              <w:rPr>
                <w:noProof/>
                <w:webHidden/>
              </w:rPr>
              <w:t>20</w:t>
            </w:r>
            <w:r w:rsidR="00E619D3">
              <w:rPr>
                <w:noProof/>
                <w:webHidden/>
              </w:rPr>
              <w:fldChar w:fldCharType="end"/>
            </w:r>
          </w:hyperlink>
        </w:p>
        <w:p w14:paraId="54E6A62D" w14:textId="6328B107" w:rsidR="00E619D3" w:rsidRDefault="007B297F">
          <w:pPr>
            <w:pStyle w:val="TOC3"/>
            <w:tabs>
              <w:tab w:val="left" w:pos="1440"/>
              <w:tab w:val="right" w:leader="dot" w:pos="9350"/>
            </w:tabs>
            <w:rPr>
              <w:rFonts w:asciiTheme="minorHAnsi" w:hAnsiTheme="minorHAnsi" w:cstheme="minorBidi"/>
              <w:iCs w:val="0"/>
              <w:noProof/>
              <w:szCs w:val="24"/>
            </w:rPr>
          </w:pPr>
          <w:hyperlink w:anchor="_Toc131018306" w:history="1">
            <w:r w:rsidR="00E619D3" w:rsidRPr="005D751B">
              <w:rPr>
                <w:rStyle w:val="Hyperlink"/>
                <w:noProof/>
              </w:rPr>
              <w:t>3.3.1</w:t>
            </w:r>
            <w:r w:rsidR="00E619D3">
              <w:rPr>
                <w:rFonts w:asciiTheme="minorHAnsi" w:hAnsiTheme="minorHAnsi" w:cstheme="minorBidi"/>
                <w:iCs w:val="0"/>
                <w:noProof/>
                <w:szCs w:val="24"/>
              </w:rPr>
              <w:tab/>
            </w:r>
            <w:r w:rsidR="00E619D3" w:rsidRPr="005D751B">
              <w:rPr>
                <w:rStyle w:val="Hyperlink"/>
                <w:noProof/>
              </w:rPr>
              <w:t>Model and DA configuration</w:t>
            </w:r>
            <w:r w:rsidR="00E619D3">
              <w:rPr>
                <w:noProof/>
                <w:webHidden/>
              </w:rPr>
              <w:tab/>
            </w:r>
            <w:r w:rsidR="00E619D3">
              <w:rPr>
                <w:noProof/>
                <w:webHidden/>
              </w:rPr>
              <w:fldChar w:fldCharType="begin"/>
            </w:r>
            <w:r w:rsidR="00E619D3">
              <w:rPr>
                <w:noProof/>
                <w:webHidden/>
              </w:rPr>
              <w:instrText xml:space="preserve"> PAGEREF _Toc131018306 \h </w:instrText>
            </w:r>
            <w:r w:rsidR="00E619D3">
              <w:rPr>
                <w:noProof/>
                <w:webHidden/>
              </w:rPr>
            </w:r>
            <w:r w:rsidR="00E619D3">
              <w:rPr>
                <w:noProof/>
                <w:webHidden/>
              </w:rPr>
              <w:fldChar w:fldCharType="separate"/>
            </w:r>
            <w:r w:rsidR="00E619D3">
              <w:rPr>
                <w:noProof/>
                <w:webHidden/>
              </w:rPr>
              <w:t>20</w:t>
            </w:r>
            <w:r w:rsidR="00E619D3">
              <w:rPr>
                <w:noProof/>
                <w:webHidden/>
              </w:rPr>
              <w:fldChar w:fldCharType="end"/>
            </w:r>
          </w:hyperlink>
        </w:p>
        <w:p w14:paraId="2F81EBF5" w14:textId="32FB53BB" w:rsidR="00E619D3" w:rsidRDefault="007B297F">
          <w:pPr>
            <w:pStyle w:val="TOC3"/>
            <w:tabs>
              <w:tab w:val="left" w:pos="1440"/>
              <w:tab w:val="right" w:leader="dot" w:pos="9350"/>
            </w:tabs>
            <w:rPr>
              <w:rFonts w:asciiTheme="minorHAnsi" w:hAnsiTheme="minorHAnsi" w:cstheme="minorBidi"/>
              <w:iCs w:val="0"/>
              <w:noProof/>
              <w:szCs w:val="24"/>
            </w:rPr>
          </w:pPr>
          <w:hyperlink w:anchor="_Toc131018307" w:history="1">
            <w:r w:rsidR="00E619D3" w:rsidRPr="005D751B">
              <w:rPr>
                <w:rStyle w:val="Hyperlink"/>
                <w:noProof/>
              </w:rPr>
              <w:t>3.3.2</w:t>
            </w:r>
            <w:r w:rsidR="00E619D3">
              <w:rPr>
                <w:rFonts w:asciiTheme="minorHAnsi" w:hAnsiTheme="minorHAnsi" w:cstheme="minorBidi"/>
                <w:iCs w:val="0"/>
                <w:noProof/>
                <w:szCs w:val="24"/>
              </w:rPr>
              <w:tab/>
            </w:r>
            <w:r w:rsidR="00E619D3" w:rsidRPr="005D751B">
              <w:rPr>
                <w:rStyle w:val="Hyperlink"/>
                <w:noProof/>
              </w:rPr>
              <w:t>Experiment Design</w:t>
            </w:r>
            <w:r w:rsidR="00E619D3">
              <w:rPr>
                <w:noProof/>
                <w:webHidden/>
              </w:rPr>
              <w:tab/>
            </w:r>
            <w:r w:rsidR="00E619D3">
              <w:rPr>
                <w:noProof/>
                <w:webHidden/>
              </w:rPr>
              <w:fldChar w:fldCharType="begin"/>
            </w:r>
            <w:r w:rsidR="00E619D3">
              <w:rPr>
                <w:noProof/>
                <w:webHidden/>
              </w:rPr>
              <w:instrText xml:space="preserve"> PAGEREF _Toc131018307 \h </w:instrText>
            </w:r>
            <w:r w:rsidR="00E619D3">
              <w:rPr>
                <w:noProof/>
                <w:webHidden/>
              </w:rPr>
            </w:r>
            <w:r w:rsidR="00E619D3">
              <w:rPr>
                <w:noProof/>
                <w:webHidden/>
              </w:rPr>
              <w:fldChar w:fldCharType="separate"/>
            </w:r>
            <w:r w:rsidR="00E619D3">
              <w:rPr>
                <w:noProof/>
                <w:webHidden/>
              </w:rPr>
              <w:t>24</w:t>
            </w:r>
            <w:r w:rsidR="00E619D3">
              <w:rPr>
                <w:noProof/>
                <w:webHidden/>
              </w:rPr>
              <w:fldChar w:fldCharType="end"/>
            </w:r>
          </w:hyperlink>
        </w:p>
        <w:p w14:paraId="2645E727" w14:textId="4035F9DC" w:rsidR="00E619D3" w:rsidRDefault="007B297F">
          <w:pPr>
            <w:pStyle w:val="TOC2"/>
            <w:tabs>
              <w:tab w:val="left" w:pos="864"/>
              <w:tab w:val="right" w:leader="dot" w:pos="9350"/>
            </w:tabs>
            <w:rPr>
              <w:rFonts w:asciiTheme="minorHAnsi" w:hAnsiTheme="minorHAnsi" w:cstheme="minorBidi"/>
              <w:noProof/>
              <w:szCs w:val="24"/>
            </w:rPr>
          </w:pPr>
          <w:hyperlink w:anchor="_Toc131018308" w:history="1">
            <w:r w:rsidR="00E619D3" w:rsidRPr="005D751B">
              <w:rPr>
                <w:rStyle w:val="Hyperlink"/>
                <w:noProof/>
              </w:rPr>
              <w:t>3.4</w:t>
            </w:r>
            <w:r w:rsidR="00E619D3">
              <w:rPr>
                <w:rFonts w:asciiTheme="minorHAnsi" w:hAnsiTheme="minorHAnsi" w:cstheme="minorBidi"/>
                <w:noProof/>
                <w:szCs w:val="24"/>
              </w:rPr>
              <w:tab/>
            </w:r>
            <w:r w:rsidR="00E619D3" w:rsidRPr="005D751B">
              <w:rPr>
                <w:rStyle w:val="Hyperlink"/>
                <w:noProof/>
              </w:rPr>
              <w:t>Analysis and Forecast Results</w:t>
            </w:r>
            <w:r w:rsidR="00E619D3">
              <w:rPr>
                <w:noProof/>
                <w:webHidden/>
              </w:rPr>
              <w:tab/>
            </w:r>
            <w:r w:rsidR="00E619D3">
              <w:rPr>
                <w:noProof/>
                <w:webHidden/>
              </w:rPr>
              <w:fldChar w:fldCharType="begin"/>
            </w:r>
            <w:r w:rsidR="00E619D3">
              <w:rPr>
                <w:noProof/>
                <w:webHidden/>
              </w:rPr>
              <w:instrText xml:space="preserve"> PAGEREF _Toc131018308 \h </w:instrText>
            </w:r>
            <w:r w:rsidR="00E619D3">
              <w:rPr>
                <w:noProof/>
                <w:webHidden/>
              </w:rPr>
            </w:r>
            <w:r w:rsidR="00E619D3">
              <w:rPr>
                <w:noProof/>
                <w:webHidden/>
              </w:rPr>
              <w:fldChar w:fldCharType="separate"/>
            </w:r>
            <w:r w:rsidR="00E619D3">
              <w:rPr>
                <w:noProof/>
                <w:webHidden/>
              </w:rPr>
              <w:t>26</w:t>
            </w:r>
            <w:r w:rsidR="00E619D3">
              <w:rPr>
                <w:noProof/>
                <w:webHidden/>
              </w:rPr>
              <w:fldChar w:fldCharType="end"/>
            </w:r>
          </w:hyperlink>
        </w:p>
        <w:p w14:paraId="62C19224" w14:textId="0246888C" w:rsidR="00E619D3" w:rsidRDefault="007B297F">
          <w:pPr>
            <w:pStyle w:val="TOC3"/>
            <w:tabs>
              <w:tab w:val="left" w:pos="1440"/>
              <w:tab w:val="right" w:leader="dot" w:pos="9350"/>
            </w:tabs>
            <w:rPr>
              <w:rFonts w:asciiTheme="minorHAnsi" w:hAnsiTheme="minorHAnsi" w:cstheme="minorBidi"/>
              <w:iCs w:val="0"/>
              <w:noProof/>
              <w:szCs w:val="24"/>
            </w:rPr>
          </w:pPr>
          <w:hyperlink w:anchor="_Toc131018309" w:history="1">
            <w:r w:rsidR="00E619D3" w:rsidRPr="005D751B">
              <w:rPr>
                <w:rStyle w:val="Hyperlink"/>
                <w:noProof/>
              </w:rPr>
              <w:t>3.4.1</w:t>
            </w:r>
            <w:r w:rsidR="00E619D3">
              <w:rPr>
                <w:rFonts w:asciiTheme="minorHAnsi" w:hAnsiTheme="minorHAnsi" w:cstheme="minorBidi"/>
                <w:iCs w:val="0"/>
                <w:noProof/>
                <w:szCs w:val="24"/>
              </w:rPr>
              <w:tab/>
            </w:r>
            <w:r w:rsidR="00E619D3" w:rsidRPr="005D751B">
              <w:rPr>
                <w:rStyle w:val="Hyperlink"/>
                <w:noProof/>
              </w:rPr>
              <w:t>Analysis diagnostics</w:t>
            </w:r>
            <w:r w:rsidR="00E619D3">
              <w:rPr>
                <w:noProof/>
                <w:webHidden/>
              </w:rPr>
              <w:tab/>
            </w:r>
            <w:r w:rsidR="00E619D3">
              <w:rPr>
                <w:noProof/>
                <w:webHidden/>
              </w:rPr>
              <w:fldChar w:fldCharType="begin"/>
            </w:r>
            <w:r w:rsidR="00E619D3">
              <w:rPr>
                <w:noProof/>
                <w:webHidden/>
              </w:rPr>
              <w:instrText xml:space="preserve"> PAGEREF _Toc131018309 \h </w:instrText>
            </w:r>
            <w:r w:rsidR="00E619D3">
              <w:rPr>
                <w:noProof/>
                <w:webHidden/>
              </w:rPr>
            </w:r>
            <w:r w:rsidR="00E619D3">
              <w:rPr>
                <w:noProof/>
                <w:webHidden/>
              </w:rPr>
              <w:fldChar w:fldCharType="separate"/>
            </w:r>
            <w:r w:rsidR="00E619D3">
              <w:rPr>
                <w:noProof/>
                <w:webHidden/>
              </w:rPr>
              <w:t>27</w:t>
            </w:r>
            <w:r w:rsidR="00E619D3">
              <w:rPr>
                <w:noProof/>
                <w:webHidden/>
              </w:rPr>
              <w:fldChar w:fldCharType="end"/>
            </w:r>
          </w:hyperlink>
        </w:p>
        <w:p w14:paraId="37105A27" w14:textId="768F899B" w:rsidR="00E619D3" w:rsidRDefault="007B297F">
          <w:pPr>
            <w:pStyle w:val="TOC4"/>
            <w:tabs>
              <w:tab w:val="left" w:pos="1920"/>
              <w:tab w:val="right" w:leader="dot" w:pos="9350"/>
            </w:tabs>
            <w:rPr>
              <w:rFonts w:asciiTheme="minorHAnsi" w:hAnsiTheme="minorHAnsi" w:cstheme="minorBidi"/>
              <w:i w:val="0"/>
              <w:noProof/>
              <w:szCs w:val="24"/>
            </w:rPr>
          </w:pPr>
          <w:hyperlink w:anchor="_Toc131018310" w:history="1">
            <w:r w:rsidR="00E619D3" w:rsidRPr="005D751B">
              <w:rPr>
                <w:rStyle w:val="Hyperlink"/>
                <w:noProof/>
              </w:rPr>
              <w:t>3.4.1.1</w:t>
            </w:r>
            <w:r w:rsidR="00E619D3">
              <w:rPr>
                <w:rFonts w:asciiTheme="minorHAnsi" w:hAnsiTheme="minorHAnsi" w:cstheme="minorBidi"/>
                <w:i w:val="0"/>
                <w:noProof/>
                <w:szCs w:val="24"/>
              </w:rPr>
              <w:tab/>
            </w:r>
            <w:r w:rsidR="00E619D3" w:rsidRPr="005D751B">
              <w:rPr>
                <w:rStyle w:val="Hyperlink"/>
                <w:noProof/>
              </w:rPr>
              <w:t>10 May 2017 event</w:t>
            </w:r>
            <w:r w:rsidR="00E619D3">
              <w:rPr>
                <w:noProof/>
                <w:webHidden/>
              </w:rPr>
              <w:tab/>
            </w:r>
            <w:r w:rsidR="00E619D3">
              <w:rPr>
                <w:noProof/>
                <w:webHidden/>
              </w:rPr>
              <w:fldChar w:fldCharType="begin"/>
            </w:r>
            <w:r w:rsidR="00E619D3">
              <w:rPr>
                <w:noProof/>
                <w:webHidden/>
              </w:rPr>
              <w:instrText xml:space="preserve"> PAGEREF _Toc131018310 \h </w:instrText>
            </w:r>
            <w:r w:rsidR="00E619D3">
              <w:rPr>
                <w:noProof/>
                <w:webHidden/>
              </w:rPr>
            </w:r>
            <w:r w:rsidR="00E619D3">
              <w:rPr>
                <w:noProof/>
                <w:webHidden/>
              </w:rPr>
              <w:fldChar w:fldCharType="separate"/>
            </w:r>
            <w:r w:rsidR="00E619D3">
              <w:rPr>
                <w:noProof/>
                <w:webHidden/>
              </w:rPr>
              <w:t>27</w:t>
            </w:r>
            <w:r w:rsidR="00E619D3">
              <w:rPr>
                <w:noProof/>
                <w:webHidden/>
              </w:rPr>
              <w:fldChar w:fldCharType="end"/>
            </w:r>
          </w:hyperlink>
        </w:p>
        <w:p w14:paraId="095F534D" w14:textId="603A4703" w:rsidR="00E619D3" w:rsidRDefault="007B297F">
          <w:pPr>
            <w:pStyle w:val="TOC4"/>
            <w:tabs>
              <w:tab w:val="left" w:pos="1920"/>
              <w:tab w:val="right" w:leader="dot" w:pos="9350"/>
            </w:tabs>
            <w:rPr>
              <w:rFonts w:asciiTheme="minorHAnsi" w:hAnsiTheme="minorHAnsi" w:cstheme="minorBidi"/>
              <w:i w:val="0"/>
              <w:noProof/>
              <w:szCs w:val="24"/>
            </w:rPr>
          </w:pPr>
          <w:hyperlink w:anchor="_Toc131018311" w:history="1">
            <w:r w:rsidR="00E619D3" w:rsidRPr="005D751B">
              <w:rPr>
                <w:rStyle w:val="Hyperlink"/>
                <w:noProof/>
              </w:rPr>
              <w:t>3.4.1.2</w:t>
            </w:r>
            <w:r w:rsidR="00E619D3">
              <w:rPr>
                <w:rFonts w:asciiTheme="minorHAnsi" w:hAnsiTheme="minorHAnsi" w:cstheme="minorBidi"/>
                <w:i w:val="0"/>
                <w:noProof/>
                <w:szCs w:val="24"/>
              </w:rPr>
              <w:tab/>
            </w:r>
            <w:r w:rsidR="00E619D3" w:rsidRPr="005D751B">
              <w:rPr>
                <w:rStyle w:val="Hyperlink"/>
                <w:noProof/>
              </w:rPr>
              <w:t>16 May 2017 event</w:t>
            </w:r>
            <w:r w:rsidR="00E619D3">
              <w:rPr>
                <w:noProof/>
                <w:webHidden/>
              </w:rPr>
              <w:tab/>
            </w:r>
            <w:r w:rsidR="00E619D3">
              <w:rPr>
                <w:noProof/>
                <w:webHidden/>
              </w:rPr>
              <w:fldChar w:fldCharType="begin"/>
            </w:r>
            <w:r w:rsidR="00E619D3">
              <w:rPr>
                <w:noProof/>
                <w:webHidden/>
              </w:rPr>
              <w:instrText xml:space="preserve"> PAGEREF _Toc131018311 \h </w:instrText>
            </w:r>
            <w:r w:rsidR="00E619D3">
              <w:rPr>
                <w:noProof/>
                <w:webHidden/>
              </w:rPr>
            </w:r>
            <w:r w:rsidR="00E619D3">
              <w:rPr>
                <w:noProof/>
                <w:webHidden/>
              </w:rPr>
              <w:fldChar w:fldCharType="separate"/>
            </w:r>
            <w:r w:rsidR="00E619D3">
              <w:rPr>
                <w:noProof/>
                <w:webHidden/>
              </w:rPr>
              <w:t>33</w:t>
            </w:r>
            <w:r w:rsidR="00E619D3">
              <w:rPr>
                <w:noProof/>
                <w:webHidden/>
              </w:rPr>
              <w:fldChar w:fldCharType="end"/>
            </w:r>
          </w:hyperlink>
        </w:p>
        <w:p w14:paraId="290B6F3D" w14:textId="1B45998A" w:rsidR="00E619D3" w:rsidRDefault="007B297F">
          <w:pPr>
            <w:pStyle w:val="TOC4"/>
            <w:tabs>
              <w:tab w:val="left" w:pos="1920"/>
              <w:tab w:val="right" w:leader="dot" w:pos="9350"/>
            </w:tabs>
            <w:rPr>
              <w:rFonts w:asciiTheme="minorHAnsi" w:hAnsiTheme="minorHAnsi" w:cstheme="minorBidi"/>
              <w:i w:val="0"/>
              <w:noProof/>
              <w:szCs w:val="24"/>
            </w:rPr>
          </w:pPr>
          <w:hyperlink w:anchor="_Toc131018312" w:history="1">
            <w:r w:rsidR="00E619D3" w:rsidRPr="005D751B">
              <w:rPr>
                <w:rStyle w:val="Hyperlink"/>
                <w:noProof/>
              </w:rPr>
              <w:t>3.4.1.3</w:t>
            </w:r>
            <w:r w:rsidR="00E619D3">
              <w:rPr>
                <w:rFonts w:asciiTheme="minorHAnsi" w:hAnsiTheme="minorHAnsi" w:cstheme="minorBidi"/>
                <w:i w:val="0"/>
                <w:noProof/>
                <w:szCs w:val="24"/>
              </w:rPr>
              <w:tab/>
            </w:r>
            <w:r w:rsidR="00E619D3" w:rsidRPr="005D751B">
              <w:rPr>
                <w:rStyle w:val="Hyperlink"/>
                <w:noProof/>
              </w:rPr>
              <w:t>26 May 2017 event</w:t>
            </w:r>
            <w:r w:rsidR="00E619D3">
              <w:rPr>
                <w:noProof/>
                <w:webHidden/>
              </w:rPr>
              <w:tab/>
            </w:r>
            <w:r w:rsidR="00E619D3">
              <w:rPr>
                <w:noProof/>
                <w:webHidden/>
              </w:rPr>
              <w:fldChar w:fldCharType="begin"/>
            </w:r>
            <w:r w:rsidR="00E619D3">
              <w:rPr>
                <w:noProof/>
                <w:webHidden/>
              </w:rPr>
              <w:instrText xml:space="preserve"> PAGEREF _Toc131018312 \h </w:instrText>
            </w:r>
            <w:r w:rsidR="00E619D3">
              <w:rPr>
                <w:noProof/>
                <w:webHidden/>
              </w:rPr>
            </w:r>
            <w:r w:rsidR="00E619D3">
              <w:rPr>
                <w:noProof/>
                <w:webHidden/>
              </w:rPr>
              <w:fldChar w:fldCharType="separate"/>
            </w:r>
            <w:r w:rsidR="00E619D3">
              <w:rPr>
                <w:noProof/>
                <w:webHidden/>
              </w:rPr>
              <w:t>34</w:t>
            </w:r>
            <w:r w:rsidR="00E619D3">
              <w:rPr>
                <w:noProof/>
                <w:webHidden/>
              </w:rPr>
              <w:fldChar w:fldCharType="end"/>
            </w:r>
          </w:hyperlink>
        </w:p>
        <w:p w14:paraId="36B74ED4" w14:textId="23B4C450" w:rsidR="00E619D3" w:rsidRDefault="007B297F">
          <w:pPr>
            <w:pStyle w:val="TOC4"/>
            <w:tabs>
              <w:tab w:val="left" w:pos="1920"/>
              <w:tab w:val="right" w:leader="dot" w:pos="9350"/>
            </w:tabs>
            <w:rPr>
              <w:rFonts w:asciiTheme="minorHAnsi" w:hAnsiTheme="minorHAnsi" w:cstheme="minorBidi"/>
              <w:i w:val="0"/>
              <w:noProof/>
              <w:szCs w:val="24"/>
            </w:rPr>
          </w:pPr>
          <w:hyperlink w:anchor="_Toc131018313" w:history="1">
            <w:r w:rsidR="00E619D3" w:rsidRPr="005D751B">
              <w:rPr>
                <w:rStyle w:val="Hyperlink"/>
                <w:noProof/>
              </w:rPr>
              <w:t>3.4.1.4</w:t>
            </w:r>
            <w:r w:rsidR="00E619D3">
              <w:rPr>
                <w:rFonts w:asciiTheme="minorHAnsi" w:hAnsiTheme="minorHAnsi" w:cstheme="minorBidi"/>
                <w:i w:val="0"/>
                <w:noProof/>
                <w:szCs w:val="24"/>
              </w:rPr>
              <w:tab/>
            </w:r>
            <w:r w:rsidR="00E619D3" w:rsidRPr="005D751B">
              <w:rPr>
                <w:rStyle w:val="Hyperlink"/>
                <w:noProof/>
              </w:rPr>
              <w:t>General discussions of reflectivity for all three cases</w:t>
            </w:r>
            <w:r w:rsidR="00E619D3">
              <w:rPr>
                <w:noProof/>
                <w:webHidden/>
              </w:rPr>
              <w:tab/>
            </w:r>
            <w:r w:rsidR="00E619D3">
              <w:rPr>
                <w:noProof/>
                <w:webHidden/>
              </w:rPr>
              <w:fldChar w:fldCharType="begin"/>
            </w:r>
            <w:r w:rsidR="00E619D3">
              <w:rPr>
                <w:noProof/>
                <w:webHidden/>
              </w:rPr>
              <w:instrText xml:space="preserve"> PAGEREF _Toc131018313 \h </w:instrText>
            </w:r>
            <w:r w:rsidR="00E619D3">
              <w:rPr>
                <w:noProof/>
                <w:webHidden/>
              </w:rPr>
            </w:r>
            <w:r w:rsidR="00E619D3">
              <w:rPr>
                <w:noProof/>
                <w:webHidden/>
              </w:rPr>
              <w:fldChar w:fldCharType="separate"/>
            </w:r>
            <w:r w:rsidR="00E619D3">
              <w:rPr>
                <w:noProof/>
                <w:webHidden/>
              </w:rPr>
              <w:t>36</w:t>
            </w:r>
            <w:r w:rsidR="00E619D3">
              <w:rPr>
                <w:noProof/>
                <w:webHidden/>
              </w:rPr>
              <w:fldChar w:fldCharType="end"/>
            </w:r>
          </w:hyperlink>
        </w:p>
        <w:p w14:paraId="3157E26C" w14:textId="2AA980E2" w:rsidR="00E619D3" w:rsidRDefault="007B297F">
          <w:pPr>
            <w:pStyle w:val="TOC3"/>
            <w:tabs>
              <w:tab w:val="left" w:pos="1440"/>
              <w:tab w:val="right" w:leader="dot" w:pos="9350"/>
            </w:tabs>
            <w:rPr>
              <w:rFonts w:asciiTheme="minorHAnsi" w:hAnsiTheme="minorHAnsi" w:cstheme="minorBidi"/>
              <w:iCs w:val="0"/>
              <w:noProof/>
              <w:szCs w:val="24"/>
            </w:rPr>
          </w:pPr>
          <w:hyperlink w:anchor="_Toc131018314" w:history="1">
            <w:r w:rsidR="00E619D3" w:rsidRPr="005D751B">
              <w:rPr>
                <w:rStyle w:val="Hyperlink"/>
                <w:noProof/>
              </w:rPr>
              <w:t>3.4.2</w:t>
            </w:r>
            <w:r w:rsidR="00E619D3">
              <w:rPr>
                <w:rFonts w:asciiTheme="minorHAnsi" w:hAnsiTheme="minorHAnsi" w:cstheme="minorBidi"/>
                <w:iCs w:val="0"/>
                <w:noProof/>
                <w:szCs w:val="24"/>
              </w:rPr>
              <w:tab/>
            </w:r>
            <w:r w:rsidR="00E619D3" w:rsidRPr="005D751B">
              <w:rPr>
                <w:rStyle w:val="Hyperlink"/>
                <w:noProof/>
              </w:rPr>
              <w:t>Qualitative forecast evaluation</w:t>
            </w:r>
            <w:r w:rsidR="00E619D3">
              <w:rPr>
                <w:noProof/>
                <w:webHidden/>
              </w:rPr>
              <w:tab/>
            </w:r>
            <w:r w:rsidR="00E619D3">
              <w:rPr>
                <w:noProof/>
                <w:webHidden/>
              </w:rPr>
              <w:fldChar w:fldCharType="begin"/>
            </w:r>
            <w:r w:rsidR="00E619D3">
              <w:rPr>
                <w:noProof/>
                <w:webHidden/>
              </w:rPr>
              <w:instrText xml:space="preserve"> PAGEREF _Toc131018314 \h </w:instrText>
            </w:r>
            <w:r w:rsidR="00E619D3">
              <w:rPr>
                <w:noProof/>
                <w:webHidden/>
              </w:rPr>
            </w:r>
            <w:r w:rsidR="00E619D3">
              <w:rPr>
                <w:noProof/>
                <w:webHidden/>
              </w:rPr>
              <w:fldChar w:fldCharType="separate"/>
            </w:r>
            <w:r w:rsidR="00E619D3">
              <w:rPr>
                <w:noProof/>
                <w:webHidden/>
              </w:rPr>
              <w:t>39</w:t>
            </w:r>
            <w:r w:rsidR="00E619D3">
              <w:rPr>
                <w:noProof/>
                <w:webHidden/>
              </w:rPr>
              <w:fldChar w:fldCharType="end"/>
            </w:r>
          </w:hyperlink>
        </w:p>
        <w:p w14:paraId="1396270C" w14:textId="27F6513E" w:rsidR="00E619D3" w:rsidRDefault="007B297F">
          <w:pPr>
            <w:pStyle w:val="TOC3"/>
            <w:tabs>
              <w:tab w:val="left" w:pos="1440"/>
              <w:tab w:val="right" w:leader="dot" w:pos="9350"/>
            </w:tabs>
            <w:rPr>
              <w:rFonts w:asciiTheme="minorHAnsi" w:hAnsiTheme="minorHAnsi" w:cstheme="minorBidi"/>
              <w:iCs w:val="0"/>
              <w:noProof/>
              <w:szCs w:val="24"/>
            </w:rPr>
          </w:pPr>
          <w:hyperlink w:anchor="_Toc131018315" w:history="1">
            <w:r w:rsidR="00E619D3" w:rsidRPr="005D751B">
              <w:rPr>
                <w:rStyle w:val="Hyperlink"/>
                <w:noProof/>
              </w:rPr>
              <w:t>3.4.3</w:t>
            </w:r>
            <w:r w:rsidR="00E619D3">
              <w:rPr>
                <w:rFonts w:asciiTheme="minorHAnsi" w:hAnsiTheme="minorHAnsi" w:cstheme="minorBidi"/>
                <w:iCs w:val="0"/>
                <w:noProof/>
                <w:szCs w:val="24"/>
              </w:rPr>
              <w:tab/>
            </w:r>
            <w:r w:rsidR="00E619D3" w:rsidRPr="005D751B">
              <w:rPr>
                <w:rStyle w:val="Hyperlink"/>
                <w:noProof/>
              </w:rPr>
              <w:t>Quantitative forecast evaluation</w:t>
            </w:r>
            <w:r w:rsidR="00E619D3">
              <w:rPr>
                <w:noProof/>
                <w:webHidden/>
              </w:rPr>
              <w:tab/>
            </w:r>
            <w:r w:rsidR="00E619D3">
              <w:rPr>
                <w:noProof/>
                <w:webHidden/>
              </w:rPr>
              <w:fldChar w:fldCharType="begin"/>
            </w:r>
            <w:r w:rsidR="00E619D3">
              <w:rPr>
                <w:noProof/>
                <w:webHidden/>
              </w:rPr>
              <w:instrText xml:space="preserve"> PAGEREF _Toc131018315 \h </w:instrText>
            </w:r>
            <w:r w:rsidR="00E619D3">
              <w:rPr>
                <w:noProof/>
                <w:webHidden/>
              </w:rPr>
            </w:r>
            <w:r w:rsidR="00E619D3">
              <w:rPr>
                <w:noProof/>
                <w:webHidden/>
              </w:rPr>
              <w:fldChar w:fldCharType="separate"/>
            </w:r>
            <w:r w:rsidR="00E619D3">
              <w:rPr>
                <w:noProof/>
                <w:webHidden/>
              </w:rPr>
              <w:t>44</w:t>
            </w:r>
            <w:r w:rsidR="00E619D3">
              <w:rPr>
                <w:noProof/>
                <w:webHidden/>
              </w:rPr>
              <w:fldChar w:fldCharType="end"/>
            </w:r>
          </w:hyperlink>
        </w:p>
        <w:p w14:paraId="0264BAB9" w14:textId="310B2A9D" w:rsidR="00E619D3" w:rsidRDefault="007B297F">
          <w:pPr>
            <w:pStyle w:val="TOC3"/>
            <w:tabs>
              <w:tab w:val="left" w:pos="1440"/>
              <w:tab w:val="right" w:leader="dot" w:pos="9350"/>
            </w:tabs>
            <w:rPr>
              <w:rFonts w:asciiTheme="minorHAnsi" w:hAnsiTheme="minorHAnsi" w:cstheme="minorBidi"/>
              <w:iCs w:val="0"/>
              <w:noProof/>
              <w:szCs w:val="24"/>
            </w:rPr>
          </w:pPr>
          <w:hyperlink w:anchor="_Toc131018316" w:history="1">
            <w:r w:rsidR="00E619D3" w:rsidRPr="005D751B">
              <w:rPr>
                <w:rStyle w:val="Hyperlink"/>
                <w:noProof/>
              </w:rPr>
              <w:t>3.4.4</w:t>
            </w:r>
            <w:r w:rsidR="00E619D3">
              <w:rPr>
                <w:rFonts w:asciiTheme="minorHAnsi" w:hAnsiTheme="minorHAnsi" w:cstheme="minorBidi"/>
                <w:iCs w:val="0"/>
                <w:noProof/>
                <w:szCs w:val="24"/>
              </w:rPr>
              <w:tab/>
            </w:r>
            <w:r w:rsidR="00E619D3" w:rsidRPr="005D751B">
              <w:rPr>
                <w:rStyle w:val="Hyperlink"/>
                <w:noProof/>
              </w:rPr>
              <w:t>Hybrid 3DEnVAR statistical metrics analysis</w:t>
            </w:r>
            <w:r w:rsidR="00E619D3">
              <w:rPr>
                <w:noProof/>
                <w:webHidden/>
              </w:rPr>
              <w:tab/>
            </w:r>
            <w:r w:rsidR="00E619D3">
              <w:rPr>
                <w:noProof/>
                <w:webHidden/>
              </w:rPr>
              <w:fldChar w:fldCharType="begin"/>
            </w:r>
            <w:r w:rsidR="00E619D3">
              <w:rPr>
                <w:noProof/>
                <w:webHidden/>
              </w:rPr>
              <w:instrText xml:space="preserve"> PAGEREF _Toc131018316 \h </w:instrText>
            </w:r>
            <w:r w:rsidR="00E619D3">
              <w:rPr>
                <w:noProof/>
                <w:webHidden/>
              </w:rPr>
            </w:r>
            <w:r w:rsidR="00E619D3">
              <w:rPr>
                <w:noProof/>
                <w:webHidden/>
              </w:rPr>
              <w:fldChar w:fldCharType="separate"/>
            </w:r>
            <w:r w:rsidR="00E619D3">
              <w:rPr>
                <w:noProof/>
                <w:webHidden/>
              </w:rPr>
              <w:t>47</w:t>
            </w:r>
            <w:r w:rsidR="00E619D3">
              <w:rPr>
                <w:noProof/>
                <w:webHidden/>
              </w:rPr>
              <w:fldChar w:fldCharType="end"/>
            </w:r>
          </w:hyperlink>
        </w:p>
        <w:p w14:paraId="6D5C09FF" w14:textId="7A42EF5D" w:rsidR="00E619D3" w:rsidRDefault="007B297F">
          <w:pPr>
            <w:pStyle w:val="TOC2"/>
            <w:tabs>
              <w:tab w:val="left" w:pos="864"/>
              <w:tab w:val="right" w:leader="dot" w:pos="9350"/>
            </w:tabs>
            <w:rPr>
              <w:rFonts w:asciiTheme="minorHAnsi" w:hAnsiTheme="minorHAnsi" w:cstheme="minorBidi"/>
              <w:noProof/>
              <w:szCs w:val="24"/>
            </w:rPr>
          </w:pPr>
          <w:hyperlink w:anchor="_Toc131018317" w:history="1">
            <w:r w:rsidR="00E619D3" w:rsidRPr="005D751B">
              <w:rPr>
                <w:rStyle w:val="Hyperlink"/>
                <w:noProof/>
              </w:rPr>
              <w:t>3.5</w:t>
            </w:r>
            <w:r w:rsidR="00E619D3">
              <w:rPr>
                <w:rFonts w:asciiTheme="minorHAnsi" w:hAnsiTheme="minorHAnsi" w:cstheme="minorBidi"/>
                <w:noProof/>
                <w:szCs w:val="24"/>
              </w:rPr>
              <w:tab/>
            </w:r>
            <w:r w:rsidR="00E619D3" w:rsidRPr="005D751B">
              <w:rPr>
                <w:rStyle w:val="Hyperlink"/>
                <w:noProof/>
              </w:rPr>
              <w:t>Summary and Conclusion</w:t>
            </w:r>
            <w:r w:rsidR="00E619D3">
              <w:rPr>
                <w:noProof/>
                <w:webHidden/>
              </w:rPr>
              <w:tab/>
            </w:r>
            <w:r w:rsidR="00E619D3">
              <w:rPr>
                <w:noProof/>
                <w:webHidden/>
              </w:rPr>
              <w:fldChar w:fldCharType="begin"/>
            </w:r>
            <w:r w:rsidR="00E619D3">
              <w:rPr>
                <w:noProof/>
                <w:webHidden/>
              </w:rPr>
              <w:instrText xml:space="preserve"> PAGEREF _Toc131018317 \h </w:instrText>
            </w:r>
            <w:r w:rsidR="00E619D3">
              <w:rPr>
                <w:noProof/>
                <w:webHidden/>
              </w:rPr>
            </w:r>
            <w:r w:rsidR="00E619D3">
              <w:rPr>
                <w:noProof/>
                <w:webHidden/>
              </w:rPr>
              <w:fldChar w:fldCharType="separate"/>
            </w:r>
            <w:r w:rsidR="00E619D3">
              <w:rPr>
                <w:noProof/>
                <w:webHidden/>
              </w:rPr>
              <w:t>50</w:t>
            </w:r>
            <w:r w:rsidR="00E619D3">
              <w:rPr>
                <w:noProof/>
                <w:webHidden/>
              </w:rPr>
              <w:fldChar w:fldCharType="end"/>
            </w:r>
          </w:hyperlink>
        </w:p>
        <w:p w14:paraId="7EF85DB7" w14:textId="0D36CE71" w:rsidR="00E619D3" w:rsidRDefault="007B297F">
          <w:pPr>
            <w:pStyle w:val="TOC1"/>
            <w:tabs>
              <w:tab w:val="right" w:leader="dot" w:pos="9350"/>
            </w:tabs>
            <w:rPr>
              <w:rFonts w:asciiTheme="minorHAnsi" w:hAnsiTheme="minorHAnsi" w:cstheme="minorBidi"/>
              <w:b w:val="0"/>
              <w:bCs w:val="0"/>
              <w:noProof/>
              <w:szCs w:val="24"/>
            </w:rPr>
          </w:pPr>
          <w:hyperlink w:anchor="_Toc131018318" w:history="1">
            <w:r w:rsidR="00E619D3" w:rsidRPr="005D751B">
              <w:rPr>
                <w:rStyle w:val="Hyperlink"/>
                <w:noProof/>
              </w:rPr>
              <w:t>Chapter 4 The Development of Weather-dependent Background Error structures within a Convective Scale Radar Data Assimilation Scheme for Improving Short-Range Severe Weather Forecasts</w:t>
            </w:r>
            <w:r w:rsidR="00E619D3">
              <w:rPr>
                <w:noProof/>
                <w:webHidden/>
              </w:rPr>
              <w:tab/>
            </w:r>
            <w:r w:rsidR="00E619D3">
              <w:rPr>
                <w:noProof/>
                <w:webHidden/>
              </w:rPr>
              <w:fldChar w:fldCharType="begin"/>
            </w:r>
            <w:r w:rsidR="00E619D3">
              <w:rPr>
                <w:noProof/>
                <w:webHidden/>
              </w:rPr>
              <w:instrText xml:space="preserve"> PAGEREF _Toc131018318 \h </w:instrText>
            </w:r>
            <w:r w:rsidR="00E619D3">
              <w:rPr>
                <w:noProof/>
                <w:webHidden/>
              </w:rPr>
            </w:r>
            <w:r w:rsidR="00E619D3">
              <w:rPr>
                <w:noProof/>
                <w:webHidden/>
              </w:rPr>
              <w:fldChar w:fldCharType="separate"/>
            </w:r>
            <w:r w:rsidR="00E619D3">
              <w:rPr>
                <w:noProof/>
                <w:webHidden/>
              </w:rPr>
              <w:t>52</w:t>
            </w:r>
            <w:r w:rsidR="00E619D3">
              <w:rPr>
                <w:noProof/>
                <w:webHidden/>
              </w:rPr>
              <w:fldChar w:fldCharType="end"/>
            </w:r>
          </w:hyperlink>
        </w:p>
        <w:p w14:paraId="193043C6" w14:textId="3C172C82" w:rsidR="00E619D3" w:rsidRDefault="007B297F">
          <w:pPr>
            <w:pStyle w:val="TOC2"/>
            <w:tabs>
              <w:tab w:val="left" w:pos="864"/>
              <w:tab w:val="right" w:leader="dot" w:pos="9350"/>
            </w:tabs>
            <w:rPr>
              <w:rFonts w:asciiTheme="minorHAnsi" w:hAnsiTheme="minorHAnsi" w:cstheme="minorBidi"/>
              <w:noProof/>
              <w:szCs w:val="24"/>
            </w:rPr>
          </w:pPr>
          <w:hyperlink w:anchor="_Toc131018319" w:history="1">
            <w:r w:rsidR="00E619D3" w:rsidRPr="005D751B">
              <w:rPr>
                <w:rStyle w:val="Hyperlink"/>
                <w:noProof/>
              </w:rPr>
              <w:t>4.1</w:t>
            </w:r>
            <w:r w:rsidR="00E619D3">
              <w:rPr>
                <w:rFonts w:asciiTheme="minorHAnsi" w:hAnsiTheme="minorHAnsi" w:cstheme="minorBidi"/>
                <w:noProof/>
                <w:szCs w:val="24"/>
              </w:rPr>
              <w:tab/>
            </w:r>
            <w:r w:rsidR="00E619D3" w:rsidRPr="005D751B">
              <w:rPr>
                <w:rStyle w:val="Hyperlink"/>
                <w:noProof/>
              </w:rPr>
              <w:t>Introduction</w:t>
            </w:r>
            <w:r w:rsidR="00E619D3">
              <w:rPr>
                <w:noProof/>
                <w:webHidden/>
              </w:rPr>
              <w:tab/>
            </w:r>
            <w:r w:rsidR="00E619D3">
              <w:rPr>
                <w:noProof/>
                <w:webHidden/>
              </w:rPr>
              <w:fldChar w:fldCharType="begin"/>
            </w:r>
            <w:r w:rsidR="00E619D3">
              <w:rPr>
                <w:noProof/>
                <w:webHidden/>
              </w:rPr>
              <w:instrText xml:space="preserve"> PAGEREF _Toc131018319 \h </w:instrText>
            </w:r>
            <w:r w:rsidR="00E619D3">
              <w:rPr>
                <w:noProof/>
                <w:webHidden/>
              </w:rPr>
            </w:r>
            <w:r w:rsidR="00E619D3">
              <w:rPr>
                <w:noProof/>
                <w:webHidden/>
              </w:rPr>
              <w:fldChar w:fldCharType="separate"/>
            </w:r>
            <w:r w:rsidR="00E619D3">
              <w:rPr>
                <w:noProof/>
                <w:webHidden/>
              </w:rPr>
              <w:t>52</w:t>
            </w:r>
            <w:r w:rsidR="00E619D3">
              <w:rPr>
                <w:noProof/>
                <w:webHidden/>
              </w:rPr>
              <w:fldChar w:fldCharType="end"/>
            </w:r>
          </w:hyperlink>
        </w:p>
        <w:p w14:paraId="6BA4B401" w14:textId="7A140860" w:rsidR="00E619D3" w:rsidRDefault="007B297F">
          <w:pPr>
            <w:pStyle w:val="TOC2"/>
            <w:tabs>
              <w:tab w:val="left" w:pos="864"/>
              <w:tab w:val="right" w:leader="dot" w:pos="9350"/>
            </w:tabs>
            <w:rPr>
              <w:rFonts w:asciiTheme="minorHAnsi" w:hAnsiTheme="minorHAnsi" w:cstheme="minorBidi"/>
              <w:noProof/>
              <w:szCs w:val="24"/>
            </w:rPr>
          </w:pPr>
          <w:hyperlink w:anchor="_Toc131018320" w:history="1">
            <w:r w:rsidR="00E619D3" w:rsidRPr="005D751B">
              <w:rPr>
                <w:rStyle w:val="Hyperlink"/>
                <w:noProof/>
              </w:rPr>
              <w:t>4.2</w:t>
            </w:r>
            <w:r w:rsidR="00E619D3">
              <w:rPr>
                <w:rFonts w:asciiTheme="minorHAnsi" w:hAnsiTheme="minorHAnsi" w:cstheme="minorBidi"/>
                <w:noProof/>
                <w:szCs w:val="24"/>
              </w:rPr>
              <w:tab/>
            </w:r>
            <w:r w:rsidR="00E619D3" w:rsidRPr="005D751B">
              <w:rPr>
                <w:rStyle w:val="Hyperlink"/>
                <w:noProof/>
              </w:rPr>
              <w:t>Method for Error Standard Deviation Estimation with a Reflectivity-based Bin</w:t>
            </w:r>
            <w:r w:rsidR="00E619D3">
              <w:rPr>
                <w:noProof/>
                <w:webHidden/>
              </w:rPr>
              <w:tab/>
            </w:r>
            <w:r w:rsidR="00E619D3">
              <w:rPr>
                <w:noProof/>
                <w:webHidden/>
              </w:rPr>
              <w:fldChar w:fldCharType="begin"/>
            </w:r>
            <w:r w:rsidR="00E619D3">
              <w:rPr>
                <w:noProof/>
                <w:webHidden/>
              </w:rPr>
              <w:instrText xml:space="preserve"> PAGEREF _Toc131018320 \h </w:instrText>
            </w:r>
            <w:r w:rsidR="00E619D3">
              <w:rPr>
                <w:noProof/>
                <w:webHidden/>
              </w:rPr>
            </w:r>
            <w:r w:rsidR="00E619D3">
              <w:rPr>
                <w:noProof/>
                <w:webHidden/>
              </w:rPr>
              <w:fldChar w:fldCharType="separate"/>
            </w:r>
            <w:r w:rsidR="00E619D3">
              <w:rPr>
                <w:noProof/>
                <w:webHidden/>
              </w:rPr>
              <w:t>55</w:t>
            </w:r>
            <w:r w:rsidR="00E619D3">
              <w:rPr>
                <w:noProof/>
                <w:webHidden/>
              </w:rPr>
              <w:fldChar w:fldCharType="end"/>
            </w:r>
          </w:hyperlink>
        </w:p>
        <w:p w14:paraId="289A8998" w14:textId="2A2C4F1E" w:rsidR="00E619D3" w:rsidRDefault="007B297F">
          <w:pPr>
            <w:pStyle w:val="TOC2"/>
            <w:tabs>
              <w:tab w:val="left" w:pos="864"/>
              <w:tab w:val="right" w:leader="dot" w:pos="9350"/>
            </w:tabs>
            <w:rPr>
              <w:rFonts w:asciiTheme="minorHAnsi" w:hAnsiTheme="minorHAnsi" w:cstheme="minorBidi"/>
              <w:noProof/>
              <w:szCs w:val="24"/>
            </w:rPr>
          </w:pPr>
          <w:hyperlink w:anchor="_Toc131018321" w:history="1">
            <w:r w:rsidR="00E619D3" w:rsidRPr="005D751B">
              <w:rPr>
                <w:rStyle w:val="Hyperlink"/>
                <w:noProof/>
              </w:rPr>
              <w:t>4.3</w:t>
            </w:r>
            <w:r w:rsidR="00E619D3">
              <w:rPr>
                <w:rFonts w:asciiTheme="minorHAnsi" w:hAnsiTheme="minorHAnsi" w:cstheme="minorBidi"/>
                <w:noProof/>
                <w:szCs w:val="24"/>
              </w:rPr>
              <w:tab/>
            </w:r>
            <w:r w:rsidR="00E619D3" w:rsidRPr="005D751B">
              <w:rPr>
                <w:rStyle w:val="Hyperlink"/>
                <w:noProof/>
              </w:rPr>
              <w:t>Experiment Design and Configurations</w:t>
            </w:r>
            <w:r w:rsidR="00E619D3">
              <w:rPr>
                <w:noProof/>
                <w:webHidden/>
              </w:rPr>
              <w:tab/>
            </w:r>
            <w:r w:rsidR="00E619D3">
              <w:rPr>
                <w:noProof/>
                <w:webHidden/>
              </w:rPr>
              <w:fldChar w:fldCharType="begin"/>
            </w:r>
            <w:r w:rsidR="00E619D3">
              <w:rPr>
                <w:noProof/>
                <w:webHidden/>
              </w:rPr>
              <w:instrText xml:space="preserve"> PAGEREF _Toc131018321 \h </w:instrText>
            </w:r>
            <w:r w:rsidR="00E619D3">
              <w:rPr>
                <w:noProof/>
                <w:webHidden/>
              </w:rPr>
            </w:r>
            <w:r w:rsidR="00E619D3">
              <w:rPr>
                <w:noProof/>
                <w:webHidden/>
              </w:rPr>
              <w:fldChar w:fldCharType="separate"/>
            </w:r>
            <w:r w:rsidR="00E619D3">
              <w:rPr>
                <w:noProof/>
                <w:webHidden/>
              </w:rPr>
              <w:t>61</w:t>
            </w:r>
            <w:r w:rsidR="00E619D3">
              <w:rPr>
                <w:noProof/>
                <w:webHidden/>
              </w:rPr>
              <w:fldChar w:fldCharType="end"/>
            </w:r>
          </w:hyperlink>
        </w:p>
        <w:p w14:paraId="4B9D502E" w14:textId="5743FABD" w:rsidR="00E619D3" w:rsidRDefault="007B297F">
          <w:pPr>
            <w:pStyle w:val="TOC2"/>
            <w:tabs>
              <w:tab w:val="left" w:pos="864"/>
              <w:tab w:val="right" w:leader="dot" w:pos="9350"/>
            </w:tabs>
            <w:rPr>
              <w:rFonts w:asciiTheme="minorHAnsi" w:hAnsiTheme="minorHAnsi" w:cstheme="minorBidi"/>
              <w:noProof/>
              <w:szCs w:val="24"/>
            </w:rPr>
          </w:pPr>
          <w:hyperlink w:anchor="_Toc131018322" w:history="1">
            <w:r w:rsidR="00E619D3" w:rsidRPr="005D751B">
              <w:rPr>
                <w:rStyle w:val="Hyperlink"/>
                <w:noProof/>
              </w:rPr>
              <w:t>4.4</w:t>
            </w:r>
            <w:r w:rsidR="00E619D3">
              <w:rPr>
                <w:rFonts w:asciiTheme="minorHAnsi" w:hAnsiTheme="minorHAnsi" w:cstheme="minorBidi"/>
                <w:noProof/>
                <w:szCs w:val="24"/>
              </w:rPr>
              <w:tab/>
            </w:r>
            <w:r w:rsidR="00E619D3" w:rsidRPr="005D751B">
              <w:rPr>
                <w:rStyle w:val="Hyperlink"/>
                <w:noProof/>
              </w:rPr>
              <w:t>Results for Single Observation Experiments</w:t>
            </w:r>
            <w:r w:rsidR="00E619D3">
              <w:rPr>
                <w:noProof/>
                <w:webHidden/>
              </w:rPr>
              <w:tab/>
            </w:r>
            <w:r w:rsidR="00E619D3">
              <w:rPr>
                <w:noProof/>
                <w:webHidden/>
              </w:rPr>
              <w:fldChar w:fldCharType="begin"/>
            </w:r>
            <w:r w:rsidR="00E619D3">
              <w:rPr>
                <w:noProof/>
                <w:webHidden/>
              </w:rPr>
              <w:instrText xml:space="preserve"> PAGEREF _Toc131018322 \h </w:instrText>
            </w:r>
            <w:r w:rsidR="00E619D3">
              <w:rPr>
                <w:noProof/>
                <w:webHidden/>
              </w:rPr>
            </w:r>
            <w:r w:rsidR="00E619D3">
              <w:rPr>
                <w:noProof/>
                <w:webHidden/>
              </w:rPr>
              <w:fldChar w:fldCharType="separate"/>
            </w:r>
            <w:r w:rsidR="00E619D3">
              <w:rPr>
                <w:noProof/>
                <w:webHidden/>
              </w:rPr>
              <w:t>63</w:t>
            </w:r>
            <w:r w:rsidR="00E619D3">
              <w:rPr>
                <w:noProof/>
                <w:webHidden/>
              </w:rPr>
              <w:fldChar w:fldCharType="end"/>
            </w:r>
          </w:hyperlink>
        </w:p>
        <w:p w14:paraId="6D19C4E2" w14:textId="70708F05" w:rsidR="00E619D3" w:rsidRDefault="007B297F">
          <w:pPr>
            <w:pStyle w:val="TOC2"/>
            <w:tabs>
              <w:tab w:val="left" w:pos="864"/>
              <w:tab w:val="right" w:leader="dot" w:pos="9350"/>
            </w:tabs>
            <w:rPr>
              <w:rFonts w:asciiTheme="minorHAnsi" w:hAnsiTheme="minorHAnsi" w:cstheme="minorBidi"/>
              <w:noProof/>
              <w:szCs w:val="24"/>
            </w:rPr>
          </w:pPr>
          <w:hyperlink w:anchor="_Toc131018323" w:history="1">
            <w:r w:rsidR="00E619D3" w:rsidRPr="005D751B">
              <w:rPr>
                <w:rStyle w:val="Hyperlink"/>
                <w:noProof/>
              </w:rPr>
              <w:t>4.5</w:t>
            </w:r>
            <w:r w:rsidR="00E619D3">
              <w:rPr>
                <w:rFonts w:asciiTheme="minorHAnsi" w:hAnsiTheme="minorHAnsi" w:cstheme="minorBidi"/>
                <w:noProof/>
                <w:szCs w:val="24"/>
              </w:rPr>
              <w:tab/>
            </w:r>
            <w:r w:rsidR="00E619D3" w:rsidRPr="005D751B">
              <w:rPr>
                <w:rStyle w:val="Hyperlink"/>
                <w:noProof/>
              </w:rPr>
              <w:t>Results</w:t>
            </w:r>
            <w:r w:rsidR="00E619D3">
              <w:rPr>
                <w:noProof/>
                <w:webHidden/>
              </w:rPr>
              <w:tab/>
            </w:r>
            <w:r w:rsidR="00E619D3">
              <w:rPr>
                <w:noProof/>
                <w:webHidden/>
              </w:rPr>
              <w:fldChar w:fldCharType="begin"/>
            </w:r>
            <w:r w:rsidR="00E619D3">
              <w:rPr>
                <w:noProof/>
                <w:webHidden/>
              </w:rPr>
              <w:instrText xml:space="preserve"> PAGEREF _Toc131018323 \h </w:instrText>
            </w:r>
            <w:r w:rsidR="00E619D3">
              <w:rPr>
                <w:noProof/>
                <w:webHidden/>
              </w:rPr>
            </w:r>
            <w:r w:rsidR="00E619D3">
              <w:rPr>
                <w:noProof/>
                <w:webHidden/>
              </w:rPr>
              <w:fldChar w:fldCharType="separate"/>
            </w:r>
            <w:r w:rsidR="00E619D3">
              <w:rPr>
                <w:noProof/>
                <w:webHidden/>
              </w:rPr>
              <w:t>66</w:t>
            </w:r>
            <w:r w:rsidR="00E619D3">
              <w:rPr>
                <w:noProof/>
                <w:webHidden/>
              </w:rPr>
              <w:fldChar w:fldCharType="end"/>
            </w:r>
          </w:hyperlink>
        </w:p>
        <w:p w14:paraId="10A2F995" w14:textId="49336DD4" w:rsidR="00E619D3" w:rsidRDefault="007B297F">
          <w:pPr>
            <w:pStyle w:val="TOC3"/>
            <w:tabs>
              <w:tab w:val="left" w:pos="1440"/>
              <w:tab w:val="right" w:leader="dot" w:pos="9350"/>
            </w:tabs>
            <w:rPr>
              <w:rFonts w:asciiTheme="minorHAnsi" w:hAnsiTheme="minorHAnsi" w:cstheme="minorBidi"/>
              <w:iCs w:val="0"/>
              <w:noProof/>
              <w:szCs w:val="24"/>
            </w:rPr>
          </w:pPr>
          <w:hyperlink w:anchor="_Toc131018324" w:history="1">
            <w:r w:rsidR="00E619D3" w:rsidRPr="005D751B">
              <w:rPr>
                <w:rStyle w:val="Hyperlink"/>
                <w:noProof/>
              </w:rPr>
              <w:t>4.5.1</w:t>
            </w:r>
            <w:r w:rsidR="00E619D3">
              <w:rPr>
                <w:rFonts w:asciiTheme="minorHAnsi" w:hAnsiTheme="minorHAnsi" w:cstheme="minorBidi"/>
                <w:iCs w:val="0"/>
                <w:noProof/>
                <w:szCs w:val="24"/>
              </w:rPr>
              <w:tab/>
            </w:r>
            <w:r w:rsidR="00E619D3" w:rsidRPr="005D751B">
              <w:rPr>
                <w:rStyle w:val="Hyperlink"/>
                <w:noProof/>
              </w:rPr>
              <w:t>5 May 2020 event</w:t>
            </w:r>
            <w:r w:rsidR="00E619D3">
              <w:rPr>
                <w:noProof/>
                <w:webHidden/>
              </w:rPr>
              <w:tab/>
            </w:r>
            <w:r w:rsidR="00E619D3">
              <w:rPr>
                <w:noProof/>
                <w:webHidden/>
              </w:rPr>
              <w:fldChar w:fldCharType="begin"/>
            </w:r>
            <w:r w:rsidR="00E619D3">
              <w:rPr>
                <w:noProof/>
                <w:webHidden/>
              </w:rPr>
              <w:instrText xml:space="preserve"> PAGEREF _Toc131018324 \h </w:instrText>
            </w:r>
            <w:r w:rsidR="00E619D3">
              <w:rPr>
                <w:noProof/>
                <w:webHidden/>
              </w:rPr>
            </w:r>
            <w:r w:rsidR="00E619D3">
              <w:rPr>
                <w:noProof/>
                <w:webHidden/>
              </w:rPr>
              <w:fldChar w:fldCharType="separate"/>
            </w:r>
            <w:r w:rsidR="00E619D3">
              <w:rPr>
                <w:noProof/>
                <w:webHidden/>
              </w:rPr>
              <w:t>66</w:t>
            </w:r>
            <w:r w:rsidR="00E619D3">
              <w:rPr>
                <w:noProof/>
                <w:webHidden/>
              </w:rPr>
              <w:fldChar w:fldCharType="end"/>
            </w:r>
          </w:hyperlink>
        </w:p>
        <w:p w14:paraId="574D76C2" w14:textId="65B1FF91" w:rsidR="00E619D3" w:rsidRDefault="007B297F">
          <w:pPr>
            <w:pStyle w:val="TOC3"/>
            <w:tabs>
              <w:tab w:val="left" w:pos="1440"/>
              <w:tab w:val="right" w:leader="dot" w:pos="9350"/>
            </w:tabs>
            <w:rPr>
              <w:rFonts w:asciiTheme="minorHAnsi" w:hAnsiTheme="minorHAnsi" w:cstheme="minorBidi"/>
              <w:iCs w:val="0"/>
              <w:noProof/>
              <w:szCs w:val="24"/>
            </w:rPr>
          </w:pPr>
          <w:hyperlink w:anchor="_Toc131018325" w:history="1">
            <w:r w:rsidR="00E619D3" w:rsidRPr="005D751B">
              <w:rPr>
                <w:rStyle w:val="Hyperlink"/>
                <w:noProof/>
              </w:rPr>
              <w:t>4.5.2</w:t>
            </w:r>
            <w:r w:rsidR="00E619D3">
              <w:rPr>
                <w:rFonts w:asciiTheme="minorHAnsi" w:hAnsiTheme="minorHAnsi" w:cstheme="minorBidi"/>
                <w:iCs w:val="0"/>
                <w:noProof/>
                <w:szCs w:val="24"/>
              </w:rPr>
              <w:tab/>
            </w:r>
            <w:r w:rsidR="00E619D3" w:rsidRPr="005D751B">
              <w:rPr>
                <w:rStyle w:val="Hyperlink"/>
                <w:noProof/>
              </w:rPr>
              <w:t>10 Dec 2021 event</w:t>
            </w:r>
            <w:r w:rsidR="00E619D3">
              <w:rPr>
                <w:noProof/>
                <w:webHidden/>
              </w:rPr>
              <w:tab/>
            </w:r>
            <w:r w:rsidR="00E619D3">
              <w:rPr>
                <w:noProof/>
                <w:webHidden/>
              </w:rPr>
              <w:fldChar w:fldCharType="begin"/>
            </w:r>
            <w:r w:rsidR="00E619D3">
              <w:rPr>
                <w:noProof/>
                <w:webHidden/>
              </w:rPr>
              <w:instrText xml:space="preserve"> PAGEREF _Toc131018325 \h </w:instrText>
            </w:r>
            <w:r w:rsidR="00E619D3">
              <w:rPr>
                <w:noProof/>
                <w:webHidden/>
              </w:rPr>
            </w:r>
            <w:r w:rsidR="00E619D3">
              <w:rPr>
                <w:noProof/>
                <w:webHidden/>
              </w:rPr>
              <w:fldChar w:fldCharType="separate"/>
            </w:r>
            <w:r w:rsidR="00E619D3">
              <w:rPr>
                <w:noProof/>
                <w:webHidden/>
              </w:rPr>
              <w:t>76</w:t>
            </w:r>
            <w:r w:rsidR="00E619D3">
              <w:rPr>
                <w:noProof/>
                <w:webHidden/>
              </w:rPr>
              <w:fldChar w:fldCharType="end"/>
            </w:r>
          </w:hyperlink>
        </w:p>
        <w:p w14:paraId="51D1E211" w14:textId="4DCE964F" w:rsidR="00E619D3" w:rsidRDefault="007B297F">
          <w:pPr>
            <w:pStyle w:val="TOC2"/>
            <w:tabs>
              <w:tab w:val="left" w:pos="864"/>
              <w:tab w:val="right" w:leader="dot" w:pos="9350"/>
            </w:tabs>
            <w:rPr>
              <w:rFonts w:asciiTheme="minorHAnsi" w:hAnsiTheme="minorHAnsi" w:cstheme="minorBidi"/>
              <w:noProof/>
              <w:szCs w:val="24"/>
            </w:rPr>
          </w:pPr>
          <w:hyperlink w:anchor="_Toc131018326" w:history="1">
            <w:r w:rsidR="00E619D3" w:rsidRPr="005D751B">
              <w:rPr>
                <w:rStyle w:val="Hyperlink"/>
                <w:noProof/>
              </w:rPr>
              <w:t>4.6</w:t>
            </w:r>
            <w:r w:rsidR="00E619D3">
              <w:rPr>
                <w:rFonts w:asciiTheme="minorHAnsi" w:hAnsiTheme="minorHAnsi" w:cstheme="minorBidi"/>
                <w:noProof/>
                <w:szCs w:val="24"/>
              </w:rPr>
              <w:tab/>
            </w:r>
            <w:r w:rsidR="00E619D3" w:rsidRPr="005D751B">
              <w:rPr>
                <w:rStyle w:val="Hyperlink"/>
                <w:noProof/>
              </w:rPr>
              <w:t>Summary and Discussion</w:t>
            </w:r>
            <w:r w:rsidR="00E619D3">
              <w:rPr>
                <w:noProof/>
                <w:webHidden/>
              </w:rPr>
              <w:tab/>
            </w:r>
            <w:r w:rsidR="00E619D3">
              <w:rPr>
                <w:noProof/>
                <w:webHidden/>
              </w:rPr>
              <w:fldChar w:fldCharType="begin"/>
            </w:r>
            <w:r w:rsidR="00E619D3">
              <w:rPr>
                <w:noProof/>
                <w:webHidden/>
              </w:rPr>
              <w:instrText xml:space="preserve"> PAGEREF _Toc131018326 \h </w:instrText>
            </w:r>
            <w:r w:rsidR="00E619D3">
              <w:rPr>
                <w:noProof/>
                <w:webHidden/>
              </w:rPr>
            </w:r>
            <w:r w:rsidR="00E619D3">
              <w:rPr>
                <w:noProof/>
                <w:webHidden/>
              </w:rPr>
              <w:fldChar w:fldCharType="separate"/>
            </w:r>
            <w:r w:rsidR="00E619D3">
              <w:rPr>
                <w:noProof/>
                <w:webHidden/>
              </w:rPr>
              <w:t>84</w:t>
            </w:r>
            <w:r w:rsidR="00E619D3">
              <w:rPr>
                <w:noProof/>
                <w:webHidden/>
              </w:rPr>
              <w:fldChar w:fldCharType="end"/>
            </w:r>
          </w:hyperlink>
        </w:p>
        <w:p w14:paraId="7BDA8E19" w14:textId="065F2D89" w:rsidR="00E619D3" w:rsidRDefault="007B297F">
          <w:pPr>
            <w:pStyle w:val="TOC1"/>
            <w:tabs>
              <w:tab w:val="right" w:leader="dot" w:pos="9350"/>
            </w:tabs>
            <w:rPr>
              <w:rFonts w:asciiTheme="minorHAnsi" w:hAnsiTheme="minorHAnsi" w:cstheme="minorBidi"/>
              <w:b w:val="0"/>
              <w:bCs w:val="0"/>
              <w:noProof/>
              <w:szCs w:val="24"/>
            </w:rPr>
          </w:pPr>
          <w:hyperlink w:anchor="_Toc131018327" w:history="1">
            <w:r w:rsidR="00E619D3" w:rsidRPr="005D751B">
              <w:rPr>
                <w:rStyle w:val="Hyperlink"/>
                <w:noProof/>
              </w:rPr>
              <w:t>Chapter 5 Implementation of Weather-dependent Background Error within a Hybrid EnVAR System for Improving Short-term Severe Weather Forecast</w:t>
            </w:r>
            <w:r w:rsidR="00E619D3">
              <w:rPr>
                <w:noProof/>
                <w:webHidden/>
              </w:rPr>
              <w:tab/>
            </w:r>
            <w:r w:rsidR="00E619D3">
              <w:rPr>
                <w:noProof/>
                <w:webHidden/>
              </w:rPr>
              <w:fldChar w:fldCharType="begin"/>
            </w:r>
            <w:r w:rsidR="00E619D3">
              <w:rPr>
                <w:noProof/>
                <w:webHidden/>
              </w:rPr>
              <w:instrText xml:space="preserve"> PAGEREF _Toc131018327 \h </w:instrText>
            </w:r>
            <w:r w:rsidR="00E619D3">
              <w:rPr>
                <w:noProof/>
                <w:webHidden/>
              </w:rPr>
            </w:r>
            <w:r w:rsidR="00E619D3">
              <w:rPr>
                <w:noProof/>
                <w:webHidden/>
              </w:rPr>
              <w:fldChar w:fldCharType="separate"/>
            </w:r>
            <w:r w:rsidR="00E619D3">
              <w:rPr>
                <w:noProof/>
                <w:webHidden/>
              </w:rPr>
              <w:t>86</w:t>
            </w:r>
            <w:r w:rsidR="00E619D3">
              <w:rPr>
                <w:noProof/>
                <w:webHidden/>
              </w:rPr>
              <w:fldChar w:fldCharType="end"/>
            </w:r>
          </w:hyperlink>
        </w:p>
        <w:p w14:paraId="0A8A52D1" w14:textId="7394CDC6" w:rsidR="00E619D3" w:rsidRDefault="007B297F">
          <w:pPr>
            <w:pStyle w:val="TOC2"/>
            <w:tabs>
              <w:tab w:val="left" w:pos="864"/>
              <w:tab w:val="right" w:leader="dot" w:pos="9350"/>
            </w:tabs>
            <w:rPr>
              <w:rFonts w:asciiTheme="minorHAnsi" w:hAnsiTheme="minorHAnsi" w:cstheme="minorBidi"/>
              <w:noProof/>
              <w:szCs w:val="24"/>
            </w:rPr>
          </w:pPr>
          <w:hyperlink w:anchor="_Toc131018328" w:history="1">
            <w:r w:rsidR="00E619D3" w:rsidRPr="005D751B">
              <w:rPr>
                <w:rStyle w:val="Hyperlink"/>
                <w:noProof/>
              </w:rPr>
              <w:t>5.1</w:t>
            </w:r>
            <w:r w:rsidR="00E619D3">
              <w:rPr>
                <w:rFonts w:asciiTheme="minorHAnsi" w:hAnsiTheme="minorHAnsi" w:cstheme="minorBidi"/>
                <w:noProof/>
                <w:szCs w:val="24"/>
              </w:rPr>
              <w:tab/>
            </w:r>
            <w:r w:rsidR="00E619D3" w:rsidRPr="005D751B">
              <w:rPr>
                <w:rStyle w:val="Hyperlink"/>
                <w:noProof/>
              </w:rPr>
              <w:t>Introduction</w:t>
            </w:r>
            <w:r w:rsidR="00E619D3">
              <w:rPr>
                <w:noProof/>
                <w:webHidden/>
              </w:rPr>
              <w:tab/>
            </w:r>
            <w:r w:rsidR="00E619D3">
              <w:rPr>
                <w:noProof/>
                <w:webHidden/>
              </w:rPr>
              <w:fldChar w:fldCharType="begin"/>
            </w:r>
            <w:r w:rsidR="00E619D3">
              <w:rPr>
                <w:noProof/>
                <w:webHidden/>
              </w:rPr>
              <w:instrText xml:space="preserve"> PAGEREF _Toc131018328 \h </w:instrText>
            </w:r>
            <w:r w:rsidR="00E619D3">
              <w:rPr>
                <w:noProof/>
                <w:webHidden/>
              </w:rPr>
            </w:r>
            <w:r w:rsidR="00E619D3">
              <w:rPr>
                <w:noProof/>
                <w:webHidden/>
              </w:rPr>
              <w:fldChar w:fldCharType="separate"/>
            </w:r>
            <w:r w:rsidR="00E619D3">
              <w:rPr>
                <w:noProof/>
                <w:webHidden/>
              </w:rPr>
              <w:t>86</w:t>
            </w:r>
            <w:r w:rsidR="00E619D3">
              <w:rPr>
                <w:noProof/>
                <w:webHidden/>
              </w:rPr>
              <w:fldChar w:fldCharType="end"/>
            </w:r>
          </w:hyperlink>
        </w:p>
        <w:p w14:paraId="7797C79B" w14:textId="59B66BB4" w:rsidR="00E619D3" w:rsidRDefault="007B297F">
          <w:pPr>
            <w:pStyle w:val="TOC2"/>
            <w:tabs>
              <w:tab w:val="left" w:pos="864"/>
              <w:tab w:val="right" w:leader="dot" w:pos="9350"/>
            </w:tabs>
            <w:rPr>
              <w:rFonts w:asciiTheme="minorHAnsi" w:hAnsiTheme="minorHAnsi" w:cstheme="minorBidi"/>
              <w:noProof/>
              <w:szCs w:val="24"/>
            </w:rPr>
          </w:pPr>
          <w:hyperlink w:anchor="_Toc131018329" w:history="1">
            <w:r w:rsidR="00E619D3" w:rsidRPr="005D751B">
              <w:rPr>
                <w:rStyle w:val="Hyperlink"/>
                <w:noProof/>
              </w:rPr>
              <w:t>5.2</w:t>
            </w:r>
            <w:r w:rsidR="00E619D3">
              <w:rPr>
                <w:rFonts w:asciiTheme="minorHAnsi" w:hAnsiTheme="minorHAnsi" w:cstheme="minorBidi"/>
                <w:noProof/>
                <w:szCs w:val="24"/>
              </w:rPr>
              <w:tab/>
            </w:r>
            <w:r w:rsidR="00E619D3" w:rsidRPr="005D751B">
              <w:rPr>
                <w:rStyle w:val="Hyperlink"/>
                <w:noProof/>
              </w:rPr>
              <w:t>Description of Experiments, Assimilated Observations and Verification Method</w:t>
            </w:r>
            <w:r w:rsidR="00E619D3">
              <w:rPr>
                <w:noProof/>
                <w:webHidden/>
              </w:rPr>
              <w:tab/>
            </w:r>
            <w:r w:rsidR="00E619D3">
              <w:rPr>
                <w:noProof/>
                <w:webHidden/>
              </w:rPr>
              <w:fldChar w:fldCharType="begin"/>
            </w:r>
            <w:r w:rsidR="00E619D3">
              <w:rPr>
                <w:noProof/>
                <w:webHidden/>
              </w:rPr>
              <w:instrText xml:space="preserve"> PAGEREF _Toc131018329 \h </w:instrText>
            </w:r>
            <w:r w:rsidR="00E619D3">
              <w:rPr>
                <w:noProof/>
                <w:webHidden/>
              </w:rPr>
            </w:r>
            <w:r w:rsidR="00E619D3">
              <w:rPr>
                <w:noProof/>
                <w:webHidden/>
              </w:rPr>
              <w:fldChar w:fldCharType="separate"/>
            </w:r>
            <w:r w:rsidR="00E619D3">
              <w:rPr>
                <w:noProof/>
                <w:webHidden/>
              </w:rPr>
              <w:t>88</w:t>
            </w:r>
            <w:r w:rsidR="00E619D3">
              <w:rPr>
                <w:noProof/>
                <w:webHidden/>
              </w:rPr>
              <w:fldChar w:fldCharType="end"/>
            </w:r>
          </w:hyperlink>
        </w:p>
        <w:p w14:paraId="14D1818B" w14:textId="2E9290DB" w:rsidR="00E619D3" w:rsidRDefault="007B297F">
          <w:pPr>
            <w:pStyle w:val="TOC3"/>
            <w:tabs>
              <w:tab w:val="left" w:pos="1440"/>
              <w:tab w:val="right" w:leader="dot" w:pos="9350"/>
            </w:tabs>
            <w:rPr>
              <w:rFonts w:asciiTheme="minorHAnsi" w:hAnsiTheme="minorHAnsi" w:cstheme="minorBidi"/>
              <w:iCs w:val="0"/>
              <w:noProof/>
              <w:szCs w:val="24"/>
            </w:rPr>
          </w:pPr>
          <w:hyperlink w:anchor="_Toc131018330" w:history="1">
            <w:r w:rsidR="00E619D3" w:rsidRPr="005D751B">
              <w:rPr>
                <w:rStyle w:val="Hyperlink"/>
                <w:noProof/>
              </w:rPr>
              <w:t>5.2.1</w:t>
            </w:r>
            <w:r w:rsidR="00E619D3">
              <w:rPr>
                <w:rFonts w:asciiTheme="minorHAnsi" w:hAnsiTheme="minorHAnsi" w:cstheme="minorBidi"/>
                <w:iCs w:val="0"/>
                <w:noProof/>
                <w:szCs w:val="24"/>
              </w:rPr>
              <w:tab/>
            </w:r>
            <w:r w:rsidR="00E619D3" w:rsidRPr="005D751B">
              <w:rPr>
                <w:rStyle w:val="Hyperlink"/>
                <w:noProof/>
              </w:rPr>
              <w:t>Experimental design and assimilated observations</w:t>
            </w:r>
            <w:r w:rsidR="00E619D3">
              <w:rPr>
                <w:noProof/>
                <w:webHidden/>
              </w:rPr>
              <w:tab/>
            </w:r>
            <w:r w:rsidR="00E619D3">
              <w:rPr>
                <w:noProof/>
                <w:webHidden/>
              </w:rPr>
              <w:fldChar w:fldCharType="begin"/>
            </w:r>
            <w:r w:rsidR="00E619D3">
              <w:rPr>
                <w:noProof/>
                <w:webHidden/>
              </w:rPr>
              <w:instrText xml:space="preserve"> PAGEREF _Toc131018330 \h </w:instrText>
            </w:r>
            <w:r w:rsidR="00E619D3">
              <w:rPr>
                <w:noProof/>
                <w:webHidden/>
              </w:rPr>
            </w:r>
            <w:r w:rsidR="00E619D3">
              <w:rPr>
                <w:noProof/>
                <w:webHidden/>
              </w:rPr>
              <w:fldChar w:fldCharType="separate"/>
            </w:r>
            <w:r w:rsidR="00E619D3">
              <w:rPr>
                <w:noProof/>
                <w:webHidden/>
              </w:rPr>
              <w:t>88</w:t>
            </w:r>
            <w:r w:rsidR="00E619D3">
              <w:rPr>
                <w:noProof/>
                <w:webHidden/>
              </w:rPr>
              <w:fldChar w:fldCharType="end"/>
            </w:r>
          </w:hyperlink>
        </w:p>
        <w:p w14:paraId="44636B44" w14:textId="2BCEB830" w:rsidR="00E619D3" w:rsidRDefault="007B297F">
          <w:pPr>
            <w:pStyle w:val="TOC3"/>
            <w:tabs>
              <w:tab w:val="left" w:pos="1440"/>
              <w:tab w:val="right" w:leader="dot" w:pos="9350"/>
            </w:tabs>
            <w:rPr>
              <w:rFonts w:asciiTheme="minorHAnsi" w:hAnsiTheme="minorHAnsi" w:cstheme="minorBidi"/>
              <w:iCs w:val="0"/>
              <w:noProof/>
              <w:szCs w:val="24"/>
            </w:rPr>
          </w:pPr>
          <w:hyperlink w:anchor="_Toc131018331" w:history="1">
            <w:r w:rsidR="00E619D3" w:rsidRPr="005D751B">
              <w:rPr>
                <w:rStyle w:val="Hyperlink"/>
                <w:noProof/>
              </w:rPr>
              <w:t>5.2.2</w:t>
            </w:r>
            <w:r w:rsidR="00E619D3">
              <w:rPr>
                <w:rFonts w:asciiTheme="minorHAnsi" w:hAnsiTheme="minorHAnsi" w:cstheme="minorBidi"/>
                <w:iCs w:val="0"/>
                <w:noProof/>
                <w:szCs w:val="24"/>
              </w:rPr>
              <w:tab/>
            </w:r>
            <w:r w:rsidR="00E619D3" w:rsidRPr="005D751B">
              <w:rPr>
                <w:rStyle w:val="Hyperlink"/>
                <w:noProof/>
              </w:rPr>
              <w:t>Verification method</w:t>
            </w:r>
            <w:r w:rsidR="00E619D3">
              <w:rPr>
                <w:noProof/>
                <w:webHidden/>
              </w:rPr>
              <w:tab/>
            </w:r>
            <w:r w:rsidR="00E619D3">
              <w:rPr>
                <w:noProof/>
                <w:webHidden/>
              </w:rPr>
              <w:fldChar w:fldCharType="begin"/>
            </w:r>
            <w:r w:rsidR="00E619D3">
              <w:rPr>
                <w:noProof/>
                <w:webHidden/>
              </w:rPr>
              <w:instrText xml:space="preserve"> PAGEREF _Toc131018331 \h </w:instrText>
            </w:r>
            <w:r w:rsidR="00E619D3">
              <w:rPr>
                <w:noProof/>
                <w:webHidden/>
              </w:rPr>
            </w:r>
            <w:r w:rsidR="00E619D3">
              <w:rPr>
                <w:noProof/>
                <w:webHidden/>
              </w:rPr>
              <w:fldChar w:fldCharType="separate"/>
            </w:r>
            <w:r w:rsidR="00E619D3">
              <w:rPr>
                <w:noProof/>
                <w:webHidden/>
              </w:rPr>
              <w:t>91</w:t>
            </w:r>
            <w:r w:rsidR="00E619D3">
              <w:rPr>
                <w:noProof/>
                <w:webHidden/>
              </w:rPr>
              <w:fldChar w:fldCharType="end"/>
            </w:r>
          </w:hyperlink>
        </w:p>
        <w:p w14:paraId="3516EB44" w14:textId="154040BF" w:rsidR="00E619D3" w:rsidRDefault="007B297F">
          <w:pPr>
            <w:pStyle w:val="TOC2"/>
            <w:tabs>
              <w:tab w:val="left" w:pos="864"/>
              <w:tab w:val="right" w:leader="dot" w:pos="9350"/>
            </w:tabs>
            <w:rPr>
              <w:rFonts w:asciiTheme="minorHAnsi" w:hAnsiTheme="minorHAnsi" w:cstheme="minorBidi"/>
              <w:noProof/>
              <w:szCs w:val="24"/>
            </w:rPr>
          </w:pPr>
          <w:hyperlink w:anchor="_Toc131018332" w:history="1">
            <w:r w:rsidR="00E619D3" w:rsidRPr="005D751B">
              <w:rPr>
                <w:rStyle w:val="Hyperlink"/>
                <w:noProof/>
              </w:rPr>
              <w:t>5.3</w:t>
            </w:r>
            <w:r w:rsidR="00E619D3">
              <w:rPr>
                <w:rFonts w:asciiTheme="minorHAnsi" w:hAnsiTheme="minorHAnsi" w:cstheme="minorBidi"/>
                <w:noProof/>
                <w:szCs w:val="24"/>
              </w:rPr>
              <w:tab/>
            </w:r>
            <w:r w:rsidR="00E619D3" w:rsidRPr="005D751B">
              <w:rPr>
                <w:rStyle w:val="Hyperlink"/>
                <w:noProof/>
              </w:rPr>
              <w:t>Results</w:t>
            </w:r>
            <w:r w:rsidR="00E619D3">
              <w:rPr>
                <w:noProof/>
                <w:webHidden/>
              </w:rPr>
              <w:tab/>
            </w:r>
            <w:r w:rsidR="00E619D3">
              <w:rPr>
                <w:noProof/>
                <w:webHidden/>
              </w:rPr>
              <w:fldChar w:fldCharType="begin"/>
            </w:r>
            <w:r w:rsidR="00E619D3">
              <w:rPr>
                <w:noProof/>
                <w:webHidden/>
              </w:rPr>
              <w:instrText xml:space="preserve"> PAGEREF _Toc131018332 \h </w:instrText>
            </w:r>
            <w:r w:rsidR="00E619D3">
              <w:rPr>
                <w:noProof/>
                <w:webHidden/>
              </w:rPr>
            </w:r>
            <w:r w:rsidR="00E619D3">
              <w:rPr>
                <w:noProof/>
                <w:webHidden/>
              </w:rPr>
              <w:fldChar w:fldCharType="separate"/>
            </w:r>
            <w:r w:rsidR="00E619D3">
              <w:rPr>
                <w:noProof/>
                <w:webHidden/>
              </w:rPr>
              <w:t>92</w:t>
            </w:r>
            <w:r w:rsidR="00E619D3">
              <w:rPr>
                <w:noProof/>
                <w:webHidden/>
              </w:rPr>
              <w:fldChar w:fldCharType="end"/>
            </w:r>
          </w:hyperlink>
        </w:p>
        <w:p w14:paraId="4B4C6831" w14:textId="56C5DEF9" w:rsidR="00E619D3" w:rsidRDefault="007B297F">
          <w:pPr>
            <w:pStyle w:val="TOC3"/>
            <w:tabs>
              <w:tab w:val="left" w:pos="1440"/>
              <w:tab w:val="right" w:leader="dot" w:pos="9350"/>
            </w:tabs>
            <w:rPr>
              <w:rFonts w:asciiTheme="minorHAnsi" w:hAnsiTheme="minorHAnsi" w:cstheme="minorBidi"/>
              <w:iCs w:val="0"/>
              <w:noProof/>
              <w:szCs w:val="24"/>
            </w:rPr>
          </w:pPr>
          <w:hyperlink w:anchor="_Toc131018333" w:history="1">
            <w:r w:rsidR="00E619D3" w:rsidRPr="005D751B">
              <w:rPr>
                <w:rStyle w:val="Hyperlink"/>
                <w:noProof/>
              </w:rPr>
              <w:t>5.3.1</w:t>
            </w:r>
            <w:r w:rsidR="00E619D3">
              <w:rPr>
                <w:rFonts w:asciiTheme="minorHAnsi" w:hAnsiTheme="minorHAnsi" w:cstheme="minorBidi"/>
                <w:iCs w:val="0"/>
                <w:noProof/>
                <w:szCs w:val="24"/>
              </w:rPr>
              <w:tab/>
            </w:r>
            <w:r w:rsidR="00E619D3" w:rsidRPr="005D751B">
              <w:rPr>
                <w:rStyle w:val="Hyperlink"/>
                <w:noProof/>
              </w:rPr>
              <w:t>Aggregate forecast performance</w:t>
            </w:r>
            <w:r w:rsidR="00E619D3">
              <w:rPr>
                <w:noProof/>
                <w:webHidden/>
              </w:rPr>
              <w:tab/>
            </w:r>
            <w:r w:rsidR="00E619D3">
              <w:rPr>
                <w:noProof/>
                <w:webHidden/>
              </w:rPr>
              <w:fldChar w:fldCharType="begin"/>
            </w:r>
            <w:r w:rsidR="00E619D3">
              <w:rPr>
                <w:noProof/>
                <w:webHidden/>
              </w:rPr>
              <w:instrText xml:space="preserve"> PAGEREF _Toc131018333 \h </w:instrText>
            </w:r>
            <w:r w:rsidR="00E619D3">
              <w:rPr>
                <w:noProof/>
                <w:webHidden/>
              </w:rPr>
            </w:r>
            <w:r w:rsidR="00E619D3">
              <w:rPr>
                <w:noProof/>
                <w:webHidden/>
              </w:rPr>
              <w:fldChar w:fldCharType="separate"/>
            </w:r>
            <w:r w:rsidR="00E619D3">
              <w:rPr>
                <w:noProof/>
                <w:webHidden/>
              </w:rPr>
              <w:t>92</w:t>
            </w:r>
            <w:r w:rsidR="00E619D3">
              <w:rPr>
                <w:noProof/>
                <w:webHidden/>
              </w:rPr>
              <w:fldChar w:fldCharType="end"/>
            </w:r>
          </w:hyperlink>
        </w:p>
        <w:p w14:paraId="4D460D7F" w14:textId="75432B2E" w:rsidR="00E619D3" w:rsidRDefault="007B297F">
          <w:pPr>
            <w:pStyle w:val="TOC3"/>
            <w:tabs>
              <w:tab w:val="left" w:pos="1440"/>
              <w:tab w:val="right" w:leader="dot" w:pos="9350"/>
            </w:tabs>
            <w:rPr>
              <w:rFonts w:asciiTheme="minorHAnsi" w:hAnsiTheme="minorHAnsi" w:cstheme="minorBidi"/>
              <w:iCs w:val="0"/>
              <w:noProof/>
              <w:szCs w:val="24"/>
            </w:rPr>
          </w:pPr>
          <w:hyperlink w:anchor="_Toc131018334" w:history="1">
            <w:r w:rsidR="00E619D3" w:rsidRPr="005D751B">
              <w:rPr>
                <w:rStyle w:val="Hyperlink"/>
                <w:noProof/>
              </w:rPr>
              <w:t>5.3.2</w:t>
            </w:r>
            <w:r w:rsidR="00E619D3">
              <w:rPr>
                <w:rFonts w:asciiTheme="minorHAnsi" w:hAnsiTheme="minorHAnsi" w:cstheme="minorBidi"/>
                <w:iCs w:val="0"/>
                <w:noProof/>
                <w:szCs w:val="24"/>
              </w:rPr>
              <w:tab/>
            </w:r>
            <w:r w:rsidR="00E619D3" w:rsidRPr="005D751B">
              <w:rPr>
                <w:rStyle w:val="Hyperlink"/>
                <w:noProof/>
              </w:rPr>
              <w:t>The 5 May 2020 severe weather event in South Carolina</w:t>
            </w:r>
            <w:r w:rsidR="00E619D3">
              <w:rPr>
                <w:noProof/>
                <w:webHidden/>
              </w:rPr>
              <w:tab/>
            </w:r>
            <w:r w:rsidR="00E619D3">
              <w:rPr>
                <w:noProof/>
                <w:webHidden/>
              </w:rPr>
              <w:fldChar w:fldCharType="begin"/>
            </w:r>
            <w:r w:rsidR="00E619D3">
              <w:rPr>
                <w:noProof/>
                <w:webHidden/>
              </w:rPr>
              <w:instrText xml:space="preserve"> PAGEREF _Toc131018334 \h </w:instrText>
            </w:r>
            <w:r w:rsidR="00E619D3">
              <w:rPr>
                <w:noProof/>
                <w:webHidden/>
              </w:rPr>
            </w:r>
            <w:r w:rsidR="00E619D3">
              <w:rPr>
                <w:noProof/>
                <w:webHidden/>
              </w:rPr>
              <w:fldChar w:fldCharType="separate"/>
            </w:r>
            <w:r w:rsidR="00E619D3">
              <w:rPr>
                <w:noProof/>
                <w:webHidden/>
              </w:rPr>
              <w:t>99</w:t>
            </w:r>
            <w:r w:rsidR="00E619D3">
              <w:rPr>
                <w:noProof/>
                <w:webHidden/>
              </w:rPr>
              <w:fldChar w:fldCharType="end"/>
            </w:r>
          </w:hyperlink>
        </w:p>
        <w:p w14:paraId="138097FB" w14:textId="03F94581" w:rsidR="00E619D3" w:rsidRDefault="007B297F">
          <w:pPr>
            <w:pStyle w:val="TOC3"/>
            <w:tabs>
              <w:tab w:val="left" w:pos="1440"/>
              <w:tab w:val="right" w:leader="dot" w:pos="9350"/>
            </w:tabs>
            <w:rPr>
              <w:rFonts w:asciiTheme="minorHAnsi" w:hAnsiTheme="minorHAnsi" w:cstheme="minorBidi"/>
              <w:iCs w:val="0"/>
              <w:noProof/>
              <w:szCs w:val="24"/>
            </w:rPr>
          </w:pPr>
          <w:hyperlink w:anchor="_Toc131018335" w:history="1">
            <w:r w:rsidR="00E619D3" w:rsidRPr="005D751B">
              <w:rPr>
                <w:rStyle w:val="Hyperlink"/>
                <w:noProof/>
              </w:rPr>
              <w:t>5.3.3</w:t>
            </w:r>
            <w:r w:rsidR="00E619D3">
              <w:rPr>
                <w:rFonts w:asciiTheme="minorHAnsi" w:hAnsiTheme="minorHAnsi" w:cstheme="minorBidi"/>
                <w:iCs w:val="0"/>
                <w:noProof/>
                <w:szCs w:val="24"/>
              </w:rPr>
              <w:tab/>
            </w:r>
            <w:r w:rsidR="00E619D3" w:rsidRPr="005D751B">
              <w:rPr>
                <w:rStyle w:val="Hyperlink"/>
                <w:noProof/>
              </w:rPr>
              <w:t>The 22 May 2020 severe weather event in Southern Great Plains</w:t>
            </w:r>
            <w:r w:rsidR="00E619D3">
              <w:rPr>
                <w:noProof/>
                <w:webHidden/>
              </w:rPr>
              <w:tab/>
            </w:r>
            <w:r w:rsidR="00E619D3">
              <w:rPr>
                <w:noProof/>
                <w:webHidden/>
              </w:rPr>
              <w:fldChar w:fldCharType="begin"/>
            </w:r>
            <w:r w:rsidR="00E619D3">
              <w:rPr>
                <w:noProof/>
                <w:webHidden/>
              </w:rPr>
              <w:instrText xml:space="preserve"> PAGEREF _Toc131018335 \h </w:instrText>
            </w:r>
            <w:r w:rsidR="00E619D3">
              <w:rPr>
                <w:noProof/>
                <w:webHidden/>
              </w:rPr>
            </w:r>
            <w:r w:rsidR="00E619D3">
              <w:rPr>
                <w:noProof/>
                <w:webHidden/>
              </w:rPr>
              <w:fldChar w:fldCharType="separate"/>
            </w:r>
            <w:r w:rsidR="00E619D3">
              <w:rPr>
                <w:noProof/>
                <w:webHidden/>
              </w:rPr>
              <w:t>105</w:t>
            </w:r>
            <w:r w:rsidR="00E619D3">
              <w:rPr>
                <w:noProof/>
                <w:webHidden/>
              </w:rPr>
              <w:fldChar w:fldCharType="end"/>
            </w:r>
          </w:hyperlink>
        </w:p>
        <w:p w14:paraId="47533FAA" w14:textId="43466507" w:rsidR="00E619D3" w:rsidRDefault="007B297F">
          <w:pPr>
            <w:pStyle w:val="TOC3"/>
            <w:tabs>
              <w:tab w:val="left" w:pos="1440"/>
              <w:tab w:val="right" w:leader="dot" w:pos="9350"/>
            </w:tabs>
            <w:rPr>
              <w:rFonts w:asciiTheme="minorHAnsi" w:hAnsiTheme="minorHAnsi" w:cstheme="minorBidi"/>
              <w:iCs w:val="0"/>
              <w:noProof/>
              <w:szCs w:val="24"/>
            </w:rPr>
          </w:pPr>
          <w:hyperlink w:anchor="_Toc131018336" w:history="1">
            <w:r w:rsidR="00E619D3" w:rsidRPr="005D751B">
              <w:rPr>
                <w:rStyle w:val="Hyperlink"/>
                <w:noProof/>
              </w:rPr>
              <w:t>5.3.4</w:t>
            </w:r>
            <w:r w:rsidR="00E619D3">
              <w:rPr>
                <w:rFonts w:asciiTheme="minorHAnsi" w:hAnsiTheme="minorHAnsi" w:cstheme="minorBidi"/>
                <w:iCs w:val="0"/>
                <w:noProof/>
                <w:szCs w:val="24"/>
              </w:rPr>
              <w:tab/>
            </w:r>
            <w:r w:rsidR="00E619D3" w:rsidRPr="005D751B">
              <w:rPr>
                <w:rStyle w:val="Hyperlink"/>
                <w:noProof/>
              </w:rPr>
              <w:t>The 10 Dec 2021 severe weather event in Midwest</w:t>
            </w:r>
            <w:r w:rsidR="00E619D3">
              <w:rPr>
                <w:noProof/>
                <w:webHidden/>
              </w:rPr>
              <w:tab/>
            </w:r>
            <w:r w:rsidR="00E619D3">
              <w:rPr>
                <w:noProof/>
                <w:webHidden/>
              </w:rPr>
              <w:fldChar w:fldCharType="begin"/>
            </w:r>
            <w:r w:rsidR="00E619D3">
              <w:rPr>
                <w:noProof/>
                <w:webHidden/>
              </w:rPr>
              <w:instrText xml:space="preserve"> PAGEREF _Toc131018336 \h </w:instrText>
            </w:r>
            <w:r w:rsidR="00E619D3">
              <w:rPr>
                <w:noProof/>
                <w:webHidden/>
              </w:rPr>
            </w:r>
            <w:r w:rsidR="00E619D3">
              <w:rPr>
                <w:noProof/>
                <w:webHidden/>
              </w:rPr>
              <w:fldChar w:fldCharType="separate"/>
            </w:r>
            <w:r w:rsidR="00E619D3">
              <w:rPr>
                <w:noProof/>
                <w:webHidden/>
              </w:rPr>
              <w:t>110</w:t>
            </w:r>
            <w:r w:rsidR="00E619D3">
              <w:rPr>
                <w:noProof/>
                <w:webHidden/>
              </w:rPr>
              <w:fldChar w:fldCharType="end"/>
            </w:r>
          </w:hyperlink>
        </w:p>
        <w:p w14:paraId="5FBE4189" w14:textId="45DB3D11" w:rsidR="00E619D3" w:rsidRDefault="007B297F">
          <w:pPr>
            <w:pStyle w:val="TOC2"/>
            <w:tabs>
              <w:tab w:val="left" w:pos="864"/>
              <w:tab w:val="right" w:leader="dot" w:pos="9350"/>
            </w:tabs>
            <w:rPr>
              <w:rFonts w:asciiTheme="minorHAnsi" w:hAnsiTheme="minorHAnsi" w:cstheme="minorBidi"/>
              <w:noProof/>
              <w:szCs w:val="24"/>
            </w:rPr>
          </w:pPr>
          <w:hyperlink w:anchor="_Toc131018337" w:history="1">
            <w:r w:rsidR="00E619D3" w:rsidRPr="005D751B">
              <w:rPr>
                <w:rStyle w:val="Hyperlink"/>
                <w:noProof/>
              </w:rPr>
              <w:t>5.4</w:t>
            </w:r>
            <w:r w:rsidR="00E619D3">
              <w:rPr>
                <w:rFonts w:asciiTheme="minorHAnsi" w:hAnsiTheme="minorHAnsi" w:cstheme="minorBidi"/>
                <w:noProof/>
                <w:szCs w:val="24"/>
              </w:rPr>
              <w:tab/>
            </w:r>
            <w:r w:rsidR="00E619D3" w:rsidRPr="005D751B">
              <w:rPr>
                <w:rStyle w:val="Hyperlink"/>
                <w:noProof/>
              </w:rPr>
              <w:t>Summary and Discussion</w:t>
            </w:r>
            <w:r w:rsidR="00E619D3">
              <w:rPr>
                <w:noProof/>
                <w:webHidden/>
              </w:rPr>
              <w:tab/>
            </w:r>
            <w:r w:rsidR="00E619D3">
              <w:rPr>
                <w:noProof/>
                <w:webHidden/>
              </w:rPr>
              <w:fldChar w:fldCharType="begin"/>
            </w:r>
            <w:r w:rsidR="00E619D3">
              <w:rPr>
                <w:noProof/>
                <w:webHidden/>
              </w:rPr>
              <w:instrText xml:space="preserve"> PAGEREF _Toc131018337 \h </w:instrText>
            </w:r>
            <w:r w:rsidR="00E619D3">
              <w:rPr>
                <w:noProof/>
                <w:webHidden/>
              </w:rPr>
            </w:r>
            <w:r w:rsidR="00E619D3">
              <w:rPr>
                <w:noProof/>
                <w:webHidden/>
              </w:rPr>
              <w:fldChar w:fldCharType="separate"/>
            </w:r>
            <w:r w:rsidR="00E619D3">
              <w:rPr>
                <w:noProof/>
                <w:webHidden/>
              </w:rPr>
              <w:t>115</w:t>
            </w:r>
            <w:r w:rsidR="00E619D3">
              <w:rPr>
                <w:noProof/>
                <w:webHidden/>
              </w:rPr>
              <w:fldChar w:fldCharType="end"/>
            </w:r>
          </w:hyperlink>
        </w:p>
        <w:p w14:paraId="20E50A60" w14:textId="3D3D88A9" w:rsidR="00E619D3" w:rsidRDefault="007B297F">
          <w:pPr>
            <w:pStyle w:val="TOC1"/>
            <w:tabs>
              <w:tab w:val="right" w:leader="dot" w:pos="9350"/>
            </w:tabs>
            <w:rPr>
              <w:rFonts w:asciiTheme="minorHAnsi" w:hAnsiTheme="minorHAnsi" w:cstheme="minorBidi"/>
              <w:b w:val="0"/>
              <w:bCs w:val="0"/>
              <w:noProof/>
              <w:szCs w:val="24"/>
            </w:rPr>
          </w:pPr>
          <w:hyperlink w:anchor="_Toc131018338" w:history="1">
            <w:r w:rsidR="00E619D3" w:rsidRPr="005D751B">
              <w:rPr>
                <w:rStyle w:val="Hyperlink"/>
                <w:noProof/>
              </w:rPr>
              <w:t>Chapter 6 Summary and Future Plans</w:t>
            </w:r>
            <w:r w:rsidR="00E619D3">
              <w:rPr>
                <w:noProof/>
                <w:webHidden/>
              </w:rPr>
              <w:tab/>
            </w:r>
            <w:r w:rsidR="00E619D3">
              <w:rPr>
                <w:noProof/>
                <w:webHidden/>
              </w:rPr>
              <w:fldChar w:fldCharType="begin"/>
            </w:r>
            <w:r w:rsidR="00E619D3">
              <w:rPr>
                <w:noProof/>
                <w:webHidden/>
              </w:rPr>
              <w:instrText xml:space="preserve"> PAGEREF _Toc131018338 \h </w:instrText>
            </w:r>
            <w:r w:rsidR="00E619D3">
              <w:rPr>
                <w:noProof/>
                <w:webHidden/>
              </w:rPr>
            </w:r>
            <w:r w:rsidR="00E619D3">
              <w:rPr>
                <w:noProof/>
                <w:webHidden/>
              </w:rPr>
              <w:fldChar w:fldCharType="separate"/>
            </w:r>
            <w:r w:rsidR="00E619D3">
              <w:rPr>
                <w:noProof/>
                <w:webHidden/>
              </w:rPr>
              <w:t>118</w:t>
            </w:r>
            <w:r w:rsidR="00E619D3">
              <w:rPr>
                <w:noProof/>
                <w:webHidden/>
              </w:rPr>
              <w:fldChar w:fldCharType="end"/>
            </w:r>
          </w:hyperlink>
        </w:p>
        <w:p w14:paraId="0DCBC40B" w14:textId="0AE9A812" w:rsidR="00E619D3" w:rsidRDefault="007B297F">
          <w:pPr>
            <w:pStyle w:val="TOC2"/>
            <w:tabs>
              <w:tab w:val="left" w:pos="864"/>
              <w:tab w:val="right" w:leader="dot" w:pos="9350"/>
            </w:tabs>
            <w:rPr>
              <w:rFonts w:asciiTheme="minorHAnsi" w:hAnsiTheme="minorHAnsi" w:cstheme="minorBidi"/>
              <w:noProof/>
              <w:szCs w:val="24"/>
            </w:rPr>
          </w:pPr>
          <w:hyperlink w:anchor="_Toc131018339" w:history="1">
            <w:r w:rsidR="00E619D3" w:rsidRPr="005D751B">
              <w:rPr>
                <w:rStyle w:val="Hyperlink"/>
                <w:noProof/>
              </w:rPr>
              <w:t>6.1</w:t>
            </w:r>
            <w:r w:rsidR="00E619D3">
              <w:rPr>
                <w:rFonts w:asciiTheme="minorHAnsi" w:hAnsiTheme="minorHAnsi" w:cstheme="minorBidi"/>
                <w:noProof/>
                <w:szCs w:val="24"/>
              </w:rPr>
              <w:tab/>
            </w:r>
            <w:r w:rsidR="00E619D3" w:rsidRPr="005D751B">
              <w:rPr>
                <w:rStyle w:val="Hyperlink"/>
                <w:noProof/>
              </w:rPr>
              <w:t>General Summary</w:t>
            </w:r>
            <w:r w:rsidR="00E619D3">
              <w:rPr>
                <w:noProof/>
                <w:webHidden/>
              </w:rPr>
              <w:tab/>
            </w:r>
            <w:r w:rsidR="00E619D3">
              <w:rPr>
                <w:noProof/>
                <w:webHidden/>
              </w:rPr>
              <w:fldChar w:fldCharType="begin"/>
            </w:r>
            <w:r w:rsidR="00E619D3">
              <w:rPr>
                <w:noProof/>
                <w:webHidden/>
              </w:rPr>
              <w:instrText xml:space="preserve"> PAGEREF _Toc131018339 \h </w:instrText>
            </w:r>
            <w:r w:rsidR="00E619D3">
              <w:rPr>
                <w:noProof/>
                <w:webHidden/>
              </w:rPr>
            </w:r>
            <w:r w:rsidR="00E619D3">
              <w:rPr>
                <w:noProof/>
                <w:webHidden/>
              </w:rPr>
              <w:fldChar w:fldCharType="separate"/>
            </w:r>
            <w:r w:rsidR="00E619D3">
              <w:rPr>
                <w:noProof/>
                <w:webHidden/>
              </w:rPr>
              <w:t>118</w:t>
            </w:r>
            <w:r w:rsidR="00E619D3">
              <w:rPr>
                <w:noProof/>
                <w:webHidden/>
              </w:rPr>
              <w:fldChar w:fldCharType="end"/>
            </w:r>
          </w:hyperlink>
        </w:p>
        <w:p w14:paraId="5D2C9231" w14:textId="63DCAB50" w:rsidR="00E619D3" w:rsidRDefault="007B297F">
          <w:pPr>
            <w:pStyle w:val="TOC2"/>
            <w:tabs>
              <w:tab w:val="left" w:pos="864"/>
              <w:tab w:val="right" w:leader="dot" w:pos="9350"/>
            </w:tabs>
            <w:rPr>
              <w:rFonts w:asciiTheme="minorHAnsi" w:hAnsiTheme="minorHAnsi" w:cstheme="minorBidi"/>
              <w:noProof/>
              <w:szCs w:val="24"/>
            </w:rPr>
          </w:pPr>
          <w:hyperlink w:anchor="_Toc131018340" w:history="1">
            <w:r w:rsidR="00E619D3" w:rsidRPr="005D751B">
              <w:rPr>
                <w:rStyle w:val="Hyperlink"/>
                <w:noProof/>
              </w:rPr>
              <w:t>6.2</w:t>
            </w:r>
            <w:r w:rsidR="00E619D3">
              <w:rPr>
                <w:rFonts w:asciiTheme="minorHAnsi" w:hAnsiTheme="minorHAnsi" w:cstheme="minorBidi"/>
                <w:noProof/>
                <w:szCs w:val="24"/>
              </w:rPr>
              <w:tab/>
            </w:r>
            <w:r w:rsidR="00E619D3" w:rsidRPr="005D751B">
              <w:rPr>
                <w:rStyle w:val="Hyperlink"/>
                <w:noProof/>
              </w:rPr>
              <w:t>Future Plans</w:t>
            </w:r>
            <w:r w:rsidR="00E619D3">
              <w:rPr>
                <w:noProof/>
                <w:webHidden/>
              </w:rPr>
              <w:tab/>
            </w:r>
            <w:r w:rsidR="00E619D3">
              <w:rPr>
                <w:noProof/>
                <w:webHidden/>
              </w:rPr>
              <w:fldChar w:fldCharType="begin"/>
            </w:r>
            <w:r w:rsidR="00E619D3">
              <w:rPr>
                <w:noProof/>
                <w:webHidden/>
              </w:rPr>
              <w:instrText xml:space="preserve"> PAGEREF _Toc131018340 \h </w:instrText>
            </w:r>
            <w:r w:rsidR="00E619D3">
              <w:rPr>
                <w:noProof/>
                <w:webHidden/>
              </w:rPr>
            </w:r>
            <w:r w:rsidR="00E619D3">
              <w:rPr>
                <w:noProof/>
                <w:webHidden/>
              </w:rPr>
              <w:fldChar w:fldCharType="separate"/>
            </w:r>
            <w:r w:rsidR="00E619D3">
              <w:rPr>
                <w:noProof/>
                <w:webHidden/>
              </w:rPr>
              <w:t>122</w:t>
            </w:r>
            <w:r w:rsidR="00E619D3">
              <w:rPr>
                <w:noProof/>
                <w:webHidden/>
              </w:rPr>
              <w:fldChar w:fldCharType="end"/>
            </w:r>
          </w:hyperlink>
        </w:p>
        <w:p w14:paraId="11F1447C" w14:textId="6EBEFBAF" w:rsidR="00E619D3" w:rsidRDefault="007B297F">
          <w:pPr>
            <w:pStyle w:val="TOC1"/>
            <w:tabs>
              <w:tab w:val="right" w:leader="dot" w:pos="9350"/>
            </w:tabs>
            <w:rPr>
              <w:rFonts w:asciiTheme="minorHAnsi" w:hAnsiTheme="minorHAnsi" w:cstheme="minorBidi"/>
              <w:b w:val="0"/>
              <w:bCs w:val="0"/>
              <w:noProof/>
              <w:szCs w:val="24"/>
            </w:rPr>
          </w:pPr>
          <w:hyperlink w:anchor="_Toc131018341" w:history="1">
            <w:r w:rsidR="00E619D3" w:rsidRPr="005D751B">
              <w:rPr>
                <w:rStyle w:val="Hyperlink"/>
                <w:rFonts w:cs="Times New Roman"/>
                <w:noProof/>
              </w:rPr>
              <w:t>References</w:t>
            </w:r>
            <w:r w:rsidR="00E619D3">
              <w:rPr>
                <w:noProof/>
                <w:webHidden/>
              </w:rPr>
              <w:tab/>
            </w:r>
            <w:r w:rsidR="00E619D3">
              <w:rPr>
                <w:noProof/>
                <w:webHidden/>
              </w:rPr>
              <w:fldChar w:fldCharType="begin"/>
            </w:r>
            <w:r w:rsidR="00E619D3">
              <w:rPr>
                <w:noProof/>
                <w:webHidden/>
              </w:rPr>
              <w:instrText xml:space="preserve"> PAGEREF _Toc131018341 \h </w:instrText>
            </w:r>
            <w:r w:rsidR="00E619D3">
              <w:rPr>
                <w:noProof/>
                <w:webHidden/>
              </w:rPr>
            </w:r>
            <w:r w:rsidR="00E619D3">
              <w:rPr>
                <w:noProof/>
                <w:webHidden/>
              </w:rPr>
              <w:fldChar w:fldCharType="separate"/>
            </w:r>
            <w:r w:rsidR="00E619D3">
              <w:rPr>
                <w:noProof/>
                <w:webHidden/>
              </w:rPr>
              <w:t>123</w:t>
            </w:r>
            <w:r w:rsidR="00E619D3">
              <w:rPr>
                <w:noProof/>
                <w:webHidden/>
              </w:rPr>
              <w:fldChar w:fldCharType="end"/>
            </w:r>
          </w:hyperlink>
        </w:p>
        <w:p w14:paraId="5BC9E7B9" w14:textId="6FDD04FD" w:rsidR="0045081A" w:rsidRDefault="00EF6098" w:rsidP="0045081A">
          <w:pPr>
            <w:pStyle w:val="TOC1"/>
            <w:rPr>
              <w:noProof/>
            </w:rPr>
          </w:pPr>
          <w:r>
            <w:rPr>
              <w:rFonts w:cs="Times New Roman"/>
              <w:szCs w:val="24"/>
            </w:rPr>
            <w:fldChar w:fldCharType="end"/>
          </w:r>
        </w:p>
      </w:sdtContent>
    </w:sdt>
    <w:p w14:paraId="3BD47574" w14:textId="1DF320E1" w:rsidR="00AD13C1" w:rsidRPr="00723DA9" w:rsidRDefault="006C690B" w:rsidP="00AD13C1">
      <w:pPr>
        <w:pStyle w:val="Heading1"/>
        <w:numPr>
          <w:ilvl w:val="0"/>
          <w:numId w:val="0"/>
        </w:numPr>
        <w:rPr>
          <w:rFonts w:cs="Times New Roman"/>
          <w:b w:val="0"/>
          <w:color w:val="auto"/>
          <w:szCs w:val="24"/>
        </w:rPr>
      </w:pPr>
      <w:r w:rsidRPr="00723DA9">
        <w:rPr>
          <w:rFonts w:cs="Times New Roman"/>
          <w:szCs w:val="24"/>
        </w:rPr>
        <w:br w:type="page"/>
      </w:r>
      <w:bookmarkStart w:id="2" w:name="_Toc130995422"/>
      <w:bookmarkStart w:id="3" w:name="_Toc131018287"/>
      <w:r w:rsidR="00AD13C1" w:rsidRPr="00723DA9">
        <w:rPr>
          <w:rFonts w:cs="Times New Roman"/>
          <w:color w:val="auto"/>
          <w:szCs w:val="24"/>
        </w:rPr>
        <w:lastRenderedPageBreak/>
        <w:t xml:space="preserve">List of </w:t>
      </w:r>
      <w:r w:rsidR="00AD13C1">
        <w:rPr>
          <w:rFonts w:cs="Times New Roman"/>
          <w:color w:val="auto"/>
          <w:szCs w:val="24"/>
        </w:rPr>
        <w:t>Tables</w:t>
      </w:r>
      <w:bookmarkEnd w:id="2"/>
      <w:bookmarkEnd w:id="3"/>
    </w:p>
    <w:p w14:paraId="3D029690" w14:textId="1C8BE512" w:rsidR="007B297F" w:rsidRDefault="00AD13C1">
      <w:pPr>
        <w:pStyle w:val="TableofFigures"/>
        <w:rPr>
          <w:rFonts w:asciiTheme="minorHAnsi" w:hAnsiTheme="minorHAnsi"/>
          <w:b w:val="0"/>
          <w:noProof/>
          <w:kern w:val="2"/>
          <w:sz w:val="21"/>
          <w14:ligatures w14:val="standardContextual"/>
        </w:rPr>
      </w:pPr>
      <w:r w:rsidRPr="00D60A80">
        <w:rPr>
          <w:rFonts w:cs="Times New Roman"/>
          <w:szCs w:val="24"/>
        </w:rPr>
        <w:fldChar w:fldCharType="begin"/>
      </w:r>
      <w:r w:rsidRPr="00D60A80">
        <w:rPr>
          <w:rFonts w:cs="Times New Roman"/>
          <w:szCs w:val="24"/>
        </w:rPr>
        <w:instrText xml:space="preserve"> TOC \h \z \c "Table" </w:instrText>
      </w:r>
      <w:r w:rsidRPr="00D60A80">
        <w:rPr>
          <w:rFonts w:cs="Times New Roman"/>
          <w:szCs w:val="24"/>
        </w:rPr>
        <w:fldChar w:fldCharType="separate"/>
      </w:r>
      <w:hyperlink w:anchor="_Toc134695257" w:history="1">
        <w:r w:rsidR="007B297F" w:rsidRPr="0024059E">
          <w:rPr>
            <w:rStyle w:val="Hyperlink"/>
            <w:noProof/>
          </w:rPr>
          <w:t>Table 3.1 List of three high-impact weather events for assessing the impact of assimilating GOES-13/16 retrieval observations in convective-scale NWP. 3- to 6-hour forecasts are launched at 1-hour intervals from 2000 to 2300 UTC.</w:t>
        </w:r>
        <w:r w:rsidR="007B297F">
          <w:rPr>
            <w:noProof/>
            <w:webHidden/>
          </w:rPr>
          <w:tab/>
        </w:r>
        <w:r w:rsidR="007B297F">
          <w:rPr>
            <w:noProof/>
            <w:webHidden/>
          </w:rPr>
          <w:fldChar w:fldCharType="begin"/>
        </w:r>
        <w:r w:rsidR="007B297F">
          <w:rPr>
            <w:noProof/>
            <w:webHidden/>
          </w:rPr>
          <w:instrText xml:space="preserve"> PAGEREF _Toc134695257 \h </w:instrText>
        </w:r>
        <w:r w:rsidR="007B297F">
          <w:rPr>
            <w:noProof/>
            <w:webHidden/>
          </w:rPr>
        </w:r>
        <w:r w:rsidR="007B297F">
          <w:rPr>
            <w:noProof/>
            <w:webHidden/>
          </w:rPr>
          <w:fldChar w:fldCharType="separate"/>
        </w:r>
        <w:r w:rsidR="007B297F">
          <w:rPr>
            <w:noProof/>
            <w:webHidden/>
          </w:rPr>
          <w:t>16</w:t>
        </w:r>
        <w:r w:rsidR="007B297F">
          <w:rPr>
            <w:noProof/>
            <w:webHidden/>
          </w:rPr>
          <w:fldChar w:fldCharType="end"/>
        </w:r>
      </w:hyperlink>
    </w:p>
    <w:p w14:paraId="2756D5F9" w14:textId="05C86CA0" w:rsidR="007B297F" w:rsidRDefault="007B297F">
      <w:pPr>
        <w:pStyle w:val="TableofFigures"/>
        <w:rPr>
          <w:rFonts w:asciiTheme="minorHAnsi" w:hAnsiTheme="minorHAnsi"/>
          <w:b w:val="0"/>
          <w:noProof/>
          <w:kern w:val="2"/>
          <w:sz w:val="21"/>
          <w14:ligatures w14:val="standardContextual"/>
        </w:rPr>
      </w:pPr>
      <w:hyperlink w:anchor="_Toc134695258" w:history="1">
        <w:r w:rsidRPr="0024059E">
          <w:rPr>
            <w:rStyle w:val="Hyperlink"/>
            <w:noProof/>
          </w:rPr>
          <w:t xml:space="preserve">Table 3.2 PBL and radiation scheme combinations for 36 ensemble members of each 2017 event. Deterministic member indicates the extra member used for deterministic analysis and forecast. The PBL schemes include MYJ </w:t>
        </w:r>
        <w:r w:rsidRPr="0024059E">
          <w:rPr>
            <w:rStyle w:val="Hyperlink"/>
            <w:rFonts w:cs="Times New Roman"/>
            <w:noProof/>
          </w:rPr>
          <w:t>(Janjić 1994)</w:t>
        </w:r>
        <w:r w:rsidRPr="0024059E">
          <w:rPr>
            <w:rStyle w:val="Hyperlink"/>
            <w:noProof/>
          </w:rPr>
          <w:t>, YSU (Hong et al. 2006), and MYNN2 (Nakanishi and Niino 2004). The radiation schemes include Dudhia (Dudhia 1989), RRTM (Mlawer et al. 1997), RRTMG (Iacono et al. 2008), and Goddard (Chou et al. 1999).</w:t>
        </w:r>
        <w:r>
          <w:rPr>
            <w:noProof/>
            <w:webHidden/>
          </w:rPr>
          <w:tab/>
        </w:r>
        <w:r>
          <w:rPr>
            <w:noProof/>
            <w:webHidden/>
          </w:rPr>
          <w:fldChar w:fldCharType="begin"/>
        </w:r>
        <w:r>
          <w:rPr>
            <w:noProof/>
            <w:webHidden/>
          </w:rPr>
          <w:instrText xml:space="preserve"> PAGEREF _Toc134695258 \h </w:instrText>
        </w:r>
        <w:r>
          <w:rPr>
            <w:noProof/>
            <w:webHidden/>
          </w:rPr>
        </w:r>
        <w:r>
          <w:rPr>
            <w:noProof/>
            <w:webHidden/>
          </w:rPr>
          <w:fldChar w:fldCharType="separate"/>
        </w:r>
        <w:r>
          <w:rPr>
            <w:noProof/>
            <w:webHidden/>
          </w:rPr>
          <w:t>21</w:t>
        </w:r>
        <w:r>
          <w:rPr>
            <w:noProof/>
            <w:webHidden/>
          </w:rPr>
          <w:fldChar w:fldCharType="end"/>
        </w:r>
      </w:hyperlink>
    </w:p>
    <w:p w14:paraId="495B8C1F" w14:textId="2BCB13F2" w:rsidR="007B297F" w:rsidRDefault="007B297F">
      <w:pPr>
        <w:pStyle w:val="TableofFigures"/>
        <w:rPr>
          <w:rFonts w:asciiTheme="minorHAnsi" w:hAnsiTheme="minorHAnsi"/>
          <w:b w:val="0"/>
          <w:noProof/>
          <w:kern w:val="2"/>
          <w:sz w:val="21"/>
          <w14:ligatures w14:val="standardContextual"/>
        </w:rPr>
      </w:pPr>
      <w:hyperlink w:anchor="_Toc134695259" w:history="1">
        <w:r w:rsidRPr="0024059E">
          <w:rPr>
            <w:rStyle w:val="Hyperlink"/>
            <w:noProof/>
          </w:rPr>
          <w:t>Table 3.3 Observation errors and recursive filter radius used in the variational component of the hybrid 3DEnVar system. The vertical radius of the recursive filter is given in grid points.</w:t>
        </w:r>
        <w:r>
          <w:rPr>
            <w:noProof/>
            <w:webHidden/>
          </w:rPr>
          <w:tab/>
        </w:r>
        <w:r>
          <w:rPr>
            <w:noProof/>
            <w:webHidden/>
          </w:rPr>
          <w:fldChar w:fldCharType="begin"/>
        </w:r>
        <w:r>
          <w:rPr>
            <w:noProof/>
            <w:webHidden/>
          </w:rPr>
          <w:instrText xml:space="preserve"> PAGEREF _Toc134695259 \h </w:instrText>
        </w:r>
        <w:r>
          <w:rPr>
            <w:noProof/>
            <w:webHidden/>
          </w:rPr>
        </w:r>
        <w:r>
          <w:rPr>
            <w:noProof/>
            <w:webHidden/>
          </w:rPr>
          <w:fldChar w:fldCharType="separate"/>
        </w:r>
        <w:r>
          <w:rPr>
            <w:noProof/>
            <w:webHidden/>
          </w:rPr>
          <w:t>26</w:t>
        </w:r>
        <w:r>
          <w:rPr>
            <w:noProof/>
            <w:webHidden/>
          </w:rPr>
          <w:fldChar w:fldCharType="end"/>
        </w:r>
      </w:hyperlink>
    </w:p>
    <w:p w14:paraId="581B52DC" w14:textId="5FD05B2A" w:rsidR="007B297F" w:rsidRDefault="007B297F">
      <w:pPr>
        <w:pStyle w:val="TableofFigures"/>
        <w:rPr>
          <w:rFonts w:asciiTheme="minorHAnsi" w:hAnsiTheme="minorHAnsi"/>
          <w:b w:val="0"/>
          <w:noProof/>
          <w:kern w:val="2"/>
          <w:sz w:val="21"/>
          <w14:ligatures w14:val="standardContextual"/>
        </w:rPr>
      </w:pPr>
      <w:hyperlink w:anchor="_Toc134695260" w:history="1">
        <w:r w:rsidRPr="0024059E">
          <w:rPr>
            <w:rStyle w:val="Hyperlink"/>
            <w:noProof/>
          </w:rPr>
          <w:t xml:space="preserve">Table 5.1 Events used for testing WoF-Hybrid with their associated </w:t>
        </w:r>
        <w:r w:rsidRPr="0024059E">
          <w:rPr>
            <w:rStyle w:val="Hyperlink"/>
            <w:rFonts w:eastAsia="Times New Roman"/>
            <w:noProof/>
          </w:rPr>
          <w:t>highest risk, number of tornado and hail reports, affected states, storm mode and verification period</w:t>
        </w:r>
        <w:r w:rsidRPr="0024059E">
          <w:rPr>
            <w:rStyle w:val="Hyperlink"/>
            <w:noProof/>
          </w:rPr>
          <w:t>.</w:t>
        </w:r>
        <w:r>
          <w:rPr>
            <w:noProof/>
            <w:webHidden/>
          </w:rPr>
          <w:tab/>
        </w:r>
        <w:r>
          <w:rPr>
            <w:noProof/>
            <w:webHidden/>
          </w:rPr>
          <w:fldChar w:fldCharType="begin"/>
        </w:r>
        <w:r>
          <w:rPr>
            <w:noProof/>
            <w:webHidden/>
          </w:rPr>
          <w:instrText xml:space="preserve"> PAGEREF _Toc134695260 \h </w:instrText>
        </w:r>
        <w:r>
          <w:rPr>
            <w:noProof/>
            <w:webHidden/>
          </w:rPr>
        </w:r>
        <w:r>
          <w:rPr>
            <w:noProof/>
            <w:webHidden/>
          </w:rPr>
          <w:fldChar w:fldCharType="separate"/>
        </w:r>
        <w:r>
          <w:rPr>
            <w:noProof/>
            <w:webHidden/>
          </w:rPr>
          <w:t>92</w:t>
        </w:r>
        <w:r>
          <w:rPr>
            <w:noProof/>
            <w:webHidden/>
          </w:rPr>
          <w:fldChar w:fldCharType="end"/>
        </w:r>
      </w:hyperlink>
    </w:p>
    <w:p w14:paraId="2B469458" w14:textId="684065F6" w:rsidR="007B297F" w:rsidRDefault="007B297F">
      <w:pPr>
        <w:pStyle w:val="TableofFigures"/>
        <w:rPr>
          <w:rFonts w:asciiTheme="minorHAnsi" w:hAnsiTheme="minorHAnsi"/>
          <w:b w:val="0"/>
          <w:noProof/>
          <w:kern w:val="2"/>
          <w:sz w:val="21"/>
          <w14:ligatures w14:val="standardContextual"/>
        </w:rPr>
      </w:pPr>
      <w:hyperlink w:anchor="_Toc134695261" w:history="1">
        <w:r w:rsidRPr="0024059E">
          <w:rPr>
            <w:rStyle w:val="Hyperlink"/>
            <w:noProof/>
          </w:rPr>
          <w:t>Table 5.2 Experiments used for examining the weather-dependent static B in WoF-Hybrid.</w:t>
        </w:r>
        <w:r>
          <w:rPr>
            <w:noProof/>
            <w:webHidden/>
          </w:rPr>
          <w:tab/>
        </w:r>
        <w:r>
          <w:rPr>
            <w:noProof/>
            <w:webHidden/>
          </w:rPr>
          <w:fldChar w:fldCharType="begin"/>
        </w:r>
        <w:r>
          <w:rPr>
            <w:noProof/>
            <w:webHidden/>
          </w:rPr>
          <w:instrText xml:space="preserve"> PAGEREF _Toc134695261 \h </w:instrText>
        </w:r>
        <w:r>
          <w:rPr>
            <w:noProof/>
            <w:webHidden/>
          </w:rPr>
        </w:r>
        <w:r>
          <w:rPr>
            <w:noProof/>
            <w:webHidden/>
          </w:rPr>
          <w:fldChar w:fldCharType="separate"/>
        </w:r>
        <w:r>
          <w:rPr>
            <w:noProof/>
            <w:webHidden/>
          </w:rPr>
          <w:t>93</w:t>
        </w:r>
        <w:r>
          <w:rPr>
            <w:noProof/>
            <w:webHidden/>
          </w:rPr>
          <w:fldChar w:fldCharType="end"/>
        </w:r>
      </w:hyperlink>
    </w:p>
    <w:p w14:paraId="40AF8D66" w14:textId="4DB5C650" w:rsidR="006C690B" w:rsidRPr="00723DA9" w:rsidRDefault="00AD13C1" w:rsidP="008C58F8">
      <w:pPr>
        <w:spacing w:after="240" w:line="240" w:lineRule="auto"/>
        <w:ind w:firstLine="0"/>
        <w:rPr>
          <w:rFonts w:cs="Times New Roman"/>
          <w:b/>
          <w:szCs w:val="24"/>
        </w:rPr>
      </w:pPr>
      <w:r w:rsidRPr="00D60A80">
        <w:rPr>
          <w:rFonts w:cs="Times New Roman"/>
          <w:b/>
          <w:szCs w:val="24"/>
        </w:rPr>
        <w:fldChar w:fldCharType="end"/>
      </w:r>
    </w:p>
    <w:p w14:paraId="29D04D96" w14:textId="77777777" w:rsidR="006C690B" w:rsidRPr="00723DA9" w:rsidRDefault="006C690B" w:rsidP="006C690B">
      <w:pPr>
        <w:rPr>
          <w:rFonts w:cs="Times New Roman"/>
          <w:b/>
          <w:szCs w:val="24"/>
        </w:rPr>
      </w:pPr>
      <w:r w:rsidRPr="00723DA9">
        <w:rPr>
          <w:rFonts w:cs="Times New Roman"/>
          <w:b/>
          <w:szCs w:val="24"/>
        </w:rPr>
        <w:br w:type="page"/>
      </w:r>
    </w:p>
    <w:p w14:paraId="4096C38F" w14:textId="77777777" w:rsidR="006C690B" w:rsidRPr="00723DA9" w:rsidRDefault="006C690B" w:rsidP="00AD13C1">
      <w:pPr>
        <w:pStyle w:val="Heading1"/>
        <w:numPr>
          <w:ilvl w:val="0"/>
          <w:numId w:val="0"/>
        </w:numPr>
        <w:rPr>
          <w:rFonts w:cs="Times New Roman"/>
          <w:b w:val="0"/>
          <w:color w:val="auto"/>
          <w:szCs w:val="24"/>
        </w:rPr>
      </w:pPr>
      <w:bookmarkStart w:id="4" w:name="_Toc130995423"/>
      <w:bookmarkStart w:id="5" w:name="_Toc131018288"/>
      <w:r w:rsidRPr="00723DA9">
        <w:rPr>
          <w:rFonts w:cs="Times New Roman"/>
          <w:color w:val="auto"/>
          <w:szCs w:val="24"/>
        </w:rPr>
        <w:lastRenderedPageBreak/>
        <w:t>List of Figures</w:t>
      </w:r>
      <w:bookmarkEnd w:id="4"/>
      <w:bookmarkEnd w:id="5"/>
    </w:p>
    <w:p w14:paraId="7AA5C957" w14:textId="337ED199" w:rsidR="007B297F" w:rsidRDefault="008C58F8">
      <w:pPr>
        <w:pStyle w:val="TableofFigures"/>
        <w:rPr>
          <w:rFonts w:asciiTheme="minorHAnsi" w:hAnsiTheme="minorHAnsi"/>
          <w:b w:val="0"/>
          <w:noProof/>
          <w:kern w:val="2"/>
          <w:sz w:val="21"/>
          <w14:ligatures w14:val="standardContextual"/>
        </w:rPr>
      </w:pPr>
      <w:r w:rsidRPr="00D60A80">
        <w:rPr>
          <w:rFonts w:cs="Times New Roman"/>
          <w:szCs w:val="24"/>
        </w:rPr>
        <w:fldChar w:fldCharType="begin"/>
      </w:r>
      <w:r w:rsidRPr="00D60A80">
        <w:rPr>
          <w:rFonts w:cs="Times New Roman"/>
          <w:szCs w:val="24"/>
        </w:rPr>
        <w:instrText xml:space="preserve"> TOC \h \z \c "Figure" </w:instrText>
      </w:r>
      <w:r w:rsidRPr="00D60A80">
        <w:rPr>
          <w:rFonts w:cs="Times New Roman"/>
          <w:szCs w:val="24"/>
        </w:rPr>
        <w:fldChar w:fldCharType="separate"/>
      </w:r>
      <w:hyperlink w:anchor="_Toc134695262" w:history="1">
        <w:r w:rsidR="007B297F" w:rsidRPr="00FB79DE">
          <w:rPr>
            <w:rStyle w:val="Hyperlink"/>
            <w:noProof/>
          </w:rPr>
          <w:t>Figure 3.1 Schematic diagram of a single hybrid 3DEnVAR data assimilation cycle (Modified based on Fig. 1(a) of Wang et al. 2013).</w:t>
        </w:r>
        <w:r w:rsidR="007B297F">
          <w:rPr>
            <w:noProof/>
            <w:webHidden/>
          </w:rPr>
          <w:tab/>
        </w:r>
        <w:r w:rsidR="007B297F">
          <w:rPr>
            <w:noProof/>
            <w:webHidden/>
          </w:rPr>
          <w:fldChar w:fldCharType="begin"/>
        </w:r>
        <w:r w:rsidR="007B297F">
          <w:rPr>
            <w:noProof/>
            <w:webHidden/>
          </w:rPr>
          <w:instrText xml:space="preserve"> PAGEREF _Toc134695262 \h </w:instrText>
        </w:r>
        <w:r w:rsidR="007B297F">
          <w:rPr>
            <w:noProof/>
            <w:webHidden/>
          </w:rPr>
        </w:r>
        <w:r w:rsidR="007B297F">
          <w:rPr>
            <w:noProof/>
            <w:webHidden/>
          </w:rPr>
          <w:fldChar w:fldCharType="separate"/>
        </w:r>
        <w:r w:rsidR="007B297F">
          <w:rPr>
            <w:noProof/>
            <w:webHidden/>
          </w:rPr>
          <w:t>23</w:t>
        </w:r>
        <w:r w:rsidR="007B297F">
          <w:rPr>
            <w:noProof/>
            <w:webHidden/>
          </w:rPr>
          <w:fldChar w:fldCharType="end"/>
        </w:r>
      </w:hyperlink>
    </w:p>
    <w:p w14:paraId="452A09CA" w14:textId="77C9E85B" w:rsidR="007B297F" w:rsidRDefault="007B297F">
      <w:pPr>
        <w:pStyle w:val="TableofFigures"/>
        <w:rPr>
          <w:rFonts w:asciiTheme="minorHAnsi" w:hAnsiTheme="minorHAnsi"/>
          <w:b w:val="0"/>
          <w:noProof/>
          <w:kern w:val="2"/>
          <w:sz w:val="21"/>
          <w14:ligatures w14:val="standardContextual"/>
        </w:rPr>
      </w:pPr>
      <w:hyperlink w:anchor="_Toc134695263" w:history="1">
        <w:r w:rsidRPr="00FB79DE">
          <w:rPr>
            <w:rStyle w:val="Hyperlink"/>
            <w:noProof/>
          </w:rPr>
          <w:t>Figure 3.2 The flowchart representing assimilation cycles for experiments used by all three high-impact weather events listed in Table 3.1. Times used in this figure are in UTC.</w:t>
        </w:r>
        <w:r>
          <w:rPr>
            <w:noProof/>
            <w:webHidden/>
          </w:rPr>
          <w:tab/>
        </w:r>
        <w:r>
          <w:rPr>
            <w:noProof/>
            <w:webHidden/>
          </w:rPr>
          <w:fldChar w:fldCharType="begin"/>
        </w:r>
        <w:r>
          <w:rPr>
            <w:noProof/>
            <w:webHidden/>
          </w:rPr>
          <w:instrText xml:space="preserve"> PAGEREF _Toc134695263 \h </w:instrText>
        </w:r>
        <w:r>
          <w:rPr>
            <w:noProof/>
            <w:webHidden/>
          </w:rPr>
        </w:r>
        <w:r>
          <w:rPr>
            <w:noProof/>
            <w:webHidden/>
          </w:rPr>
          <w:fldChar w:fldCharType="separate"/>
        </w:r>
        <w:r>
          <w:rPr>
            <w:noProof/>
            <w:webHidden/>
          </w:rPr>
          <w:t>23</w:t>
        </w:r>
        <w:r>
          <w:rPr>
            <w:noProof/>
            <w:webHidden/>
          </w:rPr>
          <w:fldChar w:fldCharType="end"/>
        </w:r>
      </w:hyperlink>
    </w:p>
    <w:p w14:paraId="78C65588" w14:textId="46546FDE" w:rsidR="007B297F" w:rsidRDefault="007B297F">
      <w:pPr>
        <w:pStyle w:val="TableofFigures"/>
        <w:rPr>
          <w:rFonts w:asciiTheme="minorHAnsi" w:hAnsiTheme="minorHAnsi"/>
          <w:b w:val="0"/>
          <w:noProof/>
          <w:kern w:val="2"/>
          <w:sz w:val="21"/>
          <w14:ligatures w14:val="standardContextual"/>
        </w:rPr>
      </w:pPr>
      <w:hyperlink w:anchor="_Toc134695264" w:history="1">
        <w:r w:rsidRPr="00FB79DE">
          <w:rPr>
            <w:rStyle w:val="Hyperlink"/>
            <w:noProof/>
          </w:rPr>
          <w:t>Figure 3.3 Locations of the observations assimilated into the hybrid 3DEnVAR system at 1800 UTC for (a) 10 May, (b) 16 May and (c) 26 May 2017 events. Black squares represent surface observations. Green circles represent the coverage of radars. Blue dots and red crosses are the CWP observations in cloudy area and LPW observations, respectively.</w:t>
        </w:r>
        <w:r>
          <w:rPr>
            <w:noProof/>
            <w:webHidden/>
          </w:rPr>
          <w:tab/>
        </w:r>
        <w:r>
          <w:rPr>
            <w:noProof/>
            <w:webHidden/>
          </w:rPr>
          <w:fldChar w:fldCharType="begin"/>
        </w:r>
        <w:r>
          <w:rPr>
            <w:noProof/>
            <w:webHidden/>
          </w:rPr>
          <w:instrText xml:space="preserve"> PAGEREF _Toc134695264 \h </w:instrText>
        </w:r>
        <w:r>
          <w:rPr>
            <w:noProof/>
            <w:webHidden/>
          </w:rPr>
        </w:r>
        <w:r>
          <w:rPr>
            <w:noProof/>
            <w:webHidden/>
          </w:rPr>
          <w:fldChar w:fldCharType="separate"/>
        </w:r>
        <w:r>
          <w:rPr>
            <w:noProof/>
            <w:webHidden/>
          </w:rPr>
          <w:t>25</w:t>
        </w:r>
        <w:r>
          <w:rPr>
            <w:noProof/>
            <w:webHidden/>
          </w:rPr>
          <w:fldChar w:fldCharType="end"/>
        </w:r>
      </w:hyperlink>
    </w:p>
    <w:p w14:paraId="6BCC49B9" w14:textId="68B921EB" w:rsidR="007B297F" w:rsidRDefault="007B297F">
      <w:pPr>
        <w:pStyle w:val="TableofFigures"/>
        <w:rPr>
          <w:rFonts w:asciiTheme="minorHAnsi" w:hAnsiTheme="minorHAnsi"/>
          <w:b w:val="0"/>
          <w:noProof/>
          <w:kern w:val="2"/>
          <w:sz w:val="21"/>
          <w14:ligatures w14:val="standardContextual"/>
        </w:rPr>
      </w:pPr>
      <w:hyperlink w:anchor="_Toc134695265" w:history="1">
        <w:r w:rsidRPr="00FB79DE">
          <w:rPr>
            <w:rStyle w:val="Hyperlink"/>
            <w:noProof/>
          </w:rPr>
          <w:t>Figure 3.4 Analyses of (a) – (e) surface temperature at 2 meters above the ground, and (f) – (j) downward shortwave flux at surface for CTRL, RAD, RADSAT, RADCWP and RADLPW experiment at 2000 UTC 10 May 2017.</w:t>
        </w:r>
        <w:r>
          <w:rPr>
            <w:noProof/>
            <w:webHidden/>
          </w:rPr>
          <w:tab/>
        </w:r>
        <w:r>
          <w:rPr>
            <w:noProof/>
            <w:webHidden/>
          </w:rPr>
          <w:fldChar w:fldCharType="begin"/>
        </w:r>
        <w:r>
          <w:rPr>
            <w:noProof/>
            <w:webHidden/>
          </w:rPr>
          <w:instrText xml:space="preserve"> PAGEREF _Toc134695265 \h </w:instrText>
        </w:r>
        <w:r>
          <w:rPr>
            <w:noProof/>
            <w:webHidden/>
          </w:rPr>
        </w:r>
        <w:r>
          <w:rPr>
            <w:noProof/>
            <w:webHidden/>
          </w:rPr>
          <w:fldChar w:fldCharType="separate"/>
        </w:r>
        <w:r>
          <w:rPr>
            <w:noProof/>
            <w:webHidden/>
          </w:rPr>
          <w:t>29</w:t>
        </w:r>
        <w:r>
          <w:rPr>
            <w:noProof/>
            <w:webHidden/>
          </w:rPr>
          <w:fldChar w:fldCharType="end"/>
        </w:r>
      </w:hyperlink>
    </w:p>
    <w:p w14:paraId="17354036" w14:textId="1FB3FAC5" w:rsidR="007B297F" w:rsidRDefault="007B297F">
      <w:pPr>
        <w:pStyle w:val="TableofFigures"/>
        <w:rPr>
          <w:rFonts w:asciiTheme="minorHAnsi" w:hAnsiTheme="minorHAnsi"/>
          <w:b w:val="0"/>
          <w:noProof/>
          <w:kern w:val="2"/>
          <w:sz w:val="21"/>
          <w14:ligatures w14:val="standardContextual"/>
        </w:rPr>
      </w:pPr>
      <w:hyperlink w:anchor="_Toc134695266" w:history="1">
        <w:r w:rsidRPr="00FB79DE">
          <w:rPr>
            <w:rStyle w:val="Hyperlink"/>
            <w:noProof/>
          </w:rPr>
          <w:t>Figure 3.5 (a) Mesonet 1.5m surface temperature and (b) visible image from GOES-16 at 2000 UTC 10 May 2017.</w:t>
        </w:r>
        <w:r>
          <w:rPr>
            <w:noProof/>
            <w:webHidden/>
          </w:rPr>
          <w:tab/>
        </w:r>
        <w:r>
          <w:rPr>
            <w:noProof/>
            <w:webHidden/>
          </w:rPr>
          <w:fldChar w:fldCharType="begin"/>
        </w:r>
        <w:r>
          <w:rPr>
            <w:noProof/>
            <w:webHidden/>
          </w:rPr>
          <w:instrText xml:space="preserve"> PAGEREF _Toc134695266 \h </w:instrText>
        </w:r>
        <w:r>
          <w:rPr>
            <w:noProof/>
            <w:webHidden/>
          </w:rPr>
        </w:r>
        <w:r>
          <w:rPr>
            <w:noProof/>
            <w:webHidden/>
          </w:rPr>
          <w:fldChar w:fldCharType="separate"/>
        </w:r>
        <w:r>
          <w:rPr>
            <w:noProof/>
            <w:webHidden/>
          </w:rPr>
          <w:t>30</w:t>
        </w:r>
        <w:r>
          <w:rPr>
            <w:noProof/>
            <w:webHidden/>
          </w:rPr>
          <w:fldChar w:fldCharType="end"/>
        </w:r>
      </w:hyperlink>
    </w:p>
    <w:p w14:paraId="70ED10C9" w14:textId="6F8AAFE4" w:rsidR="007B297F" w:rsidRDefault="007B297F">
      <w:pPr>
        <w:pStyle w:val="TableofFigures"/>
        <w:rPr>
          <w:rFonts w:asciiTheme="minorHAnsi" w:hAnsiTheme="minorHAnsi"/>
          <w:b w:val="0"/>
          <w:noProof/>
          <w:kern w:val="2"/>
          <w:sz w:val="21"/>
          <w14:ligatures w14:val="standardContextual"/>
        </w:rPr>
      </w:pPr>
      <w:hyperlink w:anchor="_Toc134695267" w:history="1">
        <w:r w:rsidRPr="00FB79DE">
          <w:rPr>
            <w:rStyle w:val="Hyperlink"/>
            <w:noProof/>
          </w:rPr>
          <w:t>Figure 3.6 The differences of analyzed surface water vapor mixing ratio between (a) RAD and CTRL, between (b) RADSAT and CTRL, between (c) RADSAT and RAD, between (d) RADCWP and CTRL, and between (e) RADLPW and CTRL at 2000 UTC 10 May 2017. The black box highlights one of the differences of water vapor mixing ratio between RADSAT/RADLPW and CTRL. The blue box highlights one of differences of water vapor mixing ratio between RADSAT and CTRL/RAD.</w:t>
        </w:r>
        <w:r>
          <w:rPr>
            <w:noProof/>
            <w:webHidden/>
          </w:rPr>
          <w:tab/>
        </w:r>
        <w:r>
          <w:rPr>
            <w:noProof/>
            <w:webHidden/>
          </w:rPr>
          <w:fldChar w:fldCharType="begin"/>
        </w:r>
        <w:r>
          <w:rPr>
            <w:noProof/>
            <w:webHidden/>
          </w:rPr>
          <w:instrText xml:space="preserve"> PAGEREF _Toc134695267 \h </w:instrText>
        </w:r>
        <w:r>
          <w:rPr>
            <w:noProof/>
            <w:webHidden/>
          </w:rPr>
        </w:r>
        <w:r>
          <w:rPr>
            <w:noProof/>
            <w:webHidden/>
          </w:rPr>
          <w:fldChar w:fldCharType="separate"/>
        </w:r>
        <w:r>
          <w:rPr>
            <w:noProof/>
            <w:webHidden/>
          </w:rPr>
          <w:t>31</w:t>
        </w:r>
        <w:r>
          <w:rPr>
            <w:noProof/>
            <w:webHidden/>
          </w:rPr>
          <w:fldChar w:fldCharType="end"/>
        </w:r>
      </w:hyperlink>
    </w:p>
    <w:p w14:paraId="51A9DF90" w14:textId="61CCB5FA" w:rsidR="007B297F" w:rsidRDefault="007B297F">
      <w:pPr>
        <w:pStyle w:val="TableofFigures"/>
        <w:rPr>
          <w:rFonts w:asciiTheme="minorHAnsi" w:hAnsiTheme="minorHAnsi"/>
          <w:b w:val="0"/>
          <w:noProof/>
          <w:kern w:val="2"/>
          <w:sz w:val="21"/>
          <w14:ligatures w14:val="standardContextual"/>
        </w:rPr>
      </w:pPr>
      <w:hyperlink w:anchor="_Toc134695268" w:history="1">
        <w:r w:rsidRPr="00FB79DE">
          <w:rPr>
            <w:rStyle w:val="Hyperlink"/>
            <w:noProof/>
          </w:rPr>
          <w:t>Figure 3.7 (a) – (c) The lowest 75 hPa mixed layer convective inhibition (MLCIN) and (d) – (f) the lowest 75 hPa mixed layer convective available potential energy (MLCAPE) for CTRL, RAD and RADSAT experiments at 2000 UTC 10 May 2017.</w:t>
        </w:r>
        <w:r>
          <w:rPr>
            <w:noProof/>
            <w:webHidden/>
          </w:rPr>
          <w:tab/>
        </w:r>
        <w:r>
          <w:rPr>
            <w:noProof/>
            <w:webHidden/>
          </w:rPr>
          <w:fldChar w:fldCharType="begin"/>
        </w:r>
        <w:r>
          <w:rPr>
            <w:noProof/>
            <w:webHidden/>
          </w:rPr>
          <w:instrText xml:space="preserve"> PAGEREF _Toc134695268 \h </w:instrText>
        </w:r>
        <w:r>
          <w:rPr>
            <w:noProof/>
            <w:webHidden/>
          </w:rPr>
        </w:r>
        <w:r>
          <w:rPr>
            <w:noProof/>
            <w:webHidden/>
          </w:rPr>
          <w:fldChar w:fldCharType="separate"/>
        </w:r>
        <w:r>
          <w:rPr>
            <w:noProof/>
            <w:webHidden/>
          </w:rPr>
          <w:t>32</w:t>
        </w:r>
        <w:r>
          <w:rPr>
            <w:noProof/>
            <w:webHidden/>
          </w:rPr>
          <w:fldChar w:fldCharType="end"/>
        </w:r>
      </w:hyperlink>
    </w:p>
    <w:p w14:paraId="7CF26A8E" w14:textId="74B25AF8" w:rsidR="007B297F" w:rsidRDefault="007B297F">
      <w:pPr>
        <w:pStyle w:val="TableofFigures"/>
        <w:rPr>
          <w:rFonts w:asciiTheme="minorHAnsi" w:hAnsiTheme="minorHAnsi"/>
          <w:b w:val="0"/>
          <w:noProof/>
          <w:kern w:val="2"/>
          <w:sz w:val="21"/>
          <w14:ligatures w14:val="standardContextual"/>
        </w:rPr>
      </w:pPr>
      <w:hyperlink w:anchor="_Toc134695269" w:history="1">
        <w:r w:rsidRPr="00FB79DE">
          <w:rPr>
            <w:rStyle w:val="Hyperlink"/>
            <w:noProof/>
          </w:rPr>
          <w:t>Figure 3.8 As in Fig. 3.6, but for 2100 UTC 16 May 2017. The black box indicates the positive difference between RADSAT and CTRL/RAD.</w:t>
        </w:r>
        <w:r>
          <w:rPr>
            <w:noProof/>
            <w:webHidden/>
          </w:rPr>
          <w:tab/>
        </w:r>
        <w:r>
          <w:rPr>
            <w:noProof/>
            <w:webHidden/>
          </w:rPr>
          <w:fldChar w:fldCharType="begin"/>
        </w:r>
        <w:r>
          <w:rPr>
            <w:noProof/>
            <w:webHidden/>
          </w:rPr>
          <w:instrText xml:space="preserve"> PAGEREF _Toc134695269 \h </w:instrText>
        </w:r>
        <w:r>
          <w:rPr>
            <w:noProof/>
            <w:webHidden/>
          </w:rPr>
        </w:r>
        <w:r>
          <w:rPr>
            <w:noProof/>
            <w:webHidden/>
          </w:rPr>
          <w:fldChar w:fldCharType="separate"/>
        </w:r>
        <w:r>
          <w:rPr>
            <w:noProof/>
            <w:webHidden/>
          </w:rPr>
          <w:t>34</w:t>
        </w:r>
        <w:r>
          <w:rPr>
            <w:noProof/>
            <w:webHidden/>
          </w:rPr>
          <w:fldChar w:fldCharType="end"/>
        </w:r>
      </w:hyperlink>
    </w:p>
    <w:p w14:paraId="7AEEC238" w14:textId="37F0237B" w:rsidR="007B297F" w:rsidRDefault="007B297F">
      <w:pPr>
        <w:pStyle w:val="TableofFigures"/>
        <w:rPr>
          <w:rFonts w:asciiTheme="minorHAnsi" w:hAnsiTheme="minorHAnsi"/>
          <w:b w:val="0"/>
          <w:noProof/>
          <w:kern w:val="2"/>
          <w:sz w:val="21"/>
          <w14:ligatures w14:val="standardContextual"/>
        </w:rPr>
      </w:pPr>
      <w:hyperlink w:anchor="_Toc134695270" w:history="1">
        <w:r w:rsidRPr="00FB79DE">
          <w:rPr>
            <w:rStyle w:val="Hyperlink"/>
            <w:noProof/>
          </w:rPr>
          <w:t>Figure 3.9 The differences of analyzed water vapor mixing at surface between experiments (a) – (c) and 0 - 1km wind shear for (d) CTRL, (e) RAD and (f) RADSAT at 2100 UTC 26 May 2017.</w:t>
        </w:r>
        <w:r>
          <w:rPr>
            <w:noProof/>
            <w:webHidden/>
          </w:rPr>
          <w:tab/>
        </w:r>
        <w:r>
          <w:rPr>
            <w:noProof/>
            <w:webHidden/>
          </w:rPr>
          <w:fldChar w:fldCharType="begin"/>
        </w:r>
        <w:r>
          <w:rPr>
            <w:noProof/>
            <w:webHidden/>
          </w:rPr>
          <w:instrText xml:space="preserve"> PAGEREF _Toc134695270 \h </w:instrText>
        </w:r>
        <w:r>
          <w:rPr>
            <w:noProof/>
            <w:webHidden/>
          </w:rPr>
        </w:r>
        <w:r>
          <w:rPr>
            <w:noProof/>
            <w:webHidden/>
          </w:rPr>
          <w:fldChar w:fldCharType="separate"/>
        </w:r>
        <w:r>
          <w:rPr>
            <w:noProof/>
            <w:webHidden/>
          </w:rPr>
          <w:t>36</w:t>
        </w:r>
        <w:r>
          <w:rPr>
            <w:noProof/>
            <w:webHidden/>
          </w:rPr>
          <w:fldChar w:fldCharType="end"/>
        </w:r>
      </w:hyperlink>
    </w:p>
    <w:p w14:paraId="349DC944" w14:textId="08293CE1" w:rsidR="007B297F" w:rsidRDefault="007B297F">
      <w:pPr>
        <w:pStyle w:val="TableofFigures"/>
        <w:rPr>
          <w:rFonts w:asciiTheme="minorHAnsi" w:hAnsiTheme="minorHAnsi"/>
          <w:b w:val="0"/>
          <w:noProof/>
          <w:kern w:val="2"/>
          <w:sz w:val="21"/>
          <w14:ligatures w14:val="standardContextual"/>
        </w:rPr>
      </w:pPr>
      <w:hyperlink w:anchor="_Toc134695271" w:history="1">
        <w:r w:rsidRPr="00FB79DE">
          <w:rPr>
            <w:rStyle w:val="Hyperlink"/>
            <w:noProof/>
          </w:rPr>
          <w:t>Figure 3.10 The composite reflectivity from MRMS (the first column), forecasted composite reflectivity for CTRL (the second column), RAD (the third column) and RADSAT (the fourth column). The first row (a-d) is from the analysis at 2000 UTC, 10 May 2017; the second (e-h), third (i-l), fourth (m-p), fifth (q-t), sixth (u-x) rows are from 1h, 2h, 3h, 4h, 5h forecasts initiated at 2000 UTC respectively. Boxes in (f) and (g) indicate the locations of overprediction without using satellite observations during the assimilation cycles.</w:t>
        </w:r>
        <w:r>
          <w:rPr>
            <w:noProof/>
            <w:webHidden/>
          </w:rPr>
          <w:tab/>
        </w:r>
        <w:r>
          <w:rPr>
            <w:noProof/>
            <w:webHidden/>
          </w:rPr>
          <w:fldChar w:fldCharType="begin"/>
        </w:r>
        <w:r>
          <w:rPr>
            <w:noProof/>
            <w:webHidden/>
          </w:rPr>
          <w:instrText xml:space="preserve"> PAGEREF _Toc134695271 \h </w:instrText>
        </w:r>
        <w:r>
          <w:rPr>
            <w:noProof/>
            <w:webHidden/>
          </w:rPr>
        </w:r>
        <w:r>
          <w:rPr>
            <w:noProof/>
            <w:webHidden/>
          </w:rPr>
          <w:fldChar w:fldCharType="separate"/>
        </w:r>
        <w:r>
          <w:rPr>
            <w:noProof/>
            <w:webHidden/>
          </w:rPr>
          <w:t>38</w:t>
        </w:r>
        <w:r>
          <w:rPr>
            <w:noProof/>
            <w:webHidden/>
          </w:rPr>
          <w:fldChar w:fldCharType="end"/>
        </w:r>
      </w:hyperlink>
    </w:p>
    <w:p w14:paraId="243F1756" w14:textId="553E9DFE" w:rsidR="007B297F" w:rsidRDefault="007B297F">
      <w:pPr>
        <w:pStyle w:val="TableofFigures"/>
        <w:rPr>
          <w:rFonts w:asciiTheme="minorHAnsi" w:hAnsiTheme="minorHAnsi"/>
          <w:b w:val="0"/>
          <w:noProof/>
          <w:kern w:val="2"/>
          <w:sz w:val="21"/>
          <w14:ligatures w14:val="standardContextual"/>
        </w:rPr>
      </w:pPr>
      <w:hyperlink w:anchor="_Toc134695272" w:history="1">
        <w:r w:rsidRPr="00FB79DE">
          <w:rPr>
            <w:rStyle w:val="Hyperlink"/>
            <w:noProof/>
          </w:rPr>
          <w:t>Figure 3.11 As in Fig. 3.10, but for 3-hour forecasts initiated at 2100 UTC, 16 May 2017.</w:t>
        </w:r>
        <w:r>
          <w:rPr>
            <w:noProof/>
            <w:webHidden/>
          </w:rPr>
          <w:tab/>
        </w:r>
        <w:r>
          <w:rPr>
            <w:noProof/>
            <w:webHidden/>
          </w:rPr>
          <w:fldChar w:fldCharType="begin"/>
        </w:r>
        <w:r>
          <w:rPr>
            <w:noProof/>
            <w:webHidden/>
          </w:rPr>
          <w:instrText xml:space="preserve"> PAGEREF _Toc134695272 \h </w:instrText>
        </w:r>
        <w:r>
          <w:rPr>
            <w:noProof/>
            <w:webHidden/>
          </w:rPr>
        </w:r>
        <w:r>
          <w:rPr>
            <w:noProof/>
            <w:webHidden/>
          </w:rPr>
          <w:fldChar w:fldCharType="separate"/>
        </w:r>
        <w:r>
          <w:rPr>
            <w:noProof/>
            <w:webHidden/>
          </w:rPr>
          <w:t>39</w:t>
        </w:r>
        <w:r>
          <w:rPr>
            <w:noProof/>
            <w:webHidden/>
          </w:rPr>
          <w:fldChar w:fldCharType="end"/>
        </w:r>
      </w:hyperlink>
    </w:p>
    <w:p w14:paraId="236F0BB8" w14:textId="2D1F782F" w:rsidR="007B297F" w:rsidRDefault="007B297F">
      <w:pPr>
        <w:pStyle w:val="TableofFigures"/>
        <w:rPr>
          <w:rFonts w:asciiTheme="minorHAnsi" w:hAnsiTheme="minorHAnsi"/>
          <w:b w:val="0"/>
          <w:noProof/>
          <w:kern w:val="2"/>
          <w:sz w:val="21"/>
          <w14:ligatures w14:val="standardContextual"/>
        </w:rPr>
      </w:pPr>
      <w:hyperlink w:anchor="_Toc134695273" w:history="1">
        <w:r w:rsidRPr="00FB79DE">
          <w:rPr>
            <w:rStyle w:val="Hyperlink"/>
            <w:noProof/>
          </w:rPr>
          <w:t>Figure 3.12 As in Fig. 3.10, but for 3-hour forecasts initiated at 2100 UTC, 26 May 2017.</w:t>
        </w:r>
        <w:r>
          <w:rPr>
            <w:noProof/>
            <w:webHidden/>
          </w:rPr>
          <w:tab/>
        </w:r>
        <w:r>
          <w:rPr>
            <w:noProof/>
            <w:webHidden/>
          </w:rPr>
          <w:fldChar w:fldCharType="begin"/>
        </w:r>
        <w:r>
          <w:rPr>
            <w:noProof/>
            <w:webHidden/>
          </w:rPr>
          <w:instrText xml:space="preserve"> PAGEREF _Toc134695273 \h </w:instrText>
        </w:r>
        <w:r>
          <w:rPr>
            <w:noProof/>
            <w:webHidden/>
          </w:rPr>
        </w:r>
        <w:r>
          <w:rPr>
            <w:noProof/>
            <w:webHidden/>
          </w:rPr>
          <w:fldChar w:fldCharType="separate"/>
        </w:r>
        <w:r>
          <w:rPr>
            <w:noProof/>
            <w:webHidden/>
          </w:rPr>
          <w:t>40</w:t>
        </w:r>
        <w:r>
          <w:rPr>
            <w:noProof/>
            <w:webHidden/>
          </w:rPr>
          <w:fldChar w:fldCharType="end"/>
        </w:r>
      </w:hyperlink>
    </w:p>
    <w:p w14:paraId="762164A3" w14:textId="06E9D834" w:rsidR="007B297F" w:rsidRDefault="007B297F">
      <w:pPr>
        <w:pStyle w:val="TableofFigures"/>
        <w:rPr>
          <w:rFonts w:asciiTheme="minorHAnsi" w:hAnsiTheme="minorHAnsi"/>
          <w:b w:val="0"/>
          <w:noProof/>
          <w:kern w:val="2"/>
          <w:sz w:val="21"/>
          <w14:ligatures w14:val="standardContextual"/>
        </w:rPr>
      </w:pPr>
      <w:hyperlink w:anchor="_Toc134695274" w:history="1">
        <w:r w:rsidRPr="00FB79DE">
          <w:rPr>
            <w:rStyle w:val="Hyperlink"/>
            <w:noProof/>
          </w:rPr>
          <w:t>Figure 3.13 The tracks of UH between 2-5 km above ground (shaded) drawn from 6-hour forecasts initiated at 2000 UTC 10 May 2017 for the (a) CTRL, (b) RAD, (c) RADSAT, (d) RADCWP, and (e) RADLPW experiments. The red, blue and green markers indicate reports of tornadoes, damaging wind and large hail, respectively.</w:t>
        </w:r>
        <w:r>
          <w:rPr>
            <w:noProof/>
            <w:webHidden/>
          </w:rPr>
          <w:tab/>
        </w:r>
        <w:r>
          <w:rPr>
            <w:noProof/>
            <w:webHidden/>
          </w:rPr>
          <w:fldChar w:fldCharType="begin"/>
        </w:r>
        <w:r>
          <w:rPr>
            <w:noProof/>
            <w:webHidden/>
          </w:rPr>
          <w:instrText xml:space="preserve"> PAGEREF _Toc134695274 \h </w:instrText>
        </w:r>
        <w:r>
          <w:rPr>
            <w:noProof/>
            <w:webHidden/>
          </w:rPr>
        </w:r>
        <w:r>
          <w:rPr>
            <w:noProof/>
            <w:webHidden/>
          </w:rPr>
          <w:fldChar w:fldCharType="separate"/>
        </w:r>
        <w:r>
          <w:rPr>
            <w:noProof/>
            <w:webHidden/>
          </w:rPr>
          <w:t>42</w:t>
        </w:r>
        <w:r>
          <w:rPr>
            <w:noProof/>
            <w:webHidden/>
          </w:rPr>
          <w:fldChar w:fldCharType="end"/>
        </w:r>
      </w:hyperlink>
    </w:p>
    <w:p w14:paraId="7A1EB666" w14:textId="220FE9AE" w:rsidR="007B297F" w:rsidRDefault="007B297F">
      <w:pPr>
        <w:pStyle w:val="TableofFigures"/>
        <w:rPr>
          <w:rFonts w:asciiTheme="minorHAnsi" w:hAnsiTheme="minorHAnsi"/>
          <w:b w:val="0"/>
          <w:noProof/>
          <w:kern w:val="2"/>
          <w:sz w:val="21"/>
          <w14:ligatures w14:val="standardContextual"/>
        </w:rPr>
      </w:pPr>
      <w:hyperlink w:anchor="_Toc134695275" w:history="1">
        <w:r w:rsidRPr="00FB79DE">
          <w:rPr>
            <w:rStyle w:val="Hyperlink"/>
            <w:noProof/>
          </w:rPr>
          <w:t>Figure 3.14 As in Fig. 3.13, but for 3-hour forecast initiated at 2100 UTC, 16 May 2017.</w:t>
        </w:r>
        <w:r>
          <w:rPr>
            <w:noProof/>
            <w:webHidden/>
          </w:rPr>
          <w:tab/>
        </w:r>
        <w:r>
          <w:rPr>
            <w:noProof/>
            <w:webHidden/>
          </w:rPr>
          <w:fldChar w:fldCharType="begin"/>
        </w:r>
        <w:r>
          <w:rPr>
            <w:noProof/>
            <w:webHidden/>
          </w:rPr>
          <w:instrText xml:space="preserve"> PAGEREF _Toc134695275 \h </w:instrText>
        </w:r>
        <w:r>
          <w:rPr>
            <w:noProof/>
            <w:webHidden/>
          </w:rPr>
        </w:r>
        <w:r>
          <w:rPr>
            <w:noProof/>
            <w:webHidden/>
          </w:rPr>
          <w:fldChar w:fldCharType="separate"/>
        </w:r>
        <w:r>
          <w:rPr>
            <w:noProof/>
            <w:webHidden/>
          </w:rPr>
          <w:t>45</w:t>
        </w:r>
        <w:r>
          <w:rPr>
            <w:noProof/>
            <w:webHidden/>
          </w:rPr>
          <w:fldChar w:fldCharType="end"/>
        </w:r>
      </w:hyperlink>
    </w:p>
    <w:p w14:paraId="07486A8F" w14:textId="08CB5805" w:rsidR="007B297F" w:rsidRDefault="007B297F">
      <w:pPr>
        <w:pStyle w:val="TableofFigures"/>
        <w:rPr>
          <w:rFonts w:asciiTheme="minorHAnsi" w:hAnsiTheme="minorHAnsi"/>
          <w:b w:val="0"/>
          <w:noProof/>
          <w:kern w:val="2"/>
          <w:sz w:val="21"/>
          <w14:ligatures w14:val="standardContextual"/>
        </w:rPr>
      </w:pPr>
      <w:hyperlink w:anchor="_Toc134695276" w:history="1">
        <w:r w:rsidRPr="00FB79DE">
          <w:rPr>
            <w:rStyle w:val="Hyperlink"/>
            <w:noProof/>
          </w:rPr>
          <w:t>Figure 3.15 As in Fig. 3.13, but for 4-hour forecast initiated at 2100 UTC 26 May 2017.</w:t>
        </w:r>
        <w:r>
          <w:rPr>
            <w:noProof/>
            <w:webHidden/>
          </w:rPr>
          <w:tab/>
        </w:r>
        <w:r>
          <w:rPr>
            <w:noProof/>
            <w:webHidden/>
          </w:rPr>
          <w:fldChar w:fldCharType="begin"/>
        </w:r>
        <w:r>
          <w:rPr>
            <w:noProof/>
            <w:webHidden/>
          </w:rPr>
          <w:instrText xml:space="preserve"> PAGEREF _Toc134695276 \h </w:instrText>
        </w:r>
        <w:r>
          <w:rPr>
            <w:noProof/>
            <w:webHidden/>
          </w:rPr>
        </w:r>
        <w:r>
          <w:rPr>
            <w:noProof/>
            <w:webHidden/>
          </w:rPr>
          <w:fldChar w:fldCharType="separate"/>
        </w:r>
        <w:r>
          <w:rPr>
            <w:noProof/>
            <w:webHidden/>
          </w:rPr>
          <w:t>46</w:t>
        </w:r>
        <w:r>
          <w:rPr>
            <w:noProof/>
            <w:webHidden/>
          </w:rPr>
          <w:fldChar w:fldCharType="end"/>
        </w:r>
      </w:hyperlink>
    </w:p>
    <w:p w14:paraId="002C9B0A" w14:textId="7A70927A" w:rsidR="007B297F" w:rsidRDefault="007B297F">
      <w:pPr>
        <w:pStyle w:val="TableofFigures"/>
        <w:rPr>
          <w:rFonts w:asciiTheme="minorHAnsi" w:hAnsiTheme="minorHAnsi"/>
          <w:b w:val="0"/>
          <w:noProof/>
          <w:kern w:val="2"/>
          <w:sz w:val="21"/>
          <w14:ligatures w14:val="standardContextual"/>
        </w:rPr>
      </w:pPr>
      <w:hyperlink w:anchor="_Toc134695277" w:history="1">
        <w:r w:rsidRPr="00FB79DE">
          <w:rPr>
            <w:rStyle w:val="Hyperlink"/>
            <w:noProof/>
          </w:rPr>
          <w:t>Figure 3.16 Frequency bias (a-b) and fractions skill score (FSS) (c-d) of composite reflectivity forecasts against the MRMS observations over the simulation domain. The thresholds used for verification are 20 dBZ and 40 dBZ. The results aggregate 3h forecasts starting from 2000, 2100, 2200, and 2300 UTC of all three events. Similarly, bars in (e) – (f) indicate ETS of hourly accumulated precipitation against the NCEP STAGE IV product aggregated over the same time period but using 2mm and 10mm as a threshold.</w:t>
        </w:r>
        <w:r>
          <w:rPr>
            <w:noProof/>
            <w:webHidden/>
          </w:rPr>
          <w:tab/>
        </w:r>
        <w:r>
          <w:rPr>
            <w:noProof/>
            <w:webHidden/>
          </w:rPr>
          <w:fldChar w:fldCharType="begin"/>
        </w:r>
        <w:r>
          <w:rPr>
            <w:noProof/>
            <w:webHidden/>
          </w:rPr>
          <w:instrText xml:space="preserve"> PAGEREF _Toc134695277 \h </w:instrText>
        </w:r>
        <w:r>
          <w:rPr>
            <w:noProof/>
            <w:webHidden/>
          </w:rPr>
        </w:r>
        <w:r>
          <w:rPr>
            <w:noProof/>
            <w:webHidden/>
          </w:rPr>
          <w:fldChar w:fldCharType="separate"/>
        </w:r>
        <w:r>
          <w:rPr>
            <w:noProof/>
            <w:webHidden/>
          </w:rPr>
          <w:t>48</w:t>
        </w:r>
        <w:r>
          <w:rPr>
            <w:noProof/>
            <w:webHidden/>
          </w:rPr>
          <w:fldChar w:fldCharType="end"/>
        </w:r>
      </w:hyperlink>
    </w:p>
    <w:p w14:paraId="4A446CC1" w14:textId="78D1F45F" w:rsidR="007B297F" w:rsidRDefault="007B297F">
      <w:pPr>
        <w:pStyle w:val="TableofFigures"/>
        <w:rPr>
          <w:rFonts w:asciiTheme="minorHAnsi" w:hAnsiTheme="minorHAnsi"/>
          <w:b w:val="0"/>
          <w:noProof/>
          <w:kern w:val="2"/>
          <w:sz w:val="21"/>
          <w14:ligatures w14:val="standardContextual"/>
        </w:rPr>
      </w:pPr>
      <w:hyperlink w:anchor="_Toc134695278" w:history="1">
        <w:r w:rsidRPr="00FB79DE">
          <w:rPr>
            <w:rStyle w:val="Hyperlink"/>
            <w:noProof/>
          </w:rPr>
          <w:t>Figure 3.17 Normalized cost function (a-b) as a function of iteration number for the RAD and RADSAT experiments. The cost function curves are shown in colors for different analysis time following the legends in (b). Mean (c-d) for the innovation (solid lines) and analysis residual (dashed lines) for radial velocity (blue, in m s</w:t>
        </w:r>
        <w:r w:rsidRPr="00FB79DE">
          <w:rPr>
            <w:rStyle w:val="Hyperlink"/>
            <w:noProof/>
            <w:vertAlign w:val="superscript"/>
          </w:rPr>
          <w:t>-1</w:t>
        </w:r>
        <w:r w:rsidRPr="00FB79DE">
          <w:rPr>
            <w:rStyle w:val="Hyperlink"/>
            <w:noProof/>
          </w:rPr>
          <w:t>), reflectivity (red, in dBZ) and precipitable water (yellow, in 10</w:t>
        </w:r>
        <w:r w:rsidRPr="00FB79DE">
          <w:rPr>
            <w:rStyle w:val="Hyperlink"/>
            <w:noProof/>
            <w:vertAlign w:val="superscript"/>
          </w:rPr>
          <w:t>-2</w:t>
        </w:r>
        <w:r w:rsidRPr="00FB79DE">
          <w:rPr>
            <w:rStyle w:val="Hyperlink"/>
            <w:noProof/>
          </w:rPr>
          <w:t xml:space="preserve"> cm) as a function of analysis time for the RAD and RADSAT experiments. Dash-dotted lines in (c) and (d) are the reference lines for measuring biases. As in (c-d), RMS for the innovation and analysis residual are shown in (e) for RAD and (f) for RADSAT.</w:t>
        </w:r>
        <w:r>
          <w:rPr>
            <w:noProof/>
            <w:webHidden/>
          </w:rPr>
          <w:tab/>
        </w:r>
        <w:r>
          <w:rPr>
            <w:noProof/>
            <w:webHidden/>
          </w:rPr>
          <w:fldChar w:fldCharType="begin"/>
        </w:r>
        <w:r>
          <w:rPr>
            <w:noProof/>
            <w:webHidden/>
          </w:rPr>
          <w:instrText xml:space="preserve"> PAGEREF _Toc134695278 \h </w:instrText>
        </w:r>
        <w:r>
          <w:rPr>
            <w:noProof/>
            <w:webHidden/>
          </w:rPr>
        </w:r>
        <w:r>
          <w:rPr>
            <w:noProof/>
            <w:webHidden/>
          </w:rPr>
          <w:fldChar w:fldCharType="separate"/>
        </w:r>
        <w:r>
          <w:rPr>
            <w:noProof/>
            <w:webHidden/>
          </w:rPr>
          <w:t>51</w:t>
        </w:r>
        <w:r>
          <w:rPr>
            <w:noProof/>
            <w:webHidden/>
          </w:rPr>
          <w:fldChar w:fldCharType="end"/>
        </w:r>
      </w:hyperlink>
    </w:p>
    <w:p w14:paraId="3E0D02B4" w14:textId="2C8C0323" w:rsidR="007B297F" w:rsidRDefault="007B297F">
      <w:pPr>
        <w:pStyle w:val="TableofFigures"/>
        <w:rPr>
          <w:rFonts w:asciiTheme="minorHAnsi" w:hAnsiTheme="minorHAnsi"/>
          <w:b w:val="0"/>
          <w:noProof/>
          <w:kern w:val="2"/>
          <w:sz w:val="21"/>
          <w14:ligatures w14:val="standardContextual"/>
        </w:rPr>
      </w:pPr>
      <w:hyperlink w:anchor="_Toc134695279" w:history="1">
        <w:r w:rsidRPr="00FB79DE">
          <w:rPr>
            <w:rStyle w:val="Hyperlink"/>
            <w:noProof/>
          </w:rPr>
          <w:t>Figure 4.1 The workflow for estimating background error profiles from WoFS ensemble perturbations.</w:t>
        </w:r>
        <w:r>
          <w:rPr>
            <w:noProof/>
            <w:webHidden/>
          </w:rPr>
          <w:tab/>
        </w:r>
        <w:r>
          <w:rPr>
            <w:noProof/>
            <w:webHidden/>
          </w:rPr>
          <w:fldChar w:fldCharType="begin"/>
        </w:r>
        <w:r>
          <w:rPr>
            <w:noProof/>
            <w:webHidden/>
          </w:rPr>
          <w:instrText xml:space="preserve"> PAGEREF _Toc134695279 \h </w:instrText>
        </w:r>
        <w:r>
          <w:rPr>
            <w:noProof/>
            <w:webHidden/>
          </w:rPr>
        </w:r>
        <w:r>
          <w:rPr>
            <w:noProof/>
            <w:webHidden/>
          </w:rPr>
          <w:fldChar w:fldCharType="separate"/>
        </w:r>
        <w:r>
          <w:rPr>
            <w:noProof/>
            <w:webHidden/>
          </w:rPr>
          <w:t>58</w:t>
        </w:r>
        <w:r>
          <w:rPr>
            <w:noProof/>
            <w:webHidden/>
          </w:rPr>
          <w:fldChar w:fldCharType="end"/>
        </w:r>
      </w:hyperlink>
    </w:p>
    <w:p w14:paraId="142D8C69" w14:textId="5B156EEC" w:rsidR="007B297F" w:rsidRDefault="007B297F">
      <w:pPr>
        <w:pStyle w:val="TableofFigures"/>
        <w:rPr>
          <w:rFonts w:asciiTheme="minorHAnsi" w:hAnsiTheme="minorHAnsi"/>
          <w:b w:val="0"/>
          <w:noProof/>
          <w:kern w:val="2"/>
          <w:sz w:val="21"/>
          <w14:ligatures w14:val="standardContextual"/>
        </w:rPr>
      </w:pPr>
      <w:hyperlink w:anchor="_Toc134695280" w:history="1">
        <w:r w:rsidRPr="00FB79DE">
          <w:rPr>
            <w:rStyle w:val="Hyperlink"/>
            <w:noProof/>
          </w:rPr>
          <w:t>Figure 4.2 The distribution of the error variance for (a) zonal wind, (b) meridional wind, (c) vertical velocity, (d) potential temperature and (e) water vapor content within specific pressure bins for the area with 40 &lt; Z &lt;= 50 dBZ before outlier filtering.</w:t>
        </w:r>
        <w:r>
          <w:rPr>
            <w:noProof/>
            <w:webHidden/>
          </w:rPr>
          <w:tab/>
        </w:r>
        <w:r>
          <w:rPr>
            <w:noProof/>
            <w:webHidden/>
          </w:rPr>
          <w:fldChar w:fldCharType="begin"/>
        </w:r>
        <w:r>
          <w:rPr>
            <w:noProof/>
            <w:webHidden/>
          </w:rPr>
          <w:instrText xml:space="preserve"> PAGEREF _Toc134695280 \h </w:instrText>
        </w:r>
        <w:r>
          <w:rPr>
            <w:noProof/>
            <w:webHidden/>
          </w:rPr>
        </w:r>
        <w:r>
          <w:rPr>
            <w:noProof/>
            <w:webHidden/>
          </w:rPr>
          <w:fldChar w:fldCharType="separate"/>
        </w:r>
        <w:r>
          <w:rPr>
            <w:noProof/>
            <w:webHidden/>
          </w:rPr>
          <w:t>59</w:t>
        </w:r>
        <w:r>
          <w:rPr>
            <w:noProof/>
            <w:webHidden/>
          </w:rPr>
          <w:fldChar w:fldCharType="end"/>
        </w:r>
      </w:hyperlink>
    </w:p>
    <w:p w14:paraId="32704387" w14:textId="0F3CDB12" w:rsidR="007B297F" w:rsidRDefault="007B297F">
      <w:pPr>
        <w:pStyle w:val="TableofFigures"/>
        <w:rPr>
          <w:rFonts w:asciiTheme="minorHAnsi" w:hAnsiTheme="minorHAnsi"/>
          <w:b w:val="0"/>
          <w:noProof/>
          <w:kern w:val="2"/>
          <w:sz w:val="21"/>
          <w14:ligatures w14:val="standardContextual"/>
        </w:rPr>
      </w:pPr>
      <w:hyperlink w:anchor="_Toc134695281" w:history="1">
        <w:r w:rsidRPr="00FB79DE">
          <w:rPr>
            <w:rStyle w:val="Hyperlink"/>
            <w:noProof/>
          </w:rPr>
          <w:t>Figure 4.3 Vertical profiles of background error standard deviations for several model variables (a) zonal wind, (b) meridional wind, (c) vertical velocity, (d) potential temperature and (e) water vapor content.</w:t>
        </w:r>
        <w:r>
          <w:rPr>
            <w:noProof/>
            <w:webHidden/>
          </w:rPr>
          <w:tab/>
        </w:r>
        <w:r>
          <w:rPr>
            <w:noProof/>
            <w:webHidden/>
          </w:rPr>
          <w:fldChar w:fldCharType="begin"/>
        </w:r>
        <w:r>
          <w:rPr>
            <w:noProof/>
            <w:webHidden/>
          </w:rPr>
          <w:instrText xml:space="preserve"> PAGEREF _Toc134695281 \h </w:instrText>
        </w:r>
        <w:r>
          <w:rPr>
            <w:noProof/>
            <w:webHidden/>
          </w:rPr>
        </w:r>
        <w:r>
          <w:rPr>
            <w:noProof/>
            <w:webHidden/>
          </w:rPr>
          <w:fldChar w:fldCharType="separate"/>
        </w:r>
        <w:r>
          <w:rPr>
            <w:noProof/>
            <w:webHidden/>
          </w:rPr>
          <w:t>61</w:t>
        </w:r>
        <w:r>
          <w:rPr>
            <w:noProof/>
            <w:webHidden/>
          </w:rPr>
          <w:fldChar w:fldCharType="end"/>
        </w:r>
      </w:hyperlink>
    </w:p>
    <w:p w14:paraId="17DB7267" w14:textId="6AA82DCC" w:rsidR="007B297F" w:rsidRDefault="007B297F">
      <w:pPr>
        <w:pStyle w:val="TableofFigures"/>
        <w:rPr>
          <w:rFonts w:asciiTheme="minorHAnsi" w:hAnsiTheme="minorHAnsi"/>
          <w:b w:val="0"/>
          <w:noProof/>
          <w:kern w:val="2"/>
          <w:sz w:val="21"/>
          <w14:ligatures w14:val="standardContextual"/>
        </w:rPr>
      </w:pPr>
      <w:hyperlink w:anchor="_Toc134695282" w:history="1">
        <w:r w:rsidRPr="00FB79DE">
          <w:rPr>
            <w:rStyle w:val="Hyperlink"/>
            <w:noProof/>
          </w:rPr>
          <w:t>Figure 4.4 Same as Fig. 4.3, but for hydrometeor related variables (a) cloud droplet, (b) rain, (c) snow, (d) ice, (e) graupel and (f) hail.</w:t>
        </w:r>
        <w:r>
          <w:rPr>
            <w:noProof/>
            <w:webHidden/>
          </w:rPr>
          <w:tab/>
        </w:r>
        <w:r>
          <w:rPr>
            <w:noProof/>
            <w:webHidden/>
          </w:rPr>
          <w:fldChar w:fldCharType="begin"/>
        </w:r>
        <w:r>
          <w:rPr>
            <w:noProof/>
            <w:webHidden/>
          </w:rPr>
          <w:instrText xml:space="preserve"> PAGEREF _Toc134695282 \h </w:instrText>
        </w:r>
        <w:r>
          <w:rPr>
            <w:noProof/>
            <w:webHidden/>
          </w:rPr>
        </w:r>
        <w:r>
          <w:rPr>
            <w:noProof/>
            <w:webHidden/>
          </w:rPr>
          <w:fldChar w:fldCharType="separate"/>
        </w:r>
        <w:r>
          <w:rPr>
            <w:noProof/>
            <w:webHidden/>
          </w:rPr>
          <w:t>62</w:t>
        </w:r>
        <w:r>
          <w:rPr>
            <w:noProof/>
            <w:webHidden/>
          </w:rPr>
          <w:fldChar w:fldCharType="end"/>
        </w:r>
      </w:hyperlink>
    </w:p>
    <w:p w14:paraId="58C0A385" w14:textId="77F171D4" w:rsidR="007B297F" w:rsidRDefault="007B297F">
      <w:pPr>
        <w:pStyle w:val="TableofFigures"/>
        <w:rPr>
          <w:rFonts w:asciiTheme="minorHAnsi" w:hAnsiTheme="minorHAnsi"/>
          <w:b w:val="0"/>
          <w:noProof/>
          <w:kern w:val="2"/>
          <w:sz w:val="21"/>
          <w14:ligatures w14:val="standardContextual"/>
        </w:rPr>
      </w:pPr>
      <w:hyperlink w:anchor="_Toc134695283" w:history="1">
        <w:r w:rsidRPr="00FB79DE">
          <w:rPr>
            <w:rStyle w:val="Hyperlink"/>
            <w:noProof/>
          </w:rPr>
          <w:t>Figure 4.5 The (a) MRMS composite reflectivity and the 500 hPa analysis increments of meridional wind field for (b) the single observation experiment with homogeneous background errors and (c) the single observation experiment with weather-dependent background errors at 2330 UTC on May 15, 2020. The blue and magenta lines indicate where the vertical cross sections are plotted in Fig. 4.6.</w:t>
        </w:r>
        <w:r>
          <w:rPr>
            <w:noProof/>
            <w:webHidden/>
          </w:rPr>
          <w:tab/>
        </w:r>
        <w:r>
          <w:rPr>
            <w:noProof/>
            <w:webHidden/>
          </w:rPr>
          <w:fldChar w:fldCharType="begin"/>
        </w:r>
        <w:r>
          <w:rPr>
            <w:noProof/>
            <w:webHidden/>
          </w:rPr>
          <w:instrText xml:space="preserve"> PAGEREF _Toc134695283 \h </w:instrText>
        </w:r>
        <w:r>
          <w:rPr>
            <w:noProof/>
            <w:webHidden/>
          </w:rPr>
        </w:r>
        <w:r>
          <w:rPr>
            <w:noProof/>
            <w:webHidden/>
          </w:rPr>
          <w:fldChar w:fldCharType="separate"/>
        </w:r>
        <w:r>
          <w:rPr>
            <w:noProof/>
            <w:webHidden/>
          </w:rPr>
          <w:t>65</w:t>
        </w:r>
        <w:r>
          <w:rPr>
            <w:noProof/>
            <w:webHidden/>
          </w:rPr>
          <w:fldChar w:fldCharType="end"/>
        </w:r>
      </w:hyperlink>
    </w:p>
    <w:p w14:paraId="714E17CE" w14:textId="5ACB809E" w:rsidR="007B297F" w:rsidRDefault="007B297F">
      <w:pPr>
        <w:pStyle w:val="TableofFigures"/>
        <w:rPr>
          <w:rFonts w:asciiTheme="minorHAnsi" w:hAnsiTheme="minorHAnsi"/>
          <w:b w:val="0"/>
          <w:noProof/>
          <w:kern w:val="2"/>
          <w:sz w:val="21"/>
          <w14:ligatures w14:val="standardContextual"/>
        </w:rPr>
      </w:pPr>
      <w:hyperlink w:anchor="_Toc134695284" w:history="1">
        <w:r w:rsidRPr="00FB79DE">
          <w:rPr>
            <w:rStyle w:val="Hyperlink"/>
            <w:noProof/>
          </w:rPr>
          <w:t>Figure 4.6 The vertical cross sections of meridional wind increment along the axis defined by the blue and magenta lines in Fig. 4.5 for (a, c) the single observation experiment with homogeneous background errors and (b, d) the single observation experiment with weather-dependent background errors.</w:t>
        </w:r>
        <w:r>
          <w:rPr>
            <w:noProof/>
            <w:webHidden/>
          </w:rPr>
          <w:tab/>
        </w:r>
        <w:r>
          <w:rPr>
            <w:noProof/>
            <w:webHidden/>
          </w:rPr>
          <w:fldChar w:fldCharType="begin"/>
        </w:r>
        <w:r>
          <w:rPr>
            <w:noProof/>
            <w:webHidden/>
          </w:rPr>
          <w:instrText xml:space="preserve"> PAGEREF _Toc134695284 \h </w:instrText>
        </w:r>
        <w:r>
          <w:rPr>
            <w:noProof/>
            <w:webHidden/>
          </w:rPr>
        </w:r>
        <w:r>
          <w:rPr>
            <w:noProof/>
            <w:webHidden/>
          </w:rPr>
          <w:fldChar w:fldCharType="separate"/>
        </w:r>
        <w:r>
          <w:rPr>
            <w:noProof/>
            <w:webHidden/>
          </w:rPr>
          <w:t>68</w:t>
        </w:r>
        <w:r>
          <w:rPr>
            <w:noProof/>
            <w:webHidden/>
          </w:rPr>
          <w:fldChar w:fldCharType="end"/>
        </w:r>
      </w:hyperlink>
    </w:p>
    <w:p w14:paraId="5BF428A7" w14:textId="724ECDFF" w:rsidR="007B297F" w:rsidRDefault="007B297F">
      <w:pPr>
        <w:pStyle w:val="TableofFigures"/>
        <w:rPr>
          <w:rFonts w:asciiTheme="minorHAnsi" w:hAnsiTheme="minorHAnsi"/>
          <w:b w:val="0"/>
          <w:noProof/>
          <w:kern w:val="2"/>
          <w:sz w:val="21"/>
          <w14:ligatures w14:val="standardContextual"/>
        </w:rPr>
      </w:pPr>
      <w:hyperlink w:anchor="_Toc134695285" w:history="1">
        <w:r w:rsidRPr="00FB79DE">
          <w:rPr>
            <w:rStyle w:val="Hyperlink"/>
            <w:noProof/>
          </w:rPr>
          <w:t>Figure 4.7 (from top to bottom) The (o) composite reflectivity from MRMS and the forecasted composite reflectivity for (a) Retro, and (b) WD. (1) The analysis at 2000 UTC 5 May 2020. The (2) 1-, (3) 2-, (4) 3-, (5) 4-, (6) 5-, and (7) 6-hour forecasts initiated at 2000 UTC.</w:t>
        </w:r>
        <w:r>
          <w:rPr>
            <w:noProof/>
            <w:webHidden/>
          </w:rPr>
          <w:tab/>
        </w:r>
        <w:r>
          <w:rPr>
            <w:noProof/>
            <w:webHidden/>
          </w:rPr>
          <w:fldChar w:fldCharType="begin"/>
        </w:r>
        <w:r>
          <w:rPr>
            <w:noProof/>
            <w:webHidden/>
          </w:rPr>
          <w:instrText xml:space="preserve"> PAGEREF _Toc134695285 \h </w:instrText>
        </w:r>
        <w:r>
          <w:rPr>
            <w:noProof/>
            <w:webHidden/>
          </w:rPr>
        </w:r>
        <w:r>
          <w:rPr>
            <w:noProof/>
            <w:webHidden/>
          </w:rPr>
          <w:fldChar w:fldCharType="separate"/>
        </w:r>
        <w:r>
          <w:rPr>
            <w:noProof/>
            <w:webHidden/>
          </w:rPr>
          <w:t>70</w:t>
        </w:r>
        <w:r>
          <w:rPr>
            <w:noProof/>
            <w:webHidden/>
          </w:rPr>
          <w:fldChar w:fldCharType="end"/>
        </w:r>
      </w:hyperlink>
    </w:p>
    <w:p w14:paraId="40C88162" w14:textId="4D23DA7C" w:rsidR="007B297F" w:rsidRDefault="007B297F">
      <w:pPr>
        <w:pStyle w:val="TableofFigures"/>
        <w:rPr>
          <w:rFonts w:asciiTheme="minorHAnsi" w:hAnsiTheme="minorHAnsi"/>
          <w:b w:val="0"/>
          <w:noProof/>
          <w:kern w:val="2"/>
          <w:sz w:val="21"/>
          <w14:ligatures w14:val="standardContextual"/>
        </w:rPr>
      </w:pPr>
      <w:hyperlink w:anchor="_Toc134695286" w:history="1">
        <w:r w:rsidRPr="00FB79DE">
          <w:rPr>
            <w:rStyle w:val="Hyperlink"/>
            <w:noProof/>
          </w:rPr>
          <w:t>Figure 4.8 The UH tracks between 2 and 5 km above ground (filled contours) drawn from 6-hour forecasts initiated at (a, d) 1900, (b, e) 2000 and (c, f) 2100 UTC 5 May 2020 for the (top) Retro and (bottom) WD experiments. The composite reflectivities valid at the end of each forecast period are depicted by the black contour lines. The purple, cyan, and blue markers indicate reports of tornadoes, hail and damaging wind, respectively.</w:t>
        </w:r>
        <w:r>
          <w:rPr>
            <w:noProof/>
            <w:webHidden/>
          </w:rPr>
          <w:tab/>
        </w:r>
        <w:r>
          <w:rPr>
            <w:noProof/>
            <w:webHidden/>
          </w:rPr>
          <w:fldChar w:fldCharType="begin"/>
        </w:r>
        <w:r>
          <w:rPr>
            <w:noProof/>
            <w:webHidden/>
          </w:rPr>
          <w:instrText xml:space="preserve"> PAGEREF _Toc134695286 \h </w:instrText>
        </w:r>
        <w:r>
          <w:rPr>
            <w:noProof/>
            <w:webHidden/>
          </w:rPr>
        </w:r>
        <w:r>
          <w:rPr>
            <w:noProof/>
            <w:webHidden/>
          </w:rPr>
          <w:fldChar w:fldCharType="separate"/>
        </w:r>
        <w:r>
          <w:rPr>
            <w:noProof/>
            <w:webHidden/>
          </w:rPr>
          <w:t>72</w:t>
        </w:r>
        <w:r>
          <w:rPr>
            <w:noProof/>
            <w:webHidden/>
          </w:rPr>
          <w:fldChar w:fldCharType="end"/>
        </w:r>
      </w:hyperlink>
    </w:p>
    <w:p w14:paraId="671869F6" w14:textId="51AB2BB4" w:rsidR="007B297F" w:rsidRDefault="007B297F">
      <w:pPr>
        <w:pStyle w:val="TableofFigures"/>
        <w:rPr>
          <w:rFonts w:asciiTheme="minorHAnsi" w:hAnsiTheme="minorHAnsi"/>
          <w:b w:val="0"/>
          <w:noProof/>
          <w:kern w:val="2"/>
          <w:sz w:val="21"/>
          <w14:ligatures w14:val="standardContextual"/>
        </w:rPr>
      </w:pPr>
      <w:hyperlink w:anchor="_Toc134695287" w:history="1">
        <w:r w:rsidRPr="00FB79DE">
          <w:rPr>
            <w:rStyle w:val="Hyperlink"/>
            <w:noProof/>
          </w:rPr>
          <w:t>Figure 4.9 The analyzed temperature at 500 hPa valid at the analysis time (a, d) 1900, (b, e) 2000 and (c, f) 2100 UTC 5 May 2020 for the (top) Retro and (bottom) WD experiments. The magenta and blue lines are placed in zonal and meridional direction across where the major convective complex locates. The vertical cross sections are plotted in Fig. 4.10 and Fig. 4.11 along the lines.</w:t>
        </w:r>
        <w:r>
          <w:rPr>
            <w:noProof/>
            <w:webHidden/>
          </w:rPr>
          <w:tab/>
        </w:r>
        <w:r>
          <w:rPr>
            <w:noProof/>
            <w:webHidden/>
          </w:rPr>
          <w:fldChar w:fldCharType="begin"/>
        </w:r>
        <w:r>
          <w:rPr>
            <w:noProof/>
            <w:webHidden/>
          </w:rPr>
          <w:instrText xml:space="preserve"> PAGEREF _Toc134695287 \h </w:instrText>
        </w:r>
        <w:r>
          <w:rPr>
            <w:noProof/>
            <w:webHidden/>
          </w:rPr>
        </w:r>
        <w:r>
          <w:rPr>
            <w:noProof/>
            <w:webHidden/>
          </w:rPr>
          <w:fldChar w:fldCharType="separate"/>
        </w:r>
        <w:r>
          <w:rPr>
            <w:noProof/>
            <w:webHidden/>
          </w:rPr>
          <w:t>73</w:t>
        </w:r>
        <w:r>
          <w:rPr>
            <w:noProof/>
            <w:webHidden/>
          </w:rPr>
          <w:fldChar w:fldCharType="end"/>
        </w:r>
      </w:hyperlink>
    </w:p>
    <w:p w14:paraId="2EA5E8A5" w14:textId="60A1D1FF" w:rsidR="007B297F" w:rsidRDefault="007B297F">
      <w:pPr>
        <w:pStyle w:val="TableofFigures"/>
        <w:rPr>
          <w:rFonts w:asciiTheme="minorHAnsi" w:hAnsiTheme="minorHAnsi"/>
          <w:b w:val="0"/>
          <w:noProof/>
          <w:kern w:val="2"/>
          <w:sz w:val="21"/>
          <w14:ligatures w14:val="standardContextual"/>
        </w:rPr>
      </w:pPr>
      <w:hyperlink w:anchor="_Toc134695288" w:history="1">
        <w:r w:rsidRPr="00FB79DE">
          <w:rPr>
            <w:rStyle w:val="Hyperlink"/>
            <w:noProof/>
          </w:rPr>
          <w:t>Figure 4.10 The vertical cross sections from the analysis of wind (vectors), specific humidity (filled contours, in g kg</w:t>
        </w:r>
        <w:r w:rsidRPr="00FB79DE">
          <w:rPr>
            <w:rStyle w:val="Hyperlink"/>
            <w:noProof/>
            <w:vertAlign w:val="superscript"/>
          </w:rPr>
          <w:t>-1</w:t>
        </w:r>
        <w:r w:rsidRPr="00FB79DE">
          <w:rPr>
            <w:rStyle w:val="Hyperlink"/>
            <w:noProof/>
          </w:rPr>
          <w:t>), and temperature (blue contours) along the blue line in Fig. 4.9. The figure displays the vertical sections valid at (a, d) 1900, (b, e) 2000, and (c, f) 2100 UTC for the (top) Retro and (bottom) WD experiments.</w:t>
        </w:r>
        <w:r>
          <w:rPr>
            <w:noProof/>
            <w:webHidden/>
          </w:rPr>
          <w:tab/>
        </w:r>
        <w:r>
          <w:rPr>
            <w:noProof/>
            <w:webHidden/>
          </w:rPr>
          <w:fldChar w:fldCharType="begin"/>
        </w:r>
        <w:r>
          <w:rPr>
            <w:noProof/>
            <w:webHidden/>
          </w:rPr>
          <w:instrText xml:space="preserve"> PAGEREF _Toc134695288 \h </w:instrText>
        </w:r>
        <w:r>
          <w:rPr>
            <w:noProof/>
            <w:webHidden/>
          </w:rPr>
        </w:r>
        <w:r>
          <w:rPr>
            <w:noProof/>
            <w:webHidden/>
          </w:rPr>
          <w:fldChar w:fldCharType="separate"/>
        </w:r>
        <w:r>
          <w:rPr>
            <w:noProof/>
            <w:webHidden/>
          </w:rPr>
          <w:t>75</w:t>
        </w:r>
        <w:r>
          <w:rPr>
            <w:noProof/>
            <w:webHidden/>
          </w:rPr>
          <w:fldChar w:fldCharType="end"/>
        </w:r>
      </w:hyperlink>
    </w:p>
    <w:p w14:paraId="2DDAD976" w14:textId="6710A39B" w:rsidR="007B297F" w:rsidRDefault="007B297F">
      <w:pPr>
        <w:pStyle w:val="TableofFigures"/>
        <w:rPr>
          <w:rFonts w:asciiTheme="minorHAnsi" w:hAnsiTheme="minorHAnsi"/>
          <w:b w:val="0"/>
          <w:noProof/>
          <w:kern w:val="2"/>
          <w:sz w:val="21"/>
          <w14:ligatures w14:val="standardContextual"/>
        </w:rPr>
      </w:pPr>
      <w:hyperlink w:anchor="_Toc134695289" w:history="1">
        <w:r w:rsidRPr="00FB79DE">
          <w:rPr>
            <w:rStyle w:val="Hyperlink"/>
            <w:noProof/>
          </w:rPr>
          <w:t>Figure 4.11 As in Fig. 4.10, but for the vertical cross section along the magenta line in Fig. 4.9.</w:t>
        </w:r>
        <w:r>
          <w:rPr>
            <w:noProof/>
            <w:webHidden/>
          </w:rPr>
          <w:tab/>
        </w:r>
        <w:r>
          <w:rPr>
            <w:noProof/>
            <w:webHidden/>
          </w:rPr>
          <w:fldChar w:fldCharType="begin"/>
        </w:r>
        <w:r>
          <w:rPr>
            <w:noProof/>
            <w:webHidden/>
          </w:rPr>
          <w:instrText xml:space="preserve"> PAGEREF _Toc134695289 \h </w:instrText>
        </w:r>
        <w:r>
          <w:rPr>
            <w:noProof/>
            <w:webHidden/>
          </w:rPr>
        </w:r>
        <w:r>
          <w:rPr>
            <w:noProof/>
            <w:webHidden/>
          </w:rPr>
          <w:fldChar w:fldCharType="separate"/>
        </w:r>
        <w:r>
          <w:rPr>
            <w:noProof/>
            <w:webHidden/>
          </w:rPr>
          <w:t>76</w:t>
        </w:r>
        <w:r>
          <w:rPr>
            <w:noProof/>
            <w:webHidden/>
          </w:rPr>
          <w:fldChar w:fldCharType="end"/>
        </w:r>
      </w:hyperlink>
    </w:p>
    <w:p w14:paraId="3FD53D56" w14:textId="6F26B65D" w:rsidR="007B297F" w:rsidRDefault="007B297F">
      <w:pPr>
        <w:pStyle w:val="TableofFigures"/>
        <w:rPr>
          <w:rFonts w:asciiTheme="minorHAnsi" w:hAnsiTheme="minorHAnsi"/>
          <w:b w:val="0"/>
          <w:noProof/>
          <w:kern w:val="2"/>
          <w:sz w:val="21"/>
          <w14:ligatures w14:val="standardContextual"/>
        </w:rPr>
      </w:pPr>
      <w:hyperlink w:anchor="_Toc134695290" w:history="1">
        <w:r w:rsidRPr="00FB79DE">
          <w:rPr>
            <w:rStyle w:val="Hyperlink"/>
            <w:noProof/>
          </w:rPr>
          <w:t>Figure 4.12 The lowest 100-hPa MLCAPE drawn from (a, d) 1900, (b, e) 2000, (c, f) 2100 analyses for the (top) Retro and (bottom) WD experiments.</w:t>
        </w:r>
        <w:r>
          <w:rPr>
            <w:noProof/>
            <w:webHidden/>
          </w:rPr>
          <w:tab/>
        </w:r>
        <w:r>
          <w:rPr>
            <w:noProof/>
            <w:webHidden/>
          </w:rPr>
          <w:fldChar w:fldCharType="begin"/>
        </w:r>
        <w:r>
          <w:rPr>
            <w:noProof/>
            <w:webHidden/>
          </w:rPr>
          <w:instrText xml:space="preserve"> PAGEREF _Toc134695290 \h </w:instrText>
        </w:r>
        <w:r>
          <w:rPr>
            <w:noProof/>
            <w:webHidden/>
          </w:rPr>
        </w:r>
        <w:r>
          <w:rPr>
            <w:noProof/>
            <w:webHidden/>
          </w:rPr>
          <w:fldChar w:fldCharType="separate"/>
        </w:r>
        <w:r>
          <w:rPr>
            <w:noProof/>
            <w:webHidden/>
          </w:rPr>
          <w:t>77</w:t>
        </w:r>
        <w:r>
          <w:rPr>
            <w:noProof/>
            <w:webHidden/>
          </w:rPr>
          <w:fldChar w:fldCharType="end"/>
        </w:r>
      </w:hyperlink>
    </w:p>
    <w:p w14:paraId="729EF24B" w14:textId="0D6C798C" w:rsidR="007B297F" w:rsidRDefault="007B297F">
      <w:pPr>
        <w:pStyle w:val="TableofFigures"/>
        <w:rPr>
          <w:rFonts w:asciiTheme="minorHAnsi" w:hAnsiTheme="minorHAnsi"/>
          <w:b w:val="0"/>
          <w:noProof/>
          <w:kern w:val="2"/>
          <w:sz w:val="21"/>
          <w14:ligatures w14:val="standardContextual"/>
        </w:rPr>
      </w:pPr>
      <w:hyperlink w:anchor="_Toc134695291" w:history="1">
        <w:r w:rsidRPr="00FB79DE">
          <w:rPr>
            <w:rStyle w:val="Hyperlink"/>
            <w:noProof/>
          </w:rPr>
          <w:t>Figure 4.13 Performance diagram and equitable threat scores (ETS) for the 1- to 6-hour Composite reflectivity forecasts aggregated from each initialization hour from 1800 to 0000 UTC the next day for the 5 May 2020 event. Overplotted error bars used to indicate 2.5th and 97.5th percentiles of resampled ETSs of WD in the permutation test, referenced to the forecast from Retro. A dot on the blue lines indicates a statistically significant difference in the ETS between WD and Retro for a specific forecast time.</w:t>
        </w:r>
        <w:r>
          <w:rPr>
            <w:noProof/>
            <w:webHidden/>
          </w:rPr>
          <w:tab/>
        </w:r>
        <w:r>
          <w:rPr>
            <w:noProof/>
            <w:webHidden/>
          </w:rPr>
          <w:fldChar w:fldCharType="begin"/>
        </w:r>
        <w:r>
          <w:rPr>
            <w:noProof/>
            <w:webHidden/>
          </w:rPr>
          <w:instrText xml:space="preserve"> PAGEREF _Toc134695291 \h </w:instrText>
        </w:r>
        <w:r>
          <w:rPr>
            <w:noProof/>
            <w:webHidden/>
          </w:rPr>
        </w:r>
        <w:r>
          <w:rPr>
            <w:noProof/>
            <w:webHidden/>
          </w:rPr>
          <w:fldChar w:fldCharType="separate"/>
        </w:r>
        <w:r>
          <w:rPr>
            <w:noProof/>
            <w:webHidden/>
          </w:rPr>
          <w:t>79</w:t>
        </w:r>
        <w:r>
          <w:rPr>
            <w:noProof/>
            <w:webHidden/>
          </w:rPr>
          <w:fldChar w:fldCharType="end"/>
        </w:r>
      </w:hyperlink>
    </w:p>
    <w:p w14:paraId="56C21038" w14:textId="3C9A9D27" w:rsidR="007B297F" w:rsidRDefault="007B297F">
      <w:pPr>
        <w:pStyle w:val="TableofFigures"/>
        <w:rPr>
          <w:rFonts w:asciiTheme="minorHAnsi" w:hAnsiTheme="minorHAnsi"/>
          <w:b w:val="0"/>
          <w:noProof/>
          <w:kern w:val="2"/>
          <w:sz w:val="21"/>
          <w14:ligatures w14:val="standardContextual"/>
        </w:rPr>
      </w:pPr>
      <w:hyperlink w:anchor="_Toc134695292" w:history="1">
        <w:r w:rsidRPr="00FB79DE">
          <w:rPr>
            <w:rStyle w:val="Hyperlink"/>
            <w:noProof/>
          </w:rPr>
          <w:t>Figure 4.14 As in Fig. 4.7, but for the analysis and subsequent 6-hour forecasts initiated from 2100 UTC 10 Dec 2021.</w:t>
        </w:r>
        <w:r>
          <w:rPr>
            <w:noProof/>
            <w:webHidden/>
          </w:rPr>
          <w:tab/>
        </w:r>
        <w:r>
          <w:rPr>
            <w:noProof/>
            <w:webHidden/>
          </w:rPr>
          <w:fldChar w:fldCharType="begin"/>
        </w:r>
        <w:r>
          <w:rPr>
            <w:noProof/>
            <w:webHidden/>
          </w:rPr>
          <w:instrText xml:space="preserve"> PAGEREF _Toc134695292 \h </w:instrText>
        </w:r>
        <w:r>
          <w:rPr>
            <w:noProof/>
            <w:webHidden/>
          </w:rPr>
        </w:r>
        <w:r>
          <w:rPr>
            <w:noProof/>
            <w:webHidden/>
          </w:rPr>
          <w:fldChar w:fldCharType="separate"/>
        </w:r>
        <w:r>
          <w:rPr>
            <w:noProof/>
            <w:webHidden/>
          </w:rPr>
          <w:t>80</w:t>
        </w:r>
        <w:r>
          <w:rPr>
            <w:noProof/>
            <w:webHidden/>
          </w:rPr>
          <w:fldChar w:fldCharType="end"/>
        </w:r>
      </w:hyperlink>
    </w:p>
    <w:p w14:paraId="6DF5209D" w14:textId="07AA9926" w:rsidR="007B297F" w:rsidRDefault="007B297F">
      <w:pPr>
        <w:pStyle w:val="TableofFigures"/>
        <w:rPr>
          <w:rFonts w:asciiTheme="minorHAnsi" w:hAnsiTheme="minorHAnsi"/>
          <w:b w:val="0"/>
          <w:noProof/>
          <w:kern w:val="2"/>
          <w:sz w:val="21"/>
          <w14:ligatures w14:val="standardContextual"/>
        </w:rPr>
      </w:pPr>
      <w:hyperlink w:anchor="_Toc134695293" w:history="1">
        <w:r w:rsidRPr="00FB79DE">
          <w:rPr>
            <w:rStyle w:val="Hyperlink"/>
            <w:noProof/>
          </w:rPr>
          <w:t>Figure 4.15 As in Fig. 4.8, but for the 6-hour forecasts initiated at (a, d) 2100, (b, e) 2200 and (c, f) 2300 UTC on 10 Dec 2021.</w:t>
        </w:r>
        <w:r>
          <w:rPr>
            <w:noProof/>
            <w:webHidden/>
          </w:rPr>
          <w:tab/>
        </w:r>
        <w:r>
          <w:rPr>
            <w:noProof/>
            <w:webHidden/>
          </w:rPr>
          <w:fldChar w:fldCharType="begin"/>
        </w:r>
        <w:r>
          <w:rPr>
            <w:noProof/>
            <w:webHidden/>
          </w:rPr>
          <w:instrText xml:space="preserve"> PAGEREF _Toc134695293 \h </w:instrText>
        </w:r>
        <w:r>
          <w:rPr>
            <w:noProof/>
            <w:webHidden/>
          </w:rPr>
        </w:r>
        <w:r>
          <w:rPr>
            <w:noProof/>
            <w:webHidden/>
          </w:rPr>
          <w:fldChar w:fldCharType="separate"/>
        </w:r>
        <w:r>
          <w:rPr>
            <w:noProof/>
            <w:webHidden/>
          </w:rPr>
          <w:t>82</w:t>
        </w:r>
        <w:r>
          <w:rPr>
            <w:noProof/>
            <w:webHidden/>
          </w:rPr>
          <w:fldChar w:fldCharType="end"/>
        </w:r>
      </w:hyperlink>
    </w:p>
    <w:p w14:paraId="6FF112EE" w14:textId="00AB96DF" w:rsidR="007B297F" w:rsidRDefault="007B297F">
      <w:pPr>
        <w:pStyle w:val="TableofFigures"/>
        <w:rPr>
          <w:rFonts w:asciiTheme="minorHAnsi" w:hAnsiTheme="minorHAnsi"/>
          <w:b w:val="0"/>
          <w:noProof/>
          <w:kern w:val="2"/>
          <w:sz w:val="21"/>
          <w14:ligatures w14:val="standardContextual"/>
        </w:rPr>
      </w:pPr>
      <w:hyperlink w:anchor="_Toc134695294" w:history="1">
        <w:r w:rsidRPr="00FB79DE">
          <w:rPr>
            <w:rStyle w:val="Hyperlink"/>
            <w:noProof/>
          </w:rPr>
          <w:t xml:space="preserve">Figure 4.16 The analyzed surface temperature (shade) valid at the analysis time (a, d) 2100, (b, e) 2200 and (c, f) 2300 UTC 10 Dec 2021 for the (top) Retro and (bottom) WD experiments. </w:t>
        </w:r>
        <w:r w:rsidRPr="00FB79DE">
          <w:rPr>
            <w:rStyle w:val="Hyperlink"/>
            <w:noProof/>
          </w:rPr>
          <w:lastRenderedPageBreak/>
          <w:t>The 45 dBZ composite reflectivity, surface water vapor mixing ratio and mixed-layer convergence are represented by the black solid lines, black dashed lines and blue solid lines, respectively. The interval of the water vapor mixing ratio and the convergence contours is 1 g kg</w:t>
        </w:r>
        <w:r w:rsidRPr="00FB79DE">
          <w:rPr>
            <w:rStyle w:val="Hyperlink"/>
            <w:noProof/>
            <w:vertAlign w:val="superscript"/>
          </w:rPr>
          <w:t>-1</w:t>
        </w:r>
        <w:r w:rsidRPr="00FB79DE">
          <w:rPr>
            <w:rStyle w:val="Hyperlink"/>
            <w:noProof/>
          </w:rPr>
          <w:t xml:space="preserve"> and 200 </w:t>
        </w:r>
        <w:r w:rsidRPr="00FB79DE">
          <w:rPr>
            <w:rStyle w:val="Hyperlink"/>
            <w:noProof/>
            <w:szCs w:val="24"/>
          </w:rPr>
          <w:sym w:font="Symbol" w:char="F0B4"/>
        </w:r>
        <w:r w:rsidRPr="00FB79DE">
          <w:rPr>
            <w:rStyle w:val="Hyperlink"/>
            <w:noProof/>
          </w:rPr>
          <w:t xml:space="preserve"> 10</w:t>
        </w:r>
        <w:r w:rsidRPr="00FB79DE">
          <w:rPr>
            <w:rStyle w:val="Hyperlink"/>
            <w:noProof/>
            <w:vertAlign w:val="superscript"/>
          </w:rPr>
          <w:t>-5</w:t>
        </w:r>
        <w:r w:rsidRPr="00FB79DE">
          <w:rPr>
            <w:rStyle w:val="Hyperlink"/>
            <w:noProof/>
          </w:rPr>
          <w:t xml:space="preserve"> s</w:t>
        </w:r>
        <w:r w:rsidRPr="00FB79DE">
          <w:rPr>
            <w:rStyle w:val="Hyperlink"/>
            <w:noProof/>
            <w:vertAlign w:val="superscript"/>
          </w:rPr>
          <w:t>-1</w:t>
        </w:r>
        <w:r w:rsidRPr="00FB79DE">
          <w:rPr>
            <w:rStyle w:val="Hyperlink"/>
            <w:noProof/>
          </w:rPr>
          <w:t>, respectively. The Rear-Flank Gust Front and Forward-Flank Downdraft areas are also displayed in the WD experiments.</w:t>
        </w:r>
        <w:r>
          <w:rPr>
            <w:noProof/>
            <w:webHidden/>
          </w:rPr>
          <w:tab/>
        </w:r>
        <w:r>
          <w:rPr>
            <w:noProof/>
            <w:webHidden/>
          </w:rPr>
          <w:fldChar w:fldCharType="begin"/>
        </w:r>
        <w:r>
          <w:rPr>
            <w:noProof/>
            <w:webHidden/>
          </w:rPr>
          <w:instrText xml:space="preserve"> PAGEREF _Toc134695294 \h </w:instrText>
        </w:r>
        <w:r>
          <w:rPr>
            <w:noProof/>
            <w:webHidden/>
          </w:rPr>
        </w:r>
        <w:r>
          <w:rPr>
            <w:noProof/>
            <w:webHidden/>
          </w:rPr>
          <w:fldChar w:fldCharType="separate"/>
        </w:r>
        <w:r>
          <w:rPr>
            <w:noProof/>
            <w:webHidden/>
          </w:rPr>
          <w:t>84</w:t>
        </w:r>
        <w:r>
          <w:rPr>
            <w:noProof/>
            <w:webHidden/>
          </w:rPr>
          <w:fldChar w:fldCharType="end"/>
        </w:r>
      </w:hyperlink>
    </w:p>
    <w:p w14:paraId="0E7023E2" w14:textId="10930FC8" w:rsidR="007B297F" w:rsidRDefault="007B297F">
      <w:pPr>
        <w:pStyle w:val="TableofFigures"/>
        <w:rPr>
          <w:rFonts w:asciiTheme="minorHAnsi" w:hAnsiTheme="minorHAnsi"/>
          <w:b w:val="0"/>
          <w:noProof/>
          <w:kern w:val="2"/>
          <w:sz w:val="21"/>
          <w14:ligatures w14:val="standardContextual"/>
        </w:rPr>
      </w:pPr>
      <w:hyperlink w:anchor="_Toc134695295" w:history="1">
        <w:r w:rsidRPr="00FB79DE">
          <w:rPr>
            <w:rStyle w:val="Hyperlink"/>
            <w:noProof/>
          </w:rPr>
          <w:t>Figure 4.17 As in Fig. 4.13, but for the 1- to 6-hour forecasts initiated from 2100 to 0300 UTC the next day for the 10 Dec 2021 event.</w:t>
        </w:r>
        <w:r>
          <w:rPr>
            <w:noProof/>
            <w:webHidden/>
          </w:rPr>
          <w:tab/>
        </w:r>
        <w:r>
          <w:rPr>
            <w:noProof/>
            <w:webHidden/>
          </w:rPr>
          <w:fldChar w:fldCharType="begin"/>
        </w:r>
        <w:r>
          <w:rPr>
            <w:noProof/>
            <w:webHidden/>
          </w:rPr>
          <w:instrText xml:space="preserve"> PAGEREF _Toc134695295 \h </w:instrText>
        </w:r>
        <w:r>
          <w:rPr>
            <w:noProof/>
            <w:webHidden/>
          </w:rPr>
        </w:r>
        <w:r>
          <w:rPr>
            <w:noProof/>
            <w:webHidden/>
          </w:rPr>
          <w:fldChar w:fldCharType="separate"/>
        </w:r>
        <w:r>
          <w:rPr>
            <w:noProof/>
            <w:webHidden/>
          </w:rPr>
          <w:t>86</w:t>
        </w:r>
        <w:r>
          <w:rPr>
            <w:noProof/>
            <w:webHidden/>
          </w:rPr>
          <w:fldChar w:fldCharType="end"/>
        </w:r>
      </w:hyperlink>
    </w:p>
    <w:p w14:paraId="7F1D4C78" w14:textId="3A887C9B" w:rsidR="007B297F" w:rsidRDefault="007B297F">
      <w:pPr>
        <w:pStyle w:val="TableofFigures"/>
        <w:rPr>
          <w:rFonts w:asciiTheme="minorHAnsi" w:hAnsiTheme="minorHAnsi"/>
          <w:b w:val="0"/>
          <w:noProof/>
          <w:kern w:val="2"/>
          <w:sz w:val="21"/>
          <w14:ligatures w14:val="standardContextual"/>
        </w:rPr>
      </w:pPr>
      <w:hyperlink w:anchor="_Toc134695296" w:history="1">
        <w:r w:rsidRPr="00FB79DE">
          <w:rPr>
            <w:rStyle w:val="Hyperlink"/>
            <w:noProof/>
          </w:rPr>
          <w:t>Figure 5.1 The workflow for estimating background error profiles from WoFS ensemble perturbations.</w:t>
        </w:r>
        <w:r>
          <w:rPr>
            <w:noProof/>
            <w:webHidden/>
          </w:rPr>
          <w:tab/>
        </w:r>
        <w:r>
          <w:rPr>
            <w:noProof/>
            <w:webHidden/>
          </w:rPr>
          <w:fldChar w:fldCharType="begin"/>
        </w:r>
        <w:r>
          <w:rPr>
            <w:noProof/>
            <w:webHidden/>
          </w:rPr>
          <w:instrText xml:space="preserve"> PAGEREF _Toc134695296 \h </w:instrText>
        </w:r>
        <w:r>
          <w:rPr>
            <w:noProof/>
            <w:webHidden/>
          </w:rPr>
        </w:r>
        <w:r>
          <w:rPr>
            <w:noProof/>
            <w:webHidden/>
          </w:rPr>
          <w:fldChar w:fldCharType="separate"/>
        </w:r>
        <w:r>
          <w:rPr>
            <w:noProof/>
            <w:webHidden/>
          </w:rPr>
          <w:t>93</w:t>
        </w:r>
        <w:r>
          <w:rPr>
            <w:noProof/>
            <w:webHidden/>
          </w:rPr>
          <w:fldChar w:fldCharType="end"/>
        </w:r>
      </w:hyperlink>
    </w:p>
    <w:p w14:paraId="220BA0B7" w14:textId="2B40E7D3" w:rsidR="007B297F" w:rsidRDefault="007B297F">
      <w:pPr>
        <w:pStyle w:val="TableofFigures"/>
        <w:rPr>
          <w:rFonts w:asciiTheme="minorHAnsi" w:hAnsiTheme="minorHAnsi"/>
          <w:b w:val="0"/>
          <w:noProof/>
          <w:kern w:val="2"/>
          <w:sz w:val="21"/>
          <w14:ligatures w14:val="standardContextual"/>
        </w:rPr>
      </w:pPr>
      <w:hyperlink w:anchor="_Toc134695297" w:history="1">
        <w:r w:rsidRPr="00FB79DE">
          <w:rPr>
            <w:rStyle w:val="Hyperlink"/>
            <w:noProof/>
          </w:rPr>
          <w:t>Figure 5.2 Performance diagrams for 1- to 6-hour composite reflectivity (CREF) and midlevel rotation track forecasts, aggregated from each initialization hour between 2100 and 0300 UTC the next day for 10 Dec 2021, and between 1800 and 0000 UTC the next day across the other 4 events. The numbers within the colored circles indicate the forecast hour, i.e., 1-, 3- and 6-hour forecasts. Top row shows the performance diagrams for CREF forecasts relative to MRMS CREF observations using thresholds of (a, c) 20 dBZ and (b, d) 40 dBZ. Bottom row shows the performance diagrams for middle-level UH forecasts relative to MRMS Azimuthal Shear using thresholds of (e, g) 65.79 m</w:t>
        </w:r>
        <w:r w:rsidRPr="00FB79DE">
          <w:rPr>
            <w:rStyle w:val="Hyperlink"/>
            <w:noProof/>
            <w:vertAlign w:val="superscript"/>
          </w:rPr>
          <w:t>2</w:t>
        </w:r>
        <w:r w:rsidRPr="00FB79DE">
          <w:rPr>
            <w:rStyle w:val="Hyperlink"/>
            <w:noProof/>
          </w:rPr>
          <w:t xml:space="preserve"> s</w:t>
        </w:r>
        <w:r w:rsidRPr="00FB79DE">
          <w:rPr>
            <w:rStyle w:val="Hyperlink"/>
            <w:noProof/>
            <w:vertAlign w:val="superscript"/>
          </w:rPr>
          <w:t>-2</w:t>
        </w:r>
        <w:r w:rsidRPr="00FB79DE">
          <w:rPr>
            <w:rStyle w:val="Hyperlink"/>
            <w:noProof/>
          </w:rPr>
          <w:t xml:space="preserve"> / 0.00206 s</w:t>
        </w:r>
        <w:r w:rsidRPr="00FB79DE">
          <w:rPr>
            <w:rStyle w:val="Hyperlink"/>
            <w:noProof/>
            <w:vertAlign w:val="superscript"/>
          </w:rPr>
          <w:t>-1</w:t>
        </w:r>
        <w:r w:rsidRPr="00FB79DE">
          <w:rPr>
            <w:rStyle w:val="Hyperlink"/>
            <w:noProof/>
          </w:rPr>
          <w:t xml:space="preserve"> and (f, h) 80.0 m</w:t>
        </w:r>
        <w:r w:rsidRPr="00FB79DE">
          <w:rPr>
            <w:rStyle w:val="Hyperlink"/>
            <w:noProof/>
            <w:vertAlign w:val="superscript"/>
          </w:rPr>
          <w:t>2</w:t>
        </w:r>
        <w:r w:rsidRPr="00FB79DE">
          <w:rPr>
            <w:rStyle w:val="Hyperlink"/>
            <w:noProof/>
          </w:rPr>
          <w:t xml:space="preserve"> s</w:t>
        </w:r>
        <w:r w:rsidRPr="00FB79DE">
          <w:rPr>
            <w:rStyle w:val="Hyperlink"/>
            <w:noProof/>
            <w:vertAlign w:val="superscript"/>
          </w:rPr>
          <w:t>-2</w:t>
        </w:r>
        <w:r w:rsidRPr="00FB79DE">
          <w:rPr>
            <w:rStyle w:val="Hyperlink"/>
            <w:noProof/>
          </w:rPr>
          <w:t xml:space="preserve"> / 0.00215 s</w:t>
        </w:r>
        <w:r w:rsidRPr="00FB79DE">
          <w:rPr>
            <w:rStyle w:val="Hyperlink"/>
            <w:noProof/>
            <w:vertAlign w:val="superscript"/>
          </w:rPr>
          <w:t>-1</w:t>
        </w:r>
        <w:r w:rsidRPr="00FB79DE">
          <w:rPr>
            <w:rStyle w:val="Hyperlink"/>
            <w:noProof/>
          </w:rPr>
          <w:t>. The experiments Hyb_retro and Hyb_WD are represented by blue and red circles, respectively. The figure only displays the results for neighborhood radii of 9 km and 12 km.</w:t>
        </w:r>
        <w:r>
          <w:rPr>
            <w:noProof/>
            <w:webHidden/>
          </w:rPr>
          <w:tab/>
        </w:r>
        <w:r>
          <w:rPr>
            <w:noProof/>
            <w:webHidden/>
          </w:rPr>
          <w:fldChar w:fldCharType="begin"/>
        </w:r>
        <w:r>
          <w:rPr>
            <w:noProof/>
            <w:webHidden/>
          </w:rPr>
          <w:instrText xml:space="preserve"> PAGEREF _Toc134695297 \h </w:instrText>
        </w:r>
        <w:r>
          <w:rPr>
            <w:noProof/>
            <w:webHidden/>
          </w:rPr>
        </w:r>
        <w:r>
          <w:rPr>
            <w:noProof/>
            <w:webHidden/>
          </w:rPr>
          <w:fldChar w:fldCharType="separate"/>
        </w:r>
        <w:r>
          <w:rPr>
            <w:noProof/>
            <w:webHidden/>
          </w:rPr>
          <w:t>96</w:t>
        </w:r>
        <w:r>
          <w:rPr>
            <w:noProof/>
            <w:webHidden/>
          </w:rPr>
          <w:fldChar w:fldCharType="end"/>
        </w:r>
      </w:hyperlink>
    </w:p>
    <w:p w14:paraId="33214F8B" w14:textId="2DA11771" w:rsidR="007B297F" w:rsidRDefault="007B297F">
      <w:pPr>
        <w:pStyle w:val="TableofFigures"/>
        <w:rPr>
          <w:rFonts w:asciiTheme="minorHAnsi" w:hAnsiTheme="minorHAnsi"/>
          <w:b w:val="0"/>
          <w:noProof/>
          <w:kern w:val="2"/>
          <w:sz w:val="21"/>
          <w14:ligatures w14:val="standardContextual"/>
        </w:rPr>
      </w:pPr>
      <w:hyperlink w:anchor="_Toc134695298" w:history="1">
        <w:r w:rsidRPr="00FB79DE">
          <w:rPr>
            <w:rStyle w:val="Hyperlink"/>
            <w:noProof/>
          </w:rPr>
          <w:t>Figure 5.3 ETS for 0- to 6-hour CREF forecasts (top row), and 30-min midlevel rotation track forecasts (bottom row) aggregated from each initialization hour between 2100 and 0300 UTC the next day for 10 Dec 2021, and between 1800 and 0000 UTC the next day across the other 4 events. Top row displays the ETS for CREF forecasts with a neighborhood radius of (a) 9 km and (b) 12 km, and at thresholds of 20 dBZ (blue), (red) and 40 dBZ (red). Bottom row displays the ETS for 30-min midlevel rotation track forecasts with neighborhood radius of (c) 9 km and (d) 12 km at thresholds of (blue) 65.79 m</w:t>
        </w:r>
        <w:r w:rsidRPr="00FB79DE">
          <w:rPr>
            <w:rStyle w:val="Hyperlink"/>
            <w:noProof/>
            <w:vertAlign w:val="superscript"/>
          </w:rPr>
          <w:t>2</w:t>
        </w:r>
        <w:r w:rsidRPr="00FB79DE">
          <w:rPr>
            <w:rStyle w:val="Hyperlink"/>
            <w:noProof/>
          </w:rPr>
          <w:t xml:space="preserve"> s</w:t>
        </w:r>
        <w:r w:rsidRPr="00FB79DE">
          <w:rPr>
            <w:rStyle w:val="Hyperlink"/>
            <w:noProof/>
            <w:vertAlign w:val="superscript"/>
          </w:rPr>
          <w:t>-2</w:t>
        </w:r>
        <w:r w:rsidRPr="00FB79DE">
          <w:rPr>
            <w:rStyle w:val="Hyperlink"/>
            <w:noProof/>
          </w:rPr>
          <w:t xml:space="preserve"> / 0.00206 s</w:t>
        </w:r>
        <w:r w:rsidRPr="00FB79DE">
          <w:rPr>
            <w:rStyle w:val="Hyperlink"/>
            <w:noProof/>
            <w:vertAlign w:val="superscript"/>
          </w:rPr>
          <w:t>-1</w:t>
        </w:r>
        <w:r w:rsidRPr="00FB79DE">
          <w:rPr>
            <w:rStyle w:val="Hyperlink"/>
            <w:noProof/>
          </w:rPr>
          <w:t xml:space="preserve"> and (red) 80.0 m</w:t>
        </w:r>
        <w:r w:rsidRPr="00FB79DE">
          <w:rPr>
            <w:rStyle w:val="Hyperlink"/>
            <w:noProof/>
            <w:vertAlign w:val="superscript"/>
          </w:rPr>
          <w:t>2</w:t>
        </w:r>
        <w:r w:rsidRPr="00FB79DE">
          <w:rPr>
            <w:rStyle w:val="Hyperlink"/>
            <w:noProof/>
          </w:rPr>
          <w:t xml:space="preserve"> s</w:t>
        </w:r>
        <w:r w:rsidRPr="00FB79DE">
          <w:rPr>
            <w:rStyle w:val="Hyperlink"/>
            <w:noProof/>
            <w:vertAlign w:val="superscript"/>
          </w:rPr>
          <w:t>-2</w:t>
        </w:r>
        <w:r w:rsidRPr="00FB79DE">
          <w:rPr>
            <w:rStyle w:val="Hyperlink"/>
            <w:noProof/>
          </w:rPr>
          <w:t xml:space="preserve"> / 0.00215 s</w:t>
        </w:r>
        <w:r w:rsidRPr="00FB79DE">
          <w:rPr>
            <w:rStyle w:val="Hyperlink"/>
            <w:noProof/>
            <w:vertAlign w:val="superscript"/>
          </w:rPr>
          <w:t>-1</w:t>
        </w:r>
        <w:r w:rsidRPr="00FB79DE">
          <w:rPr>
            <w:rStyle w:val="Hyperlink"/>
            <w:noProof/>
          </w:rPr>
          <w:t>. The experiments Hyb_retro and Hyb_WD are represented by dashed and solid lines, respectively, with dots on each solid line indicating that the changes of Hyb_WD are statistically significant in comparison to Hyb_retro.</w:t>
        </w:r>
        <w:r>
          <w:rPr>
            <w:noProof/>
            <w:webHidden/>
          </w:rPr>
          <w:tab/>
        </w:r>
        <w:r>
          <w:rPr>
            <w:noProof/>
            <w:webHidden/>
          </w:rPr>
          <w:fldChar w:fldCharType="begin"/>
        </w:r>
        <w:r>
          <w:rPr>
            <w:noProof/>
            <w:webHidden/>
          </w:rPr>
          <w:instrText xml:space="preserve"> PAGEREF _Toc134695298 \h </w:instrText>
        </w:r>
        <w:r>
          <w:rPr>
            <w:noProof/>
            <w:webHidden/>
          </w:rPr>
        </w:r>
        <w:r>
          <w:rPr>
            <w:noProof/>
            <w:webHidden/>
          </w:rPr>
          <w:fldChar w:fldCharType="separate"/>
        </w:r>
        <w:r>
          <w:rPr>
            <w:noProof/>
            <w:webHidden/>
          </w:rPr>
          <w:t>98</w:t>
        </w:r>
        <w:r>
          <w:rPr>
            <w:noProof/>
            <w:webHidden/>
          </w:rPr>
          <w:fldChar w:fldCharType="end"/>
        </w:r>
      </w:hyperlink>
    </w:p>
    <w:p w14:paraId="1FF550C7" w14:textId="03AB39FF" w:rsidR="007B297F" w:rsidRDefault="007B297F">
      <w:pPr>
        <w:pStyle w:val="TableofFigures"/>
        <w:rPr>
          <w:rFonts w:asciiTheme="minorHAnsi" w:hAnsiTheme="minorHAnsi"/>
          <w:b w:val="0"/>
          <w:noProof/>
          <w:kern w:val="2"/>
          <w:sz w:val="21"/>
          <w14:ligatures w14:val="standardContextual"/>
        </w:rPr>
      </w:pPr>
      <w:hyperlink w:anchor="_Toc134695299" w:history="1">
        <w:r w:rsidRPr="00FB79DE">
          <w:rPr>
            <w:rStyle w:val="Hyperlink"/>
            <w:noProof/>
          </w:rPr>
          <w:t>Figure 5.4 Performance diagrams for (first column) 1-, (second column) 3-, (third column) 6-hour CREF forecasts from each case relative to MRMS CREF observations at thresholds of (a-c) 20 dBZ, and (d-f) 40 dBZ. The 5 May 2020, 15 May 2020, 22 May 2020, 26 May 2021, and 10 Dec 2021 events are represented by black, blue, red, green and purple symbols, respectively. The circles and triangles indicate Hyb_retro and Hyb_WD, respectively. Scores are provided for a neighborhood radius of 12 km.</w:t>
        </w:r>
        <w:r>
          <w:rPr>
            <w:noProof/>
            <w:webHidden/>
          </w:rPr>
          <w:tab/>
        </w:r>
        <w:r>
          <w:rPr>
            <w:noProof/>
            <w:webHidden/>
          </w:rPr>
          <w:fldChar w:fldCharType="begin"/>
        </w:r>
        <w:r>
          <w:rPr>
            <w:noProof/>
            <w:webHidden/>
          </w:rPr>
          <w:instrText xml:space="preserve"> PAGEREF _Toc134695299 \h </w:instrText>
        </w:r>
        <w:r>
          <w:rPr>
            <w:noProof/>
            <w:webHidden/>
          </w:rPr>
        </w:r>
        <w:r>
          <w:rPr>
            <w:noProof/>
            <w:webHidden/>
          </w:rPr>
          <w:fldChar w:fldCharType="separate"/>
        </w:r>
        <w:r>
          <w:rPr>
            <w:noProof/>
            <w:webHidden/>
          </w:rPr>
          <w:t>100</w:t>
        </w:r>
        <w:r>
          <w:rPr>
            <w:noProof/>
            <w:webHidden/>
          </w:rPr>
          <w:fldChar w:fldCharType="end"/>
        </w:r>
      </w:hyperlink>
    </w:p>
    <w:p w14:paraId="2128AE7F" w14:textId="7BC12E23" w:rsidR="007B297F" w:rsidRDefault="007B297F">
      <w:pPr>
        <w:pStyle w:val="TableofFigures"/>
        <w:rPr>
          <w:rFonts w:asciiTheme="minorHAnsi" w:hAnsiTheme="minorHAnsi"/>
          <w:b w:val="0"/>
          <w:noProof/>
          <w:kern w:val="2"/>
          <w:sz w:val="21"/>
          <w14:ligatures w14:val="standardContextual"/>
        </w:rPr>
      </w:pPr>
      <w:hyperlink w:anchor="_Toc134695300" w:history="1">
        <w:r w:rsidRPr="00FB79DE">
          <w:rPr>
            <w:rStyle w:val="Hyperlink"/>
            <w:noProof/>
          </w:rPr>
          <w:t>Figure 5.5 As in Fig. 5.4, but for midlevel updraft helicity forecasts relative to MRMS midlevel Azimuthal Shear observations at thresholds of (a-c) 65.79 m</w:t>
        </w:r>
        <w:r w:rsidRPr="00FB79DE">
          <w:rPr>
            <w:rStyle w:val="Hyperlink"/>
            <w:noProof/>
            <w:vertAlign w:val="superscript"/>
          </w:rPr>
          <w:t>2</w:t>
        </w:r>
        <w:r w:rsidRPr="00FB79DE">
          <w:rPr>
            <w:rStyle w:val="Hyperlink"/>
            <w:noProof/>
          </w:rPr>
          <w:t xml:space="preserve"> s</w:t>
        </w:r>
        <w:r w:rsidRPr="00FB79DE">
          <w:rPr>
            <w:rStyle w:val="Hyperlink"/>
            <w:noProof/>
            <w:vertAlign w:val="superscript"/>
          </w:rPr>
          <w:t>-2</w:t>
        </w:r>
        <w:r w:rsidRPr="00FB79DE">
          <w:rPr>
            <w:rStyle w:val="Hyperlink"/>
            <w:noProof/>
          </w:rPr>
          <w:t xml:space="preserve"> / 0.00206 s</w:t>
        </w:r>
        <w:r w:rsidRPr="00FB79DE">
          <w:rPr>
            <w:rStyle w:val="Hyperlink"/>
            <w:noProof/>
            <w:vertAlign w:val="superscript"/>
          </w:rPr>
          <w:t>-1</w:t>
        </w:r>
        <w:r w:rsidRPr="00FB79DE">
          <w:rPr>
            <w:rStyle w:val="Hyperlink"/>
            <w:noProof/>
          </w:rPr>
          <w:t xml:space="preserve"> and (d-f) 80.0 m</w:t>
        </w:r>
        <w:r w:rsidRPr="00FB79DE">
          <w:rPr>
            <w:rStyle w:val="Hyperlink"/>
            <w:noProof/>
            <w:vertAlign w:val="superscript"/>
          </w:rPr>
          <w:t>2</w:t>
        </w:r>
        <w:r w:rsidRPr="00FB79DE">
          <w:rPr>
            <w:rStyle w:val="Hyperlink"/>
            <w:noProof/>
          </w:rPr>
          <w:t xml:space="preserve"> s</w:t>
        </w:r>
        <w:r w:rsidRPr="00FB79DE">
          <w:rPr>
            <w:rStyle w:val="Hyperlink"/>
            <w:noProof/>
            <w:vertAlign w:val="superscript"/>
          </w:rPr>
          <w:t>-2</w:t>
        </w:r>
        <w:r w:rsidRPr="00FB79DE">
          <w:rPr>
            <w:rStyle w:val="Hyperlink"/>
            <w:noProof/>
          </w:rPr>
          <w:t xml:space="preserve"> / 0.00215 s</w:t>
        </w:r>
        <w:r w:rsidRPr="00FB79DE">
          <w:rPr>
            <w:rStyle w:val="Hyperlink"/>
            <w:noProof/>
            <w:vertAlign w:val="superscript"/>
          </w:rPr>
          <w:t>-1</w:t>
        </w:r>
        <w:r w:rsidRPr="00FB79DE">
          <w:rPr>
            <w:rStyle w:val="Hyperlink"/>
            <w:noProof/>
          </w:rPr>
          <w:t>.</w:t>
        </w:r>
        <w:r>
          <w:rPr>
            <w:noProof/>
            <w:webHidden/>
          </w:rPr>
          <w:tab/>
        </w:r>
        <w:r>
          <w:rPr>
            <w:noProof/>
            <w:webHidden/>
          </w:rPr>
          <w:fldChar w:fldCharType="begin"/>
        </w:r>
        <w:r>
          <w:rPr>
            <w:noProof/>
            <w:webHidden/>
          </w:rPr>
          <w:instrText xml:space="preserve"> PAGEREF _Toc134695300 \h </w:instrText>
        </w:r>
        <w:r>
          <w:rPr>
            <w:noProof/>
            <w:webHidden/>
          </w:rPr>
        </w:r>
        <w:r>
          <w:rPr>
            <w:noProof/>
            <w:webHidden/>
          </w:rPr>
          <w:fldChar w:fldCharType="separate"/>
        </w:r>
        <w:r>
          <w:rPr>
            <w:noProof/>
            <w:webHidden/>
          </w:rPr>
          <w:t>102</w:t>
        </w:r>
        <w:r>
          <w:rPr>
            <w:noProof/>
            <w:webHidden/>
          </w:rPr>
          <w:fldChar w:fldCharType="end"/>
        </w:r>
      </w:hyperlink>
    </w:p>
    <w:p w14:paraId="30BB0D90" w14:textId="5CD177D5" w:rsidR="007B297F" w:rsidRDefault="007B297F">
      <w:pPr>
        <w:pStyle w:val="TableofFigures"/>
        <w:rPr>
          <w:rFonts w:asciiTheme="minorHAnsi" w:hAnsiTheme="minorHAnsi"/>
          <w:b w:val="0"/>
          <w:noProof/>
          <w:kern w:val="2"/>
          <w:sz w:val="21"/>
          <w14:ligatures w14:val="standardContextual"/>
        </w:rPr>
      </w:pPr>
      <w:hyperlink w:anchor="_Toc134695301" w:history="1">
        <w:r w:rsidRPr="00FB79DE">
          <w:rPr>
            <w:rStyle w:val="Hyperlink"/>
            <w:noProof/>
          </w:rPr>
          <w:t>Figure 5.6 The 6-hour 2 – 5 km UH track forecasts initialized at (a, d) 1900, (b, e) 2100, and (c, f) 2300 UTC on 5 May 2020. The top row presents the results of the experiment Hyb_retro, while the bottom row presents the results of the experiment Hyb_WD. During each forecast period for each experiment, the forecast results are superimposed with the SPC storm reports, indicated by purple upward-pointing triangles for tornado events, cyan diamonds for hail events, and blue right-pointing triangles for damaging wind events.</w:t>
        </w:r>
        <w:r>
          <w:rPr>
            <w:noProof/>
            <w:webHidden/>
          </w:rPr>
          <w:tab/>
        </w:r>
        <w:r>
          <w:rPr>
            <w:noProof/>
            <w:webHidden/>
          </w:rPr>
          <w:fldChar w:fldCharType="begin"/>
        </w:r>
        <w:r>
          <w:rPr>
            <w:noProof/>
            <w:webHidden/>
          </w:rPr>
          <w:instrText xml:space="preserve"> PAGEREF _Toc134695301 \h </w:instrText>
        </w:r>
        <w:r>
          <w:rPr>
            <w:noProof/>
            <w:webHidden/>
          </w:rPr>
        </w:r>
        <w:r>
          <w:rPr>
            <w:noProof/>
            <w:webHidden/>
          </w:rPr>
          <w:fldChar w:fldCharType="separate"/>
        </w:r>
        <w:r>
          <w:rPr>
            <w:noProof/>
            <w:webHidden/>
          </w:rPr>
          <w:t>104</w:t>
        </w:r>
        <w:r>
          <w:rPr>
            <w:noProof/>
            <w:webHidden/>
          </w:rPr>
          <w:fldChar w:fldCharType="end"/>
        </w:r>
      </w:hyperlink>
    </w:p>
    <w:p w14:paraId="13041579" w14:textId="6A4A2112" w:rsidR="007B297F" w:rsidRDefault="007B297F">
      <w:pPr>
        <w:pStyle w:val="TableofFigures"/>
        <w:rPr>
          <w:rFonts w:asciiTheme="minorHAnsi" w:hAnsiTheme="minorHAnsi"/>
          <w:b w:val="0"/>
          <w:noProof/>
          <w:kern w:val="2"/>
          <w:sz w:val="21"/>
          <w14:ligatures w14:val="standardContextual"/>
        </w:rPr>
      </w:pPr>
      <w:hyperlink w:anchor="_Toc134695302" w:history="1">
        <w:r w:rsidRPr="00FB79DE">
          <w:rPr>
            <w:rStyle w:val="Hyperlink"/>
            <w:noProof/>
          </w:rPr>
          <w:t>Figure 5.7 Hailcast superimposed with the SPC storm reports for (a, d) 1-, (b, e) 2-, and (c, f) 3-h forecasts initialized at 2300 UTC on 5 May 2020. The top row presents the results of the experiment Hyb_retro, while the bottom row presents the results of the experiment Hyb_WD.</w:t>
        </w:r>
        <w:r>
          <w:rPr>
            <w:noProof/>
            <w:webHidden/>
          </w:rPr>
          <w:tab/>
        </w:r>
        <w:r>
          <w:rPr>
            <w:noProof/>
            <w:webHidden/>
          </w:rPr>
          <w:fldChar w:fldCharType="begin"/>
        </w:r>
        <w:r>
          <w:rPr>
            <w:noProof/>
            <w:webHidden/>
          </w:rPr>
          <w:instrText xml:space="preserve"> PAGEREF _Toc134695302 \h </w:instrText>
        </w:r>
        <w:r>
          <w:rPr>
            <w:noProof/>
            <w:webHidden/>
          </w:rPr>
        </w:r>
        <w:r>
          <w:rPr>
            <w:noProof/>
            <w:webHidden/>
          </w:rPr>
          <w:fldChar w:fldCharType="separate"/>
        </w:r>
        <w:r>
          <w:rPr>
            <w:noProof/>
            <w:webHidden/>
          </w:rPr>
          <w:t>105</w:t>
        </w:r>
        <w:r>
          <w:rPr>
            <w:noProof/>
            <w:webHidden/>
          </w:rPr>
          <w:fldChar w:fldCharType="end"/>
        </w:r>
      </w:hyperlink>
    </w:p>
    <w:p w14:paraId="1EB8735D" w14:textId="029514FB" w:rsidR="007B297F" w:rsidRDefault="007B297F">
      <w:pPr>
        <w:pStyle w:val="TableofFigures"/>
        <w:rPr>
          <w:rFonts w:asciiTheme="minorHAnsi" w:hAnsiTheme="minorHAnsi"/>
          <w:b w:val="0"/>
          <w:noProof/>
          <w:kern w:val="2"/>
          <w:sz w:val="21"/>
          <w14:ligatures w14:val="standardContextual"/>
        </w:rPr>
      </w:pPr>
      <w:hyperlink w:anchor="_Toc134695303" w:history="1">
        <w:r w:rsidRPr="00FB79DE">
          <w:rPr>
            <w:rStyle w:val="Hyperlink"/>
            <w:noProof/>
          </w:rPr>
          <w:t>Figure 5.8 (from top to bottom) The (o) observed composite reflectivity from MRMS and the predicted composite reflectivity for (a) Retro, and (b) WD. The (1) analysis at 2100 UTC 5 May 2020. The (2) 1-, (3) 2-, (4) 3-, (5) 4-, (6) 5-, and (7) 6-hour forecasts initialized at 2100 UTC.</w:t>
        </w:r>
        <w:r>
          <w:rPr>
            <w:noProof/>
            <w:webHidden/>
          </w:rPr>
          <w:tab/>
        </w:r>
        <w:r>
          <w:rPr>
            <w:noProof/>
            <w:webHidden/>
          </w:rPr>
          <w:fldChar w:fldCharType="begin"/>
        </w:r>
        <w:r>
          <w:rPr>
            <w:noProof/>
            <w:webHidden/>
          </w:rPr>
          <w:instrText xml:space="preserve"> PAGEREF _Toc134695303 \h </w:instrText>
        </w:r>
        <w:r>
          <w:rPr>
            <w:noProof/>
            <w:webHidden/>
          </w:rPr>
        </w:r>
        <w:r>
          <w:rPr>
            <w:noProof/>
            <w:webHidden/>
          </w:rPr>
          <w:fldChar w:fldCharType="separate"/>
        </w:r>
        <w:r>
          <w:rPr>
            <w:noProof/>
            <w:webHidden/>
          </w:rPr>
          <w:t>106</w:t>
        </w:r>
        <w:r>
          <w:rPr>
            <w:noProof/>
            <w:webHidden/>
          </w:rPr>
          <w:fldChar w:fldCharType="end"/>
        </w:r>
      </w:hyperlink>
    </w:p>
    <w:p w14:paraId="252E774D" w14:textId="26938234" w:rsidR="007B297F" w:rsidRDefault="007B297F">
      <w:pPr>
        <w:pStyle w:val="TableofFigures"/>
        <w:rPr>
          <w:rFonts w:asciiTheme="minorHAnsi" w:hAnsiTheme="minorHAnsi"/>
          <w:b w:val="0"/>
          <w:noProof/>
          <w:kern w:val="2"/>
          <w:sz w:val="21"/>
          <w14:ligatures w14:val="standardContextual"/>
        </w:rPr>
      </w:pPr>
      <w:hyperlink w:anchor="_Toc134695304" w:history="1">
        <w:r w:rsidRPr="00FB79DE">
          <w:rPr>
            <w:rStyle w:val="Hyperlink"/>
            <w:noProof/>
          </w:rPr>
          <w:t>Figure 5.9 ETSs for (top row) CREF and (bottom row) 2 – 5 km UH track forecasts for 5 May 2020. The experiments Hyb_retro, Hyb_WD are indicated by blue, red lines, respectively. Dots indicate the statistical significance of changes in Hyb_WD as compared to Hyb_retro. Scores are provided for a neighborhood radius of 12 km.</w:t>
        </w:r>
        <w:r>
          <w:rPr>
            <w:noProof/>
            <w:webHidden/>
          </w:rPr>
          <w:tab/>
        </w:r>
        <w:r>
          <w:rPr>
            <w:noProof/>
            <w:webHidden/>
          </w:rPr>
          <w:fldChar w:fldCharType="begin"/>
        </w:r>
        <w:r>
          <w:rPr>
            <w:noProof/>
            <w:webHidden/>
          </w:rPr>
          <w:instrText xml:space="preserve"> PAGEREF _Toc134695304 \h </w:instrText>
        </w:r>
        <w:r>
          <w:rPr>
            <w:noProof/>
            <w:webHidden/>
          </w:rPr>
        </w:r>
        <w:r>
          <w:rPr>
            <w:noProof/>
            <w:webHidden/>
          </w:rPr>
          <w:fldChar w:fldCharType="separate"/>
        </w:r>
        <w:r>
          <w:rPr>
            <w:noProof/>
            <w:webHidden/>
          </w:rPr>
          <w:t>108</w:t>
        </w:r>
        <w:r>
          <w:rPr>
            <w:noProof/>
            <w:webHidden/>
          </w:rPr>
          <w:fldChar w:fldCharType="end"/>
        </w:r>
      </w:hyperlink>
    </w:p>
    <w:p w14:paraId="02A38783" w14:textId="56F42FF8" w:rsidR="007B297F" w:rsidRDefault="007B297F">
      <w:pPr>
        <w:pStyle w:val="TableofFigures"/>
        <w:rPr>
          <w:rFonts w:asciiTheme="minorHAnsi" w:hAnsiTheme="minorHAnsi"/>
          <w:b w:val="0"/>
          <w:noProof/>
          <w:kern w:val="2"/>
          <w:sz w:val="21"/>
          <w14:ligatures w14:val="standardContextual"/>
        </w:rPr>
      </w:pPr>
      <w:hyperlink w:anchor="_Toc134695305" w:history="1">
        <w:r w:rsidRPr="00FB79DE">
          <w:rPr>
            <w:rStyle w:val="Hyperlink"/>
            <w:noProof/>
          </w:rPr>
          <w:t>Figure 5.10 As in Fig. 5.7, but for the 6-hour 2 – 5 km UH track forecasts initialized at (a, d) 2000, (b, e) 2200, and (c, f) 0000 UTC on 22 May 2020.</w:t>
        </w:r>
        <w:r>
          <w:rPr>
            <w:noProof/>
            <w:webHidden/>
          </w:rPr>
          <w:tab/>
        </w:r>
        <w:r>
          <w:rPr>
            <w:noProof/>
            <w:webHidden/>
          </w:rPr>
          <w:fldChar w:fldCharType="begin"/>
        </w:r>
        <w:r>
          <w:rPr>
            <w:noProof/>
            <w:webHidden/>
          </w:rPr>
          <w:instrText xml:space="preserve"> PAGEREF _Toc134695305 \h </w:instrText>
        </w:r>
        <w:r>
          <w:rPr>
            <w:noProof/>
            <w:webHidden/>
          </w:rPr>
        </w:r>
        <w:r>
          <w:rPr>
            <w:noProof/>
            <w:webHidden/>
          </w:rPr>
          <w:fldChar w:fldCharType="separate"/>
        </w:r>
        <w:r>
          <w:rPr>
            <w:noProof/>
            <w:webHidden/>
          </w:rPr>
          <w:t>111</w:t>
        </w:r>
        <w:r>
          <w:rPr>
            <w:noProof/>
            <w:webHidden/>
          </w:rPr>
          <w:fldChar w:fldCharType="end"/>
        </w:r>
      </w:hyperlink>
    </w:p>
    <w:p w14:paraId="56926B74" w14:textId="5054BCF5" w:rsidR="007B297F" w:rsidRDefault="007B297F">
      <w:pPr>
        <w:pStyle w:val="TableofFigures"/>
        <w:rPr>
          <w:rFonts w:asciiTheme="minorHAnsi" w:hAnsiTheme="minorHAnsi"/>
          <w:b w:val="0"/>
          <w:noProof/>
          <w:kern w:val="2"/>
          <w:sz w:val="21"/>
          <w14:ligatures w14:val="standardContextual"/>
        </w:rPr>
      </w:pPr>
      <w:hyperlink w:anchor="_Toc134695306" w:history="1">
        <w:r w:rsidRPr="00FB79DE">
          <w:rPr>
            <w:rStyle w:val="Hyperlink"/>
            <w:noProof/>
          </w:rPr>
          <w:t>Figure 5.11 As in Fig. 5.8, but for the (1) analysis and (2 - 7) forecasts initialized at 2200 UTC on 22 May 2020.</w:t>
        </w:r>
        <w:r>
          <w:rPr>
            <w:noProof/>
            <w:webHidden/>
          </w:rPr>
          <w:tab/>
        </w:r>
        <w:r>
          <w:rPr>
            <w:noProof/>
            <w:webHidden/>
          </w:rPr>
          <w:fldChar w:fldCharType="begin"/>
        </w:r>
        <w:r>
          <w:rPr>
            <w:noProof/>
            <w:webHidden/>
          </w:rPr>
          <w:instrText xml:space="preserve"> PAGEREF _Toc134695306 \h </w:instrText>
        </w:r>
        <w:r>
          <w:rPr>
            <w:noProof/>
            <w:webHidden/>
          </w:rPr>
        </w:r>
        <w:r>
          <w:rPr>
            <w:noProof/>
            <w:webHidden/>
          </w:rPr>
          <w:fldChar w:fldCharType="separate"/>
        </w:r>
        <w:r>
          <w:rPr>
            <w:noProof/>
            <w:webHidden/>
          </w:rPr>
          <w:t>112</w:t>
        </w:r>
        <w:r>
          <w:rPr>
            <w:noProof/>
            <w:webHidden/>
          </w:rPr>
          <w:fldChar w:fldCharType="end"/>
        </w:r>
      </w:hyperlink>
    </w:p>
    <w:p w14:paraId="4A312A31" w14:textId="17C1360E" w:rsidR="007B297F" w:rsidRDefault="007B297F">
      <w:pPr>
        <w:pStyle w:val="TableofFigures"/>
        <w:rPr>
          <w:rFonts w:asciiTheme="minorHAnsi" w:hAnsiTheme="minorHAnsi"/>
          <w:b w:val="0"/>
          <w:noProof/>
          <w:kern w:val="2"/>
          <w:sz w:val="21"/>
          <w14:ligatures w14:val="standardContextual"/>
        </w:rPr>
      </w:pPr>
      <w:hyperlink w:anchor="_Toc134695307" w:history="1">
        <w:r w:rsidRPr="00FB79DE">
          <w:rPr>
            <w:rStyle w:val="Hyperlink"/>
            <w:noProof/>
          </w:rPr>
          <w:t>Figure 5.12 As in Fig. 5.6, but for 22 May 2020.</w:t>
        </w:r>
        <w:r>
          <w:rPr>
            <w:noProof/>
            <w:webHidden/>
          </w:rPr>
          <w:tab/>
        </w:r>
        <w:r>
          <w:rPr>
            <w:noProof/>
            <w:webHidden/>
          </w:rPr>
          <w:fldChar w:fldCharType="begin"/>
        </w:r>
        <w:r>
          <w:rPr>
            <w:noProof/>
            <w:webHidden/>
          </w:rPr>
          <w:instrText xml:space="preserve"> PAGEREF _Toc134695307 \h </w:instrText>
        </w:r>
        <w:r>
          <w:rPr>
            <w:noProof/>
            <w:webHidden/>
          </w:rPr>
        </w:r>
        <w:r>
          <w:rPr>
            <w:noProof/>
            <w:webHidden/>
          </w:rPr>
          <w:fldChar w:fldCharType="separate"/>
        </w:r>
        <w:r>
          <w:rPr>
            <w:noProof/>
            <w:webHidden/>
          </w:rPr>
          <w:t>113</w:t>
        </w:r>
        <w:r>
          <w:rPr>
            <w:noProof/>
            <w:webHidden/>
          </w:rPr>
          <w:fldChar w:fldCharType="end"/>
        </w:r>
      </w:hyperlink>
    </w:p>
    <w:p w14:paraId="5B2C7D9B" w14:textId="12579CCC" w:rsidR="007B297F" w:rsidRDefault="007B297F">
      <w:pPr>
        <w:pStyle w:val="TableofFigures"/>
        <w:rPr>
          <w:rFonts w:asciiTheme="minorHAnsi" w:hAnsiTheme="minorHAnsi"/>
          <w:b w:val="0"/>
          <w:noProof/>
          <w:kern w:val="2"/>
          <w:sz w:val="21"/>
          <w14:ligatures w14:val="standardContextual"/>
        </w:rPr>
      </w:pPr>
      <w:hyperlink w:anchor="_Toc134695308" w:history="1">
        <w:r w:rsidRPr="00FB79DE">
          <w:rPr>
            <w:rStyle w:val="Hyperlink"/>
            <w:noProof/>
          </w:rPr>
          <w:t>Figure 5.13 As in Fig. 5.7, but for the 6-hour 2 – 5 km UH track forecasts initialized at (a, d) 2200, (b, e) 0000, and (c, f) 0200 UTC on 10 Dec 2021.</w:t>
        </w:r>
        <w:r>
          <w:rPr>
            <w:noProof/>
            <w:webHidden/>
          </w:rPr>
          <w:tab/>
        </w:r>
        <w:r>
          <w:rPr>
            <w:noProof/>
            <w:webHidden/>
          </w:rPr>
          <w:fldChar w:fldCharType="begin"/>
        </w:r>
        <w:r>
          <w:rPr>
            <w:noProof/>
            <w:webHidden/>
          </w:rPr>
          <w:instrText xml:space="preserve"> PAGEREF _Toc134695308 \h </w:instrText>
        </w:r>
        <w:r>
          <w:rPr>
            <w:noProof/>
            <w:webHidden/>
          </w:rPr>
        </w:r>
        <w:r>
          <w:rPr>
            <w:noProof/>
            <w:webHidden/>
          </w:rPr>
          <w:fldChar w:fldCharType="separate"/>
        </w:r>
        <w:r>
          <w:rPr>
            <w:noProof/>
            <w:webHidden/>
          </w:rPr>
          <w:t>115</w:t>
        </w:r>
        <w:r>
          <w:rPr>
            <w:noProof/>
            <w:webHidden/>
          </w:rPr>
          <w:fldChar w:fldCharType="end"/>
        </w:r>
      </w:hyperlink>
    </w:p>
    <w:p w14:paraId="54DB7B0C" w14:textId="7CE8ECD2" w:rsidR="007B297F" w:rsidRDefault="007B297F">
      <w:pPr>
        <w:pStyle w:val="TableofFigures"/>
        <w:rPr>
          <w:rFonts w:asciiTheme="minorHAnsi" w:hAnsiTheme="minorHAnsi"/>
          <w:b w:val="0"/>
          <w:noProof/>
          <w:kern w:val="2"/>
          <w:sz w:val="21"/>
          <w14:ligatures w14:val="standardContextual"/>
        </w:rPr>
      </w:pPr>
      <w:hyperlink w:anchor="_Toc134695309" w:history="1">
        <w:r w:rsidRPr="00FB79DE">
          <w:rPr>
            <w:rStyle w:val="Hyperlink"/>
            <w:noProof/>
          </w:rPr>
          <w:t>Figure 5.14 As in Fig. 5.8, but for the (1) analysis and (2 - 7) forecasts initialized at 2200 UTC on 10 Dec 2021.</w:t>
        </w:r>
        <w:r>
          <w:rPr>
            <w:noProof/>
            <w:webHidden/>
          </w:rPr>
          <w:tab/>
        </w:r>
        <w:r>
          <w:rPr>
            <w:noProof/>
            <w:webHidden/>
          </w:rPr>
          <w:fldChar w:fldCharType="begin"/>
        </w:r>
        <w:r>
          <w:rPr>
            <w:noProof/>
            <w:webHidden/>
          </w:rPr>
          <w:instrText xml:space="preserve"> PAGEREF _Toc134695309 \h </w:instrText>
        </w:r>
        <w:r>
          <w:rPr>
            <w:noProof/>
            <w:webHidden/>
          </w:rPr>
        </w:r>
        <w:r>
          <w:rPr>
            <w:noProof/>
            <w:webHidden/>
          </w:rPr>
          <w:fldChar w:fldCharType="separate"/>
        </w:r>
        <w:r>
          <w:rPr>
            <w:noProof/>
            <w:webHidden/>
          </w:rPr>
          <w:t>115</w:t>
        </w:r>
        <w:r>
          <w:rPr>
            <w:noProof/>
            <w:webHidden/>
          </w:rPr>
          <w:fldChar w:fldCharType="end"/>
        </w:r>
      </w:hyperlink>
    </w:p>
    <w:p w14:paraId="030C701A" w14:textId="3256847B" w:rsidR="007B297F" w:rsidRDefault="007B297F">
      <w:pPr>
        <w:pStyle w:val="TableofFigures"/>
        <w:rPr>
          <w:rFonts w:asciiTheme="minorHAnsi" w:hAnsiTheme="minorHAnsi"/>
          <w:b w:val="0"/>
          <w:noProof/>
          <w:kern w:val="2"/>
          <w:sz w:val="21"/>
          <w14:ligatures w14:val="standardContextual"/>
        </w:rPr>
      </w:pPr>
      <w:hyperlink w:anchor="_Toc134695310" w:history="1">
        <w:r w:rsidRPr="00FB79DE">
          <w:rPr>
            <w:rStyle w:val="Hyperlink"/>
            <w:noProof/>
          </w:rPr>
          <w:t>Figure 5.15 ETSs for (top row) CREF and (bottom row) 2 – 5 km UH track forecasts for 10 Dec 2021. The experiments, Hyb_retro and Hyb_WD are indicated by blue and orange lines, respectively. Dots indicate the statistical significance of changes in Hyb_WD as compared to Hyb_retro. Scores are provided for a neighborhood radius of 12 km.</w:t>
        </w:r>
        <w:r>
          <w:rPr>
            <w:noProof/>
            <w:webHidden/>
          </w:rPr>
          <w:tab/>
        </w:r>
        <w:r>
          <w:rPr>
            <w:noProof/>
            <w:webHidden/>
          </w:rPr>
          <w:fldChar w:fldCharType="begin"/>
        </w:r>
        <w:r>
          <w:rPr>
            <w:noProof/>
            <w:webHidden/>
          </w:rPr>
          <w:instrText xml:space="preserve"> PAGEREF _Toc134695310 \h </w:instrText>
        </w:r>
        <w:r>
          <w:rPr>
            <w:noProof/>
            <w:webHidden/>
          </w:rPr>
        </w:r>
        <w:r>
          <w:rPr>
            <w:noProof/>
            <w:webHidden/>
          </w:rPr>
          <w:fldChar w:fldCharType="separate"/>
        </w:r>
        <w:r>
          <w:rPr>
            <w:noProof/>
            <w:webHidden/>
          </w:rPr>
          <w:t>118</w:t>
        </w:r>
        <w:r>
          <w:rPr>
            <w:noProof/>
            <w:webHidden/>
          </w:rPr>
          <w:fldChar w:fldCharType="end"/>
        </w:r>
      </w:hyperlink>
    </w:p>
    <w:p w14:paraId="144ADF0E" w14:textId="0F3548C6" w:rsidR="006C690B" w:rsidRPr="00723DA9" w:rsidRDefault="008C58F8" w:rsidP="008D1F89">
      <w:pPr>
        <w:ind w:firstLine="0"/>
        <w:rPr>
          <w:rFonts w:cs="Times New Roman"/>
          <w:b/>
          <w:szCs w:val="24"/>
        </w:rPr>
      </w:pPr>
      <w:r w:rsidRPr="00D60A80">
        <w:rPr>
          <w:rFonts w:cs="Times New Roman"/>
          <w:b/>
          <w:szCs w:val="24"/>
        </w:rPr>
        <w:fldChar w:fldCharType="end"/>
      </w:r>
    </w:p>
    <w:p w14:paraId="2E51B032" w14:textId="199EED5D" w:rsidR="006C690B" w:rsidRPr="00723DA9" w:rsidRDefault="006C690B" w:rsidP="0045081A">
      <w:pPr>
        <w:pStyle w:val="TOC1"/>
      </w:pPr>
      <w:r w:rsidRPr="00723DA9">
        <w:br w:type="page"/>
      </w:r>
    </w:p>
    <w:p w14:paraId="0EE1483B" w14:textId="77777777" w:rsidR="006C690B" w:rsidRPr="008D1F89" w:rsidRDefault="006C690B" w:rsidP="008D1F89">
      <w:pPr>
        <w:pStyle w:val="Heading1"/>
        <w:numPr>
          <w:ilvl w:val="0"/>
          <w:numId w:val="0"/>
        </w:numPr>
      </w:pPr>
      <w:bookmarkStart w:id="6" w:name="_Toc130995424"/>
      <w:bookmarkStart w:id="7" w:name="_Toc131018289"/>
      <w:r w:rsidRPr="008D1F89">
        <w:lastRenderedPageBreak/>
        <w:t>Abstract</w:t>
      </w:r>
      <w:bookmarkEnd w:id="6"/>
      <w:bookmarkEnd w:id="7"/>
    </w:p>
    <w:p w14:paraId="739CBFA5" w14:textId="02A7F4BE" w:rsidR="006C690B" w:rsidRPr="00723DA9" w:rsidRDefault="000D6A74" w:rsidP="008D1F89">
      <w:r w:rsidRPr="00723DA9">
        <w:t xml:space="preserve">A </w:t>
      </w:r>
      <w:r>
        <w:t>hybrid ensemble-variational (En</w:t>
      </w:r>
      <w:r w:rsidR="00526E7B">
        <w:t>VAR</w:t>
      </w:r>
      <w:r>
        <w:t xml:space="preserve">) data assimilation </w:t>
      </w:r>
      <w:r w:rsidR="00AC4210">
        <w:t xml:space="preserve">and forecast </w:t>
      </w:r>
      <w:r>
        <w:t xml:space="preserve">system, namely WoF-Hybrid, </w:t>
      </w:r>
      <w:r w:rsidR="00464487">
        <w:t xml:space="preserve">was initially </w:t>
      </w:r>
      <w:r>
        <w:t xml:space="preserve">developed </w:t>
      </w:r>
      <w:r w:rsidR="00AC4210">
        <w:t xml:space="preserve">at </w:t>
      </w:r>
      <w:r>
        <w:t xml:space="preserve">the </w:t>
      </w:r>
      <w:r w:rsidRPr="006C690B">
        <w:t>National Severe Storms Laboratory (NSSL)</w:t>
      </w:r>
      <w:r>
        <w:t xml:space="preserve"> </w:t>
      </w:r>
      <w:r w:rsidRPr="006C690B">
        <w:t>supported by the NOAA Warn-on-Forecast project</w:t>
      </w:r>
      <w:r w:rsidR="006C690B" w:rsidRPr="006C690B">
        <w:t xml:space="preserve"> </w:t>
      </w:r>
      <w:r>
        <w:fldChar w:fldCharType="begin"/>
      </w:r>
      <w:r w:rsidR="006E4F25">
        <w:instrText xml:space="preserve"> ADDIN ZOTERO_ITEM CSL_CITATION {"citationID":"GUEG5xpz","properties":{"formattedCitation":"(Stensrud et al. 2009, 2013)","plainCitation":"(Stensrud et al. 2009, 2013)","dontUpdate":true,"noteIndex":0},"citationItems":[{"id":355,"uris":["http://zotero.org/users/local/6VSApgKp/items/QD6E5MD8"],"itemData":{"id":355,"type":"article-journal","abstract":"The National Oceanic and Atmospheric Administration's (NOAA's) National Weather Service (NWS) issues warnings for severe thunderstorms, tornadoes, and flash floods because these phenomena are a threat to life and property. These warnings are presently based upon either visual confirmation of the phenomena or the observational detection of proxy signatures that are largely based upon radar observations. Convective-scale weather warnings are unique in the NWS, having little reliance on direct numerical forecast guidance. Because increasing severe thunderstorm, tornado, and flash-flood warning lead times are a key NOAA strategic mission goal designed to reduce the loss of life, injury, and economic costs of these high-impact weather phenomena, a new warning paradigm is needed in which numerical model forecasts play a larger role in convective-scale warnings. This new paradigm shifts the warning process from warn on detection to warn on forecast, and it has the potential to dramatically increase warning lead times. A warn-on-forecast system is envisioned as a probabilistic convective-scale ensemble analysis and forecast system that assimilates in-storm observations into a high-resolution convection-resolving model ensemble. The building blocks needed for such a system are presently available, and initial research results clearly illustrate the value of radar observations to the production of accurate analyses of convective weather systems and improved forecasts. Although a number of scientific and cultural challenges still need to be overcome, the potential benefits are significant. A probabilistic convective-scale warn-on-forecast system is a vision worth pursuing.","container-title":"Bulletin of the American Meteorological Society","DOI":"10.1175/2009BAMS2795.1","ISSN":"0003-0007, 1520-0477","issue":"10","language":"en","note":"publisher: American Meteorological Society\nsection: Bulletin of the American Meteorological Society","page":"1487-1500","source":"journals.ametsoc.org","title":"Convective-Scale Warn-on-Forecast System: A Vision for 2020","title-short":"Convective-Scale Warn-on-Forecast System","volume":"90","author":[{"family":"Stensrud","given":"David J."},{"family":"Xue","given":"Ming"},{"family":"Wicker","given":"Louis J."},{"family":"Kelleher","given":"Kevin E."},{"family":"Foster","given":"Michael P."},{"family":"Schaefer","given":"Joseph T."},{"family":"Schneider","given":"Russell S."},{"family":"Benjamin","given":"Stanley G."},{"family":"Weygandt","given":"Stephen S."},{"family":"Ferree","given":"John T."},{"family":"Tuell","given":"Jason P."}],"issued":{"date-parts":[["2009",10,1]]},"citation-key":"stensrudConvectiveScaleWarnonForecastSystem2009"}},{"id":356,"uris":["http://zotero.org/users/local/6VSApgKp/items/WFHAKFVX"],"itemData":{"id":356,"type":"article-journal","abstract":"The current status and challenges associated with two aspects of Warn-on-Forecast—a National Oceanic and Atmospheric Administration research project exploring the use of a convective-scale ensemble analysis and forecast system to support hazardous weather warning operations—are outlined. These two project aspects are the production of a rapidly-updating assimilation system to incorporate data from multiple radars into a single analysis, and the ability of short-range ensemble forecasts of hazardous convective weather events to provide guidance that could be used to extend warning lead times for tornadoes, hailstorms, damaging windstorms and flash floods. Results indicate that a three-dimensional variational assimilation system, that blends observations from multiple radars into a single analysis, shows utility when evaluated by forecasters in the Hazardous Weather Testbed and may help increase confidence in a warning decision. The ability of short-range convective-scale ensemble forecasts to provide guidance that could be used in warning operations is explored for five events: two tornadic supercell thunderstorms, a macroburst, a damaging windstorm and a flash flood. Results show that the ensemble forecasts of the three individual severe thunderstorm events are very good, while the forecasts from the damaging windstorm and flash flood events, associated with mesoscale convective systems, are mixed. Important interactions between mesoscale and convective-scale features occur for the mesoscale convective system events that strongly influence the quality of the convective-scale forecasts. The development of a successful Warn-on-Forecast system will take many years and require the collaborative efforts of researchers and operational forecasters to succeed.","collection-title":"6th European Conference on Severe Storms 2011. Palma de Mallorca, Spain","container-title":"Atmospheric Research","DOI":"10.1016/j.atmosres.2012.04.004","ISSN":"0169-8095","journalAbbreviation":"Atmospheric Research","language":"en","page":"2-16","source":"ScienceDirect","title":"Progress and challenges with Warn-on-Forecast","volume":"123","author":[{"family":"Stensrud","given":"David J."},{"family":"Wicker","given":"Louis J."},{"family":"Xue","given":"Ming"},{"family":"Dawson","given":"Daniel T."},{"family":"Yussouf","given":"Nusrat"},{"family":"Wheatley","given":"Dustan M."},{"family":"Thompson","given":"Therese E."},{"family":"Snook","given":"Nathan A."},{"family":"Smith","given":"Travis M."},{"family":"Schenkman","given":"Alexander D."},{"family":"Potvin","given":"Corey K."},{"family":"Mansell","given":"Edward R."},{"family":"Lei","given":"Ting"},{"family":"Kuhlman","given":"Kristin M."},{"family":"Jung","given":"Youngsun"},{"family":"Jones","given":"Thomas A."},{"family":"Gao","given":"Jidong"},{"family":"Coniglio","given":"Michael C."},{"family":"Brooks","given":"Harold E."},{"family":"Brewster","given":"Keith A."}],"issued":{"date-parts":[["2013",4,1]]},"citation-key":"stensrudProgressChallengesWarnonForecast2013"}}],"schema":"https://github.com/citation-style-language/schema/raw/master/csl-citation.json"} </w:instrText>
      </w:r>
      <w:r>
        <w:fldChar w:fldCharType="separate"/>
      </w:r>
      <w:r>
        <w:rPr>
          <w:noProof/>
        </w:rPr>
        <w:t>(WoF)</w:t>
      </w:r>
      <w:r>
        <w:fldChar w:fldCharType="end"/>
      </w:r>
      <w:r>
        <w:t xml:space="preserve">. </w:t>
      </w:r>
      <w:r w:rsidRPr="000D6A74">
        <w:t>It is a real-time, deterministic, weather adaptive, dual-resolution analysis and forecasting system</w:t>
      </w:r>
      <w:r>
        <w:t xml:space="preserve"> </w:t>
      </w:r>
      <w:r w:rsidR="009F326C">
        <w:t xml:space="preserve">in parallel </w:t>
      </w:r>
      <w:r>
        <w:t>with the WoF</w:t>
      </w:r>
      <w:r w:rsidR="00AC4210">
        <w:t xml:space="preserve"> ensemble data assimilation and forecast </w:t>
      </w:r>
      <w:r>
        <w:t xml:space="preserve">system </w:t>
      </w:r>
      <w:r>
        <w:fldChar w:fldCharType="begin"/>
      </w:r>
      <w:r w:rsidR="00AD13C1">
        <w:instrText xml:space="preserve"> ADDIN ZOTERO_ITEM CSL_CITATION {"citationID":"hVZ8EHx2","properties":{"formattedCitation":"(Wheatley et al. 2015; Jones et al. 2016; Skinner et al. 2018; Yussouf et al. 2020)","plainCitation":"(Wheatley et al. 2015; Jones et al. 2016; Skinner et al. 2018; Yussouf et al. 2020)","dontUpdate":true,"noteIndex":0},"citationItems":[{"id":86,"uris":["http://zotero.org/users/local/6VSApgKp/items/4BQRKSFC"],"itemData":{"id":86,"type":"article-journal","abstract":"&lt;section class=\"abstract\"&gt;&lt;h2 class=\"abstractTitle text-title my-1\" id=\"d4223959e74\"&gt;Abstract&lt;/h2&gt;&lt;p&gt;This first part of a two-part study on storm-scale radar and satellite data assimilation provides an overview of a multicase study conducted as part of the NOAA Warn-on-Forecast (WoF) project. The NSSL Experimental WoF System for ensembles (NEWS-e) is used to produce storm-scale analyses and forecasts of six diverse severe weather events from spring 2013 and 2014. In this study, only Doppler reflectivity and radial velocity observations (and, when available, surface mesonet data) are assimilated into a 36-member, storm-scale ensemble using an ensemble Kalman filter (EnKF) approach. A series of 1-h ensemble forecasts are then initialized from storm-scale analyses during the 1-h period preceding the onset of storm reports. Of particular interest is the ability of these 0–1-h ensemble forecasts to reproduce the low-level rotational characteristics of supercell thunderstorms, as well as other convective hazards. For the tornado-producing thunderstorms considered in this study, ensemble probabilistic forecasts of low-level rotation generally indicated a rotating thunderstorm approximately 30 min before the time of first observed tornado. Displacement errors (often to the north of tornado-affected areas) associated with vorticity swaths were greatest in those forecasts launched 30–60 min before the time of first tornado. Similar forecasts were produced for a tornadic mesovortex along the leading edge of a bow echo and, again, highlighted a well-defined vorticity swath as much as 30 min prior to the first tornado.&lt;/p&gt;&lt;/section&gt;","container-title":"Weather and Forecasting","DOI":"10.1175/WAF-D-15-0043.1","ISSN":"1520-0434, 0882-8156","issue":"6","language":"EN","note":"publisher: American Meteorological Society\nsection: Weather and Forecasting","page":"1795-1817","source":"journals.ametsoc.org","title":"Storm-Scale Data Assimilation and Ensemble Forecasting with the NSSL Experimental Warn-on-Forecast System. Part I: Radar Data Experiments","title-short":"Storm-Scale Data Assimilation and Ensemble Forecasting with the NSSL Experimental Warn-on-Forecast System. Part I","volume":"30","author":[{"family":"Wheatley","given":"Dustan M."},{"family":"Knopfmeier","given":"Kent H."},{"family":"Jones","given":"Thomas A."},{"family":"Creager","given":"Gerald J."}],"issued":{"date-parts":[["2015",12,1]]},"citation-key":"wheatleyStormScaleDataAssimilation2015"}},{"id":94,"uris":["http://zotero.org/users/local/6VSApgKp/items/R7ACBQF9"],"itemData":{"id":94,"type":"article-journal","abstract":"&lt;section class=\"abstract\"&gt;&lt;h2 class=\"abstractTitle text-title my-1\" id=\"d4105766e88\"&gt;Abstract&lt;/h2&gt;&lt;p&gt;This research represents the second part of a two-part series describing the development of a prototype ensemble data assimilation system for the Warn-on-Forecast (WoF) project known as the NSSL Experimental WoF System for ensembles (NEWS-e). Part I describes the NEWS-e design and results from radar reflectivity and radial velocity data assimilation for six severe weather events occurring during 2013 and 2014. Part II describes the impact of assimilating satellite liquid and ice water path (LWP and IWP, respectively) retrievals from the GOES Imager along with the radar observations. Assimilating LWP and IWP observations may improve thermodynamic conditions at the surface over the storm-scale domain through better analysis of cloud coverage in the model compared to radar-only experiments. These improvements sometimes corresponded to an improved analysis of supercell storms leading to better forecasts of low-level vorticity. This positive impact was most evident for events where convection is not ongoing at the beginning of the radar and satellite data assimilation period. For more complex cases containing significant amounts of ongoing convection, only assimilating clear-sky satellite retrievals in place of clear-air reflectivity resulted in spurious regions of light precipitation compared to the radar-only experiments. The analyzed tornadic storms in these experiments are sometimes too weak and quickly diminished in intensity in the forecasts. The lessons learned as part of these experiments should lead to improved iterations of the NEWS-e system, building on the modestly successful results described here.&lt;/p&gt;&lt;/section&gt;","container-title":"Weather and Forecasting","DOI":"10.1175/WAF-D-15-0107.1","ISSN":"1520-0434, 0882-8156","issue":"1","language":"EN","note":"publisher: American Meteorological Society\nsection: Weather and Forecasting","page":"297-327","source":"journals.ametsoc.org","title":"Storm-Scale Data Assimilation and Ensemble Forecasting with the NSSL Experimental Warn-on-Forecast System. Part II: Combined Radar and Satellite Data Experiments","title-short":"Storm-Scale Data Assimilation and Ensemble Forecasting with the NSSL Experimental Warn-on-Forecast System. Part II","volume":"31","author":[{"family":"Jones","given":"Thomas A."},{"family":"Knopfmeier","given":"Kent"},{"family":"Wheatley","given":"Dustan"},{"family":"Creager","given":"Gerald"},{"family":"Minnis","given":"Patrick"},{"family":"Palikonda","given":"Rabindra"}],"issued":{"date-parts":[["2016",2,1]]},"citation-key":"jonesStormScaleDataAssimilation2016"}},{"id":135,"uris":["http://zotero.org/users/local/6VSApgKp/items/7CQRI4D5"],"itemData":{"id":135,"type":"article-journal","abstract":"&lt;section class=\"abstract\"&gt;&lt;h2 class=\"abstractTitle text-title my-1\" id=\"d3629245e265\"&gt;Abstract&lt;/h2&gt;&lt;p&gt;An object-based verification methodology for the NSSL Experimental Warn-on-Forecast System for ensembles (NEWS-e) has been developed and applied to 32 cases between December 2015 and June 2017. NEWS-e forecast objects of composite reflectivity and 30-min updraft helicity swaths are matched to corresponding reflectivity and rotation track objects in Multi-Radar Multi-Sensor system data on space and time scales typical of a National Weather Service warning. Object matching allows contingency-table-based verification statistics to be used to establish baseline performance metrics for NEWS-e thunderstorm and mesocyclone forecasts. NEWS-e critical success index (CSI) scores of reflectivity (updraft helicity) forecasts decrease from approximately 0.7 (0.4) to 0.4 (0.2) over 3 h of forecast time. CSI scores decrease through the forecast period, indicating that errors do not saturate during the 3-h forecast. Lower verification scores for rotation track forecasts are primarily a result of a high-frequency bias. Comparison of different system configurations used in 2016 and 2017 shows an increase in skill for 2017 reflectivity forecasts, attributable mainly to improvements in the forecast initial conditions. A small decrease in skill in 2017 rotation track forecasts is likely a result of sample differences between 2016 and 2017. Although large case-to-case variation is present, evidence is found that NEWS-e forecast skill improves with increasing object size and intensity.&lt;/p&gt;&lt;/section&gt;","container-title":"Weather and Forecasting","DOI":"10.1175/WAF-D-18-0020.1","ISSN":"1520-0434, 0882-8156","issue":"5","language":"EN","note":"publisher: American Meteorological Society\nsection: Weather and Forecasting","page":"1225-1250","source":"journals.ametsoc.org","title":"Object-Based Verification of a Prototype Warn-on-Forecast System","volume":"33","author":[{"family":"Skinner","given":"Patrick S."},{"family":"Wheatley","given":"Dustan M."},{"family":"Knopfmeier","given":"Kent H."},{"family":"Reinhart","given":"Anthony E."},{"family":"Choate","given":"Jessica J."},{"family":"Jones","given":"Thomas A."},{"family":"Creager","given":"Gerald J."},{"family":"Dowell","given":"David C."},{"family":"Alexander","given":"Curtis R."},{"family":"Ladwig","given":"Therese T."},{"family":"Wicker","given":"Louis J."},{"family":"Heinselman","given":"Pamela L."},{"family":"Minnis","given":"Patrick"},{"family":"Palikonda","given":"Rabindra"}],"issued":{"date-parts":[["2018",10,1]]},"citation-key":"skinnerObjectBasedVerificationPrototype2018"}},{"id":369,"uris":["http://zotero.org/users/local/6VSApgKp/items/DIC4SSHE"],"itemData":{"id":369,"type":"article-journal","abstract":"Abstract The goal of the National Oceanic and Atmospheric Administration’s (NOAA) Warn-on-Forecast (WoF) program is to provide frequently updating, probabilistic model guidance that will enable National Weather Service (NWS) forecasters to produce more continuous communication of hazardous weather threats (e.g., heavy rainfall, flash floods, damaging wind, large hail, and tornadoes) between the watch and warning temporal and spatial scales. To evaluate the application of this WoF concept for probabilistic short-term flash flood prediction, the 0–3-h rainfall forecasts from NOAA National Severe Storms Laboratory’s (NSSL) experimental WoF System (WoFS) were integrated as the forcing to the NWS operational hydrologic modeling core within the Flooded Locations and Simulated Hydrographs (FLASH) system. Initial assessment of the potential impacts of probabilistic short-term flash flood forecasts from this coupled atmosphere–hydrology (WoFS-FLASH) modeling system were evaluated in the 2018 Hydrometeorology Testbed Multi-Radar Multi-Sensor Hydrology experiment held in Norman, Oklahoma. During the 3-week experiment period, a total of nine NWS forecasters analyzed three retrospective flash flood events in archive mode. This study will describe specifically what information participants extracted from the WoFS-FLASH products during these three archived events, and how this type of information is expected to impact operational decision-making processes. Overall feedback from the testbed participants’ evaluations show promise for the coupled NSSL WoFS-FLASH system probabilistic flash flood model guidance to enable earlier assessment and detection of flash flood threats and to advance the current warning lead time for these events.","container-title":"Journal of Hydrometeorology","DOI":"10.1175/JHM-D-19-0131.1","ISSN":"1525-7541, 1525-755X","issue":"1","language":"EN","note":"publisher: American Meteorological Society\nsection: Journal of Hydrometeorology","page":"123-141","source":"journals-ametsoc-org.ezproxy.lib.ou.edu","title":"The Coupling of NSSL Warn-on-Forecast and FLASH Systems for Probabilistic Flash Flood Prediction","volume":"21","author":[{"family":"Yussouf","given":"Nusrat"},{"family":"Wilson","given":"Katie A."},{"family":"Martinaitis","given":"Steven M."},{"family":"Vergara","given":"Humberto"},{"family":"Heinselman","given":"Pamela L."},{"family":"Gourley","given":"Jonathan J."}],"issued":{"date-parts":[["2020",1,1]]},"citation-key":"yussoufCouplingNSSLWarnonForecast2020"}}],"schema":"https://github.com/citation-style-language/schema/raw/master/csl-citation.json"} </w:instrText>
      </w:r>
      <w:r>
        <w:fldChar w:fldCharType="separate"/>
      </w:r>
      <w:r w:rsidR="00464487">
        <w:t>(WoFS</w:t>
      </w:r>
      <w:r>
        <w:rPr>
          <w:noProof/>
        </w:rPr>
        <w:t>)</w:t>
      </w:r>
      <w:r>
        <w:fldChar w:fldCharType="end"/>
      </w:r>
      <w:r>
        <w:t xml:space="preserve">, </w:t>
      </w:r>
      <w:r w:rsidRPr="000D6A74">
        <w:t>which provides an on-demand,</w:t>
      </w:r>
      <w:r w:rsidR="00275216">
        <w:t xml:space="preserve"> short-term,</w:t>
      </w:r>
      <w:r w:rsidRPr="000D6A74">
        <w:t xml:space="preserve"> rapidly updating, convection-allowing ensemble forecasts to the end users.</w:t>
      </w:r>
      <w:r w:rsidR="006C690B">
        <w:t xml:space="preserve"> </w:t>
      </w:r>
      <w:r w:rsidR="009F326C">
        <w:t>Some new components for the WoF-Hybrid system</w:t>
      </w:r>
      <w:r w:rsidR="006C690B" w:rsidRPr="00723DA9">
        <w:t xml:space="preserve"> </w:t>
      </w:r>
      <w:r w:rsidR="00D9372F">
        <w:t>are</w:t>
      </w:r>
      <w:r w:rsidR="00D9372F" w:rsidRPr="00723DA9">
        <w:t xml:space="preserve"> </w:t>
      </w:r>
      <w:r w:rsidR="009F326C">
        <w:t>developed and test</w:t>
      </w:r>
      <w:r w:rsidR="006C690B" w:rsidRPr="00723DA9">
        <w:t xml:space="preserve">ed in this dissertation to address </w:t>
      </w:r>
      <w:r w:rsidR="006C690B">
        <w:t>a few</w:t>
      </w:r>
      <w:r w:rsidR="006C690B" w:rsidRPr="00723DA9">
        <w:t xml:space="preserve"> scientific and technical challenges in assimilating the </w:t>
      </w:r>
      <w:r>
        <w:t>conventional, radar and satellite derived</w:t>
      </w:r>
      <w:r w:rsidR="006C690B" w:rsidRPr="00723DA9">
        <w:t xml:space="preserve"> observations </w:t>
      </w:r>
      <w:r w:rsidR="006C690B">
        <w:t xml:space="preserve">to improve the </w:t>
      </w:r>
      <w:r>
        <w:t>short-term numerical weather prediction (NWP)</w:t>
      </w:r>
      <w:r w:rsidR="006C690B">
        <w:t xml:space="preserve"> </w:t>
      </w:r>
      <w:r w:rsidR="006C690B" w:rsidRPr="00723DA9">
        <w:t xml:space="preserve">of </w:t>
      </w:r>
      <w:r>
        <w:t xml:space="preserve">convective-scale severe </w:t>
      </w:r>
      <w:r w:rsidR="00275216">
        <w:t xml:space="preserve">and high-impact </w:t>
      </w:r>
      <w:r>
        <w:t>weather events</w:t>
      </w:r>
      <w:r w:rsidR="006C690B" w:rsidRPr="00723DA9">
        <w:t>.</w:t>
      </w:r>
    </w:p>
    <w:p w14:paraId="1FBE5DB7" w14:textId="330BCB7C" w:rsidR="000D6A74" w:rsidRDefault="00CD68A9" w:rsidP="008D1F89">
      <w:r w:rsidRPr="00CD68A9">
        <w:t xml:space="preserve">First of all, a novel component is </w:t>
      </w:r>
      <w:r w:rsidR="00EF6098" w:rsidRPr="00CD68A9">
        <w:t>introduced</w:t>
      </w:r>
      <w:r w:rsidRPr="00CD68A9">
        <w:t xml:space="preserve"> into the WoF-Hybrid system, which extends the observation forward operators to include cloud water path (CWP) and layered precipitable water (LPW).</w:t>
      </w:r>
      <w:r>
        <w:t xml:space="preserve"> </w:t>
      </w:r>
      <w:r w:rsidR="000D6A74" w:rsidRPr="000D6A74">
        <w:t xml:space="preserve">The impact of assimilating observations </w:t>
      </w:r>
      <w:r w:rsidR="00275216">
        <w:t xml:space="preserve">from </w:t>
      </w:r>
      <w:r w:rsidR="003E569D">
        <w:t>several</w:t>
      </w:r>
      <w:r w:rsidR="00275216">
        <w:t xml:space="preserve"> platforms </w:t>
      </w:r>
      <w:r w:rsidR="000D6A74" w:rsidRPr="000D6A74">
        <w:t xml:space="preserve">on the estimation of initial states and </w:t>
      </w:r>
      <w:r w:rsidR="00090BF3">
        <w:t xml:space="preserve">the </w:t>
      </w:r>
      <w:r w:rsidR="000D6A74" w:rsidRPr="000D6A74">
        <w:t xml:space="preserve">short-term forecasts using the WoF-Hybrid system is </w:t>
      </w:r>
      <w:r w:rsidR="000D6A74">
        <w:t xml:space="preserve">firstly </w:t>
      </w:r>
      <w:r w:rsidR="000D6A74" w:rsidRPr="000D6A74">
        <w:t xml:space="preserve">investigated. The findings </w:t>
      </w:r>
      <w:r w:rsidR="00275216">
        <w:t>of this research reveal</w:t>
      </w:r>
      <w:r w:rsidR="00275216" w:rsidRPr="000D6A74">
        <w:t xml:space="preserve"> </w:t>
      </w:r>
      <w:r w:rsidR="000D6A74" w:rsidRPr="000D6A74">
        <w:t xml:space="preserve">that (1) assimilating CWP improves the analysis of cloud properties, downward shortwave radiation over cloudy areas, surface temperature, and atmospheric instability, (2) assimilating the LPW product intensifies the moisture gradient at the surface and saturates the moisture fields surrounding ongoing convection, thereby enhancing the </w:t>
      </w:r>
      <w:r w:rsidR="00F57FE3">
        <w:rPr>
          <w:rFonts w:hint="eastAsia"/>
        </w:rPr>
        <w:t>convection</w:t>
      </w:r>
      <w:r w:rsidR="00F57FE3">
        <w:t xml:space="preserve"> </w:t>
      </w:r>
      <w:r w:rsidR="000D6A74" w:rsidRPr="000D6A74">
        <w:t xml:space="preserve">initiation (CI), and (3) low-level vertical wind shear is </w:t>
      </w:r>
      <w:r w:rsidR="000D6A74">
        <w:t xml:space="preserve">also </w:t>
      </w:r>
      <w:r w:rsidR="000D6A74" w:rsidRPr="000D6A74">
        <w:t xml:space="preserve">improved through flow-dependent error </w:t>
      </w:r>
      <w:r w:rsidR="002E2724">
        <w:t>covariances</w:t>
      </w:r>
      <w:r w:rsidR="000D6A74" w:rsidRPr="000D6A74">
        <w:t xml:space="preserve"> derived from the WoFS ensemble. Furthermore, a diagnostic analysis is conducted to explain why additional satellite-derived observations can improve the positioning and intensity forecast of storm</w:t>
      </w:r>
      <w:r w:rsidR="0091172D">
        <w:t xml:space="preserve"> cell</w:t>
      </w:r>
      <w:r w:rsidR="000D6A74" w:rsidRPr="000D6A74">
        <w:t xml:space="preserve">s, illustrated with three different </w:t>
      </w:r>
      <w:r w:rsidR="003E569D">
        <w:t xml:space="preserve">hazardous severe weather </w:t>
      </w:r>
      <w:r w:rsidR="000D6A74" w:rsidRPr="000D6A74">
        <w:t>events occurring in 2017.</w:t>
      </w:r>
    </w:p>
    <w:p w14:paraId="0F8C5C3B" w14:textId="3E4D9D89" w:rsidR="006C690B" w:rsidRDefault="006C690B" w:rsidP="008D1F89">
      <w:r w:rsidRPr="00F72130">
        <w:lastRenderedPageBreak/>
        <w:t xml:space="preserve">In the </w:t>
      </w:r>
      <w:r w:rsidR="000D6A74">
        <w:t>next</w:t>
      </w:r>
      <w:r w:rsidRPr="00F72130">
        <w:t xml:space="preserve"> part, </w:t>
      </w:r>
      <w:r w:rsidR="000D6A74">
        <w:t>t</w:t>
      </w:r>
      <w:r w:rsidR="000D6A74" w:rsidRPr="000D6A74">
        <w:t>he dissertation proceeds to</w:t>
      </w:r>
      <w:r w:rsidR="003E569D">
        <w:t xml:space="preserve"> </w:t>
      </w:r>
      <w:r w:rsidR="00240036">
        <w:t>further develop</w:t>
      </w:r>
      <w:r w:rsidR="003E569D">
        <w:t xml:space="preserve"> and</w:t>
      </w:r>
      <w:r w:rsidR="000D6A74" w:rsidRPr="000D6A74">
        <w:t xml:space="preserve"> evaluate an updated version of the </w:t>
      </w:r>
      <w:r w:rsidR="00D24CBB">
        <w:t xml:space="preserve">variational component of the </w:t>
      </w:r>
      <w:r w:rsidR="000D6A74" w:rsidRPr="000D6A74">
        <w:t>WoF-Hybrid system</w:t>
      </w:r>
      <w:r w:rsidR="00D24CBB">
        <w:t xml:space="preserve"> (</w:t>
      </w:r>
      <w:r w:rsidR="00476A86">
        <w:t>named as</w:t>
      </w:r>
      <w:r w:rsidR="00240036">
        <w:t xml:space="preserve"> </w:t>
      </w:r>
      <w:r w:rsidR="00D24CBB">
        <w:t>WoF-Var</w:t>
      </w:r>
      <w:r w:rsidR="002E2724">
        <w:t xml:space="preserve"> hereafter</w:t>
      </w:r>
      <w:r w:rsidR="00D24CBB">
        <w:t>)</w:t>
      </w:r>
      <w:r w:rsidR="000D6A74" w:rsidRPr="000D6A74">
        <w:t xml:space="preserve"> </w:t>
      </w:r>
      <w:r w:rsidR="00240036">
        <w:t>by</w:t>
      </w:r>
      <w:r w:rsidR="000D6A74" w:rsidRPr="000D6A74">
        <w:t xml:space="preserve"> incorporat</w:t>
      </w:r>
      <w:r w:rsidR="00240036">
        <w:t>ing</w:t>
      </w:r>
      <w:r w:rsidR="000D6A74" w:rsidRPr="000D6A74">
        <w:t xml:space="preserve"> weather-dependent static background error </w:t>
      </w:r>
      <w:r w:rsidR="002E2724">
        <w:t>covariances</w:t>
      </w:r>
      <w:r w:rsidR="000D6A74" w:rsidRPr="000D6A74">
        <w:t xml:space="preserve"> </w:t>
      </w:r>
      <w:r w:rsidR="00D24CBB">
        <w:t xml:space="preserve">derived from </w:t>
      </w:r>
      <w:r w:rsidR="00DC4D81">
        <w:t>the</w:t>
      </w:r>
      <w:r w:rsidR="00D24CBB">
        <w:t xml:space="preserve"> WoFS ensemble forecast product</w:t>
      </w:r>
      <w:r w:rsidR="007A2219">
        <w:t>s</w:t>
      </w:r>
      <w:r w:rsidR="000D6A74" w:rsidRPr="000D6A74">
        <w:t xml:space="preserve">. The impact of weather-dependent background error structure on WoF-Var analyses is evaluated using a single observation experiment, which reveals the heterogeneous nature of the analysis increment for the meridional wind field under different weather situations. Two severe weather events that occurred on 5 May 2020 and 10 Dec 2021 are used to evaluate the </w:t>
      </w:r>
      <w:r w:rsidR="005E2FC1">
        <w:t xml:space="preserve">impact of the weather-dependent error </w:t>
      </w:r>
      <w:r w:rsidR="002E2724">
        <w:t>covariances</w:t>
      </w:r>
      <w:r w:rsidR="005E2FC1">
        <w:t xml:space="preserve"> on the WoF-var analysis and forecast </w:t>
      </w:r>
      <w:r w:rsidR="000D6A74" w:rsidRPr="000D6A74">
        <w:t>system</w:t>
      </w:r>
      <w:r w:rsidR="005E2FC1">
        <w:t xml:space="preserve"> in detail</w:t>
      </w:r>
      <w:r w:rsidR="000D6A74" w:rsidRPr="000D6A74">
        <w:t xml:space="preserve">. Diagnostic analysis of both events indicates that the utilization of weather-dependent errors in the WoF-Var leads to improved analyses of in-storm structure, particularly for the three-dimensional wind, temperature, and humidity fields, resulting in significantly better subsequent </w:t>
      </w:r>
      <w:r w:rsidR="00DD50E5">
        <w:t xml:space="preserve">0- to </w:t>
      </w:r>
      <w:r w:rsidR="000D6A74" w:rsidRPr="000D6A74">
        <w:t>6</w:t>
      </w:r>
      <w:r w:rsidR="00FB5992">
        <w:t>-hour</w:t>
      </w:r>
      <w:r w:rsidR="000D6A74" w:rsidRPr="000D6A74">
        <w:t xml:space="preserve"> forecasts.</w:t>
      </w:r>
    </w:p>
    <w:p w14:paraId="0B8289BE" w14:textId="3BA900A9" w:rsidR="000D6A74" w:rsidRPr="000D6A74" w:rsidRDefault="000D6A74" w:rsidP="008D1F89">
      <w:r w:rsidRPr="000D6A74">
        <w:t xml:space="preserve">The last </w:t>
      </w:r>
      <w:r w:rsidR="00E77BB5">
        <w:t>part</w:t>
      </w:r>
      <w:r w:rsidR="00E77BB5" w:rsidRPr="000D6A74">
        <w:t xml:space="preserve"> </w:t>
      </w:r>
      <w:r w:rsidRPr="000D6A74">
        <w:t xml:space="preserve">of the dissertation investigates the impact of weather-dependent error </w:t>
      </w:r>
      <w:r w:rsidR="002E2724">
        <w:t>covariances</w:t>
      </w:r>
      <w:r w:rsidRPr="000D6A74">
        <w:t xml:space="preserve"> on convective-scale NWP</w:t>
      </w:r>
      <w:r w:rsidR="00E77BB5">
        <w:t xml:space="preserve"> in the framework of WoF-Hybrid. </w:t>
      </w:r>
      <w:r w:rsidR="009D65B5">
        <w:t xml:space="preserve">In this, the flow-dependent </w:t>
      </w:r>
      <w:r w:rsidR="00084808">
        <w:t xml:space="preserve">ensemble </w:t>
      </w:r>
      <w:r w:rsidR="009D65B5">
        <w:t xml:space="preserve">error </w:t>
      </w:r>
      <w:r w:rsidR="002E2724">
        <w:t>covariances</w:t>
      </w:r>
      <w:r w:rsidR="009D65B5">
        <w:t xml:space="preserve"> </w:t>
      </w:r>
      <w:r w:rsidR="00793FD8">
        <w:t>are</w:t>
      </w:r>
      <w:r w:rsidR="009D65B5">
        <w:t xml:space="preserve"> incorporated</w:t>
      </w:r>
      <w:r w:rsidR="001C58BC">
        <w:t xml:space="preserve"> by using WoFS ensemble forecasts</w:t>
      </w:r>
      <w:r w:rsidR="009D65B5">
        <w:t>.</w:t>
      </w:r>
      <w:r w:rsidRPr="000D6A74">
        <w:t xml:space="preserve"> Quantitative evaluations, aggregated over five selected </w:t>
      </w:r>
      <w:r w:rsidR="009D65B5">
        <w:t xml:space="preserve">severe and high-impact weather </w:t>
      </w:r>
      <w:r w:rsidRPr="000D6A74">
        <w:t>events, demonstrate that the experiment</w:t>
      </w:r>
      <w:r w:rsidR="009D65B5">
        <w:t>s</w:t>
      </w:r>
      <w:r w:rsidRPr="000D6A74">
        <w:t xml:space="preserve"> using weather-dependent </w:t>
      </w:r>
      <w:r w:rsidR="002E2724">
        <w:t>covariances</w:t>
      </w:r>
      <w:r w:rsidRPr="000D6A74">
        <w:t xml:space="preserve">, instead of homogeneous </w:t>
      </w:r>
      <w:r w:rsidR="002E2724">
        <w:t>covariances</w:t>
      </w:r>
      <w:r w:rsidRPr="000D6A74">
        <w:t>, in the hybrid system performs better in 0</w:t>
      </w:r>
      <w:r w:rsidR="000A02A6">
        <w:t>-</w:t>
      </w:r>
      <w:r>
        <w:t xml:space="preserve"> </w:t>
      </w:r>
      <w:r w:rsidR="000A02A6">
        <w:t>to</w:t>
      </w:r>
      <w:r>
        <w:t xml:space="preserve"> </w:t>
      </w:r>
      <w:r w:rsidRPr="000D6A74">
        <w:t>6</w:t>
      </w:r>
      <w:r w:rsidR="00FB5992">
        <w:t>-hour</w:t>
      </w:r>
      <w:r w:rsidRPr="000D6A74">
        <w:t xml:space="preserve"> reflectivity and rotational strength forecasts, particularly </w:t>
      </w:r>
      <w:r w:rsidR="002E1E76">
        <w:t xml:space="preserve">for strong convection </w:t>
      </w:r>
      <w:r w:rsidR="00A008AE">
        <w:t xml:space="preserve">with either </w:t>
      </w:r>
      <w:r w:rsidRPr="000D6A74">
        <w:t xml:space="preserve">higher </w:t>
      </w:r>
      <w:r w:rsidR="00E572CD">
        <w:t xml:space="preserve">reflectivity </w:t>
      </w:r>
      <w:r w:rsidR="002E1E76">
        <w:t xml:space="preserve">or </w:t>
      </w:r>
      <w:r w:rsidR="00A008AE">
        <w:t>higher updraft helicity</w:t>
      </w:r>
      <w:r w:rsidRPr="000D6A74">
        <w:t xml:space="preserve">. </w:t>
      </w:r>
      <w:r w:rsidR="00A008AE" w:rsidRPr="00A008AE">
        <w:t xml:space="preserve">A more in-depth analysis of each event indicates that the adoption of weather-dependent </w:t>
      </w:r>
      <w:r w:rsidR="002E2724">
        <w:t>covariances</w:t>
      </w:r>
      <w:r w:rsidR="00A008AE" w:rsidRPr="00A008AE">
        <w:t xml:space="preserve"> typically results in more </w:t>
      </w:r>
      <w:r w:rsidR="00827864">
        <w:t>skillful</w:t>
      </w:r>
      <w:r w:rsidR="00827864" w:rsidRPr="00A008AE">
        <w:t xml:space="preserve"> </w:t>
      </w:r>
      <w:r w:rsidR="00A008AE" w:rsidRPr="00A008AE">
        <w:t>severe weather predictions regarding the areal coverage of reflectivity, the initiation and movement of storms, as well as the position and intensity of rotation tracks, even for the event that performed the worst out of the five selected events.</w:t>
      </w:r>
      <w:r w:rsidR="00A008AE">
        <w:t xml:space="preserve"> </w:t>
      </w:r>
      <w:r w:rsidRPr="000D6A74">
        <w:t xml:space="preserve">The </w:t>
      </w:r>
      <w:r w:rsidRPr="000D6A74">
        <w:lastRenderedPageBreak/>
        <w:t xml:space="preserve">findings suggest that the weather-dependent error </w:t>
      </w:r>
      <w:r w:rsidR="002E2724">
        <w:t>covariances</w:t>
      </w:r>
      <w:r w:rsidRPr="000D6A74">
        <w:t xml:space="preserve"> within a hybrid system ha</w:t>
      </w:r>
      <w:r w:rsidR="00793FD8">
        <w:t>ve</w:t>
      </w:r>
      <w:r w:rsidRPr="000D6A74">
        <w:t xml:space="preserve"> added value</w:t>
      </w:r>
      <w:r w:rsidR="00E572CD">
        <w:t>s</w:t>
      </w:r>
      <w:r w:rsidRPr="000D6A74">
        <w:t xml:space="preserve"> </w:t>
      </w:r>
      <w:r w:rsidR="004345AE">
        <w:t>to</w:t>
      </w:r>
      <w:r w:rsidR="00827864">
        <w:t xml:space="preserve"> short-term</w:t>
      </w:r>
      <w:r w:rsidR="004345AE" w:rsidRPr="000D6A74">
        <w:t xml:space="preserve"> </w:t>
      </w:r>
      <w:r w:rsidRPr="000D6A74">
        <w:t>convective-scale NWP.</w:t>
      </w:r>
    </w:p>
    <w:p w14:paraId="16BB04A0" w14:textId="53D0C781" w:rsidR="006C690B" w:rsidRPr="00723DA9" w:rsidRDefault="006C690B" w:rsidP="00AD13C1">
      <w:pPr>
        <w:ind w:firstLine="432"/>
        <w:rPr>
          <w:rFonts w:cs="Times New Roman"/>
          <w:b/>
          <w:bCs/>
          <w:szCs w:val="24"/>
        </w:rPr>
        <w:sectPr w:rsidR="006C690B" w:rsidRPr="00723DA9" w:rsidSect="009A59CF">
          <w:footerReference w:type="default" r:id="rId9"/>
          <w:pgSz w:w="12240" w:h="15840"/>
          <w:pgMar w:top="1440" w:right="1440" w:bottom="1440" w:left="1440" w:header="720" w:footer="720" w:gutter="0"/>
          <w:pgNumType w:fmt="lowerRoman"/>
          <w:cols w:space="720"/>
          <w:docGrid w:linePitch="360"/>
        </w:sectPr>
      </w:pPr>
      <w:r w:rsidRPr="00723DA9">
        <w:rPr>
          <w:rFonts w:cs="Times New Roman"/>
          <w:b/>
          <w:bCs/>
          <w:szCs w:val="24"/>
        </w:rPr>
        <w:br w:type="page"/>
      </w:r>
    </w:p>
    <w:p w14:paraId="1FAD22A7" w14:textId="34AA5B55" w:rsidR="006C690B" w:rsidRDefault="006C690B">
      <w:pPr>
        <w:pStyle w:val="Heading1"/>
        <w:numPr>
          <w:ilvl w:val="0"/>
          <w:numId w:val="3"/>
        </w:numPr>
      </w:pPr>
      <w:bookmarkStart w:id="8" w:name="_Toc130995425"/>
      <w:bookmarkStart w:id="9" w:name="_Toc131018290"/>
      <w:r w:rsidRPr="008D1F89">
        <w:lastRenderedPageBreak/>
        <w:t>Introduction and overview</w:t>
      </w:r>
      <w:bookmarkEnd w:id="8"/>
      <w:bookmarkEnd w:id="9"/>
    </w:p>
    <w:p w14:paraId="067E8FC5" w14:textId="586E6CC8" w:rsidR="004316CB" w:rsidRDefault="004316CB" w:rsidP="004316CB">
      <w:r>
        <w:t>Some</w:t>
      </w:r>
      <w:r w:rsidRPr="00723DA9">
        <w:t xml:space="preserve"> portions of this dissertation are direct excerpts of</w:t>
      </w:r>
      <w:r>
        <w:t xml:space="preserve"> Pan</w:t>
      </w:r>
      <w:r w:rsidRPr="00723DA9">
        <w:t xml:space="preserve"> et al. (20</w:t>
      </w:r>
      <w:r>
        <w:t>21</w:t>
      </w:r>
      <w:r w:rsidRPr="00723DA9">
        <w:t>; © American Meteorological Society)</w:t>
      </w:r>
      <w:r>
        <w:t>.</w:t>
      </w:r>
      <w:r w:rsidRPr="00723DA9">
        <w:t xml:space="preserve"> This includes parts of Chapters 1, 2</w:t>
      </w:r>
      <w:r>
        <w:t xml:space="preserve"> and</w:t>
      </w:r>
      <w:r w:rsidRPr="00723DA9">
        <w:t xml:space="preserve"> 3.</w:t>
      </w:r>
    </w:p>
    <w:p w14:paraId="1F5022E1" w14:textId="77777777" w:rsidR="004316CB" w:rsidRPr="004316CB" w:rsidRDefault="004316CB" w:rsidP="004316CB">
      <w:pPr>
        <w:ind w:firstLine="0"/>
      </w:pPr>
    </w:p>
    <w:p w14:paraId="22526B42" w14:textId="77777777" w:rsidR="006C690B" w:rsidRPr="008D1F89" w:rsidRDefault="006C690B">
      <w:pPr>
        <w:pStyle w:val="Heading2"/>
      </w:pPr>
      <w:bookmarkStart w:id="10" w:name="_Toc130995426"/>
      <w:bookmarkStart w:id="11" w:name="_Toc131018291"/>
      <w:r w:rsidRPr="008D1F89">
        <w:t>Background and motivation</w:t>
      </w:r>
      <w:bookmarkEnd w:id="10"/>
      <w:bookmarkEnd w:id="11"/>
    </w:p>
    <w:p w14:paraId="4EE99672" w14:textId="3A94BE92" w:rsidR="006C690B" w:rsidRDefault="00D15D44" w:rsidP="008D1F89">
      <w:r>
        <w:t>P</w:t>
      </w:r>
      <w:r w:rsidR="00AD13C1" w:rsidRPr="00AD13C1">
        <w:t xml:space="preserve">er the statistics released by </w:t>
      </w:r>
      <w:r w:rsidR="00AD13C1" w:rsidRPr="009B646E">
        <w:t xml:space="preserve">National Oceanic and Atmospheric Administration </w:t>
      </w:r>
      <w:r w:rsidR="00AD13C1">
        <w:t xml:space="preserve">(NOAA) </w:t>
      </w:r>
      <w:r w:rsidR="00AD13C1" w:rsidRPr="00AD13C1">
        <w:t>National Centers for Environmental Information</w:t>
      </w:r>
      <w:r w:rsidR="00AD13C1">
        <w:t xml:space="preserve"> </w:t>
      </w:r>
      <w:r w:rsidR="00AD13C1">
        <w:fldChar w:fldCharType="begin"/>
      </w:r>
      <w:r w:rsidR="006E4F25">
        <w:instrText xml:space="preserve"> ADDIN ZOTERO_ITEM CSL_CITATION {"citationID":"oEjEQHVP","properties":{"formattedCitation":"(NOAA National Centers for Environmental Information (NCEI) 2021)","plainCitation":"(NOAA National Centers for Environmental Information (NCEI) 2021)","dontUpdate":true,"noteIndex":0},"citationItems":[{"id":67,"uris":["http://zotero.org/users/local/6VSApgKp/items/FEWS6QIG"],"itemData":{"id":67,"type":"article-journal","DOI":"10.25921/stkw-7w73","title":"Billion-Dollar Weather and Climate Disasters","URL":"https://www.ncdc.noaa.gov/billions/","author":[{"family":"NOAA National Centers for Environmental Information (NCEI)","given":""}],"issued":{"date-parts":[["2021"]]},"citation-key":"noaanationalcentersforenvironmentalinformationnceiBillionDollarWeatherClimate2021"}}],"schema":"https://github.com/citation-style-language/schema/raw/master/csl-citation.json"} </w:instrText>
      </w:r>
      <w:r w:rsidR="00AD13C1">
        <w:fldChar w:fldCharType="separate"/>
      </w:r>
      <w:r w:rsidR="00AD13C1">
        <w:rPr>
          <w:noProof/>
        </w:rPr>
        <w:t>(NOAA National Centers for Environmental Information, 2021)</w:t>
      </w:r>
      <w:r w:rsidR="00AD13C1">
        <w:fldChar w:fldCharType="end"/>
      </w:r>
      <w:r w:rsidR="00AD13C1" w:rsidRPr="00AD13C1">
        <w:t>, severe storms in the United States have caused an average of 84 fatalities and economic losses of $16.8 billion annually over the past decade. Accurate and timely forecasting of</w:t>
      </w:r>
      <w:r>
        <w:t xml:space="preserve"> </w:t>
      </w:r>
      <w:r w:rsidRPr="00AD13C1">
        <w:t xml:space="preserve">severe </w:t>
      </w:r>
      <w:r>
        <w:t xml:space="preserve">and </w:t>
      </w:r>
      <w:r w:rsidR="00AD13C1" w:rsidRPr="00AD13C1">
        <w:t>high-impact weather events is crucial in minimizing the loss of life and property. However, the accura</w:t>
      </w:r>
      <w:r>
        <w:t xml:space="preserve">te </w:t>
      </w:r>
      <w:r w:rsidR="00A008AE">
        <w:t>forecast</w:t>
      </w:r>
      <w:r w:rsidR="00AD13C1" w:rsidRPr="00AD13C1">
        <w:t xml:space="preserve"> of </w:t>
      </w:r>
      <w:r w:rsidRPr="00AD13C1">
        <w:t xml:space="preserve">hazardous </w:t>
      </w:r>
      <w:r w:rsidR="00AD13C1" w:rsidRPr="00AD13C1">
        <w:t xml:space="preserve">severe weather is often compromised due to the complex non-linear interactions between processes of different scales and the inaccurate initial conditions for </w:t>
      </w:r>
      <w:r w:rsidR="002C1860">
        <w:t>convective-scale</w:t>
      </w:r>
      <w:r w:rsidR="00842329">
        <w:t xml:space="preserve"> </w:t>
      </w:r>
      <w:r w:rsidR="00217979">
        <w:t>numerical weather prediction</w:t>
      </w:r>
      <w:r w:rsidR="00AD13C1" w:rsidRPr="00AD13C1">
        <w:t xml:space="preserve"> </w:t>
      </w:r>
      <w:r w:rsidR="00217979">
        <w:t xml:space="preserve">(NWP) </w:t>
      </w:r>
      <w:r w:rsidR="00AD13C1" w:rsidRPr="00AD13C1">
        <w:t xml:space="preserve">models. The meteorological community recognizes the significance of accurate initial conditions NWP, as it directly impacts the quality of forecasts. </w:t>
      </w:r>
      <w:r w:rsidR="004316CB" w:rsidRPr="004316CB">
        <w:t>Obtaining precise initial conditions for hazardous weather events like tornadoes, hail, flash flooding, or damaging winds is vital in determining their timing, intensity, and location, which are crucial for the government and the public to prepare for and respond to such events, reducing the risk of fatalities, injuries, and economic losses. To achieve this, optimal combination of high-</w:t>
      </w:r>
      <w:r w:rsidR="00F57FE3">
        <w:t>spatiotemporal</w:t>
      </w:r>
      <w:r w:rsidR="004316CB" w:rsidRPr="004316CB">
        <w:t xml:space="preserve"> resolution observations, such as satellite and radar observations, and previous NWP forecasts is necessary and can be achieved through the application of data assimilation (DA) schemes.</w:t>
      </w:r>
    </w:p>
    <w:p w14:paraId="2E4EB24A" w14:textId="77F68400" w:rsidR="00AD13C1" w:rsidRDefault="00AD13C1" w:rsidP="008D1F89">
      <w:r w:rsidRPr="00AD13C1">
        <w:t xml:space="preserve">Significant progress has been made during the past two and a half decades in convective-scale radar </w:t>
      </w:r>
      <w:r w:rsidR="003F0051">
        <w:t>DA</w:t>
      </w:r>
      <w:r w:rsidRPr="00AD13C1">
        <w:t xml:space="preserve"> using variational methods, including both three- and four-dimensional variational </w:t>
      </w:r>
      <w:r w:rsidRPr="00AD13C1">
        <w:lastRenderedPageBreak/>
        <w:t>methods</w:t>
      </w:r>
      <w:r>
        <w:t xml:space="preserve"> </w:t>
      </w:r>
      <w:r>
        <w:fldChar w:fldCharType="begin"/>
      </w:r>
      <w:r w:rsidR="006E4F25">
        <w:instrText xml:space="preserve"> ADDIN ZOTERO_ITEM CSL_CITATION {"citationID":"REUEdmz9","properties":{"formattedCitation":"(Sun and Crook 1997, 1998, 2001; Crook and Sun 2002; Gao et al. 2004; Hu et al. 2006; Michel et al. 2011; Fierro et al. 2016; Wang et al. 2013; Wattrelot et al. 2014; Sun et al. 2016, 2020)","plainCitation":"(Sun and Crook 1997, 1998, 2001; Crook and Sun 2002; Gao et al. 2004; Hu et al. 2006; Michel et al. 2011; Fierro et al. 2016; Wang et al. 2013; Wattrelot et al. 2014; Sun et al. 2016, 2020)","dontUpdate":true,"noteIndex":0},"citationItems":[{"id":287,"uris":["http://zotero.org/users/local/6VSApgKp/items/6F8VKN4F"],"itemData":{"id":287,"type":"article-journal","abstract":"Abstract The purpose of the research reported in this paper is to develop a variational data analysis system that can be used to assimilate data from one or more Doppler radars. In the first part of this two-part study, the technique used in this analysis system is described and tested using data from a simulated warm rain convective storm. The analysis system applies the 4D variational data assimilation technique to a cloud-scale model with a warm rain parameterization scheme. The 3D wind, thermodynamical, and microphysical fields are determined by minimizing a cost function, defined by the difference between both radar observed radial velocities and reflectivities (or rainwater mixing ratio) and their model predictions. The adjoint of the numerical model is used to provide the sensitivity of the cost function with respect to the control variables. Experiments using data from a simulated convective storm demonstrated that the variational analysis system is able to retrieve the detailed structure of wind, thermodynamics, and microphysics using either dual-Doppler or single-Doppler information. However, less accurate velocity fields are obtained when single-Doppler data were used. In both cases, retrieving the temperature field is more difficult than the retrieval of the other fields. Results also show that assimilating the rainwater mixing ratio obtained from the reflectivity data results in a better performance of the retrieval procedure than directly assimilating the reflectivity. It is also found that the system is robust to variations in the Z–qr relation, but the microphysical retrieval is quite sensitive to parameters in the warm rain scheme. The technique is robust to random errors in radial velocity and calibration errors in reflectivity.","container-title":"Journal of the Atmospheric Sciences","DOI":"10.1175/1520-0469(1997)054&lt;1642:DAMRFD&gt;2.0.CO;2","ISSN":"0022-4928, 1520-0469","issue":"12","language":"EN","note":"publisher: American Meteorological Society\nsection: Journal of the Atmospheric Sciences","page":"1642-1661","source":"journals.ametsoc.org","title":"Dynamical and Microphysical Retrieval from Doppler Radar Observations Using a Cloud Model and Its Adjoint. Part I: Model Development and Simulated Data Experiments","title-short":"Dynamical and Microphysical Retrieval from Doppler Radar Observations Using a Cloud Model and Its Adjoint. Part I","volume":"54","author":[{"family":"Sun","given":"Juanzhen"},{"family":"Crook","given":"N. Andrew"}],"issued":{"date-parts":[["1997",6,1]]},"citation-key":"sunDynamicalMicrophysicalRetrieval1997"}},{"id":421,"uris":["http://zotero.org/users/local/6VSApgKp/items/W52LPIZL"],"itemData":{"id":421,"type":"article-journal","abstract":"Abstract The variational Doppler radar analysis system developed in part I of this study is tested on a Florida airmass storm observed during the Convection and Precipitation/ Electrification Experiment. The 3D wind, temperature, and microphysical structure of this storm are obtained by minimizing the difference between the radar-observed radial velocities and rainwater mixing ratios (derived from reflectivity) and their model predictions. Retrieval experiments are carried out to assimilate information from one or two radars. The retrieved fields are compared with measurements of two aircraft penetrating the storm at different heights. The retrieved wind, thermodynamical, and microphysical fields indicate that the minimization converges to a solution consistent with the input velocity and rainwater fields. The primary difference between using single-Doppler and dual-Doppler information is the reduction of the peak strength of the storm on the order of 10% when information from only one radar is provided. The comparison with aircraft data shows good agreement for the vertical velocity, buoyancy, and the water vapor mixing ratio in terms of the general structure and strength of the fields, but less agreement for the cloud water and rainwater field. The sensitivities of the retrieval system to the neglect of the time difference at each grid point in a radar volume and to the inclusion of the background information at the initial time of the assimilation period are examined. Both show rather sensitive response. The experiments also show that the microphysical retrieval is quite sensitive to the relation used to derive the rainwater mixing ratio from reflectivity observations.","container-title":"Journal of the Atmospheric Sciences","DOI":"10.1175/1520-0469(1998)055&lt;0835:DAMRFD&gt;2.0.CO;2","ISSN":"0022-4928, 1520-0469","issue":"5","language":"EN","note":"publisher: American Meteorological Society\nsection: Journal of the Atmospheric Sciences","page":"835-852","source":"journals.ametsoc.org","title":"Dynamical and Microphysical Retrieval from Doppler Radar Observations Using a Cloud Model and Its Adjoint. Part II: Retrieval Experiments of an Observed Florida Convective Storm","title-short":"Dynamical and Microphysical Retrieval from Doppler Radar Observations Using a Cloud Model and Its Adjoint. Part II","volume":"55","author":[{"family":"Sun","given":"Juanzhen"},{"family":"Crook","given":"N. Andrew"}],"issued":{"date-parts":[["1998",3,1]]},"citation-key":"sunDynamicalMicrophysicalRetrieval1998"}},{"id":423,"uris":["http://zotero.org/users/local/6VSApgKp/items/HCG554DX"],"itemData":{"id":423,"type":"article-journal","abstract":"Abstract A four-dimensional variational Doppler radar analysis system (VDRAS) has been developed and implemented at a weather forecast office to produce real-time boundary layer wind and temperature analyses using WSR-88D radar data. This paper describes significant changes made to convert VDRAS from a research tool to a real-time analysis system and presents results of low-level wind and temperature analysis using operational radar data. In order to produce continuous analyses with time, VDRAS was implemented with a cycling procedure, in which the analysis from the previous cycle is used as a first guess and background for the next cycle. Other enhancements in this real-time system include direct assimilation of data on constant elevation angle levels, addition of mesonet observations, inclusion of an analysis background term, and continuous updating of lateral boundary conditions. An observed case of a line of storms and strong outflow is used to examine the performance of the real-time analysis system and its sensitivity to various system changes. The quality of the analysis for this case is examined by comparing the subsequent 90-min forecast with the observed radial velocity. It is shown that the forecast initialized using the VDRAS analysis outperforms persistence and a forecast using a mesoscale analysis. The accuracy of the retrieved wind in six convective cases is also verified against automated weather reports from commercial aircraft data. The verification shows an average difference of 3.3 m s−1 over these six cases.","container-title":"Weather and Forecasting","DOI":"10.1175/1520-0434(2001)016&lt;0117:RTLLWA&gt;2.0.CO;2","ISSN":"1520-0434, 0882-8156","issue":"1","language":"EN","note":"publisher: American Meteorological Society\nsection: Weather and Forecasting","page":"117-132","source":"journals.ametsoc.org","title":"Real-Time Low-Level Wind and Temperature Analysis Using Single WSR-88D Data","volume":"16","author":[{"family":"Sun","given":"Juanzhen"},{"family":"Crook","given":"N. Andrew"}],"issued":{"date-parts":[["2001",2,1]]},"citation-key":"sunRealTimeLowLevelWind2001"}},{"id":425,"uris":["http://zotero.org/users/local/6VSApgKp/items/P9XRTKTG"],"itemData":{"id":425,"type":"article-journal","abstract":"Abstract A variational scheme for the analysis of low-level wind data is presented, and its performance during a recent field experiment is described. The analysis scheme finds an optimal fit to the data and a background field under the constraints of a dry boundary layer model. The scheme was run at the Sydney 2000 Forecast Demonstration Project and assimilated data from two Doppler radars, a surface mesonet, and a boundary layer profiler. With a few exceptions, the analysis system ran reliably over the 6-month period of the project, providing wind fields every 10 min. Described herein is the performance of the system in tracking a number of different phenomena, including sea breezes, a southerly change, and the low-level convergence associated with a severe tornadic hailstorm. Finally, the analyzed wind fields are verified using independent aircraft data and compared with winds calculated by the more traditional dual-Doppler approach.","container-title":"Journal of Atmospheric and Oceanic Technology","DOI":"10.1175/1520-0426(2002)019&lt;0888:ARSAPD&gt;2.0.CO;2","ISSN":"0739-0572, 1520-0426","issue":"6","language":"EN","note":"publisher: American Meteorological Society\nsection: Journal of Atmospheric and Oceanic Technology","page":"888-898","source":"journals.ametsoc.org","title":"Assimilating Radar, Surface, and Profiler Data for the Sydney 2000 Forecast Demonstration Project","volume":"19","author":[{"family":"Crook","given":"N. Andrew"},{"family":"Sun","given":"Juanzhen"}],"issued":{"date-parts":[["2002",6,1]]},"citation-key":"crookAssimilatingRadarSurface2002"}},{"id":80,"uris":["http://zotero.org/users/local/6VSApgKp/items/8I9QVS4P"],"itemData":{"id":80,"type":"article-journal","abstract":"&lt;section class=\"abstract\"&gt;&lt;h2 class=\"abstractTitle text-title my-1\" id=\"d155362577e78\"&gt;Abstract&lt;/h2&gt;&lt;p&gt;In this paper, a new method of dual-Doppler radar wind analysis based on a three-dimensional variational data assimilation (3DVAR) approach is proposed. In it, a cost function, including background term and radial observation term, is minimized through a limited memory, quasi-Newton conjugate-gradient algorithm with the mass continuity equation imposed as a weak constraint. In the method, the background error covariance matrix, though simple in this case, is modeled by a recursive filter. Furthermore, the square root of this matrix is used to precondition the minimization problem.&lt;/p&gt;&lt;p&gt;The current method is applied to Doppler radar observation of a supercell storm, and the analysis results are compared to a conceptual model and previous research. It is shown that the horizontal circulations, both within and around the storms, as well as the strong updraft and the associated downdraft, are well analyzed. Because no explicit integration of the anelastic mass continuity equation is involved, error accumulation associated with such integration is avoided. As a result, the method is less sensitive to the vertical boundary uncertainties.&lt;/p&gt;&lt;/section&gt;","container-title":"Journal of Atmospheric and Oceanic Technology","DOI":"10.1175/1520-0426(2004)021&lt;0457:ATVDAM&gt;2.0.CO;2","ISSN":"0739-0572, 1520-0426","issue":"3","language":"EN","note":"publisher: American Meteorological Society\nsection: Journal of Atmospheric and Oceanic Technology","page":"457-469","source":"journals.ametsoc.org","title":"A Three-Dimensional Variational Data Analysis Method with Recursive Filter for Doppler Radars","volume":"21","author":[{"family":"Gao","given":"Jidong"},{"family":"Xue","given":"Ming"},{"family":"Brewster","given":"Keith"},{"family":"Droegemeier","given":"Kelvin K."}],"issued":{"date-parts":[["2004",3,1]]},"citation-key":"gaoThreeDimensionalVariationalData2004"}},{"id":389,"uris":["http://zotero.org/users/local/6VSApgKp/items/RMJHCMWP"],"itemData":{"id":389,"type":"article-journal","abstract":"Abstract In this two-part paper, the impact of level-II Weather Surveillance Radar-1988 Doppler (WSR-88D) reflectivity and radial velocity data on the prediction of a cluster of tornadic thunderstorms in the Advanced Regional Prediction System (ARPS) model are studied. Radar reflectivity data are used primarily in a cloud analysis procedure that retrieves the amount of hydrometeors and adjusts in-cloud temperature, moisture, and cloud fields, while radial velocity data are analyzed through a three-dimensional variational (3DVAR) scheme that contains a mass divergence constraint in the cost function. In Part I, the impact of the cloud analysis and modifications to the scheme are examined while Part II focuses on the impact of radial velocity and the mass divergence constraint. The case studied is that of the 28 March 2000 Fort Worth, Texas, tornado outbreaks. The same case was studied by Xue et al. using the ARPS Data Analysis System (ADAS) and an earlier version of the cloud analysis procedure with WSR-88D level-III data. Since then, several modifications to the cloud analysis procedure, including those to the in-cloud temperature adjustment and the analysis of precipitation species, have been made. They are described in detail with examples. The assimilation and predictions use a 3-km grid nested inside a 9-km one. The level-II reflectivity data are assimilated, through the cloud analysis, at 10-min intervals in a 1-h period that ends a little over 1 h preceding the first tornado outbreak. Experiments with different settings within the cloud analysis procedure are examined. It is found that the experiment using the improved cloud analysis procedure with reflectivity data can capture the important characteristics of the main tornadic thunderstorm more accurately than the experiment using the early version of cloud analysis. The contributions of different modifications to the above improvements are investigated.","container-title":"Monthly Weather Review","DOI":"10.1175/MWR3092.1","ISSN":"1520-0493, 0027-0644","issue":"2","language":"EN","note":"publisher: American Meteorological Society\nsection: Monthly Weather Review","page":"675-698","source":"journals-ametsoc-org.ezproxy.lib.ou.edu","title":"3DVAR and Cloud Analysis with WSR-88D Level-II Data for the Prediction of the Fort Worth, Texas, Tornadic Thunderstorms. Part I: Cloud Analysis and Its Impact","title-short":"3DVAR and Cloud Analysis with WSR-88D Level-II Data for the Prediction of the Fort Worth, Texas, Tornadic Thunderstorms. Part I","volume":"134","author":[{"family":"Hu","given":"Ming"},{"family":"Xue","given":"Ming"},{"family":"Brewster","given":"Keith"}],"issued":{"date-parts":[["2006",2,1]]},"citation-key":"hu3DVARCloudAnalysis2006"}},{"id":272,"uris":["http://zotero.org/users/local/6VSApgKp/items/E2VYXJ5I"],"itemData":{"id":272,"type":"article-journal","abstract":"Abstract Convective-scale models used in NWP nowadays include detailed realistic parameterization for the representation of cloud and precipitation processes. Yet they still lack advanced data assimilation schemes able to efficiently use observations to initialize hydrometeor fields. This challenging task may benefit from a better understanding of the statistical structure of background errors in precipitating areas for both traditional and hydrometeor variables, which is the goal of this study. A special binning has been devised to compute separate background error covariance matrices for precipitating and nonprecipitating areas. This binning is based on bidimensional geographical masks defined by the vertical averaged rain content of the background error perturbations. The sample for computing the covariances is taken from an ensemble of short range forecasts run at 3-km resolution for the prediction of two specific cases of convective storms over the United States. The covariance matrices and associated diagnostics are built on the control variable transform formulation typical of variational data assimilation. The comparison especially highlights the strong coupling of specific humidity, cloud, and rain content with divergence. Shorter horizontal correlations have been obtained in precipitating areas. Vertical correlations mostly reflect the cloud vertical extension due to the convective processes. The statistics for hydrometeor variables show physically meaningful autocovariances and statistical couplings with other variables. Issues for data assimilation of radar reflectivity or more generally of observations linked to cloud and rain content with this kind of background error matrix formulation are thereon briefly discussed.","container-title":"Monthly Weather Review","DOI":"10.1175/2011MWR3632.1","ISSN":"1520-0493, 0027-0644","issue":"9","language":"EN","note":"publisher: American Meteorological Society\nsection: Monthly Weather Review","page":"2994-3015","source":"journals.ametsoc.org","title":"Heterogeneous Convective-Scale Background Error Covariances with the Inclusion of Hydrometeor Variables","volume":"139","author":[{"family":"Michel","given":"Yann"},{"family":"Auligné","given":"Thomas"},{"family":"Montmerle","given":"Thibaut"}],"issued":{"date-parts":[["2011",9,1]]},"citation-key":"michelHeterogeneousConvectiveScaleBackground2011"}},{"id":36,"uris":["http://zotero.org/users/local/6VSApgKp/items/8K8EJCVF"],"itemData":{"id":36,"type":"article-journal","abstract":"&lt;section class=\"abstract\"&gt;&lt;h2 class=\"abstractTitle text-title my-1\" id=\"d137406800e102\"&gt;Abstract&lt;/h2&gt;&lt;p&gt;This work evaluates the performance of the assimilation of total lightning data within a three-dimensional variational (3DVAR) framework for the analysis and short-term forecast of the 24 May 2011 tornado outbreak using the Weather Research and Forecasting (WRF) Model at convection-allowing scales. Between the lifted condensation level and a fixed upper height, pseudo-observations for water vapor mass first are created based on either the flash extent densities derived from Oklahoma Lightning Mapping Array data or the lightning source densities derived from the Earth Networks pulse data, and then assimilated by the 3DVAR system. Assimilation of radar data with 3DVAR and a cloud analysis algorithm (RAD) also are performed as a baseline for comparison and in tandem with lightning to evaluate the added value of this lightning data assimilation (LDA) method.&lt;/p&gt;&lt;p&gt;Given a scenario wherein the control experiment without radar or lightning data assimilation fails to accurately initiate and forecast the observed storms, the LDA and RAD yield comparable short-term forecast improvements. The RAD alone produces storms of similar strength to the observations during the first 30 min of forecast more rapidly than the LDA alone; however, the LDA is able to better depict individual supercellular features at 1-h forecast. When both the lightning and radar data are assimilated, the 30-min forecast showed noteworthy improvements over RAD in terms of the model’s ability to better resolve individual supercell structures and still maintained a 1-h forecast similar to that from the LDA. The results chiefly illustrate the potential value of assimilating total lightning data along with radar data.&lt;/p&gt;&lt;/section&gt;","container-title":"Monthly Weather Review","DOI":"10.1175/MWR-D-16-0053.1","ISSN":"1520-0493, 0027-0644","issue":"11","language":"EN","note":"publisher: American Meteorological Society\nsection: Monthly Weather Review","page":"4373-4393","source":"journals.ametsoc.org","title":"Assimilation of Flash Extent Data in the Variational Framework at Convection-Allowing Scales: Proof-of-Concept and Evaluation for the Short-Term Forecast of the 24 May 2011 Tornado Outbreak","title-short":"Assimilation of Flash Extent Data in the Variational Framework at Convection-Allowing Scales","volume":"144","author":[{"family":"Fierro","given":"Alexandre O."},{"family":"Gao","given":"Jidong"},{"family":"Ziegler","given":"Conrad L."},{"family":"Calhoun","given":"Kristin M."},{"family":"Mansell","given":"Edward R."},{"family":"MacGorman","given":"Donald R."}],"issued":{"date-parts":[["2016",11,1]]},"citation-key":"fierroAssimilationFlashExtent2016"}},{"id":353,"uris":["http://zotero.org/users/local/6VSApgKp/items/Q7NEE62I"],"itemData":{"id":353,"type":"article-journal","abstract":"Abstract The major goal of this two-part study is to assimilate radar data into the high-resolution Advanced Research Weather Research and Forecasting Model (ARW-WRF) for the improvement of short-term quantitative precipitation forecasting (QPF) using a four-dimensional variational data assimilation (4D-Var) technique. In Part I the development of a radar data assimilation scheme within the WRF 4D-Var system (WRF 4D-Var) and the preliminary testing of the scheme are described. In Part II the performance of the enhanced WRF 4D-Var system is examined by comparing it with the three-dimensional variational data assimilation system (WRF 3D-Var) for a convective system over the U.S. Great Plains. The WRF 4D-Var radar data assimilation system has been developed with the existing framework of an incremental formulation. The new development for radar data assimilation includes the tangent-linear and adjoint models of a Kessler warm-rain microphysics scheme and the new control variables of cloud water, rainwater, and vertical velocity and their error statistics. An ensemble forecast with 80 members is used to produce background error covariance. The preliminary testing presented in this paper includes single-observation experiments as well as real data assimilation experiments on a squall line with assimilation windows of 5, 15, and 30 min. The results indicate that the system is able to obtain anisotropic multivariate analyses at the convective scale and improve precipitation forecasts. The results also suggest that the incremental approach with successive basic-state updates works well at the convection-permitting scale for radar data assimilation with the selected assimilation windows.","container-title":"Monthly Weather Review","DOI":"10.1175/MWR-D-12-00168.1","ISSN":"1520-0493, 0027-0644","issue":"7","language":"EN","note":"publisher: American Meteorological Society\nsection: Monthly Weather Review","page":"2224-2244","source":"journals-ametsoc-org.ezproxy.lib.ou.edu","title":"Radar Data Assimilation with WRF 4D-Var. Part I: System Development and Preliminary Testing","title-short":"Radar Data Assimilation with WRF 4D-Var. Part I","volume":"141","author":[{"family":"Wang","given":"Hongli"},{"family":"Sun","given":"Juanzhen"},{"family":"Zhang","given":"Xin"},{"family":"Huang","given":"Xiang-Yu"},{"family":"Auligné","given":"Thomas"}],"issued":{"date-parts":[["2013",7,1]]},"citation-key":"wangRadarDataAssimilation2013"}},{"id":427,"uris":["http://zotero.org/users/local/6VSApgKp/items/P3TL9WW7"],"itemData":{"id":427,"type":"article-journal","abstract":"Abstract This paper presents results from radar reflectivity data assimilation experiments with the nonhydrostatic limited-area model Application of Research to Operations at Mesoscale (AROME) in an operational context. A one-dimensional (1D) Bayesian retrieval of relative humidity profiles followed by a three-dimensional variational data assimilation (3D-Var) technique is adopted. Several preprocessing procedures of raw reflectivity data are presented and the use of the nonrainy signal in the assimilation is widely discussed and illustrated. This two-step methodology allows the authors to build up a screening procedure that takes into account the evaluation of the results from the 1D Bayesian retrieval. In particular, the 1D retrieval is checked by comparing a pseudoanalyzed reflectivity to the observed reflectivity. Additionally, a physical consistency between the reflectivity innovations and the 1D relative humidity increments is imposed before assimilating relative humidity pseudo-observations with other observations. This allows the authors to counteract the difficulty of the current 3D-Var system to correct strong differences between model and observed clouds from the crude specification of background-error covariances. Assimilation experiments of radar reflectivity data in a preoperational configuration are first performed over a 1-month period. Positive impacts on short-term precipitation forecast scores are systematically found. The evaluation shows improvements on the analysis and also on objective conventional forecast scores, in particular for the model wind field up to 12 h. A case study for a specific precipitating system demonstrates the capacity of the method for improving significantly short-term forecasts of organized convection.","container-title":"Monthly Weather Review","DOI":"10.1175/MWR-D-13-00230.1","ISSN":"1520-0493, 0027-0644","issue":"5","language":"EN","note":"publisher: American Meteorological Society\nsection: Monthly Weather Review","page":"1852-1873","source":"journals.ametsoc.org","title":"Operational Implementation of the 1D+3D-Var Assimilation Method of Radar Reflectivity Data in the AROME Model","volume":"142","author":[{"family":"Wattrelot","given":"Eric"},{"family":"Caumont","given":"Olivier"},{"family":"Mahfouf","given":"Jean-François"}],"issued":{"date-parts":[["2014",5,1]]},"citation-key":"wattrelotOperationalImplementation1D2014"}},{"id":429,"uris":["http://zotero.org/users/local/6VSApgKp/items/JAZKE5B7"],"itemData":{"id":429,"type":"article-journal","abstract":"Abstract The momentum variables of streamfunction and velocity potential are used as control variables in a number of operational variational data assimilation systems. However, in this study it is shown that, for limited-area high-resolution data assimilation, the momentum control variables ψ and χ (ψχ) pose potential difficulties in background error modeling and, hence, may result in degraded analysis and forecast when compared with the direct use of x and y components of wind (UV). In this study, the characteristics of the modeled background error statistics, derived from an ensemble generated from Weather Research and Forecasting (WRF) Model real-time forecasts of two summer months, are first compared between the two control variable options. Assimilation and forecast experiments are then conducted with both options for seven convective events in a domain that encompasses the Rocky Mountain Front Range using the three-dimensional variational data assimilation (3DVar) system of the WRF Model. The impacts of the two control variable options are compared in terms of their skills in short-term qualitative precipitation forecasts. Further analysis is performed for one case to examine the impacts when radar observations are included in the 3DVar assimilation. The main findings are as follows: 1) the background error modeling used in WRF 3DVar with the control variables ψχ increases the length scale and decreases the variance for u and υ, which causes negative impact on the analysis of the velocity field and on precipitation prediction; 2) the UV-based 3DVar allows closer fits to radar wind observations; and 3) the use of UV control variables improves the 0–12-h precipitation prediction.","container-title":"Monthly Weather Review","DOI":"10.1175/MWR-D-14-00205.1","ISSN":"1520-0493, 0027-0644","issue":"1","language":"EN","note":"publisher: American Meteorological Society\nsection: Monthly Weather Review","page":"149-169","source":"journals.ametsoc.org","title":"Comparison of the Impacts of Momentum Control Variables on High-Resolution Variational Data Assimilation and Precipitation Forecasting","volume":"144","author":[{"family":"Sun","given":"Juanzhen"},{"family":"Wang","given":"Hongli"},{"family":"Tong","given":"Wenxue"},{"family":"Zhang","given":"Ying"},{"family":"Lin","given":"Chung-Yi"},{"family":"Xu","given":"Dongmei"}],"issued":{"date-parts":[["2016",1,1]]},"citation-key":"sunComparisonImpactsMomentum2016"}},{"id":431,"uris":["http://zotero.org/users/local/6VSApgKp/items/LVGULHBN"],"itemData":{"id":431,"type":"article-journal","abstract":"Abstract Radar and surface rainfall observations are two sources of operational data crucial for heavy rainfall prediction. Their individual values on improving convective forecasting through data assimilation have been examined in the past using convection-permitting numerical models. However, the benefit of their simultaneous assimilations has not yet been evaluated. The objective of this study is to demonstrate that, using a 4D-Var data assimilation system with a microphysical scheme, these two data sources can be assimilated simultaneously and the combined assimilation of radar data and estimated rainfall data from radar reflectivity and surface network can lead to improved short-term heavy rainfall prediction. In our study, a combined data assimilation experiment is compared with a rainfall-only and a radar-only (with or without reflectivity) experiments for a heavy rainfall event occurring in Taiwan during the passage of a mei-yu system. These experiments are conducted by applying the Weather Research and Forecasting (WRF) 4D-Var data assimilation system with a 20-min time window aiming to improve 6-h convective heavy rainfall prediction. Our results indicate that the rainfall data assimilation contributes significantly to the analyses of humidity and temperature whereas the radar data assimilation plays a crucial role in wind analysis, and further, combining the two data sources results in reasonable analyses of all three fields by eliminating large, unphysical analysis increments from the experiments of assimilating individual data only. The results also show that the combined assimilation improves forecasts of heavy rainfall location and intensity of 6-h accumulated rainfall for the case studied.","container-title":"Monthly Weather Review","DOI":"10.1175/MWR-D-19-0337.1","ISSN":"1520-0493, 0027-0644","issue":"5","language":"EN","note":"publisher: American Meteorological Society\nsection: Monthly Weather Review","page":"2211-2232","source":"journals.ametsoc.org","title":"Impact of Combined Assimilation of Radar and Rainfall Data on Short-Term Heavy Rainfall Prediction: A Case Study","title-short":"Impact of Combined Assimilation of Radar and Rainfall Data on Short-Term Heavy Rainfall Prediction","volume":"148","author":[{"family":"Sun","given":"Juanzhen"},{"family":"Zhang","given":"Ying"},{"family":"Ban","given":"Junmei"},{"family":"Hong","given":"Jing-Shan"},{"family":"Lin","given":"Chung-Yi"}],"issued":{"date-parts":[["2020",5,1]]},"citation-key":"sunImpactCombinedAssimilation2020"}}],"schema":"https://github.com/citation-style-language/schema/raw/master/csl-citation.json"} </w:instrText>
      </w:r>
      <w:r>
        <w:fldChar w:fldCharType="separate"/>
      </w:r>
      <w:r>
        <w:rPr>
          <w:noProof/>
        </w:rPr>
        <w:t>(3DV</w:t>
      </w:r>
      <w:r w:rsidR="00EA1DF0">
        <w:rPr>
          <w:noProof/>
        </w:rPr>
        <w:t>AR</w:t>
      </w:r>
      <w:r>
        <w:rPr>
          <w:noProof/>
        </w:rPr>
        <w:t xml:space="preserve"> and 4DV</w:t>
      </w:r>
      <w:r w:rsidR="00EA1DF0">
        <w:rPr>
          <w:noProof/>
        </w:rPr>
        <w:t>AR</w:t>
      </w:r>
      <w:r>
        <w:rPr>
          <w:noProof/>
        </w:rPr>
        <w:t xml:space="preserve"> respectively; e.g., Sun and Crook 1997, 1998, 2001; Crook and Sun 2002; Gao et al. 2004</w:t>
      </w:r>
      <w:r w:rsidR="004271A9">
        <w:rPr>
          <w:noProof/>
        </w:rPr>
        <w:t>, 2013</w:t>
      </w:r>
      <w:r>
        <w:rPr>
          <w:noProof/>
        </w:rPr>
        <w:t>; Hu et al. 2006; Michel et al. 2011; Fierro et al. 2016; Wang et al. 2013; Wattrelot et al. 2014; Sun et al. 2016, 2020)</w:t>
      </w:r>
      <w:r>
        <w:fldChar w:fldCharType="end"/>
      </w:r>
      <w:r w:rsidRPr="00AD13C1">
        <w:t xml:space="preserve">, Ensemble Kalman filter (EnKF) methods </w:t>
      </w:r>
      <w:r>
        <w:fldChar w:fldCharType="begin"/>
      </w:r>
      <w:r w:rsidR="006E4F25">
        <w:instrText xml:space="preserve"> ADDIN ZOTERO_ITEM CSL_CITATION {"citationID":"YsQGGOyJ","properties":{"formattedCitation":"(Snyder and Zhang 2003; Tong and Xue 2005; Dowell et al. 2004, 2011; Aksoy et al. 2009; Jung et al. 2012; Yussouf and Stensrud 2010; Yussouf and Knopfmeier 2019; Skinner et al. 2018; Zhang et al. 2018, 2019; Jones et al. 2020)","plainCitation":"(Snyder and Zhang 2003; Tong and Xue 2005; Dowell et al. 2004, 2011; Aksoy et al. 2009; Jung et al. 2012; Yussouf and Stensrud 2010; Yussouf and Knopfmeier 2019; Skinner et al. 2018; Zhang et al. 2018, 2019; Jones et al. 2020)","dontUpdate":true,"noteIndex":0},"citationItems":[{"id":433,"uris":["http://zotero.org/users/local/6VSApgKp/items/AXT42MAR"],"itemData":{"id":433,"type":"article-journal","abstract":"Abstract Assimilation of Doppler radar data into cloud models is an important obstacle to routine numerical weather prediction for convective-scale motions; the difficulty lies in initializing fields of wind, temperature, moisture, and condensate given only observations of radial velocity and reflectivity from the radar. This paper investigates the potential of the ensemble Kalman filter (EnKF), which estimates the covariances between observed variables and the state through an ensemble of forecasts, to assimilate radar observations at convective scales. In the basic experiment, simulated observations are extracted from a reference simulation of a splitting supercell and assimilated using the EnKF and the same numerical model that produced the reference simulation. The EnKF produces accurate analyses, including the unobserved variables, after roughly 30 min (or six scans) of radial velocity observations. Additional experiments, in which forecasts are made from the ensemble-mean analysis, reveal that forecast errors grow significantly in this simple system, so that the ability of the EnKF to track the reference solution is not simply because of stable system dynamics. It is also found that the covariances between radial velocity and temperature, moisture, and condensate are important to the quality of the analyses, as is the initialization chosen for the ensemble members prior to assimilating the first observations. These results are promising, especially given the ease of implementing the EnKF. A number of important issues remain, however, including the initialization of the ensemble prior to the first observation, the treatment of uncertainty in the environmental sounding, the role of error in the forecast model (particularly the microphysical parameterizations), and the treatment of lateral boundary conditions.","container-title":"Monthly Weather Review","DOI":"10.1175//2555.1","ISSN":"1520-0493, 0027-0644","issue":"8","language":"EN","note":"publisher: American Meteorological Society\nsection: Monthly Weather Review","page":"1663-1677","source":"journals.ametsoc.org","title":"Assimilation of Simulated Doppler Radar Observations with an Ensemble Kalman Filter","volume":"131","author":[{"family":"Snyder","given":"Chris"},{"family":"Zhang","given":"Fuqing"}],"issued":{"date-parts":[["2003",8,1]]},"citation-key":"snyderAssimilationSimulatedDoppler2003"}},{"id":435,"uris":["http://zotero.org/users/local/6VSApgKp/items/PT52GADM"],"itemData":{"id":435,"type":"article-journal","abstract":"Abstract A Doppler radar data assimilation system is developed based on an ensemble Kalman filter (EnKF) method and tested with simulated radar data from a supercell storm. As a first implementation, it is assumed that the forward models are perfect and that the radar data are sampled at the analysis grid points. A general purpose nonhydrostatic compressible model is used with the inclusion of complex multiclass ice microphysics. New aspects of this study compared to previous work include the demonstration of the ability of the EnKF method to retrieve multiple microphysical species associated with a multiclass ice microphysics scheme, and to accurately retrieve the wind and thermodynamic variables. Also new are the inclusion of reflectivity observations and the determination of the relative role of the radial velocity and reflectivity data as well as their spatial coverage in recovering the full-flow and cloud fields. In general, the system is able to reestablish the model storm extremely well after a number of assimilation cycles, and best results are obtained when both radial velocity and reflectivity data, including reflectivity information outside of the precipitation regions, are used. Significant positive impact of the reflectivity assimilation is found even though the observation operator involved is nonlinear. The results also show that a compressible model that contains acoustic modes, hence the associated error growth, performs at least as well as an anelastic model used in previous EnKF studies at the cloud scale. Flow-dependent and dynamically consistent background error covariances estimated from the forecast ensemble play a critical role in successful assimilation and retrieval. When the assimilation cycles start from random initial perturbations, better results are obtained when the updating of the fields that are not directly related to radar reflectivity is withheld during the first few cycles. In fact, during the first few cycles, the updating of the variables indirectly related to reflectivity hurts the analysis. This is so because the estimated background covariances are unreliable at this stage of the data assimilation process, which is related to the way the forecast ensemble is initialized. Forecasts of supercell storms starting from the best-assimilated initial conditions are shown to remain very good for at least 2 h.","container-title":"Monthly Weather Review","DOI":"10.1175/MWR2898.1","ISSN":"1520-0493, 0027-0644","issue":"7","language":"EN","note":"publisher: American Meteorological Society\nsection: Monthly Weather Review","page":"1789-1807","source":"journals.ametsoc.org","title":"Ensemble Kalman Filter Assimilation of Doppler Radar Data with a Compressible Nonhydrostatic Model: OSS Experiments","title-short":"Ensemble Kalman Filter Assimilation of Doppler Radar Data with a Compressible Nonhydrostatic Model","volume":"133","author":[{"family":"Tong","given":"Mingjing"},{"family":"Xue","given":"Ming"}],"issued":{"date-parts":[["2005",7,1]]},"citation-key":"tongEnsembleKalmanFilter2005"}},{"id":289,"uris":["http://zotero.org/users/local/6VSApgKp/items/QLFGHKE2"],"itemData":{"id":289,"type":"article-journal","abstract":"Abstract The feasibility of using an ensemble Kalman filter (EnKF) to retrieve the wind and temperature fields in an isolated convective storm has been tested by applying the technique to observations of the 17 May 1981 Arcadia, Oklahoma, tornadic supercell. Radial-velocity and reflectivity observations from a single radar were assimilated into a nonhydrostatic, anelastic numerical model initialized with an idealized (horizontally homogeneous) base state. The assimilation results were compared to observations from another Doppler radar, the results of dual-Doppler wind syntheses, and in situ measurements from an instrumented tower. Observation errors make it more difficult to assess EnKF performance than in previous storm-scale EnKF experiments that employed synthetic observations and a perfect model; nevertheless, the comparisons in this case indicate that the locations of the main updraft and mesocyclone in the Arcadia storm were determined rather accurately, especially at midlevels. The magnitudes of vertical velocity and vertical vorticity in these features are similar to those in the dual-Doppler analyses, except that the low-level updraft is stronger in the EnKF analyses than in the dual-Doppler analyses. Several assimilation-scheme parameters are adjustable, including the method of initializing the ensemble, the inflation factor applied to perturbations, the magnitude of the assumed observation-error variance, and the degree of localization of the filter. In the Arcadia storm experiments, in which observations of a mature storm were assimilated over a relatively short (47 min) period, the results depended most on the ensemble-initialization method. In the data assimilation experiments, too much northerly storm-relative outflow along the south side of the low-level cold pool eventually developed during the assimilation period. Assimilation of Doppler observations did little to correct temperature errors near the surface in the cold pool. Both observational limitations (poor spatial resolution in the radar data near the ground) and model errors (coarse resolution and uncertainties in the parameterizations of moist processes) probably contributed to poor low-level temperature analyses in these experiments.","container-title":"Monthly Weather Review","DOI":"10.1175/1520-0493(2004)132&lt;1982:WATRIT&gt;2.0.CO;2","ISSN":"1520-0493, 0027-0644","issue":"8","language":"EN","note":"publisher: American Meteorological Society\nsection: Monthly Weather Review","page":"1982-2005","source":"journals.ametsoc.org","title":"Wind and Temperature Retrievals in the 17 May 1981 Arcadia, Oklahoma, Supercell: Ensemble Kalman Filter Experiments","title-short":"Wind and Temperature Retrievals in the 17 May 1981 Arcadia, Oklahoma, Supercell","volume":"132","author":[{"family":"Dowell","given":"David C."},{"family":"Zhang","given":"Fuqing"},{"family":"Wicker","given":"Louis J."},{"family":"Snyder","given":"Chris"},{"family":"Crook","given":"N. Andrew"}],"issued":{"date-parts":[["2004",8,1]]},"citation-key":"dowellWindTemperatureRetrievals2004"}},{"id":76,"uris":["http://zotero.org/users/local/6VSApgKp/items/NWP6QTZF"],"itemData":{"id":76,"type":"article-journal","abstract":"&lt;section class=\"abstract\"&gt;&lt;h2 class=\"abstractTitle text-title my-1\" id=\"d120829617e161\"&gt;Abstract&lt;/h2&gt;&lt;p&gt;Ensemble Kalman filter (EnKF) techniques have been proposed for obtaining atmospheric state estimates on the scale of individual convective storms from radar and other observations, but tests of these methods with observations of real convective storms are still very limited. In the current study, radar observations of the 8 May 2003 Oklahoma City tornadic supercell thunderstorm were assimilated into the National Severe Storms Laboratory (NSSL) Collaborative Model for Multiscale Atmospheric Simulation (NCOMMAS) with an EnKF method. The cloud model employed 1-km horizontal grid spacing, a single-moment bulk precipitation-microphysics scheme, and a base state initialized with sounding data. A 50-member ensemble was produced by randomly perturbing base-state wind profiles and by regularly adding random local perturbations to the horizontal wind, temperature, and water vapor fields in and near observed precipitation.&lt;/p&gt;&lt;p&gt;In a reference experiment, only Doppler-velocity observations were assimilated into the NCOMMAS ensemble. Then, radar-reflectivity observations were assimilated together with Doppler-velocity observations in subsequent experiments. Influences that reflectivity observations have on storm-scale analyses were revealed through parameter-space experiments by varying observation availability, observation errors, ensemble spread, and choices for what model variables were updated when a reflectivity observation was assimilated. All experiments produced realistic storm-scale analyses that compared favorably with independent radar observations. Convective storms in the NCOMMAS ensemble developed more quickly when reflectivity observations and velocity observations were both assimilated rather than only velocity, presumably because the EnKF utilized covariances between reflectivity and unobserved model fields such as cloud water and vertical velocity in efficiently developing realistic storm features.&lt;/p&gt;&lt;p&gt;Recurring spatial patterns in the differences between predicted and observed reflectivity were noted particularly at low levels, downshear of the supercell’s updraft, in the anvil of moderate-to-light precipitation, where reflectivity in the model was typically lower than observed. Bias errors in the predicted rain mixing ratios and/or the size distributions that the bulk scheme associates with these mixing ratios are likely responsible for this reflectivity underprediction. When a reflectivity observation is assimilated, bias errors in the model fields associated with reflectivity (rain, snow, and hail–graupel) can be projected into other model variables through the ensemble covariances. In the current study, temperature analyses in the downshear anvil at low levels, where reflectivity was underpredicted, were very sensitive both to details of the assimilation algorithm and to ensemble spread in temperature. This strong sensitivity suggests low confidence in analyses of low-level cold pools obtained through reflectivity-data assimilation.&lt;/p&gt;&lt;/section&gt;","container-title":"Monthly Weather Review","DOI":"10.1175/2010MWR3438.1","ISSN":"1520-0493, 0027-0644","issue":"1","language":"EN","note":"publisher: American Meteorological Society\nsection: Monthly Weather Review","page":"272-294","source":"journals.ametsoc.org","title":"Ensemble Kalman Filter Assimilation of Radar Observations of the 8 May 2003 Oklahoma City Supercell: Influences of Reflectivity Observations on Storm-Scale Analyses","title-short":"Ensemble Kalman Filter Assimilation of Radar Observations of the 8 May 2003 Oklahoma City Supercell","volume":"139","author":[{"family":"Dowell","given":"David C."},{"family":"Wicker","given":"Louis J."},{"family":"Snyder","given":"Chris"}],"issued":{"date-parts":[["2011",1,1]]},"citation-key":"dowellEnsembleKalmanFilter2011"}},{"id":87,"uris":["http://zotero.org/users/local/6VSApgKp/items/9N566APW"],"itemData":{"id":87,"type":"article-journal","abstract":"&lt;section class=\"abstract\"&gt;&lt;h2 class=\"abstractTitle text-title my-1\" id=\"d4302301e85\"&gt;Abstract&lt;/h2&gt;&lt;p&gt;The effectiveness of the ensemble Kalman filter (EnKF) for assimilating radar observations at convective scales is investigated for cases whose behaviors span supercellular, linear, and multicellular organization. The parallel EnKF algorithm of the Data Assimilation Research Testbed (DART) is used for data assimilation, while the Weather Research and Forecasting (WRF) Model is employed as a simplified cloud model at 2-km horizontal grid spacing. In each case, reflectivity and radial velocity measurements are utilized from a single Weather Surveillance Radar-1988 Doppler (WSR-88D) within the U.S. operational network. Observations are assimilated every 2 min for a duration of 60 min and correction of folded radial velocities occurs within the EnKF. Initial ensemble uncertainty includes random perturbations to the horizontal wind components of the initial environmental sounding. The EnKF performs effectively and with robust results across all the cases. Over the first 18–30 min of assimilation, the rms and domain-averaged prior fits to observations in each case improve significantly from their initial levels, reaching comparable values of 3–6 m s&lt;sup&gt;−1&lt;/sup&gt; and 7–10 dB&lt;em&gt;Z&lt;/em&gt;. Representation of mesoscale uncertainty, albeit in the simplest form of initial sounding perturbations, is a critical part of the assimilation system, as it increases ensemble spread and improves filter performance. In addition, assimilation of “no precipitation” observations (i.e., reflectivity observations with values small enough to indicate the absence of precipitation) serves to suppress spurious convection in ensemble members. At the same time, it is clear that the assimilation is far from optimal, as the ensemble spread is consistently smaller than what would be expected from the innovation statistics and the assumed observation-error variance.&lt;/p&gt;&lt;/section&gt;","container-title":"Monthly Weather Review","DOI":"10.1175/2008MWR2691.1","ISSN":"1520-0493, 0027-0644","issue":"6","language":"EN","note":"publisher: American Meteorological Society\nsection: Monthly Weather Review","page":"1805-1824","source":"journals.ametsoc.org","title":"A Multicase Comparative Assessment of the Ensemble Kalman Filter for Assimilation of Radar Observations. Part I: Storm-Scale Analyses","title-short":"A Multicase Comparative Assessment of the Ensemble Kalman Filter for Assimilation of Radar Observations. Part I","volume":"137","author":[{"family":"Aksoy","given":"Altuğ"},{"family":"Dowell","given":"David C."},{"family":"Snyder","given":"Chris"}],"issued":{"date-parts":[["2009",6,1]]},"citation-key":"aksoyMulticaseComparativeAssessment2009"}},{"id":437,"uris":["http://zotero.org/users/local/6VSApgKp/items/R9YZXI2L"],"itemData":{"id":437,"type":"article-journal","abstract":"Abstract The performance of ensemble Kalman filter (EnKF) analysis is investigated for the tornadic supercell on 29–30 May 2004 in Oklahoma using a dual-moment (DM) bulk microphysics scheme in the Advanced Regional Prediction System (ARPS) model. The comparison of results using single-moment (SM) and DM microphysics schemes evaluates the benefits of using one over the other during storm analysis. Observations from a single operational Weather Surveillance Radar-1988 Doppler (WSR-88D) are assimilated and a polarimetric WSR-88D in Norman, Oklahoma (KOUN), is used to assess the quality of the analysis. Analyzed reflectivity and radial velocity in the SM and DM experiments compare favorably with independent radar observations in general. However, simulated polarimetric signatures obtained from analyses using a DM scheme agree significantly better with polarimetric signatures observed by KOUN in terms of the general structure, location, and intensity of the signatures than those generated from analyses using an SM scheme. These results demonstrate for the first time for a real supercell storm that EnKF data assimilation using a numerical model with an adequate microphysics scheme (i.e., a scheme that predicts at least two moments of the hydrometeor size distributions) is capable of producing polarimetric radar signatures similar to those seen in observations without directly assimilating polarimetric data. In such cases, the polarimetric data also serve as completely independent observations for the verification purposes.","container-title":"Monthly Weather Review","DOI":"10.1175/MWR-D-11-00032.1","ISSN":"1520-0493, 0027-0644","issue":"5","language":"EN","note":"publisher: American Meteorological Society\nsection: Monthly Weather Review","page":"1457-1475","source":"journals.ametsoc.org","title":"Ensemble Kalman Filter Analyses of the 29–30 May 2004 Oklahoma Tornadic Thunderstorm Using One- and Two-Moment Bulk Microphysics Schemes, with Verification against Polarimetric Radar Data","volume":"140","author":[{"family":"Jung","given":"Youngsun"},{"family":"Xue","given":"Ming"},{"family":"Tong","given":"Mingjing"}],"issued":{"date-parts":[["2012",5,1]]},"citation-key":"jungEnsembleKalmanFilter2012"}},{"id":240,"uris":["http://zotero.org/users/local/6VSApgKp/items/6MF95K3Z"],"itemData":{"id":240,"type":"article-journal","abstract":"Abstract The conventional Weather Surveillance Radar-1988 Doppler (WSR-88D) scans a given weather phenomenon in approximately 5 min, and past results suggest that it takes 30–60 min to establish a storm into a model assimilating these data using an ensemble Kalman filter (EnKF) data assimilation technique. Severe-weather events, however, can develop and evolve very rapidly. Therefore, assimilating observations for a 30–60-min period prior to the availability of accurate analyses may not be feasible in an operational setting. A shorter assimilation period also is desired if forecasts are produced to increase the warning lead time. With the advent of the emerging phased-array radar (PAR) technology, it is now possible to scan the same weather phenomenon in less than 1 min. Therefore, it is of interest to see if the faster scanning rate of PAR can yield improvements in storm-scale analyses and forecasts from assimilating over a shorter period of time. Observing system simulation experiments are conducted to evaluate the ability to quickly initialize a storm into a numerical model using PAR data in place of WSR-88D data. Synthetic PAR and WSR-88D observations of a splitting supercell storm are created from a storm-scale model run using a realistic volume-averaging technique in native radar coordinates. These synthetic reflectivity and radial velocity observations are assimilated into the same storm-scale model over a 15-min period using an EnKF data assimilation technique followed by a 50-min ensemble forecast. Results indicate that assimilating PAR observations at 1-min intervals over a short 15-min period yields significantly better analyses and ensemble forecasts than those produced using WSR-88D observations. Additional experiments are conducted in which the adaptive scanning capability of PAR is utilized for thunderstorms that are either very close to or far away from the radar location. Results show that the adaptive scanning capability improves the analyses and forecasts when compared with the nonadaptive PAR data. These results highlight the potential for flexible rapid-scanning PAR observations to help to quickly and accurately initialize storms into numerical models yielding improved storm-scale analyses and very short range forecasts.","container-title":"Monthly Weather Review","DOI":"10.1175/2009MWR2925.1","ISSN":"1520-0493, 0027-0644","issue":"2","language":"EN","note":"publisher: American Meteorological Society\nsection: Monthly Weather Review","page":"517-538","source":"journals.ametsoc.org","title":"Impact of Phased-Array Radar Observations over a Short Assimilation Period: Observing System Simulation Experiments Using an Ensemble Kalman Filter","title-short":"Impact of Phased-Array Radar Observations over a Short Assimilation Period","volume":"138","author":[{"family":"Yussouf","given":"Nusrat"},{"family":"Stensrud","given":"David J."}],"issued":{"date-parts":[["2010",2,1]]},"citation-key":"yussoufImpactPhasedArrayRadar2010"}},{"id":222,"uris":["http://zotero.org/users/local/6VSApgKp/items/68USL9V6"],"itemData":{"id":222,"type":"article-journal","abstract":"The vision of the National Oceanic and Atmospheric Administration's (NOAA) Warn-on-Forecast (WoF) research and development project is to provide very short-term probabilistic model guidance products that will aid the ability of National Weather Service forecasters to issue probabilistic warnings of severe convective hazards with higher accuracy and longer lead times. The experimental Warn-on-Forecast System (WoFS), which is under development, is a frequently cycled, regional, convective-scale, on-demand, ensemble data assimilation and prediction system. The system assimilates thunderstorm observations to forecast the life cycle and associated hazards of individual convective storms. Most of the initial research effort, since the beginning of the WoF project in 2009, has been focused on tornadic events, which constitute one of the most violent and difficult to predict weather threats. However, the system emerging from this project has significant potential to help with prediction of other hazards as well: in particular, flash-flood-producing, convectively driven intense rainfall events. This study focuses on the application of WoFS in 0–6-hr probabilistic rainfall forecasts of several flash-flood-producing heavy rainfall events during the spring and summer of 2015 and 2016. Results indicate that WoFS successfully initializes the convective storms in the ensemble. Visual inspections and probabilistic verification metrics show that WoFS predicts the intense rainfall that often leads to flash flooding at the correct location with higher accuracy in areal coverage and amount during the 0–3 hr forecast period than during the later 3–6 hr period. Overall results indicate that the frequently updated 0–6-hr ensemble forecast from the WoFS has the potential to highlight areas where intense rainfall can result in flash flooding and increase near-term situational awareness of flash flood threats.","container-title":"Quarterly Journal of the Royal Meteorological Society","DOI":"10.1002/qj.3568","ISSN":"1477-870X","issue":"723","language":"en","note":"_eprint: https://onlinelibrary.wiley.com/doi/pdf/10.1002/qj.3568","page":"2385-2403","source":"Wiley Online Library","title":"Application of the Warn-on-Forecast system for flash-flood-producing heavy convective rainfall events","volume":"145","author":[{"family":"Yussouf","given":"Nusrat"},{"family":"Knopfmeier","given":"Kent H."}],"issued":{"date-parts":[["2019"]]},"citation-key":"yussoufApplicationWarnonForecastSystem2019"}},{"id":135,"uris":["http://zotero.org/users/local/6VSApgKp/items/7CQRI4D5"],"itemData":{"id":135,"type":"article-journal","abstract":"&lt;section class=\"abstract\"&gt;&lt;h2 class=\"abstractTitle text-title my-1\" id=\"d3629245e265\"&gt;Abstract&lt;/h2&gt;&lt;p&gt;An object-based verification methodology for the NSSL Experimental Warn-on-Forecast System for ensembles (NEWS-e) has been developed and applied to 32 cases between December 2015 and June 2017. NEWS-e forecast objects of composite reflectivity and 30-min updraft helicity swaths are matched to corresponding reflectivity and rotation track objects in Multi-Radar Multi-Sensor system data on space and time scales typical of a National Weather Service warning. Object matching allows contingency-table-based verification statistics to be used to establish baseline performance metrics for NEWS-e thunderstorm and mesocyclone forecasts. NEWS-e critical success index (CSI) scores of reflectivity (updraft helicity) forecasts decrease from approximately 0.7 (0.4) to 0.4 (0.2) over 3 h of forecast time. CSI scores decrease through the forecast period, indicating that errors do not saturate during the 3-h forecast. Lower verification scores for rotation track forecasts are primarily a result of a high-frequency bias. Comparison of different system configurations used in 2016 and 2017 shows an increase in skill for 2017 reflectivity forecasts, attributable mainly to improvements in the forecast initial conditions. A small decrease in skill in 2017 rotation track forecasts is likely a result of sample differences between 2016 and 2017. Although large case-to-case variation is present, evidence is found that NEWS-e forecast skill improves with increasing object size and intensity.&lt;/p&gt;&lt;/section&gt;","container-title":"Weather and Forecasting","DOI":"10.1175/WAF-D-18-0020.1","ISSN":"1520-0434, 0882-8156","issue":"5","language":"EN","note":"publisher: American Meteorological Society\nsection: Weather and Forecasting","page":"1225-1250","source":"journals.ametsoc.org","title":"Object-Based Verification of a Prototype Warn-on-Forecast System","volume":"33","author":[{"family":"Skinner","given":"Patrick S."},{"family":"Wheatley","given":"Dustan M."},{"family":"Knopfmeier","given":"Kent H."},{"family":"Reinhart","given":"Anthony E."},{"family":"Choate","given":"Jessica J."},{"family":"Jones","given":"Thomas A."},{"family":"Creager","given":"Gerald J."},{"family":"Dowell","given":"David C."},{"family":"Alexander","given":"Curtis R."},{"family":"Ladwig","given":"Therese T."},{"family":"Wicker","given":"Louis J."},{"family":"Heinselman","given":"Pamela L."},{"family":"Minnis","given":"Patrick"},{"family":"Palikonda","given":"Rabindra"}],"issued":{"date-parts":[["2018",10,1]]},"citation-key":"skinnerObjectBasedVerificationPrototype2018"}},{"id":104,"uris":["http://zotero.org/users/local/6VSApgKp/items/RS33DZK8"],"itemData":{"id":104,"type":"article-journal","abstract":"&lt;section class=\"abstract\"&gt;&lt;h2 class=\"abstractTitle text-title my-1\" id=\"d145019355e93\"&gt;Abstract&lt;/h2&gt;&lt;p&gt;This article presents the first practice of assimilating real-world all-sky &lt;em&gt;GOES-16&lt;/em&gt; ABI infrared brightness temperature (BT) observations using an ensemble-based data assimilation system coupled with the Weather Research and Forecasting (WRF) Model at a convection-allowing (1 km) horizontal resolution, focusing on the tornadic thunderstorm event across Wyoming and Nebraska on 12 June 2017. It is found that spurious clouds created before observed convection initiation are rapidly removed, and the analysis and forecasts of thunderstorms are significantly improved, when all-sky BT observations are assimilated with the adaptive observation error inflation (AOEI) and adaptive background error inflation (ABEI) techniques. Better forecasts of the timing and location of convection initiation can be achieved after only 30 min of assimilating BT observations; both deterministic and probabilistic WRF forecasts of midlevel mesocyclones and low-level vortices, started from the final analysis with 100 min of BT assimilation, closely coincide with the tornado reports. These improvements result not only from the effective suppression of spurious clouds, but also from the better estimations of hydrometeors owing to the frequent assimilation of all-sky BT observations that yield a more accurate analysis of the storm. Results show that BT observations generally have a greater impact on ice particles than liquid water species, which might provide guidance on how to better constrain modeled clouds using these spaceborne observations.&lt;/p&gt;&lt;/section&gt;","container-title":"Monthly Weather Review","DOI":"10.1175/MWR-D-18-0062.1","ISSN":"1520-0493, 0027-0644","issue":"10","language":"EN","note":"publisher: American Meteorological Society\nsection: Monthly Weather Review","page":"3363-3381","source":"journals.ametsoc.org","title":"Assimilating All-Sky Infrared Radiances from GOES-16 ABI Using an Ensemble Kalman Filter for Convection-Allowing Severe Thunderstorms Prediction","volume":"146","author":[{"family":"Zhang","given":"Yunji"},{"family":"Zhang","given":"Fuqing"},{"family":"Stensrud","given":"David J."}],"issued":{"date-parts":[["2018",10,1]]},"citation-key":"zhangAssimilatingAllSkyInfrared2018"}},{"id":107,"uris":["http://zotero.org/users/local/6VSApgKp/items/KILQXW5G"],"itemData":{"id":107,"type":"article-journal","abstract":"&lt;section class=\"abstract\"&gt;&lt;h2 class=\"abstractTitle text-title my-1\" id=\"d147148672e88\"&gt;Abstract&lt;/h2&gt;&lt;p&gt;This study explores the benefits of assimilating infrared (IR) brightness temperature (BT) observations from geostationary satellites jointly with radial velocity (Vr) and reflectivity (&lt;em&gt;Z&lt;/em&gt;) observations from Doppler weather radars within an ensemble Kalman filter (EnKF) data assimilation system to the convection-allowing ensemble analysis and prediction of a tornadic supercell thunderstorm event on 12 June 2017 across Wyoming and Nebraska. While radar observations sample the three-dimensional storm structures with high fidelity, BT observations provide information about clouds prior to the formation of precipitation particles when in-storm radar observations are not yet available and also provide information on the environment outside the thunderstorms. To better understand the strengths and limitations of each observation type, the satellite and Doppler radar observations are assimilated separately and jointly, and the ensemble analyses and forecasts are compared with available observations. Results show that assimilating BT observations has the potential to increase the forecast and warning lead times of severe weather events compared with radar observations and may also potentially complement the sparse surface observations in some regions as revealed by the probabilistic prediction of mesocyclone tracks initialized from EnKF analyses as various times. Additionally, the assimilation of both BT and Vr observations yields the best ensemble forecasts, providing higher confidence, improved accuracy, and longer lead times on the probabilistic prediction of midlevel mesocyclones.&lt;/p&gt;&lt;/section&gt;","container-title":"Monthly Weather Review","DOI":"10.1175/MWR-D-19-0163.1","ISSN":"1520-0493, 0027-0644","issue":"12","language":"EN","note":"publisher: American Meteorological Society\nsection: Monthly Weather Review","page":"4389-4409","source":"journals.ametsoc.org","title":"Simultaneous Assimilation of Radar and All-Sky Satellite Infrared Radiance Observations for Convection-Allowing Ensemble Analysis and Prediction of Severe Thunderstorms","volume":"147","author":[{"family":"Zhang","given":"Yunji"},{"family":"Stensrud","given":"David J."},{"family":"Zhang","given":"Fuqing"}],"issued":{"date-parts":[["2019",12,1]]},"citation-key":"zhangSimultaneousAssimilationRadar2019"}},{"id":110,"uris":["http://zotero.org/users/local/6VSApgKp/items/9DW6JJW2"],"itemData":{"id":110,"type":"article-journal","abstract":"&lt;section class=\"abstract\"&gt;&lt;h2 class=\"abstractTitle text-title my-1\" id=\"d45130806e150\"&gt;Abstract&lt;/h2&gt;&lt;p&gt;The increasing maturity of the Warn-on-Forecast System (WoFS) coupled with the now operational &lt;em&gt;GOES-16&lt;/em&gt; satellite allows for the first time a comprehensive analysis of the relative impacts of assimilating &lt;em&gt;GOES-16&lt;/em&gt; all-sky 6.2-, 6.9-, and 7.3-&lt;em&gt;μ&lt;/em&gt;m channel radiances compared to other radar and satellite observations. The WoFS relies on cloud property retrievals such as cloud water path, which have been proven to increase forecast skill compared to only assimilating radar data and other conventional observations. The impacts of assimilating clear-sky radiances have also been explored and shown to provide useful information on midtropospheric moisture content in the near-storm environment. Assimilation of all-sky radiances adds a layer of complexity and is tested to determine its effectiveness across four events occurring in the spring and summer of 2019. Qualitative and object-based verification of severe weather and the near-storm environment are used to assess the impact of assimilating all-sky radiances compared to the current model configuration. We focus our study through the entire WoFS analysis and forecasting cycle (1900–0600 UTC, daily) so that the impacts throughout the evolution of convection from initiation to large upscale growth can be assessed. Overall, assimilating satellite data improves forecasts relative to radar-only assimilation experiments. The retrieval method with clear-sky radiances performs best overall, but assimilating all-sky radiances does have very positive impacts in certain conditions. In particular, all-sky radiance assimilation improved convective initiation forecast of severe storms in several instances. This work represents an initial attempt at assimilating all-sky radiances into the WoFS and additional research is ongoing to further improve forecast skill.&lt;/p&gt;&lt;/section&gt;","container-title":"Monthly Weather Review","DOI":"10.1175/MWR-D-19-0379.1","ISSN":"1520-0493, 0027-0644","issue":"5","language":"EN","note":"publisher: American Meteorological Society\nsection: Monthly Weather Review","page":"1829-1859","source":"journals.ametsoc.org","title":"Assimilation of GOES-16 Radiances and Retrievals into the Warn-on-Forecast System","volume":"148","author":[{"family":"Jones","given":"Thomas A."},{"family":"Skinner","given":"Patrick"},{"family":"Yussouf","given":"Nusrat"},{"family":"Knopfmeier","given":"Kent"},{"family":"Reinhart","given":"Anthony"},{"family":"Wang","given":"Xuguang"},{"family":"Bedka","given":"Kristopher"},{"family":"Smith","given":"William"},{"family":"Palikonda","given":"Rabindra"}],"issued":{"date-parts":[["2020",5,1]]},"citation-key":"jonesAssimilationGOES16Radiances2020"}}],"schema":"https://github.com/citation-style-language/schema/raw/master/csl-citation.json"} </w:instrText>
      </w:r>
      <w:r>
        <w:fldChar w:fldCharType="separate"/>
      </w:r>
      <w:r>
        <w:rPr>
          <w:noProof/>
        </w:rPr>
        <w:t>(e.g., Snyder and Zhang 2003; Tong and Xue 2005; Dowell et al. 2004, 2011; Aksoy et al. 2009; Jung et al. 2012; Yussouf and Stensrud 2010; Yussouf and Knopfmeier 2019; Skinner et al. 2018; Zhang et al. 2018, 2019; Jones et al. 2020</w:t>
      </w:r>
      <w:r w:rsidR="009F348D">
        <w:rPr>
          <w:noProof/>
        </w:rPr>
        <w:t>; Pan and Gao 2022</w:t>
      </w:r>
      <w:r>
        <w:rPr>
          <w:noProof/>
        </w:rPr>
        <w:t>)</w:t>
      </w:r>
      <w:r>
        <w:fldChar w:fldCharType="end"/>
      </w:r>
      <w:r w:rsidRPr="00AD13C1">
        <w:t xml:space="preserve">, as well as hybrid </w:t>
      </w:r>
      <w:r w:rsidR="008A5B6B">
        <w:t>v</w:t>
      </w:r>
      <w:r w:rsidRPr="00AD13C1">
        <w:t xml:space="preserve">ariational and EnKF methods </w:t>
      </w:r>
      <w:r>
        <w:fldChar w:fldCharType="begin"/>
      </w:r>
      <w:r w:rsidR="006E4F25">
        <w:instrText xml:space="preserve"> ADDIN ZOTERO_ITEM CSL_CITATION {"citationID":"AXW8SybJ","properties":{"formattedCitation":"(Gao and Stensrud 2014; Hamrud et al. 2015; Wang and Wang 2017; Kong et al. 2020; Pan et al. 2021; Li et al. 2022)","plainCitation":"(Gao and Stensrud 2014; Hamrud et al. 2015; Wang and Wang 2017; Kong et al. 2020; Pan et al. 2021; Li et al. 2022)","dontUpdate":true,"noteIndex":0},"citationItems":[{"id":78,"uris":["http://zotero.org/users/local/6VSApgKp/items/7553UDVX"],"itemData":{"id":78,"type":"article-journal","abstract":"&lt;section class=\"abstract\"&gt;&lt;h2 class=\"abstractTitle text-title my-1\" id=\"d130372467e65\"&gt;Abstract&lt;/h2&gt;&lt;p&gt;A hybrid three-dimensional ensemble–variational data assimilation (3DEnVAR) algorithm is developed based on the 3D variational data assimilation (3DVAR) and ensemble Kalman filter (EnKF) programs with the Advanced Regional Prediction System (ARPS). The method uses the extended control variable approach to combine the static and ensemble-derived flow-dependent forecast error covariances. The method is applied to the assimilation of simulated data from two radars for a supercell storm. Some sensitivity experiments are performed to answer questions about how flow-dependent covariance estimated from the forecast ensemble can be best used in the hybrid 3DEnVAR scheme. When the ensemble size is relatively small (with 5 or 10 ensemble members), it is found that experiments with a weaker weighting value for the ensemble covariance leads to better analysis results. Even when severe sampling errors exist, introducing ensemble-estimated covariances into the variational method still benefits the analysis. For reasonably large ensemble sizes (50–100 members), a stronger relative weighting (&amp;gt;0.8) for the ensemble covariance leads to better analyses from the hybrid 3DEnVAR. In addition, the sensitivity experiments also indicate that the best results are obtained when the number of the augmented control variables is a function of three spatial dimensions and ensemble members, and is the same for all analysis variables.&lt;/p&gt;&lt;/section&gt;","container-title":"Monthly Weather Review","DOI":"10.1175/MWR-D-14-00025.1","ISSN":"1520-0493, 0027-0644","issue":"9","language":"EN","note":"publisher: American Meteorological Society\nsection: Monthly Weather Review","page":"3326-3346","source":"journals.ametsoc.org","title":"Some Observing System Simulation Experiments with a Hybrid 3DEnVAR System for Storm-Scale Radar Data Assimilation","volume":"142","author":[{"family":"Gao","given":"Jidong"},{"family":"Stensrud","given":"David J."}],"issued":{"date-parts":[["2014",9,1]]},"citation-key":"gaoObservingSystemSimulation2014"}},{"id":439,"uris":["http://zotero.org/users/local/6VSApgKp/items/BUHXGRVY"],"itemData":{"id":439,"type":"article-journal","abstract":"Abstract The desire to do detailed comparisons between variational and more scalable ensemble-based data assimilation systems in a semioperational environment has led to the development of a state-of-the-art EnKF system at ECMWF. A broad description of the ECMWF EnKF is given in this paper, focusing on highlighting differences compared to standard EnKF practice. In particular, a discussion of the novel algorithm used to control imbalances between the mass and wind fields in the EnKF analysis is given. The scalability and computational properties of the EnKF are reviewed and the implementation choices adopted at ECMWF described. The sensitivity of the ECMWF EnKF to ensemble size, horizontal resolution, and representation of model errors is also discussed. A comparison with 4DVar will be found in Part II of this two-part study.","container-title":"Monthly Weather Review","DOI":"10.1175/MWR-D-14-00333.1","ISSN":"1520-0493, 0027-0644","issue":"12","language":"EN","note":"publisher: American Meteorological Society\nsection: Monthly Weather Review","page":"4847-4864","source":"journals.ametsoc.org","title":"EnKF and Hybrid Gain Ensemble Data Assimilation. Part I: EnKF Implementation","title-short":"EnKF and Hybrid Gain Ensemble Data Assimilation. Part I","volume":"143","author":[{"family":"Hamrud","given":"Mats"},{"family":"Bonavita","given":"Massimo"},{"family":"Isaksen","given":"Lars"}],"issued":{"date-parts":[["2015",12,1]]},"citation-key":"hamrudEnKFHybridGain2015"}},{"id":83,"uris":["http://zotero.org/users/local/6VSApgKp/items/6GLJE7HI"],"itemData":{"id":83,"type":"article-journal","abstract":"&lt;section class=\"abstract\"&gt;&lt;h2 class=\"abstractTitle text-title my-1\" id=\"d143025105e81\"&gt;Abstract&lt;/h2&gt;&lt;p&gt;A GSI-based EnVar data assimilation system is extended to directly assimilate radar reflectivity to initialize convective-scale forecasts. When hydrometeor mixing ratios are used as state variables (method mixing ratio), large differences of the cost function gradients with respect to the small hydrometeor mixing ratios and wind prevent efficient convergence. Using logarithmic mixing ratios as state variables (method logarithm) fixes this problem, but generates spuriously large hydrometeor increments partly due to the transform to and from the logarithmic space. The tangent linear of the reflectivity operators further contributes to spuriously small and large hydrometeor increments in method mixing ratio and method logarithm, respectively. A new method is proposed by directly adding the reflectivity as a state variable (method dB&lt;em&gt;Z&lt;/em&gt;). Without the tangent linear and adjoint of the nonlinear operator, the new method therefore avoids the aforementioned problems.&lt;/p&gt;&lt;p&gt;The newly proposed method is examined on the analysis and prediction of the 8 May 2003 Oklahoma City tornadic supercell storm. Both the probabilistic forecast of strong low-level vorticity and maintenance of strong updraft and vorticity in method dB&lt;em&gt;Z&lt;/em&gt; are more consistent with reality than in method logarithm and method mixing ratio. Detailed diagnostics suggest that a more realistic cold pool due to the better analyzed hydrometeors in method dB&lt;em&gt;Z&lt;/em&gt; than in other methods leads to constructive interaction between the surface gust front and the updraft aloft associated with the midlevel mesocyclone. Similar low-level vorticity forecast and maintenance of the storm are produced by the WSM6 and Thompson microphysics schemes in method dB&lt;em&gt;Z&lt;/em&gt;. The Thompson scheme matches the reflectivity distribution with the observations better for all lead times, but shows more southeastward track bias compared to the WSM6 scheme.&lt;/p&gt;&lt;/section&gt;","container-title":"Monthly Weather Review","DOI":"10.1175/MWR-D-16-0231.1","ISSN":"1520-0493, 0027-0644","issue":"4","language":"EN","note":"publisher: American Meteorological Society\nsection: Monthly Weather Review","page":"1447-1471","source":"journals.ametsoc.org","title":"Direct Assimilation of Radar Reflectivity without Tangent Linear and Adjoint of the Nonlinear Observation Operator in the GSI-Based EnVar System: Methodology and Experiment with the 8 May 2003 Oklahoma City Tornadic Supercell","title-short":"Direct Assimilation of Radar Reflectivity without Tangent Linear and Adjoint of the Nonlinear Observation Operator in the GSI-Based EnVar System","volume":"145","author":[{"family":"Wang","given":"Yongming"},{"family":"Wang","given":"Xuguang"}],"issued":{"date-parts":[["2017",4,1]]},"citation-key":"wangDirectAssimilationRadar2017"}},{"id":441,"uris":["http://zotero.org/users/local/6VSApgKp/items/ZKDLRT7K"],"itemData":{"id":441,"type":"article-journal","abstract":"Abstract In this study, a hybrid En3DVar data assimilation (DA) scheme is compared with 3DVar, EnKF, and pure En3DVar for the assimilation of radar data in a real tornadic storm case. Results using hydrometeor mixing ratios (CVq) or logarithmic mixing ratios (CVlogq) as the control variables are compared in the variational DA framework. To address the lack of radial velocity impact issues when using CVq, a procedure that assimilates reflectivity and radial velocity data in two separate analysis passes is adopted. Comparisons are made in terms of the root-mean-square innovations (RMSIs) as well as the intensity and structure of the analyzed and forecast storms. For pure En3DVar that uses 100% ensemble covariance, CVlogq and CVq have similar RMSIs in the velocity analyses, but errors grow faster during forecasts when using CVlogq. Introducing static background error covariance B at 5% in hybrid En3DVar (with CVlogq) significantly reduces the forecast error growth. Pure En3DVar produces more intense reflectivity analyses than EnKF that more closely match the observations. Hybrid En3DVar with 50% B outperforms other weights in terms of the RMSIs and forecasts of updraft helicity and is thus used in the final comparison with 3DVar and EnKF. The hybrid En3DVar is found to outperform EnKF in better capturing the intensity and structure of the analyzed and forecast storms and outperform 3DVAR in better capturing the intensity and evolution of the rotating updraft.","container-title":"Monthly Weather Review","DOI":"10.1175/MWR-D-20-0053.1","ISSN":"1520-0493, 0027-0644","issue":"1","language":"EN","note":"publisher: American Meteorological Society\nsection: Monthly Weather Review","page":"21-40","source":"journals.ametsoc.org","title":"Comparisons of Hybrid En3DVar with 3DVar and EnKF for Radar Data Assimilation: Tests with the 10 May 2010 Oklahoma Tornado Outbreak","title-short":"Comparisons of Hybrid En3DVar with 3DVar and EnKF for Radar Data Assimilation","volume":"149","author":[{"family":"Kong","given":"Rong"},{"family":"Xue","given":"Ming"},{"family":"Liu","given":"Chengsi"},{"family":"Jung","given":"Youngsun"}],"issued":{"date-parts":[["2020",12,14]]},"citation-key":"kongComparisonsHybridEn3DVar2020"}},{"id":363,"uris":["http://zotero.org/users/local/6VSApgKp/items/H9RVUPAI"],"itemData":{"id":363,"type":"article-journal","abstract":"Abstract With the launch of GOES-16 in November 2016, effective utilization of its data in convective-scale numerical weather prediction (NWP) has the potential to improve high-impact weather (HIWeather) forecasts. In this study, the impact of satellite-derived layered precipitable water (LPW) and cloud water path (CWP) in addition to NEXRAD observations on short-term convective-scale NWP forecasts are examined using three severe weather cases that occurred in May 2017. In each case, satellite-derived CWP and LPW products and radar observations are assimilated into the Advanced Research Weather Research and Forecasting (WRF-ARW) Model using the NSSL hybrid Warn-on-Forecast (WoF) analysis and forecast system. The system includes two components: the GSI-EnKF system and a deterministic 3DEnVAR system. This study examines deterministic 0–6-h forecasts launched from the hybrid 3DEnVAR analyses for the three severe weather events. Three types of experiments are conducted and compared: (i) the control experiment (CTRL) without assimilating any data, (ii) the radar experiment (RAD) with the assimilation of radar and surface observations, and (iii) the satellite experiment (RADSAT) with the assimilation of all observations including surface-, radar-, and satellite-derived CWP and LPW. The results show that assimilating additional GOES products improves short-range forecasts by providing more accurate initial conditions, especially for moisture and temperature variables.","container-title":"Monthly Weather Review","DOI":"10.1175/MWR-D-20-0040.1","ISSN":"1520-0493, 0027-0644","issue":"5","language":"EN","note":"publisher: American Meteorological Society\nsection: Monthly Weather Review","page":"1359-1380","source":"journals.ametsoc.org","title":"The Impact of Assimilating Satellite-Derived Layered Precipitable Water, Cloud Water Path, and Radar Data on Short-Range Thunderstorm Forecasts","volume":"149","author":[{"family":"Pan","given":"Sijie"},{"family":"Gao","given":"Jidong"},{"family":"Jones","given":"Thomas A."},{"family":"Wang","given":"Yunheng"},{"family":"Wang","given":"Xuguang"},{"family":"Li","given":"Jun"}],"issued":{"date-parts":[["2021",5,1]]},"citation-key":"panImpactAssimilatingSatelliteDerived2021"}},{"id":443,"uris":["http://zotero.org/users/local/6VSApgKp/items/3JAXPN6C"],"itemData":{"id":443,"type":"article-journal","abstract":"Abstract When using a double-moment microphysics scheme, both hydrometeor mixing ratios and number concentrations are part of the state variables that are needed to initialize convective-scale forecasting. In the Thompson microphysics scheme, both mixing ratio and total number concentration of rainwater (Ntr) are predicted and they are also involved in the reflectivity observation operator. In such a case, when directly assimilating reflectivity using Ntr as the control variable (denoted as CVnr) within a variational framework, the large dynamic range of Ntr and the nonlinear relationship between reflectivity and Ntr prevent efficient minimization convergence. Using logarithmic Ntr as the control variable (CVlognr) alleviates the problem to some extent but can produce spurious analysis increments in Ntr. In this study, a general power transform of Ntr is proposed as the new control variable for Ntr (CVpnr) where the nonlinearity of transform can be adjusted by tuning the exponent parameter. This formulation is implemented within the Gridpoint Statistical Interpolation ensemble-3DVar system. The performance of CVpnr with an optimal exponent parameter value of 0.4 is compared with those of CVnr and CVlognr for the analysis and prediction of a supercell case of 16 May 2017 in more detail. CVpnr with optimal exponent yields faster convergence of cost function minimization than CVnr. Subjective and objective evaluations of analyzed and predicted reflectivity and hourly precipitation indicate that the optimized CVpnr outperforms the other two methods. When applied to five additional cases from May 2017, overall statistics show that CVpnr produces generally superior forecasts and is therefore the preferred choice.","container-title":"Monthly Weather Review","DOI":"10.1175/MWR-D-21-0041.1","ISSN":"1520-0493, 0027-0644","issue":"4","language":"EN","note":"publisher: American Meteorological Society\nsection: Monthly Weather Review","page":"821-842","source":"journals.ametsoc.org","title":"Use of Power Transform Total Number Concentration as Control Variable for Direct Assimilation of Radar Reflectivity in GSI En3DVar and Tests with Six Convective Storms Cases","volume":"150","author":[{"family":"Li","given":"Huiqi"},{"family":"Liu","given":"Chengsi"},{"family":"Xue","given":"Ming"},{"family":"Park","given":"Jun"},{"family":"Chen","given":"Lianglyu"},{"family":"Jung","given":"Youngsun"},{"family":"Kong","given":"Rong"},{"family":"Tong","given":"Chong-Chi"}],"issued":{"date-parts":[["2022",4,1]]},"citation-key":"liUsePowerTransform2022"}}],"schema":"https://github.com/citation-style-language/schema/raw/master/csl-citation.json"} </w:instrText>
      </w:r>
      <w:r>
        <w:fldChar w:fldCharType="separate"/>
      </w:r>
      <w:r>
        <w:rPr>
          <w:noProof/>
        </w:rPr>
        <w:t>(e.g., Gao and Stensrud 2014; Hamrud et al. 2015; Wang and Wang 2017; Kong et al. 2020; Pan et al. 2021; Li et al. 2022)</w:t>
      </w:r>
      <w:r>
        <w:fldChar w:fldCharType="end"/>
      </w:r>
      <w:r w:rsidRPr="00AD13C1">
        <w:t>.</w:t>
      </w:r>
    </w:p>
    <w:p w14:paraId="170A96AA" w14:textId="1A9006AF" w:rsidR="007A465B" w:rsidRPr="00AA6123" w:rsidRDefault="00316F5B" w:rsidP="00B71D64">
      <w:pPr>
        <w:rPr>
          <w:szCs w:val="24"/>
        </w:rPr>
      </w:pPr>
      <w:r w:rsidRPr="00AA6123">
        <w:rPr>
          <w:szCs w:val="24"/>
        </w:rPr>
        <w:t xml:space="preserve">Among the above studies, </w:t>
      </w:r>
      <w:r w:rsidRPr="00DC333A">
        <w:rPr>
          <w:szCs w:val="24"/>
        </w:rPr>
        <w:t xml:space="preserve">an early version of a </w:t>
      </w:r>
      <w:r w:rsidR="00217979">
        <w:rPr>
          <w:rFonts w:eastAsia="Cambria"/>
          <w:szCs w:val="24"/>
        </w:rPr>
        <w:t>3DVAR</w:t>
      </w:r>
      <w:r w:rsidRPr="00DC333A">
        <w:rPr>
          <w:rFonts w:eastAsia="Cambria"/>
          <w:szCs w:val="24"/>
        </w:rPr>
        <w:t xml:space="preserve"> was</w:t>
      </w:r>
      <w:r w:rsidRPr="00DC333A">
        <w:rPr>
          <w:szCs w:val="24"/>
        </w:rPr>
        <w:t xml:space="preserve"> developed for radar DA for </w:t>
      </w:r>
      <w:r w:rsidR="002C1860">
        <w:rPr>
          <w:szCs w:val="24"/>
        </w:rPr>
        <w:t>convective-scale</w:t>
      </w:r>
      <w:r w:rsidRPr="00DC333A">
        <w:rPr>
          <w:szCs w:val="24"/>
        </w:rPr>
        <w:t xml:space="preserve"> NWP</w:t>
      </w:r>
      <w:r w:rsidR="005C44F5">
        <w:rPr>
          <w:szCs w:val="24"/>
        </w:rPr>
        <w:t xml:space="preserve"> </w:t>
      </w:r>
      <w:r w:rsidR="005C44F5">
        <w:rPr>
          <w:szCs w:val="24"/>
        </w:rPr>
        <w:fldChar w:fldCharType="begin"/>
      </w:r>
      <w:r w:rsidR="005C44F5">
        <w:rPr>
          <w:szCs w:val="24"/>
        </w:rPr>
        <w:instrText xml:space="preserve"> ADDIN ZOTERO_ITEM CSL_CITATION {"citationID":"CnXyqMxg","properties":{"formattedCitation":"(Gao et al. 2004; Hu et al. 2006; Ge 2011; Ge et al. 2012; Stensrud and Gao 2010)","plainCitation":"(Gao et al. 2004; Hu et al. 2006; Ge 2011; Ge et al. 2012; Stensrud and Gao 2010)","noteIndex":0},"citationItems":[{"id":80,"uris":["http://zotero.org/users/local/6VSApgKp/items/8I9QVS4P"],"itemData":{"id":80,"type":"article-journal","abstract":"&lt;section class=\"abstract\"&gt;&lt;h2 class=\"abstractTitle text-title my-1\" id=\"d155362577e78\"&gt;Abstract&lt;/h2&gt;&lt;p&gt;In this paper, a new method of dual-Doppler radar wind analysis based on a three-dimensional variational data assimilation (3DVAR) approach is proposed. In it, a cost function, including background term and radial observation term, is minimized through a limited memory, quasi-Newton conjugate-gradient algorithm with the mass continuity equation imposed as a weak constraint. In the method, the background error covariance matrix, though simple in this case, is modeled by a recursive filter. Furthermore, the square root of this matrix is used to precondition the minimization problem.&lt;/p&gt;&lt;p&gt;The current method is applied to Doppler radar observation of a supercell storm, and the analysis results are compared to a conceptual model and previous research. It is shown that the horizontal circulations, both within and around the storms, as well as the strong updraft and the associated downdraft, are well analyzed. Because no explicit integration of the anelastic mass continuity equation is involved, error accumulation associated with such integration is avoided. As a result, the method is less sensitive to the vertical boundary uncertainties.&lt;/p&gt;&lt;/section&gt;","container-title":"Journal of Atmospheric and Oceanic Technology","DOI":"10.1175/1520-0426(2004)021&lt;0457:ATVDAM&gt;2.0.CO;2","ISSN":"0739-0572, 1520-0426","issue":"3","language":"EN","note":"publisher: American Meteorological Society\nsection: Journal of Atmospheric and Oceanic Technology","page":"457-469","source":"journals.ametsoc.org","title":"A Three-Dimensional Variational Data Analysis Method with Recursive Filter for Doppler Radars","volume":"21","author":[{"family":"Gao","given":"Jidong"},{"family":"Xue","given":"Ming"},{"family":"Brewster","given":"Keith"},{"family":"Droegemeier","given":"Kelvin K."}],"issued":{"date-parts":[["2004",3,1]]},"citation-key":"gaoThreeDimensionalVariationalData2004"}},{"id":389,"uris":["http://zotero.org/users/local/6VSApgKp/items/RMJHCMWP"],"itemData":{"id":389,"type":"article-journal","abstract":"Abstract In this two-part paper, the impact of level-II Weather Surveillance Radar-1988 Doppler (WSR-88D) reflectivity and radial velocity data on the prediction of a cluster of tornadic thunderstorms in the Advanced Regional Prediction System (ARPS) model are studied. Radar reflectivity data are used primarily in a cloud analysis procedure that retrieves the amount of hydrometeors and adjusts in-cloud temperature, moisture, and cloud fields, while radial velocity data are analyzed through a three-dimensional variational (3DVAR) scheme that contains a mass divergence constraint in the cost function. In Part I, the impact of the cloud analysis and modifications to the scheme are examined while Part II focuses on the impact of radial velocity and the mass divergence constraint. The case studied is that of the 28 March 2000 Fort Worth, Texas, tornado outbreaks. The same case was studied by Xue et al. using the ARPS Data Analysis System (ADAS) and an earlier version of the cloud analysis procedure with WSR-88D level-III data. Since then, several modifications to the cloud analysis procedure, including those to the in-cloud temperature adjustment and the analysis of precipitation species, have been made. They are described in detail with examples. The assimilation and predictions use a 3-km grid nested inside a 9-km one. The level-II reflectivity data are assimilated, through the cloud analysis, at 10-min intervals in a 1-h period that ends a little over 1 h preceding the first tornado outbreak. Experiments with different settings within the cloud analysis procedure are examined. It is found that the experiment using the improved cloud analysis procedure with reflectivity data can capture the important characteristics of the main tornadic thunderstorm more accurately than the experiment using the early version of cloud analysis. The contributions of different modifications to the above improvements are investigated.","container-title":"Monthly Weather Review","DOI":"10.1175/MWR3092.1","ISSN":"1520-0493, 0027-0644","issue":"2","language":"EN","note":"publisher: American Meteorological Society\nsection: Monthly Weather Review","page":"675-698","source":"journals-ametsoc-org.ezproxy.lib.ou.edu","title":"3DVAR and Cloud Analysis with WSR-88D Level-II Data for the Prediction of the Fort Worth, Texas, Tornadic Thunderstorms. Part I: Cloud Analysis and Its Impact","title-short":"3DVAR and Cloud Analysis with WSR-88D Level-II Data for the Prediction of the Fort Worth, Texas, Tornadic Thunderstorms. Part I","volume":"134","author":[{"family":"Hu","given":"Ming"},{"family":"Xue","given":"Ming"},{"family":"Brewster","given":"Keith"}],"issued":{"date-parts":[["2006",2,1]]},"citation-key":"hu3DVARCloudAnalysis2006"}},{"id":562,"uris":["http://zotero.org/users/local/6VSApgKp/items/7J6AMA3K"],"itemData":{"id":562,"type":"article-journal","abstract":"Storm-scale 3DVAR data assimilation and NWP for the prediction of tornadic supercell thunderstorms still faces many challenges. Some fundamental issues are still not thoroughly (or explicitly) investigated. To name a few: what data field(s) plays the most important role in storm-scale data assimilation? How much information is required to get a quality data assimilation results? What is the model's first response to different types of observations? How will the neglecting of beam broadening and earth curvature factors in radar forward observation operator affect the data assimilation results? How to build a more dynamic consistent analysis by imposing weak constraints in cost function that is aimed to couple different model variables? This dissertation tries to address some of these questions.","language":"en_US","note":"Accepted: 2019-04-27T21:37:17Z\nArtwork Medium: application.pdf\nInterview Medium: application.pdf","source":"shareok.org","title":"ON THE FURTHER STUDIES OF SUITABLE STORM-SCALE 3DVAR DATA ASSIMILATION FOR THE PREDICTION OF TORNADIC THUNDERSTORMS","URL":"https://shareok.org/handle/11244/319176","author":[{"family":"Ge","given":"Guoqing"}],"accessed":{"date-parts":[["2023",4,24]]},"issued":{"date-parts":[["2011"]]},"citation-key":"geFURTHERSTUDIESSUITABLE2011"}},{"id":450,"uris":["http://zotero.org/users/local/6VSApgKp/items/IJKH6RPQ"],"itemData":{"id":450,"type":"article-journal","abstract":"Abstract A diagnostic pressure equation is incorporated into a storm-scale three-dimensional variational data assimilation (3DVAR) system in the form of a weak constraint in addition to a mass continuity equation constraint (MCEC). The goal of this diagnostic pressure equation constraint (DPEC) is to couple different model variables to help build a more dynamic consistent analysis, and therefore improve the data assimilation results and subsequent forecasts. Observational System Simulation Experiments (OSSEs) are first performed to examine the impact of the pressure equation constraint on storm-scale radar data assimilation using an idealized tornadic thunderstorm simulation. The impact of MCEC is also investigated relative to that of DPEC. It is shown that DPEC can improve the data assimilation results slightly after a given period of data assimilation. Including both DPEC and MCEC yields the best data assimilation results. Sensitivity tests show that MCEC is not very sensitive to the choice of its weighting coefficients in the cost function, while DPEC is more sensitive and its weight should be carefully chosen. The updated 3DVAR system with DPEC is further applied to the 5 May 2007 Greensburg, Kansas, tornadic supercell storm case assimilating real radar data. It is shown that the use of DPEC can speed up the spinup of precipitation during the intermittent data assimilation process and also improve the follow-on forecast in terms of the general evolution of storm cells and mesocyclone rotation near the time of observed tornado.","container-title":"Journal of Atmospheric and Oceanic Technology","DOI":"10.1175/JTECH-D-11-00201.1","ISSN":"0739-0572, 1520-0426","issue":"8","language":"EN","note":"publisher: American Meteorological Society\nsection: Journal of Atmospheric and Oceanic Technology","page":"1075-1092","source":"journals.ametsoc.org","title":"Diagnostic Pressure Equation as a Weak Constraint in a Storm-Scale Three-Dimensional Variational Radar Data Assimilation System","volume":"29","author":[{"family":"Ge","given":"Guoqing"},{"family":"Gao","given":"Jidong"},{"family":"Xue","given":"Ming"}],"issued":{"date-parts":[["2012",8,1]]},"citation-key":"geDiagnosticPressureEquation2012"}},{"id":211,"uris":["http://zotero.org/users/local/6VSApgKp/items/R66XLHMW"],"itemData":{"id":211,"type":"article-journal","abstract":"Abstract The assimilation of operational Doppler radar observations into convection-resolving numerical weather prediction models for very short-range forecasting represents a significant scientific and technological challenge. Numerical experiments over the past few years indicate that convective-scale forecasts are sensitive to the details of the data assimilation methodology, the quality of the radar data, the parameterized microphysics, and the storm environment. In this study, the importance of horizontal environmental variability to very short-range (0–1 h) convective-scale ensemble forecasts initialized using Doppler radar observations is investigated for the 4–5 May 2007 Greensburg, Kansas, tornadic thunderstorm event. Radar observations of reflectivity and radial velocity from the operational Doppler radar network at 0230 UTC 5 May 2007, during the time of the first large tornado, are assimilated into each ensemble member using a three-dimensional variational data assimilation system (3DVAR) developed at the Center for Analysis and Prediction of Storms (CAPS). Very short-range forecasts are made using the nonhydrostatic Advanced Regional Prediction System (ARPS) model from each ensemble member and the results are compared with the observations. Explicit three-dimensional environmental variability information is provided to the convective-scale ensemble using analyses from a 30-km mesoscale ensemble data assimilation system. Comparisons between convective-scale ensembles with initial conditions produced by 3DVAR using 1) background fields that are horizontally homogeneous but vertically inhomogeneous (i.e., have different vertical environmental profiles) and 2) background fields that are horizontally and vertically inhomogeneous are undertaken. Results show that the ensemble with horizontally and vertically inhomogeneous background fields provides improved predictions of thunderstorm structure, mesocyclone track, and low-level circulation track than the ensemble with horizontally homogeneous background fields. This suggests that knowledge of horizontal environmental variability is important to successful convective-scale ensemble predictions and needs to be included in real-data experiments.","container-title":"Monthly Weather Review","DOI":"10.1175/2009MWR3027.1","ISSN":"1520-0493, 0027-0644","issue":"4","language":"EN","note":"publisher: American Meteorological Society\nsection: Monthly Weather Review","page":"1250-1272","source":"journals.ametsoc.org","title":"Importance of Horizontally Inhomogeneous Environmental Initial Conditions to Ensemble Storm-Scale Radar Data Assimilation and Very Short-Range Forecasts","volume":"138","author":[{"family":"Stensrud","given":"David J."},{"family":"Gao","given":"Jidong"}],"issued":{"date-parts":[["2010",4,1]]},"citation-key":"stensrudImportanceHorizontallyInhomogeneous2010"}}],"schema":"https://github.com/citation-style-language/schema/raw/master/csl-citation.json"} </w:instrText>
      </w:r>
      <w:r w:rsidR="005C44F5">
        <w:rPr>
          <w:szCs w:val="24"/>
        </w:rPr>
        <w:fldChar w:fldCharType="separate"/>
      </w:r>
      <w:r w:rsidR="005C44F5">
        <w:rPr>
          <w:noProof/>
          <w:szCs w:val="24"/>
        </w:rPr>
        <w:t>(Gao et al. 2004; Hu et al. 2006; Ge 2011; Ge et al. 2012; Stensrud and Gao 2010)</w:t>
      </w:r>
      <w:r w:rsidR="005C44F5">
        <w:rPr>
          <w:szCs w:val="24"/>
        </w:rPr>
        <w:fldChar w:fldCharType="end"/>
      </w:r>
      <w:r w:rsidRPr="00DC333A">
        <w:rPr>
          <w:szCs w:val="24"/>
        </w:rPr>
        <w:t xml:space="preserve"> </w:t>
      </w:r>
      <w:r w:rsidR="00217979">
        <w:rPr>
          <w:szCs w:val="24"/>
        </w:rPr>
        <w:t>mainly</w:t>
      </w:r>
      <w:r w:rsidR="00EA1DF0">
        <w:rPr>
          <w:szCs w:val="24"/>
        </w:rPr>
        <w:t xml:space="preserve"> </w:t>
      </w:r>
      <w:r w:rsidR="007A465B" w:rsidRPr="00DC333A">
        <w:rPr>
          <w:szCs w:val="24"/>
        </w:rPr>
        <w:t>supported by Center for Analysis and Prediction of Storms</w:t>
      </w:r>
      <w:r w:rsidR="00217979">
        <w:rPr>
          <w:szCs w:val="24"/>
        </w:rPr>
        <w:t xml:space="preserve"> (CAPS)</w:t>
      </w:r>
      <w:r w:rsidR="007A465B" w:rsidRPr="00DC333A">
        <w:rPr>
          <w:szCs w:val="24"/>
        </w:rPr>
        <w:t xml:space="preserve"> and National Science Foundation</w:t>
      </w:r>
      <w:r w:rsidRPr="00DC333A">
        <w:rPr>
          <w:szCs w:val="24"/>
        </w:rPr>
        <w:t>. The system can assimilate Doppler radar and other conventional and remote</w:t>
      </w:r>
      <w:r w:rsidR="00365A50">
        <w:rPr>
          <w:szCs w:val="24"/>
        </w:rPr>
        <w:t xml:space="preserve"> sensing</w:t>
      </w:r>
      <w:r w:rsidRPr="00DC333A">
        <w:rPr>
          <w:szCs w:val="24"/>
        </w:rPr>
        <w:t xml:space="preserve"> data into nonhydrostatic NWP models, including the Weather Research and Forecasting Model (WRF</w:t>
      </w:r>
      <w:r w:rsidR="00A20643">
        <w:rPr>
          <w:szCs w:val="24"/>
        </w:rPr>
        <w:t xml:space="preserve">, </w:t>
      </w:r>
      <w:r w:rsidR="00A20643" w:rsidRPr="006B67D0">
        <w:rPr>
          <w:szCs w:val="24"/>
        </w:rPr>
        <w:t>Skamarock</w:t>
      </w:r>
      <w:r w:rsidR="00A20643">
        <w:rPr>
          <w:szCs w:val="24"/>
        </w:rPr>
        <w:t xml:space="preserve"> </w:t>
      </w:r>
      <w:r w:rsidR="00217979">
        <w:rPr>
          <w:szCs w:val="24"/>
        </w:rPr>
        <w:t xml:space="preserve">et al. </w:t>
      </w:r>
      <w:r w:rsidR="00A20643">
        <w:rPr>
          <w:szCs w:val="24"/>
        </w:rPr>
        <w:t>2008</w:t>
      </w:r>
      <w:r w:rsidRPr="00DC333A">
        <w:rPr>
          <w:szCs w:val="24"/>
        </w:rPr>
        <w:t>)</w:t>
      </w:r>
      <w:r w:rsidR="007A465B" w:rsidRPr="00DC333A">
        <w:rPr>
          <w:szCs w:val="24"/>
        </w:rPr>
        <w:t xml:space="preserve"> and Advanced Regional Prediction System</w:t>
      </w:r>
      <w:r w:rsidR="00D4121D">
        <w:rPr>
          <w:szCs w:val="24"/>
        </w:rPr>
        <w:t xml:space="preserve"> </w:t>
      </w:r>
      <w:r w:rsidR="00D4121D">
        <w:rPr>
          <w:szCs w:val="24"/>
        </w:rPr>
        <w:fldChar w:fldCharType="begin"/>
      </w:r>
      <w:r w:rsidR="00D4121D">
        <w:rPr>
          <w:szCs w:val="24"/>
        </w:rPr>
        <w:instrText xml:space="preserve"> ADDIN ZOTERO_ITEM CSL_CITATION {"citationID":"47torCBe","properties":{"formattedCitation":"(Xue et al. 2000, 2001)","plainCitation":"(Xue et al. 2000, 2001)","noteIndex":0},"citationItems":[{"id":558,"uris":["http://zotero.org/users/local/6VSApgKp/items/GWP45RHJ"],"itemData":{"id":558,"type":"article-journal","abstract":"A completely new nonhydrostatic model system known as the Advanced Regional Prediction System (ARPS) has been developed in recent years at the Center for Analysis and Prediction of Storms (CAPS) at the University of Oklahoma. The ARPS is designed from the beginning to serve as an effective tool for basic and applied research and as a system suitable for explicit prediction of convective storms as well as weather systems at other scales. The ARPS includes its own data ingest, quality control and objective analysis packages, a data assimilation system which includes single-Doppler velocity and thermodynamic retrieval algorithms, the forward prediction component, and a self-contained post-processing, diagnostic and verification package.","container-title":"Meteorology and Atmospheric Physics","DOI":"10.1007/s007030070003","ISSN":"1436-5065","issue":"3","journalAbbreviation":"Meteorol Atmos Phys","language":"en","page":"161-193","source":"Springer Link","title":"The Advanced Regional Prediction System (ARPS) – A multi-scale nonhydrostatic atmospheric simulation and prediction model. Part I: Model dynamics and verification","title-short":"The Advanced Regional Prediction System (ARPS) – A multi-scale nonhydrostatic atmospheric simulation and prediction model. Part I","volume":"75","author":[{"family":"Xue","given":"M."},{"family":"Droegemeier","given":"K. K."},{"family":"Wong","given":"V."}],"issued":{"date-parts":[["2000",12,1]]},"citation-key":"xueAdvancedRegionalPrediction2000"}},{"id":556,"uris":["http://zotero.org/users/local/6VSApgKp/items/LKTK7XHY"],"itemData":{"id":556,"type":"article-journal","abstract":"In Part I of this paper series, the dynamic equations, numerical solution procedures and the parameterizations of subgrid-scale and PBL turbulence of the Advanced Regional Prediction System (ARPS) were described. The dynamic and numerical framework of the model was verified using idealized and real mountain flow cases and an idealized density current. In this Part II, we present the treatment of other physics processes and the related verifications.","container-title":"Meteorology and Atmospheric Physics","DOI":"10.1007/s007030170027","ISSN":"1436-5065","issue":"3","journalAbbreviation":"Meteorol Atmos Phys","language":"en","page":"143-165","source":"Springer Link","title":"The Advanced Regional Prediction System (ARPS) – A multi-scale nonhydrostatic atmospheric simulation and prediction tool. Part II: Model physics and applications","title-short":"The Advanced Regional Prediction System (ARPS) – A multi-scale nonhydrostatic atmospheric simulation and prediction tool. Part II","volume":"76","author":[{"family":"Xue","given":"M."},{"family":"Droegemeier","given":"K. K."},{"family":"Wong","given":"V."},{"family":"Shapiro","given":"A."},{"family":"Brewster","given":"K."},{"family":"Carr","given":"F."},{"family":"Weber","given":"D."},{"family":"Liu","given":"Y."},{"family":"Wang","given":"D."}],"issued":{"date-parts":[["2001",4,1]]},"citation-key":"xueAdvancedRegionalPrediction2001"}}],"schema":"https://github.com/citation-style-language/schema/raw/master/csl-citation.json"} </w:instrText>
      </w:r>
      <w:r w:rsidR="00D4121D">
        <w:rPr>
          <w:szCs w:val="24"/>
        </w:rPr>
        <w:fldChar w:fldCharType="separate"/>
      </w:r>
      <w:r w:rsidR="00D4121D">
        <w:rPr>
          <w:noProof/>
          <w:szCs w:val="24"/>
        </w:rPr>
        <w:t>(Xue et al. 2000, 2001)</w:t>
      </w:r>
      <w:r w:rsidR="00D4121D">
        <w:rPr>
          <w:szCs w:val="24"/>
        </w:rPr>
        <w:fldChar w:fldCharType="end"/>
      </w:r>
      <w:r w:rsidRPr="00DC333A">
        <w:rPr>
          <w:szCs w:val="24"/>
        </w:rPr>
        <w:t xml:space="preserve">. Multiple analysis loops are used having multiple spatial influence scales in order to accurately represent intermittent convective storm features. Early versions of this </w:t>
      </w:r>
      <w:r w:rsidR="007A465B" w:rsidRPr="00DC333A">
        <w:rPr>
          <w:szCs w:val="24"/>
        </w:rPr>
        <w:t>3DVAR system</w:t>
      </w:r>
      <w:r w:rsidRPr="00DC333A">
        <w:rPr>
          <w:szCs w:val="24"/>
        </w:rPr>
        <w:t>, have for several years been used to initialize high resolution (down to 1 km grid spacing) ensemble WRF model forecasts using WSR-88D radar data as part of the spring NOAA Hazardous Weather Testbed (HWT)/Experimental Forecast Program</w:t>
      </w:r>
      <w:r w:rsidR="005C44F5">
        <w:rPr>
          <w:szCs w:val="24"/>
        </w:rPr>
        <w:t xml:space="preserve"> </w:t>
      </w:r>
      <w:r w:rsidR="005C44F5">
        <w:rPr>
          <w:szCs w:val="24"/>
        </w:rPr>
        <w:fldChar w:fldCharType="begin"/>
      </w:r>
      <w:r w:rsidR="005C44F5">
        <w:rPr>
          <w:szCs w:val="24"/>
        </w:rPr>
        <w:instrText xml:space="preserve"> ADDIN ZOTERO_ITEM CSL_CITATION {"citationID":"zS029A7X","properties":{"formattedCitation":"(Kain et al. 2010; Clark et al. 2011; Gao et al. 2013; Smith et al. 2014; Calhoun et al. 2014; Hu et al. 2021)","plainCitation":"(Kain et al. 2010; Clark et al. 2011; Gao et al. 2013; Smith et al. 2014; Calhoun et al. 2014; Hu et al. 2021)","noteIndex":0},"citationItems":[{"id":547,"uris":["http://zotero.org/users/local/6VSApgKp/items/BZL6IQYX"],"itemData":{"id":547,"type":"article-journal","abstract":"Abstract The impacts of assimilating radar data and other mesoscale observations in real-time, convection-allowing model forecasts were evaluated during the spring seasons of 2008 and 2009 as part of the Hazardous Weather Test Bed Spring Experiment activities. In tests of a prototype continental U.S.-scale forecast system, focusing primarily on regions with active deep convection at the initial time, assimilation of these observations had a positive impact. Daily interrogation of output by teams of modelers, forecasters, and verification experts provided additional insights into the value-added characteristics of the unique assimilation forecasts. This evaluation revealed that the positive effects of the assimilation were greatest during the first 3–6 h of each forecast, appeared to be most pronounced with larger convective systems, and may have been related to a phase lag that sometimes developed when the convective-scale information was not assimilated. These preliminary results are currently being evaluated further using advanced objective verification techniques.","container-title":"Weather and Forecasting","DOI":"10.1175/2010WAF2222405.1","ISSN":"1520-0434, 0882-8156","issue":"5","language":"EN","note":"publisher: American Meteorological Society\nsection: Weather and Forecasting","page":"1510-1521","source":"journals.ametsoc.org","title":"Assessing Advances in the Assimilation of Radar Data and Other Mesoscale Observations within a Collaborative Forecasting–Research Environment","volume":"25","author":[{"family":"Kain","given":"John S."},{"family":"Xue","given":"Ming"},{"family":"Coniglio","given":"Michael C."},{"family":"Weiss","given":"Steven J."},{"family":"Kong","given":"Fanyou"},{"family":"Jensen","given":"Tara L."},{"family":"Brown","given":"Barbara G."},{"family":"Gao","given":"Jidong"},{"family":"Brewster","given":"Keith"},{"family":"Thomas","given":"Kevin W."},{"family":"Wang","given":"Yunheng"},{"family":"Schwartz","given":"Craig S."},{"family":"Levit","given":"Jason J."}],"issued":{"date-parts":[["2010",10,1]]},"citation-key":"kainAssessingAdvancesAssimilation2010"}},{"id":560,"uris":["http://zotero.org/users/local/6VSApgKp/items/4L46B4ST"],"itemData":{"id":560,"type":"article-journal","abstract":"Abstract Probabilistic quantitative precipitation forecasts (PQPFs) from the storm-scale ensemble forecast system run by the Center for Analysis and Prediction of Storms during the spring of 2009 are evaluated using area under the relative operating characteristic curve (ROC area). ROC area, which measures discriminating ability, is examined for ensemble size n from 1 to 17 members and for spatial scales ranging from 4 to 200 km. Expectedly, incremental gains in skill decrease with increasing n. Significance tests comparing ROC areas for each n to those of the full 17-member ensemble revealed that more members are required to reach statistically indistinguishable PQPF skill relative to the full ensemble as forecast lead time increases and spatial scale decreases. These results appear to reflect the broadening of the forecast probability distribution function (PDF) of future atmospheric states associated with decreasing spatial scale and increasing forecast lead time. They also illustrate that efficient allocation of computing resources for convection-allowing ensembles requires careful consideration of spatial scale and forecast length desired.","container-title":"Monthly Weather Review","DOI":"10.1175/2010MWR3624.1","ISSN":"1520-0493, 0027-0644","issue":"5","language":"EN","note":"publisher: American Meteorological Society\nsection: Monthly Weather Review","page":"1410-1418","source":"journals.ametsoc.org","title":"Probabilistic Precipitation Forecast Skill as a Function of Ensemble Size and Spatial Scale in a Convection-Allowing Ensemble","volume":"139","author":[{"family":"Clark","given":"Adam J."},{"family":"Kain","given":"John S."},{"family":"Stensrud","given":"David J."},{"family":"Xue","given":"Ming"},{"family":"Kong","given":"Fanyou"},{"family":"Coniglio","given":"Michael C."},{"family":"Thomas","given":"Kevin W."},{"family":"Wang","given":"Yunheng"},{"family":"Brewster","given":"Keith"},{"family":"Gao","given":"Jidong"},{"family":"Wang","given":"Xuguang"},{"family":"Weiss","given":"Steven J."},{"family":"Du","given":"Jun"}],"issued":{"date-parts":[["2011",5,1]]},"citation-key":"clarkProbabilisticPrecipitationForecast2011"}},{"id":359,"uris":["http://zotero.org/users/local/6VSApgKp/items/5X8IN2IW"],"itemData":{"id":359,"type":"article-journal","abstract":"Abstract A real-time, weather-adaptive three-dimensional variational data assimilation (3DVAR) system has been adapted for the NOAA Warn-on-Forecast (WoF) project to incorporate all available radar observations within a moveable analysis domain. The key features of the system include 1) incorporating radar observations from multiple Weather Surveillance Radars-1988 Doppler (WSR-88Ds) with NCEP forecast products as a background state, 2) the ability to automatically detect and analyze severe local hazardous weather events at 1-km horizontal resolution every 5 min in real time based on the current weather situation, and 3) the identification of strong circulation patterns embedded in thunderstorms. Although still in the early development stage, the system performed very well within the NOAA's Hazardous Weather Testbed (HWT) Experimental Warning Program during preliminary testing in spring 2010 when many severe weather events were successfully detected and analyzed. This study represents a first step in the assessment of this type of 3DVAR analysis for use in severe weather warnings. The eventual goal of this real-time 3DVAR system is to help meteorologists better track severe weather events and eventually provide better warning information to the public, ultimately saving lives and reducing property damage.","container-title":"Weather and Forecasting","DOI":"10.1175/WAF-D-12-00093.1","ISSN":"1520-0434, 0882-8156","issue":"3","language":"EN","note":"publisher: American Meteorological Society\nsection: Weather and Forecasting","page":"727-745","source":"journals.ametsoc.org","title":"A Real-Time Weather-Adaptive 3DVAR Analysis System for Severe Weather Detections and Warnings","volume":"28","author":[{"family":"Gao","given":"Jidong"},{"family":"Smith","given":"Travis M."},{"family":"Stensrud","given":"David J."},{"family":"Fu","given":"Chenghao"},{"family":"Calhoun","given":"Kristin"},{"family":"Manross","given":"Kevin L."},{"family":"Brogden","given":"Jeffrey"},{"family":"Lakshmanan","given":"Valliappa"},{"family":"Wang","given":"Yunheng"},{"family":"Thomas","given":"Kevin W."},{"family":"Brewster","given":"Keith"},{"family":"Xue","given":"Ming"}],"issued":{"date-parts":[["2013",6,1]]},"citation-key":"gaoRealTimeWeatherAdaptive3DVAR2013"}},{"id":552,"uris":["http://zotero.org/users/local/6VSApgKp/items/A6RWFHQY"],"itemData":{"id":552,"type":"article-journal","abstract":"Abstract Forecasters and research meteorologists tested a real-time three-dimensional variational data assimilation (3DVAR) system in the Hazardous Weather Testbed during the springs of 2010–12 to determine its capabilities to assist in the warning process for severe storms. This storm-scale system updates a dynamically consistent three-dimensional wind field every 5 min, with horizontal and average vertical grid spacings of 1 km and 400 m, respectively. The system analyzed the life cycles of 218 supercell thunderstorms on 27 event days during these experiments, producing multiple products such as vertical velocity, vertical vorticity, and updraft helicity. These data are compared to multiradar–multisensor data from the Warning Decision Support System–Integrated Information to document the performance characteristics of the system, such as how vertical vorticity values compare to azimuthal shear fields calculated directly from Doppler radial velocity. Data are stratified by range from the nearest radar, as well as by the number of radars entering into the analysis of a particular storm. The 3DVAR system shows physically realistic trends of updraft speed and vertical vorticity for a majority of cases. Improvements are needed to better estimate the near-surface winds when no radar is nearby and to improve the timeliness of the input data. However, the 3DVAR wind field information provides an integrated look at storm structure that may be of more use to forecasters than traditional radar-based proxies used to infer severe weather potential.","container-title":"Weather and Forecasting","DOI":"10.1175/WAF-D-13-00044.1","ISSN":"1520-0434, 0882-8156","issue":"1","language":"EN","note":"publisher: American Meteorological Society\nsection: Weather and Forecasting","page":"63-77","source":"journals.ametsoc.org","title":"Examination of a Real-Time 3DVAR Analysis System in the Hazardous Weather Testbed","volume":"29","author":[{"family":"Smith","given":"Travis M."},{"family":"Gao","given":"Jidong"},{"family":"Calhoun","given":"Kristin M."},{"family":"Stensrud","given":"David J."},{"family":"Manross","given":"Kevin L."},{"family":"Ortega","given":"Kiel L."},{"family":"Fu","given":"Chenghao"},{"family":"Kingfield","given":"Darrel M."},{"family":"Elmore","given":"Kimberly L."},{"family":"Lakshmanan","given":"Valliappa"},{"family":"Riedel","given":"Christopher"}],"issued":{"date-parts":[["2014",2,1]]},"citation-key":"smithExaminationRealTime3DVAR2014"}},{"id":545,"uris":["http://zotero.org/users/local/6VSApgKp/items/FGHUFTW2"],"itemData":{"id":545,"type":"article-journal","abstract":"Abstract A weather-adaptive three-dimensional variational data assimilation (3DVAR) system was included in the NOAA Hazardous Weather Testbed as a first step toward introducing warn-on-forecast initiatives into operations. NWS forecasters were asked to incorporate the data in conjunction with single-radar and multisensor products in the Advanced Weather Interactive Processing System (AWIPS) as part of their warning-decision process for real-time events across the United States. During the 2011 and 2012 experiments, forecasters examined more than 36 events, including tornadic supercells, severe squall lines, and multicell storms. Products from the 3DVAR analyses were available to forecasters at 1-km horizontal resolution every 5 min, with a 4–6-min latency, incorporating data from the national Weather Surveillance Radar-1988 Doppler (WSR-88D) network and the North American Mesoscale model. Forecasters found the updraft, vertical vorticity, and storm-top divergence products the most useful for storm interrogation and quickly visualizing storm trends, often using these tools to increase the confidence in a warning decision and/or issue the warning slightly earlier. The 3DVAR analyses were most consistent and reliable when the storm of interest was in close proximity to one of the assimilated WSR-88D, or data from multiple radars were incorporated into the analysis. The latter was extremely useful to forecasters in blending data rather than having to analyze multiple radars separately, especially when range folding obscured the data from one or more radars. The largest hurdle for the real-time use of 3DVAR or similar data assimilation products by forecasters is the data latency, as even 4–6 min reduces the utility of the products when new radar scans are available.","container-title":"Weather and Forecasting","DOI":"10.1175/WAF-D-13-00107.1","ISSN":"1520-0434, 0882-8156","issue":"3","language":"EN","note":"publisher: American Meteorological Society\nsection: Weather and Forecasting","page":"601-613","source":"journals.ametsoc.org","title":"Forecaster Use and Evaluation of Real-Time 3DVAR Analyses during Severe Thunderstorm and Tornado Warning Operations in the Hazardous Weather Testbed","volume":"29","author":[{"family":"Calhoun","given":"Kristin M."},{"family":"Smith","given":"Travis M."},{"family":"Kingfield","given":"Darrel M."},{"family":"Gao","given":"Jidong"},{"family":"Stensrud","given":"David J."}],"issued":{"date-parts":[["2014",6,1]]},"citation-key":"calhounForecasterUseEvaluation2014"}},{"id":213,"uris":["http://zotero.org/users/local/6VSApgKp/items/76UGQQAL"],"itemData":{"id":213,"type":"article-journal","abstract":"The purpose of this study is to demonstrate the capability of an experimental, weather-adaptive, high-resolution, deterministic Warn-on-Forecast (WoF) analysis and forecast system (WoF3DVAR-AFS) for predicting high-impact severe weather events that occurred during the Hazardous Weather Testbed 2019 Spring Forecast Experiments. WoF3DVAR-AFS uses a three-dimensional variational (3DVAR) method as its core data assimilation system and the Advanced Research Version of the Weather Research and Forecasting (WRF-ARW) model as its forward model. Surface measurements provided in meteorological aviation reports and the Oklahoma Mesonet, Doppler radar data, and spaceborne total lightning observations provided by the Geostationary Lightning Mapper are assimilated at 15-min frequency over a target domain determined by the “Day 1” Convective Outlook product from the Storm Prediction Center. The chief goal of this system is to complement probabilistic forecasts generated by ensemble analysis and forecast systems, such as the experimental Warn-on-Forecast System (WoFS) with a higher-resolution deterministic member to aid forecasters' decision-making. We performed both qualitative and quantitative evaluations on 0–6 hr forecasts launched hourly from 1900 to 0300 UTC the next day for each of the 12 cases. Aggregated subjective forecast evaluation metrics from each individual case, as well as detailed comparison against available verification datasets, suggest that the forecasts are generally skillful in terms of composite reflectivity fields, quantitative precipitation forecasts, and the strength and location of rotation tracks and damaging winds. This study presents initial efforts to assess the performance of WoF3DVAR-AFS and provides possible directions for further improvements, including the development of a weather-adaptive, dual-resolution analysis and forecast system hybrid with an ensemble system, such as the experimental Warn-on-Forecast system.","container-title":"Quarterly Journal of the Royal Meteorological Society","DOI":"10.1002/qj.4168","ISSN":"1477-870X","issue":"741","language":"en","note":"_eprint: https://onlinelibrary.wiley.com/doi/pdf/10.1002/qj.4168","page":"4063-4082","source":"Wiley Online Library","title":"Evaluation of an experimental Warn-on-Forecast 3DVAR analysis and forecast system on quasi-real-time short-term forecasts of high-impact weather events","volume":"147","author":[{"family":"Hu","given":"Junjun"},{"family":"Gao","given":"Jidong"},{"family":"Wang","given":"Yunheng"},{"family":"Pan","given":"Sijie"},{"family":"Fierro","given":"Alexandre O."},{"family":"Skinner","given":"Patrick S."},{"family":"Knopfmeier","given":"Kent"},{"family":"Mansell","given":"Edward R."},{"family":"Heinselman","given":"Pamela L."}],"issued":{"date-parts":[["2021"]]},"citation-key":"huEvaluationExperimentalWarnonForecast2021"}}],"schema":"https://github.com/citation-style-language/schema/raw/master/csl-citation.json"} </w:instrText>
      </w:r>
      <w:r w:rsidR="005C44F5">
        <w:rPr>
          <w:szCs w:val="24"/>
        </w:rPr>
        <w:fldChar w:fldCharType="separate"/>
      </w:r>
      <w:r w:rsidR="005C44F5">
        <w:rPr>
          <w:noProof/>
          <w:szCs w:val="24"/>
        </w:rPr>
        <w:t>(Kain et al. 2010; Clark et al. 2011; Gao et al. 2013; Smith et al. 2014; Calhoun et al. 2014; Hu et al. 2021)</w:t>
      </w:r>
      <w:r w:rsidR="005C44F5">
        <w:rPr>
          <w:szCs w:val="24"/>
        </w:rPr>
        <w:fldChar w:fldCharType="end"/>
      </w:r>
      <w:r w:rsidR="005C44F5">
        <w:rPr>
          <w:szCs w:val="24"/>
        </w:rPr>
        <w:t>.</w:t>
      </w:r>
      <w:r w:rsidRPr="00DC333A">
        <w:rPr>
          <w:szCs w:val="24"/>
        </w:rPr>
        <w:t xml:space="preserve"> </w:t>
      </w:r>
      <w:r w:rsidR="00EA1DF0">
        <w:rPr>
          <w:iCs/>
          <w:szCs w:val="24"/>
        </w:rPr>
        <w:t xml:space="preserve">In the last 12 years, </w:t>
      </w:r>
      <w:r w:rsidR="00EA1DF0">
        <w:rPr>
          <w:szCs w:val="24"/>
        </w:rPr>
        <w:t>t</w:t>
      </w:r>
      <w:r w:rsidR="007A465B" w:rsidRPr="00DC333A">
        <w:rPr>
          <w:szCs w:val="24"/>
        </w:rPr>
        <w:t xml:space="preserve">his 3DVAR system was upgraded by incorporating background error </w:t>
      </w:r>
      <w:r w:rsidR="002E2724">
        <w:rPr>
          <w:szCs w:val="24"/>
        </w:rPr>
        <w:t>covariances</w:t>
      </w:r>
      <w:r w:rsidR="007A465B" w:rsidRPr="00DC333A">
        <w:rPr>
          <w:szCs w:val="24"/>
        </w:rPr>
        <w:t xml:space="preserve"> estimated from ensemble forecasts supported by NOAA/National </w:t>
      </w:r>
      <w:r w:rsidR="007A465B" w:rsidRPr="00DC333A">
        <w:rPr>
          <w:color w:val="000000" w:themeColor="text1"/>
          <w:szCs w:val="24"/>
        </w:rPr>
        <w:t>Severe Storms Laboratory</w:t>
      </w:r>
      <w:r w:rsidR="006D0DFF">
        <w:rPr>
          <w:color w:val="000000" w:themeColor="text1"/>
          <w:szCs w:val="24"/>
        </w:rPr>
        <w:t xml:space="preserve"> (NSSL)</w:t>
      </w:r>
      <w:r w:rsidR="007A465B" w:rsidRPr="00DC333A">
        <w:rPr>
          <w:color w:val="000000" w:themeColor="text1"/>
          <w:szCs w:val="24"/>
        </w:rPr>
        <w:t xml:space="preserve"> Warn-on-Forecast </w:t>
      </w:r>
      <w:r w:rsidR="00B71D64" w:rsidRPr="00DC333A">
        <w:rPr>
          <w:color w:val="000000" w:themeColor="text1"/>
          <w:szCs w:val="24"/>
        </w:rPr>
        <w:t xml:space="preserve">(WoF) </w:t>
      </w:r>
      <w:r w:rsidR="007A465B" w:rsidRPr="00DC333A">
        <w:rPr>
          <w:color w:val="000000" w:themeColor="text1"/>
          <w:szCs w:val="24"/>
        </w:rPr>
        <w:t>project</w:t>
      </w:r>
      <w:r w:rsidR="00B71D64" w:rsidRPr="00DC333A">
        <w:rPr>
          <w:color w:val="000000" w:themeColor="text1"/>
          <w:szCs w:val="24"/>
        </w:rPr>
        <w:t xml:space="preserve"> (Gao and Stensrud 2014; Gao et al. 2016)</w:t>
      </w:r>
      <w:r w:rsidR="007A465B" w:rsidRPr="00DC333A">
        <w:rPr>
          <w:color w:val="000000" w:themeColor="text1"/>
          <w:szCs w:val="24"/>
        </w:rPr>
        <w:t>, so it was</w:t>
      </w:r>
      <w:r w:rsidR="00B71D64" w:rsidRPr="00DC333A">
        <w:rPr>
          <w:color w:val="000000" w:themeColor="text1"/>
          <w:szCs w:val="24"/>
        </w:rPr>
        <w:t xml:space="preserve"> renamed as WoF-Hybrid</w:t>
      </w:r>
      <w:r w:rsidR="007A465B" w:rsidRPr="00DC333A">
        <w:rPr>
          <w:color w:val="000000" w:themeColor="text1"/>
          <w:szCs w:val="24"/>
        </w:rPr>
        <w:t xml:space="preserve">. </w:t>
      </w:r>
      <w:r w:rsidR="00B71D64" w:rsidRPr="00DC333A">
        <w:rPr>
          <w:color w:val="000000" w:themeColor="text1"/>
          <w:szCs w:val="24"/>
        </w:rPr>
        <w:t xml:space="preserve">The </w:t>
      </w:r>
      <w:r w:rsidR="00B71D64" w:rsidRPr="00DC333A">
        <w:rPr>
          <w:color w:val="000000" w:themeColor="text1"/>
          <w:szCs w:val="24"/>
        </w:rPr>
        <w:lastRenderedPageBreak/>
        <w:t>early version of the WoF-Hybrid was mainly developed to assimilate radar data</w:t>
      </w:r>
      <w:r w:rsidR="002913B3">
        <w:rPr>
          <w:color w:val="000000" w:themeColor="text1"/>
          <w:szCs w:val="24"/>
        </w:rPr>
        <w:t xml:space="preserve"> including both radial velocity and reflectivity</w:t>
      </w:r>
      <w:r w:rsidR="00B71D64" w:rsidRPr="00DC333A">
        <w:rPr>
          <w:color w:val="000000" w:themeColor="text1"/>
          <w:szCs w:val="24"/>
        </w:rPr>
        <w:t>.</w:t>
      </w:r>
      <w:r w:rsidR="00A853AE" w:rsidRPr="00A853AE">
        <w:t xml:space="preserve"> </w:t>
      </w:r>
      <w:r w:rsidR="00A853AE" w:rsidRPr="00AD13C1">
        <w:t>Detailed documentation of the DA system and its corresponding methodologies will be provided in Chapter 2.</w:t>
      </w:r>
    </w:p>
    <w:p w14:paraId="38AA02E8" w14:textId="082666F3" w:rsidR="00AD13C1" w:rsidRPr="00AD13C1" w:rsidRDefault="00AD13C1" w:rsidP="008D1F89">
      <w:r w:rsidRPr="00AD13C1">
        <w:t xml:space="preserve">Despite the benefits of assimilating radar observations, challenges have also been identified. Radar observations can only detect information about wind and some hydrometeor variables within storms, while variables outside storms and other model variables, such as temperature and specific humidity, are generally not </w:t>
      </w:r>
      <w:r w:rsidR="005B70D7">
        <w:t xml:space="preserve">well </w:t>
      </w:r>
      <w:r w:rsidRPr="00AD13C1">
        <w:t>detected</w:t>
      </w:r>
      <w:r w:rsidR="00186B73">
        <w:t xml:space="preserve"> </w:t>
      </w:r>
      <w:r w:rsidR="00186B73">
        <w:fldChar w:fldCharType="begin"/>
      </w:r>
      <w:r w:rsidR="00186B73">
        <w:instrText xml:space="preserve"> ADDIN ZOTERO_ITEM CSL_CITATION {"citationID":"ArBCTRoR","properties":{"formattedCitation":"(Sun 2005)","plainCitation":"(Sun 2005)","noteIndex":0},"citationItems":[{"id":539,"uris":["http://zotero.org/users/local/6VSApgKp/items/C4KH3LKX"],"itemData":{"id":539,"type":"article-journal","abstract":"Active research has been carried out in recent years to assimilate high-resolution observations into numerical models to improve precipitation forecasting. Considerable progress has been made although great scientific and technological challenges still exist. This paper reviews techniques used in convective-scale data assimilation research. Experiences in the assimilation of radar observations into high-resolution numerical models are presented. A number of future challenges in convective-scale data assimilation are discussed. Copyright © 2005 Royal Meteorological Society","container-title":"Quarterly Journal of the Royal Meteorological Society","DOI":"10.1256/qj.05.149","ISSN":"1477-870X","issue":"613","language":"en","note":"_eprint: https://onlinelibrary.wiley.com/doi/pdf/10.1256/qj.05.149","page":"3439-3463","source":"Wiley Online Library","title":"Convective-scale assimilation of radar data: progress and challenges","title-short":"Convective-scale assimilation of radar data","volume":"131","author":[{"family":"Sun","given":"Juanzhen"}],"issued":{"date-parts":[["2005"]]},"citation-key":"sunConvectivescaleAssimilationRadar2005"}}],"schema":"https://github.com/citation-style-language/schema/raw/master/csl-citation.json"} </w:instrText>
      </w:r>
      <w:r w:rsidR="00186B73">
        <w:fldChar w:fldCharType="separate"/>
      </w:r>
      <w:r w:rsidR="00186B73">
        <w:rPr>
          <w:noProof/>
        </w:rPr>
        <w:t>(Sun 2005)</w:t>
      </w:r>
      <w:r w:rsidR="00186B73">
        <w:fldChar w:fldCharType="end"/>
      </w:r>
      <w:r w:rsidRPr="00AD13C1">
        <w:t xml:space="preserve">. Consequently, significant errors and biases in the initial conditions, particularly for moisture and related thermodynamic variables, continue to pose major challenges in accurately predicting the location, timing, and intensity of </w:t>
      </w:r>
      <w:r w:rsidR="005B70D7">
        <w:t xml:space="preserve">hazardous </w:t>
      </w:r>
      <w:r w:rsidRPr="00AD13C1">
        <w:t>severe weather events.</w:t>
      </w:r>
      <w:r>
        <w:t xml:space="preserve"> </w:t>
      </w:r>
      <w:r w:rsidRPr="00AD13C1">
        <w:t xml:space="preserve">Additionally, the assimilation of observations at different </w:t>
      </w:r>
      <w:r w:rsidR="00F57FE3">
        <w:t>spatiotemporal</w:t>
      </w:r>
      <w:r w:rsidRPr="00AD13C1">
        <w:t xml:space="preserve"> scales into the NWP model</w:t>
      </w:r>
      <w:r>
        <w:t xml:space="preserve"> is involved when observations other than high-density radar observations are incorporated. Therefore, in this dissertation, </w:t>
      </w:r>
      <w:r w:rsidR="00710DC3">
        <w:t>several</w:t>
      </w:r>
      <w:r w:rsidR="005B70D7">
        <w:t xml:space="preserve"> new component</w:t>
      </w:r>
      <w:r w:rsidR="00710DC3">
        <w:t>s</w:t>
      </w:r>
      <w:r w:rsidR="005B70D7">
        <w:t xml:space="preserve"> </w:t>
      </w:r>
      <w:r w:rsidR="00710DC3">
        <w:t>for</w:t>
      </w:r>
      <w:r w:rsidR="005B70D7">
        <w:t xml:space="preserve"> </w:t>
      </w:r>
      <w:r w:rsidR="00EE6A73">
        <w:t xml:space="preserve">the </w:t>
      </w:r>
      <w:r w:rsidR="00710DC3">
        <w:t>WoF-Hybrid</w:t>
      </w:r>
      <w:r w:rsidR="00EE6A73">
        <w:t xml:space="preserve"> system</w:t>
      </w:r>
      <w:r>
        <w:t xml:space="preserve"> </w:t>
      </w:r>
      <w:r w:rsidR="00710DC3">
        <w:t>are</w:t>
      </w:r>
      <w:r w:rsidR="005B70D7">
        <w:t xml:space="preserve"> </w:t>
      </w:r>
      <w:r>
        <w:t>developed</w:t>
      </w:r>
      <w:r w:rsidRPr="00AD13C1">
        <w:t xml:space="preserve"> to investigate a better way to </w:t>
      </w:r>
      <w:r>
        <w:t>handle</w:t>
      </w:r>
      <w:r w:rsidRPr="00AD13C1">
        <w:t xml:space="preserve"> these problems. The </w:t>
      </w:r>
      <w:r w:rsidR="005B70D7">
        <w:t xml:space="preserve">new upgraded </w:t>
      </w:r>
      <w:r w:rsidR="009572B2">
        <w:t xml:space="preserve">WoF-Hybrid </w:t>
      </w:r>
      <w:r w:rsidRPr="00AD13C1">
        <w:t xml:space="preserve">system will have multiple capabilities to perform real-time, weather-adaptive, </w:t>
      </w:r>
      <w:r>
        <w:t xml:space="preserve">dual-resolution, </w:t>
      </w:r>
      <w:r w:rsidRPr="00AD13C1">
        <w:t xml:space="preserve">continuous DA and forecast cycles for the active period of severe weather events. </w:t>
      </w:r>
    </w:p>
    <w:p w14:paraId="5062F867" w14:textId="035A4731" w:rsidR="00AD13C1" w:rsidRDefault="00AD13C1" w:rsidP="008D1F89">
      <w:r>
        <w:t xml:space="preserve">Compared to </w:t>
      </w:r>
      <w:r w:rsidR="00CA370A">
        <w:t>our</w:t>
      </w:r>
      <w:r>
        <w:t xml:space="preserve"> </w:t>
      </w:r>
      <w:r w:rsidR="005B70D7">
        <w:t>early</w:t>
      </w:r>
      <w:r>
        <w:t xml:space="preserve"> </w:t>
      </w:r>
      <w:r w:rsidR="005B70D7">
        <w:t xml:space="preserve">version of the </w:t>
      </w:r>
      <w:r>
        <w:t>DA system</w:t>
      </w:r>
      <w:r w:rsidRPr="00723DA9">
        <w:t xml:space="preserve">, </w:t>
      </w:r>
      <w:r>
        <w:t>t</w:t>
      </w:r>
      <w:r w:rsidRPr="00AD13C1">
        <w:t xml:space="preserve">he newly developed DA system </w:t>
      </w:r>
      <w:r>
        <w:t xml:space="preserve">firstly </w:t>
      </w:r>
      <w:r w:rsidRPr="00AD13C1">
        <w:t>aims to address the shortcoming</w:t>
      </w:r>
      <w:r>
        <w:t>s</w:t>
      </w:r>
      <w:r w:rsidRPr="00AD13C1">
        <w:t xml:space="preserve">, specifically with regards to assimilating only radar observations to improve prediction of </w:t>
      </w:r>
      <w:r w:rsidR="005B70D7">
        <w:t xml:space="preserve">hazardous </w:t>
      </w:r>
      <w:r w:rsidRPr="00AD13C1">
        <w:t>severe weather events.</w:t>
      </w:r>
      <w:r w:rsidRPr="00723DA9">
        <w:t xml:space="preserve"> </w:t>
      </w:r>
      <w:r w:rsidRPr="00AD13C1">
        <w:t xml:space="preserve">With the launch of the new generation of Geostationary Operational Environmental Satellite (GOES-R series) and the availability of satellite observations and derived products, it has become more attractive to assimilate them into </w:t>
      </w:r>
      <w:r w:rsidR="002C1860">
        <w:t>convective-scale</w:t>
      </w:r>
      <w:r w:rsidRPr="00AD13C1">
        <w:t xml:space="preserve"> </w:t>
      </w:r>
      <w:r w:rsidR="002B3C1C">
        <w:t>NWP</w:t>
      </w:r>
      <w:r w:rsidRPr="00AD13C1">
        <w:t xml:space="preserve"> models to compensate for the insufficiency of radar </w:t>
      </w:r>
      <w:r w:rsidR="003F0051">
        <w:t>DA</w:t>
      </w:r>
      <w:r w:rsidRPr="00AD13C1">
        <w:t>.</w:t>
      </w:r>
      <w:r>
        <w:t xml:space="preserve"> For example, </w:t>
      </w:r>
      <w:r>
        <w:rPr>
          <w:noProof/>
        </w:rPr>
        <w:t>Jones et al.</w:t>
      </w:r>
      <w:r>
        <w:t xml:space="preserve"> </w:t>
      </w:r>
      <w:r>
        <w:fldChar w:fldCharType="begin"/>
      </w:r>
      <w:r w:rsidR="006E4F25">
        <w:instrText xml:space="preserve"> ADDIN ZOTERO_ITEM CSL_CITATION {"citationID":"Xio9sOvT","properties":{"formattedCitation":"(Jones et al. 2013)","plainCitation":"(Jones et al. 2013)","dontUpdate":true,"noteIndex":0},"citationItems":[{"id":154,"uris":["http://zotero.org/users/local/6VSApgKp/items/KJMF4TDV"],"itemData":{"id":154,"type":"article-journal","abstract":"&lt;section class=\"abstract\"&gt;&lt;h2 class=\"abstractTitle text-title my-1\" id=\"d125074771e80\"&gt;Abstract&lt;/h2&gt;&lt;p&gt;An observing system simulation experiment is used to examine the impact of assimilating water vapor–sensitive satellite infrared brightness temperatures and Doppler radar reflectivity and radial velocity observations on the analysis accuracy of a cool season extratropical cyclone. Assimilation experiments are performed for four different combinations of satellite, radar, and conventional observations using an ensemble Kalman filter assimilation system. Comparison with the high-resolution “truth” simulation indicates that the joint assimilation of satellite and radar observations reduces errors in cloud properties compared to the case in which only conventional observations are assimilated. The satellite observations provide the most impact in the mid- to upper troposphere, whereas the radar data also improve the cloud analysis near the surface and aloft as a result of their greater vertical resolution and larger overall sample size. Errors in the wind field are also significantly reduced when radar radial velocity observations were assimilated. Overall, assimilating both satellite and radar data creates the most accurate model analysis, which indicates that both observation types provide independent and complimentary information and illustrates the potential for these datasets for improving mesoscale model analyses and ensuing forecasts.&lt;/p&gt;&lt;/section&gt;","container-title":"Monthly Weather Review","DOI":"10.1175/MWR-D-12-00267.1","ISSN":"1520-0493, 0027-0644","issue":"10","language":"EN","note":"publisher: American Meteorological Society\nsection: Monthly Weather Review","page":"3273-3299","source":"journals.ametsoc.org","title":"Assimilation of Satellite Infrared Radiances and Doppler Radar Observations during a Cool Season Observing System Simulation Experiment","volume":"141","author":[{"family":"Jones","given":"Thomas A."},{"family":"Otkin","given":"Jason A."},{"family":"Stensrud","given":"David J."},{"family":"Knopfmeier","given":"Kent"}],"issued":{"date-parts":[["2013",10,1]]},"citation-key":"jonesAssimilationSatelliteInfrared2013"}}],"schema":"https://github.com/citation-style-language/schema/raw/master/csl-citation.json"} </w:instrText>
      </w:r>
      <w:r>
        <w:fldChar w:fldCharType="separate"/>
      </w:r>
      <w:r>
        <w:rPr>
          <w:noProof/>
        </w:rPr>
        <w:t>(2013)</w:t>
      </w:r>
      <w:r>
        <w:fldChar w:fldCharType="end"/>
      </w:r>
      <w:r>
        <w:t xml:space="preserve"> assimilated satellite-derived cloud water path (CWP) in addition to radar </w:t>
      </w:r>
      <w:r>
        <w:lastRenderedPageBreak/>
        <w:t xml:space="preserve">observations within an EnKF framework and showed that </w:t>
      </w:r>
      <w:r w:rsidRPr="00AD13C1">
        <w:t>t</w:t>
      </w:r>
      <w:r w:rsidRPr="00AD13C1">
        <w:rPr>
          <w:rFonts w:hint="eastAsia"/>
        </w:rPr>
        <w:t>h</w:t>
      </w:r>
      <w:r w:rsidRPr="00AD13C1">
        <w:t>e assimilation of CWP resulted in improvements in cloud properties and more accurate shortwave radiation flux at the surface by comparing to the experiments without CWP assimilation</w:t>
      </w:r>
      <w:r w:rsidR="0028660F">
        <w:t>.</w:t>
      </w:r>
      <w:r w:rsidRPr="00AD13C1">
        <w:t xml:space="preserve"> Our previous study</w:t>
      </w:r>
      <w:r>
        <w:t xml:space="preserve"> </w:t>
      </w:r>
      <w:r>
        <w:fldChar w:fldCharType="begin"/>
      </w:r>
      <w:r>
        <w:instrText xml:space="preserve"> ADDIN ZOTERO_ITEM CSL_CITATION {"citationID":"uW7Oj0Kp","properties":{"formattedCitation":"(Pan et al. 2018)","plainCitation":"(Pan et al. 2018)","noteIndex":0},"citationItems":[{"id":444,"uris":["http://zotero.org/users/local/6VSApgKp/items/JS8F3LH5"],"itemData":{"id":444,"type":"article-journal","abstract":"Abstract In this study, the ensemble of three-dimensional variational data assimilation (En3DVar) method for convective-scale weather is adopted and evaluated using an idealized supercell storm simulated by the Weather Research and Forecasting (WRF) Model. Synthetic radar radial velocity, reflectivity, satellite-derived cloud water path (CWP), and total precipitable water (TPW) data are produced from the simulated supercell storm and then these data are assimilated into another WRF Model run that starts with no convection. Two types of experiments are performed. The first assimilates radar and satellite CWP data using a perfect storm environment. The second assimilates additional TPW data using a storm environment with dry bias. The first set of experiments indicates that incorporating CWP and radar data into the assimilation leads to a much faster initiation of supercell storms than found using radar data alone. Assimilating CWP data primarily improves the analyses of nonprecipitating hydrometeor variables. The results from the second set of experiments demonstrate the critical importance of the storm environment. When using the biased storm environment, assimilation of CWP and radar data enhances the analyses, but the forecast skill rapidly decreases over the subsequent 1-h forecast. Further experiments show that assimilating the TPW data has a large impact on storm environment that is essential to the accuracy of the storm forecasts. In general, the combination of radar data and satellite data within the En3DVar results in better analyses and forecasts than when only radar data are used, especially for an imperfect storm environment.","container-title":"Journal of Atmospheric and Oceanic Technology","DOI":"10.1175/JTECH-D-17-0081.1","ISSN":"0739-0572, 1520-0426","issue":"1","language":"EN","note":"publisher: American Meteorological Society\nsection: Journal of Atmospheric and Oceanic Technology","page":"67-89","source":"journals.ametsoc.org","title":"Assimilation of Radar Radial Velocity and Reflectivity, Satellite Cloud Water Path, and Total Precipitable Water for Convective-Scale NWP in OSSEs","volume":"35","author":[{"family":"Pan","given":"Sijie"},{"family":"Gao","given":"Jidong"},{"family":"Stensrud","given":"David J."},{"family":"Wang","given":"Xuguang"},{"family":"Jones","given":"Thomas A."}],"issued":{"date-parts":[["2018",1,1]]},"citation-key":"panAssimilationRadarRadial2018"}}],"schema":"https://github.com/citation-style-language/schema/raw/master/csl-citation.json"} </w:instrText>
      </w:r>
      <w:r>
        <w:fldChar w:fldCharType="separate"/>
      </w:r>
      <w:r>
        <w:t>(Pan et al. 2018)</w:t>
      </w:r>
      <w:r>
        <w:fldChar w:fldCharType="end"/>
      </w:r>
      <w:r>
        <w:t xml:space="preserve"> </w:t>
      </w:r>
      <w:r w:rsidRPr="00AD13C1">
        <w:t xml:space="preserve">explored the benefit of assimilating another </w:t>
      </w:r>
      <w:r w:rsidRPr="00AD13C1">
        <w:rPr>
          <w:rFonts w:hint="eastAsia"/>
        </w:rPr>
        <w:t>s</w:t>
      </w:r>
      <w:r w:rsidRPr="00AD13C1">
        <w:t xml:space="preserve">atellite product total precipitable water, and showed that the potential of assimilating total precipitable water </w:t>
      </w:r>
      <w:r>
        <w:t xml:space="preserve">in improving the analysis of temperature and humidity through flow-dependent error covariances from an ensemble. </w:t>
      </w:r>
      <w:r w:rsidRPr="00AD13C1">
        <w:t xml:space="preserve">However, </w:t>
      </w:r>
      <w:r w:rsidR="009B25CE">
        <w:t xml:space="preserve">these </w:t>
      </w:r>
      <w:r>
        <w:t>studies have not comprehensively</w:t>
      </w:r>
      <w:r w:rsidR="009F348D">
        <w:t xml:space="preserve"> </w:t>
      </w:r>
      <w:r>
        <w:t xml:space="preserve">examined the benefits of assimilating </w:t>
      </w:r>
      <w:r w:rsidR="009F348D">
        <w:t xml:space="preserve">GOES-R derived </w:t>
      </w:r>
      <w:r w:rsidR="00C56B7F">
        <w:t xml:space="preserve">satellite </w:t>
      </w:r>
      <w:r>
        <w:t>observation</w:t>
      </w:r>
      <w:r w:rsidR="009B25CE">
        <w:t>s</w:t>
      </w:r>
      <w:r>
        <w:t xml:space="preserve"> with more real </w:t>
      </w:r>
      <w:r w:rsidR="009B25CE">
        <w:t xml:space="preserve">data </w:t>
      </w:r>
      <w:r>
        <w:t xml:space="preserve">events. Therefore, the optimal DA </w:t>
      </w:r>
      <w:r w:rsidR="009F348D">
        <w:t xml:space="preserve">strategy </w:t>
      </w:r>
      <w:r>
        <w:t xml:space="preserve">and corresponding configurations for assimilating satellite derived observations </w:t>
      </w:r>
      <w:r w:rsidR="00C15159">
        <w:t xml:space="preserve">together with radar data </w:t>
      </w:r>
      <w:r>
        <w:t>to better predict real severe weather events</w:t>
      </w:r>
      <w:r w:rsidR="00C15159">
        <w:t xml:space="preserve"> need to be further investigated</w:t>
      </w:r>
      <w:r>
        <w:t>, which will be discussed in Chapter 3.</w:t>
      </w:r>
    </w:p>
    <w:p w14:paraId="40E9E72B" w14:textId="25109689" w:rsidR="000F798E" w:rsidRDefault="00AD13C1" w:rsidP="00412920">
      <w:r w:rsidRPr="00AD13C1">
        <w:t xml:space="preserve">The handling of </w:t>
      </w:r>
      <w:r>
        <w:t>observations with</w:t>
      </w:r>
      <w:r w:rsidRPr="00AD13C1">
        <w:t xml:space="preserve"> </w:t>
      </w:r>
      <w:r w:rsidR="00142D4D">
        <w:t xml:space="preserve">a </w:t>
      </w:r>
      <w:r w:rsidRPr="00AD13C1">
        <w:t xml:space="preserve">wide range of spatial and temporal scales has been a well-known difficulty for the development of multi-scale </w:t>
      </w:r>
      <w:r w:rsidR="003F0051">
        <w:t>DA</w:t>
      </w:r>
      <w:r w:rsidRPr="00AD13C1">
        <w:t xml:space="preserve"> methods and covariance localization </w:t>
      </w:r>
      <w:r w:rsidR="00142D4D">
        <w:t xml:space="preserve">techniques </w:t>
      </w:r>
      <w:r>
        <w:fldChar w:fldCharType="begin"/>
      </w:r>
      <w:r>
        <w:instrText xml:space="preserve"> ADDIN ZOTERO_ITEM CSL_CITATION {"citationID":"oAlbIGbd","properties":{"formattedCitation":"(Gustafsson et al. 2018)","plainCitation":"(Gustafsson et al. 2018)","noteIndex":0},"citationItems":[{"id":446,"uris":["http://zotero.org/users/local/6VSApgKp/items/PHILPX4Z"],"itemData":{"id":446,"type":"article-journal","abstract":"Data assimilation (DA) methods for convective-scale numerical weather prediction at operational centres are surveyed. The operational methods include variational methods (3D-Var and 4D-Var), ensemble methods (LETKF) and hybrids between variational and ensemble methods (3DEnVar and 4DEnVar). At several operational centres, other assimilation algorithms, like latent heat nudging, are additionally applied to improve the model initial state, with emphasis on convective scales. It is demonstrated that the quality of forecasts based on initial data from convective-scale DA is significantly better than the quality of forecasts from simple downscaling of larger-scale initial data. However, the duration of positive impact depends on the weather situation, the size of the computational domain and the data that are assimilated. Furthermore it is shown that more advanced methods applied at convective scales provide improvements over simpler methods. This motivates continued research and development in convective-scale DA. Challenges in research and development for improvements of convective-scale DA are also reviewed and discussed. The difficulty of handling the wide range of spatial and temporal scales makes development of multi-scale assimilation methods and space–time covariance localization techniques important. Improved utilization of observations is also important. In order to extract more information from existing observing systems of convective-scale phenomena (e.g. weather radar data and satellite image data), it is necessary to provide improved statistical descriptions of the observation errors associated with these observations.","container-title":"Quarterly Journal of the Royal Meteorological Society","DOI":"10.1002/qj.3179","ISSN":"1477-870X","issue":"713","language":"en","note":"_eprint: https://onlinelibrary.wiley.com/doi/pdf/10.1002/qj.3179","page":"1218-1256","source":"Wiley Online Library","title":"Survey of data assimilation methods for convective-scale numerical weather prediction at operational centres","volume":"144","author":[{"family":"Gustafsson","given":"Nils"},{"family":"Janjić","given":"Tijana"},{"family":"Schraff","given":"Christoph"},{"family":"Leuenberger","given":"Daniel"},{"family":"Weissmann","given":"Martin"},{"family":"Reich","given":"Hendrik"},{"family":"Brousseau","given":"Pierre"},{"family":"Montmerle","given":"Thibaut"},{"family":"Wattrelot","given":"Eric"},{"family":"Bučánek","given":"Antonín"},{"family":"Mile","given":"Máté"},{"family":"Hamdi","given":"Rafiq"},{"family":"Lindskog","given":"Magnus"},{"family":"Barkmeijer","given":"Jan"},{"family":"Dahlbom","given":"Mats"},{"family":"Macpherson","given":"Bruce"},{"family":"Ballard","given":"Sue"},{"family":"Inverarity","given":"Gordon"},{"family":"Carley","given":"Jacob"},{"family":"Alexander","given":"Curtis"},{"family":"Dowell","given":"David"},{"family":"Liu","given":"Shun"},{"family":"Ikuta","given":"Yasutaka"},{"family":"Fujita","given":"Tadashi"}],"issued":{"date-parts":[["2018"]]},"citation-key":"gustafssonSurveyDataAssimilation2018"}}],"schema":"https://github.com/citation-style-language/schema/raw/master/csl-citation.json"} </w:instrText>
      </w:r>
      <w:r>
        <w:fldChar w:fldCharType="separate"/>
      </w:r>
      <w:r>
        <w:rPr>
          <w:noProof/>
        </w:rPr>
        <w:t>(Gustafsson et al. 2018)</w:t>
      </w:r>
      <w:r>
        <w:fldChar w:fldCharType="end"/>
      </w:r>
      <w:r w:rsidRPr="00AD13C1">
        <w:t>.</w:t>
      </w:r>
      <w:r>
        <w:t xml:space="preserve"> In convective-scale DA, it </w:t>
      </w:r>
      <w:r w:rsidR="009572B2">
        <w:t xml:space="preserve">is </w:t>
      </w:r>
      <w:r>
        <w:t>require</w:t>
      </w:r>
      <w:r w:rsidR="009572B2">
        <w:t>d</w:t>
      </w:r>
      <w:r>
        <w:t xml:space="preserve"> to </w:t>
      </w:r>
      <w:r w:rsidR="002C0751">
        <w:t xml:space="preserve">obtain </w:t>
      </w:r>
      <w:r w:rsidR="00EE35E5">
        <w:t xml:space="preserve">accurate </w:t>
      </w:r>
      <w:r>
        <w:t xml:space="preserve">information </w:t>
      </w:r>
      <w:r w:rsidR="0059131E">
        <w:t xml:space="preserve">for model variables </w:t>
      </w:r>
      <w:r>
        <w:t>on synoptic-, meso- and convective-scales</w:t>
      </w:r>
      <w:r w:rsidR="0059131E">
        <w:t xml:space="preserve"> </w:t>
      </w:r>
      <w:r w:rsidR="00EE35E5">
        <w:t>simultaneously</w:t>
      </w:r>
      <w:r>
        <w:t xml:space="preserve">. Beside this, moist physical processes and unbalanced </w:t>
      </w:r>
      <w:r w:rsidR="00EE35E5">
        <w:t xml:space="preserve">analysis of </w:t>
      </w:r>
      <w:r>
        <w:t xml:space="preserve">atmospheric states also need to be considered. Static background error </w:t>
      </w:r>
      <w:r w:rsidR="002E2724">
        <w:t>covariances</w:t>
      </w:r>
      <w:r>
        <w:t xml:space="preserve">, which </w:t>
      </w:r>
      <w:r w:rsidR="004334B0">
        <w:t>were</w:t>
      </w:r>
      <w:r>
        <w:t xml:space="preserve"> </w:t>
      </w:r>
      <w:r w:rsidR="00CA370A">
        <w:t xml:space="preserve">firstly </w:t>
      </w:r>
      <w:r w:rsidR="0007752B">
        <w:t>developed from and used</w:t>
      </w:r>
      <w:r w:rsidR="0017232F">
        <w:t xml:space="preserve"> </w:t>
      </w:r>
      <w:r w:rsidR="0007752B">
        <w:t xml:space="preserve">in </w:t>
      </w:r>
      <w:r>
        <w:t xml:space="preserve">synoptic-scale </w:t>
      </w:r>
      <w:r w:rsidR="0017232F">
        <w:t xml:space="preserve">DA and </w:t>
      </w:r>
      <w:r>
        <w:t xml:space="preserve">forecasts, </w:t>
      </w:r>
      <w:r w:rsidR="004334B0">
        <w:t>are</w:t>
      </w:r>
      <w:r>
        <w:t xml:space="preserve"> no longer suitable for convective-scale DA, as it can lead to forecasts without appropriate convection initiation and motion. </w:t>
      </w:r>
      <w:r w:rsidR="0007752B">
        <w:t>In the EnKF</w:t>
      </w:r>
      <w:r w:rsidR="00CB74BD">
        <w:t xml:space="preserve"> </w:t>
      </w:r>
      <w:r w:rsidR="0007752B">
        <w:t>schemes, flow-dependent</w:t>
      </w:r>
      <w:r w:rsidR="0007752B" w:rsidDel="0007752B">
        <w:t xml:space="preserve"> </w:t>
      </w:r>
      <w:r>
        <w:t xml:space="preserve">background error </w:t>
      </w:r>
      <w:r w:rsidR="002E2724">
        <w:t>covariances</w:t>
      </w:r>
      <w:r>
        <w:t xml:space="preserve"> c</w:t>
      </w:r>
      <w:r w:rsidR="0007752B">
        <w:t>an</w:t>
      </w:r>
      <w:r>
        <w:t xml:space="preserve"> be estimated from an ensemble, which </w:t>
      </w:r>
      <w:r w:rsidR="00CB74BD">
        <w:t xml:space="preserve">has potential to be properly used in </w:t>
      </w:r>
      <w:r w:rsidR="002C1860">
        <w:t>convective-scale</w:t>
      </w:r>
      <w:r w:rsidR="00CB74BD">
        <w:t xml:space="preserve"> NWP for severe weather forecasts. However, o</w:t>
      </w:r>
      <w:r w:rsidR="00CB74BD" w:rsidRPr="00F959EF">
        <w:t>ne of the major sources of errors with ensemble-based DA is rank deficiency or sampling error as a result of relatively small ensemble sizes</w:t>
      </w:r>
      <w:r w:rsidR="007E0630">
        <w:t xml:space="preserve"> </w:t>
      </w:r>
      <w:r w:rsidR="007E0630">
        <w:fldChar w:fldCharType="begin"/>
      </w:r>
      <w:r w:rsidR="007E0630">
        <w:instrText xml:space="preserve"> ADDIN ZOTERO_ITEM CSL_CITATION {"citationID":"oZBupH2x","properties":{"formattedCitation":"(Houtekamer and Mitchell 2001; Wang et al. 2008a,b)","plainCitation":"(Houtekamer and Mitchell 2001; Wang et al. 2008a,b)","noteIndex":0},"citationItems":[{"id":520,"uris":["http://zotero.org/users/local/6VSApgKp/items/N38GM5BM"],"itemData":{"id":520,"type":"article-journal","abstract":"Abstract An ensemble Kalman filter may be considered for the 4D assimilation of atmospheric data. In this paper, an efficient implementation of the analysis step of the filter is proposed. It employs a Schur (elementwise) product of the covariances of the background error calculated from the ensemble and a correlation function having local support to filter the small (and noisy) background-error covariances associated with remote observations. To solve the Kalman filter equations, the observations are organized into batches that are assimilated sequentially. For each batch, a Cholesky decomposition method is used to solve the system of linear equations. The ensemble of background fields is updated at each step of the sequential algorithm and, as more and more batches of observations are assimilated, evolves to eventually become the ensemble of analysis fields. A prototype sequential filter has been developed. Experiments are performed with a simulated observational network consisting of 542 radiosonde and 615 satellite-thickness profiles. Experimental results indicate that the quality of the analysis is almost independent of the number of batches (except when the ensemble is very small). This supports the use of a sequential algorithm. A parallel version of the algorithm is described and used to assimilate over 100 000 observations into a pair of 50-member ensembles. Its operation count is proportional to the number of observations, the number of analysis grid points, and the number of ensemble members. In view of the flexibility of the sequential filter and its encouraging performance on a NEC SX-4 computer, an application with a primitive equations model can now be envisioned.","container-title":"Monthly Weather Review","DOI":"10.1175/1520-0493(2001)129&lt;0123:ASEKFF&gt;2.0.CO;2","ISSN":"1520-0493, 0027-0644","issue":"1","language":"EN","note":"publisher: American Meteorological Society\nsection: Monthly Weather Review","page":"123-137","source":"journals.ametsoc.org","title":"A Sequential Ensemble Kalman Filter for Atmospheric Data Assimilation","volume":"129","author":[{"family":"Houtekamer","given":"P. L."},{"family":"Mitchell","given":"Herschel L."}],"issued":{"date-parts":[["2001",1,1]]},"citation-key":"houtekamerSequentialEnsembleKalman2001"}},{"id":385,"uris":["http://zotero.org/users/local/6VSApgKp/items/VW2UN7G7"],"itemData":{"id":385,"type":"article-journal","abstract":"Abstract A hybrid ensemble transform Kalman filter–three-dimensional variational data assimilation (ETKF–3DVAR) system for the Weather Research and Forecasting (WRF) Model is introduced. The system is based on the existing WRF 3DVAR. Unlike WRF 3DVAR, which utilizes a simple, static covariance model to estimate the forecast-error statistics, the hybrid system combines ensemble covariances with the static covariances to estimate the complex, flow-dependent forecast-error statistics. Ensemble covariances are incorporated by using the extended control variable method during the variational minimization. The ensemble perturbations are maintained by the computationally efficient ETKF. As an initial attempt to test and understand the newly developed system, both an observing system simulation experiment under the perfect model assumption (Part I) and the real observation experiment (Part II) were conducted. In these pilot studies, the WRF was run over the North America domain at a coarse grid spacing (200 km) to emphasize synoptic scales, owing to limited computational resources and the large number of experiments conducted. In Part I, simulated radiosonde wind and temperature observations were assimilated. The results demonstrated that the hybrid data assimilation method provided more accurate analyses than the 3DVAR. The horizontal distributions of the errors demonstrated the hybrid analyses had larger improvements over data-sparse regions than over data-dense regions. It was also found that the ETKF ensemble spread in general agreed with the root-mean-square background forecast error for both the first- and second-order measures. Given the coarse resolution, relatively sparse observation network, and perfect model assumption adopted in this part of the study, caution is warranted when extrapolating the results to operational applications.","container-title":"Monthly Weather Review","DOI":"10.1175/2008MWR2444.1","ISSN":"1520-0493, 0027-0644","issue":"12","language":"EN","note":"publisher: American Meteorological Society\nsection: Monthly Weather Review","page":"5116-5131","source":"journals-ametsoc-org.ezproxy.lib.ou.edu","title":"A Hybrid ETKF–3DVAR Data Assimilation Scheme for the WRF Model. Part I: Observing System Simulation Experiment","title-short":"A Hybrid ETKF–3DVAR Data Assimilation Scheme for the WRF Model. Part I","volume":"136","author":[{"family":"Wang","given":"Xuguang"},{"family":"Barker","given":"Dale M."},{"family":"Snyder","given":"Chris"},{"family":"Hamill","given":"Thomas M."}],"issued":{"date-parts":[["2008",12,1]]},"citation-key":"wangHybridETKF3DVAR2008"}},{"id":543,"uris":["http://zotero.org/users/local/6VSApgKp/items/I9ER9497"],"itemData":{"id":543,"type":"article-journal","abstract":"Abstract The hybrid ensemble transform Kalman filter–three-dimensional variational data assimilation (ETKF–3DVAR) system developed for the Weather Research and Forecasting (WRF) Model was further tested with real observations, as a follow-up for the observation system simulation experiment (OSSE) conducted in Part I. A domain encompassing North America was considered. Because of limited computational resources and the large number of experiments conducted, the forecasts and analyses employed relatively coarse grid spacing (200 km) to emphasize synoptic scales. As a first effort to explore the new system with real observations, relatively sparse observation datasets consisting of radiosonde wind and temperature during 4 weeks of January 2003 were assimilated. The 12-h forecasts produced by the hybrid analysis produced less root-mean-square error than the 3DVAR. The hybrid improved the forecast more in the western part of the domain than the eastern part. It also produced larger improvements in the upper troposphere. The overall magnitude of the ETKF ensemble spread agreed with the overall magnitude of the background forecast error. For individual variables and layers, the consistency between the spread and the error was less than the OSSE in Part I. Given the coarse resolution and relatively sparse observation network adopted in this study, caution is warranted when extrapolating these results to operational applications. A case study was also performed to further understand a large forecast improvement of the hybrid during the 4-week period. The flow-dependent adjustments produced by the hybrid extended a large distance into the eastern Pacific data-void region. The much improved analysis and forecast by the hybrid in the data void subsequently improved forecasts downstream in the region of verification. Although no moisture observations were assimilated, the hybrid updated the moisture fields flow dependently through cross-variable covariances defined by the ensemble, which improved the forecasts of cyclone development.","container-title":"Monthly Weather Review","DOI":"10.1175/2008MWR2445.1","ISSN":"1520-0493, 0027-0644","issue":"12","language":"EN","note":"publisher: American Meteorological Society\nsection: Monthly Weather Review","page":"5132-5147","source":"journals.ametsoc.org","title":"A Hybrid ETKF–3DVAR Data Assimilation Scheme for the WRF Model. Part II: Real Observation Experiments","title-short":"A Hybrid ETKF–3DVAR Data Assimilation Scheme for the WRF Model. Part II","volume":"136","author":[{"family":"Wang","given":"Xuguang"},{"family":"Barker","given":"Dale M."},{"family":"Snyder","given":"Chris"},{"family":"Hamill","given":"Thomas M."}],"issued":{"date-parts":[["2008",12,1]]},"citation-key":"wangHybridETKF3DVAR2008a"}}],"schema":"https://github.com/citation-style-language/schema/raw/master/csl-citation.json"} </w:instrText>
      </w:r>
      <w:r w:rsidR="007E0630">
        <w:fldChar w:fldCharType="separate"/>
      </w:r>
      <w:r w:rsidR="007E0630">
        <w:rPr>
          <w:noProof/>
        </w:rPr>
        <w:t>(Houtekamer and Mitchell 2001; Wang et al. 2008a,b)</w:t>
      </w:r>
      <w:r w:rsidR="007E0630">
        <w:fldChar w:fldCharType="end"/>
      </w:r>
      <w:r w:rsidR="00CB74BD" w:rsidRPr="00F959EF">
        <w:t xml:space="preserve">. </w:t>
      </w:r>
      <w:r w:rsidR="0071785F">
        <w:t xml:space="preserve">Although </w:t>
      </w:r>
      <w:r w:rsidR="0071785F">
        <w:lastRenderedPageBreak/>
        <w:t>t</w:t>
      </w:r>
      <w:r w:rsidR="00CB74BD" w:rsidRPr="00F959EF">
        <w:t xml:space="preserve">his problem </w:t>
      </w:r>
      <w:r w:rsidR="0071785F">
        <w:t>can be significantly reduced with inflation and localization, it could still happen sometimes, and could be</w:t>
      </w:r>
      <w:r w:rsidR="00CB74BD" w:rsidRPr="00F959EF">
        <w:t xml:space="preserve"> even more severe with </w:t>
      </w:r>
      <w:r w:rsidR="002C1860">
        <w:t>convective-scale</w:t>
      </w:r>
      <w:r w:rsidR="00CB74BD" w:rsidRPr="00F959EF">
        <w:t xml:space="preserve"> </w:t>
      </w:r>
      <w:r w:rsidR="00CB74BD">
        <w:t>DA</w:t>
      </w:r>
      <w:r w:rsidR="00CB74BD" w:rsidRPr="00F959EF">
        <w:t xml:space="preserve"> because the total degrees of freedom of the </w:t>
      </w:r>
      <w:r w:rsidR="00412920">
        <w:t xml:space="preserve">convective weather </w:t>
      </w:r>
      <w:r w:rsidR="00CB74BD" w:rsidRPr="00F959EF">
        <w:t>system</w:t>
      </w:r>
      <w:r w:rsidR="00412920">
        <w:t>s</w:t>
      </w:r>
      <w:r w:rsidR="00CB74BD" w:rsidRPr="00F959EF">
        <w:t xml:space="preserve"> may be significantly larger than the practical ensemble size.</w:t>
      </w:r>
      <w:r w:rsidR="00412920">
        <w:t xml:space="preserve"> </w:t>
      </w:r>
      <w:r w:rsidR="00137D1D">
        <w:t>Therefore</w:t>
      </w:r>
      <w:r w:rsidR="00780F14">
        <w:t>,</w:t>
      </w:r>
      <w:r w:rsidR="000F798E">
        <w:t xml:space="preserve"> both variational DA and ensemble DA schemes have their shortcomings</w:t>
      </w:r>
      <w:r w:rsidR="005F164F">
        <w:t xml:space="preserve"> respectively</w:t>
      </w:r>
      <w:r w:rsidR="000F798E">
        <w:t xml:space="preserve"> for </w:t>
      </w:r>
      <w:r w:rsidR="002C1860">
        <w:t>convective-scale</w:t>
      </w:r>
      <w:r w:rsidR="000F798E">
        <w:t xml:space="preserve"> NWP.</w:t>
      </w:r>
    </w:p>
    <w:p w14:paraId="418B4751" w14:textId="1E3064A3" w:rsidR="00BE5E85" w:rsidRDefault="00911B1E" w:rsidP="00BE5E85">
      <w:r>
        <w:t>T</w:t>
      </w:r>
      <w:r w:rsidR="00AD13C1">
        <w:t>he hybrid ensemble-variational</w:t>
      </w:r>
      <w:r>
        <w:t xml:space="preserve"> technique</w:t>
      </w:r>
      <w:r w:rsidR="00AD13C1">
        <w:t xml:space="preserve"> </w:t>
      </w:r>
      <w:r w:rsidR="002D514C">
        <w:t xml:space="preserve">proposed by </w:t>
      </w:r>
      <w:r w:rsidR="002D514C">
        <w:fldChar w:fldCharType="begin"/>
      </w:r>
      <w:r w:rsidR="002D514C">
        <w:instrText xml:space="preserve"> ADDIN ZOTERO_ITEM CSL_CITATION {"citationID":"hLoe1C6V","properties":{"formattedCitation":"(Hamill and Snyder 2000; Wang et al. 2008)","plainCitation":"(Hamill and Snyder 2000; Wang et al. 2008)","dontUpdate":true,"noteIndex":0},"citationItems":[{"id":383,"uris":["http://zotero.org/users/local/6VSApgKp/items/IABCVT25"],"itemData":{"id":383,"type":"article-journal","abstract":"Abstract A hybrid ensemble Kalman filter–three-dimensional variational (3DVAR) analysis scheme is demonstrated using a quasigeostrophic model under perfect-model assumptions. Four networks with differing observational densities are tested, including one network with a data void. The hybrid scheme operates by computing a set of parallel data assimilation cycles, with each member of the set receiving unique perturbed observations. The perturbed observations are generated by adding random noise consistent with observation error statistics to the control set of observations. Background error statistics for the data assimilation are estimated from a linear combination of time-invariant 3DVAR covariances and flow-dependent covariances developed from the ensemble of short-range forecasts. The hybrid scheme allows the user to weight the relative contributions of the 3DVAR and ensemble-based background covariances. The analysis scheme was cycled for 90 days, with new observations assimilated every 12 h. Generally, it was found that the analysis performs best when background error covariances are estimated almost fully from the ensemble, especially when the ensemble size was large. When small-sized ensembles are used, some lessened weighting of ensemble-based covariances is desirable. The relative improvement over 3DVAR analyses was dependent upon the observational data density and norm; generally, there is less improvement for data-rich networks than for data-poor networks, with the largest improvement for the network with the data void. As expected, errors depend on the size of the ensemble, with errors decreasing as more ensemble members are added. The sets of initial conditions generated from the hybrid are generally well calibrated and provide an improved set of initial conditions for ensemble forecasts.","container-title":"Monthly Weather Review","DOI":"10.1175/1520-0493(2000)128&lt;2905:AHEKFV&gt;2.0.CO;2","ISSN":"1520-0493, 0027-0644","issue":"8","language":"EN","note":"publisher: American Meteorological Society\nsection: Monthly Weather Review","page":"2905-2919","source":"journals-ametsoc-org.ezproxy.lib.ou.edu","title":"A Hybrid Ensemble Kalman Filter–3D Variational Analysis Scheme","volume":"128","author":[{"family":"Hamill","given":"Thomas M."},{"family":"Snyder","given":"Chris"}],"issued":{"date-parts":[["2000",8,1]]},"citation-key":"hamillHybridEnsembleKalman2000"}},{"id":385,"uris":["http://zotero.org/users/local/6VSApgKp/items/VW2UN7G7"],"itemData":{"id":385,"type":"article-journal","abstract":"Abstract A hybrid ensemble transform Kalman filter–three-dimensional variational data assimilation (ETKF–3DVAR) system for the Weather Research and Forecasting (WRF) Model is introduced. The system is based on the existing WRF 3DVAR. Unlike WRF 3DVAR, which utilizes a simple, static covariance model to estimate the forecast-error statistics, the hybrid system combines ensemble covariances with the static covariances to estimate the complex, flow-dependent forecast-error statistics. Ensemble covariances are incorporated by using the extended control variable method during the variational minimization. The ensemble perturbations are maintained by the computationally efficient ETKF. As an initial attempt to test and understand the newly developed system, both an observing system simulation experiment under the perfect model assumption (Part I) and the real observation experiment (Part II) were conducted. In these pilot studies, the WRF was run over the North America domain at a coarse grid spacing (200 km) to emphasize synoptic scales, owing to limited computational resources and the large number of experiments conducted. In Part I, simulated radiosonde wind and temperature observations were assimilated. The results demonstrated that the hybrid data assimilation method provided more accurate analyses than the 3DVAR. The horizontal distributions of the errors demonstrated the hybrid analyses had larger improvements over data-sparse regions than over data-dense regions. It was also found that the ETKF ensemble spread in general agreed with the root-mean-square background forecast error for both the first- and second-order measures. Given the coarse resolution, relatively sparse observation network, and perfect model assumption adopted in this part of the study, caution is warranted when extrapolating the results to operational applications.","container-title":"Monthly Weather Review","DOI":"10.1175/2008MWR2444.1","ISSN":"1520-0493, 0027-0644","issue":"12","language":"EN","note":"publisher: American Meteorological Society\nsection: Monthly Weather Review","page":"5116-5131","source":"journals-ametsoc-org.ezproxy.lib.ou.edu","title":"A Hybrid ETKF–3DVAR Data Assimilation Scheme for the WRF Model. Part I: Observing System Simulation Experiment","title-short":"A Hybrid ETKF–3DVAR Data Assimilation Scheme for the WRF Model. Part I","volume":"136","author":[{"family":"Wang","given":"Xuguang"},{"family":"Barker","given":"Dale M."},{"family":"Snyder","given":"Chris"},{"family":"Hamill","given":"Thomas M."}],"issued":{"date-parts":[["2008",12,1]]},"citation-key":"wangHybridETKF3DVAR2008"}}],"schema":"https://github.com/citation-style-language/schema/raw/master/csl-citation.json"} </w:instrText>
      </w:r>
      <w:r w:rsidR="002D514C">
        <w:fldChar w:fldCharType="separate"/>
      </w:r>
      <w:r w:rsidR="002D514C">
        <w:rPr>
          <w:noProof/>
        </w:rPr>
        <w:t>Hamill and Snyder (2000)</w:t>
      </w:r>
      <w:r w:rsidR="00A9497B">
        <w:rPr>
          <w:noProof/>
        </w:rPr>
        <w:t xml:space="preserve">, </w:t>
      </w:r>
      <w:r w:rsidR="00A9497B" w:rsidRPr="00723F3B">
        <w:t>Buehner</w:t>
      </w:r>
      <w:r w:rsidR="00780F14">
        <w:t xml:space="preserve"> </w:t>
      </w:r>
      <w:r w:rsidR="002B0371">
        <w:t>(</w:t>
      </w:r>
      <w:r w:rsidR="00A9497B" w:rsidRPr="00723F3B">
        <w:t>2005</w:t>
      </w:r>
      <w:r w:rsidR="002B0371">
        <w:t>),</w:t>
      </w:r>
      <w:r w:rsidR="002D514C">
        <w:rPr>
          <w:noProof/>
        </w:rPr>
        <w:t xml:space="preserve"> and Wang et al. </w:t>
      </w:r>
      <w:r w:rsidR="00780F14">
        <w:rPr>
          <w:noProof/>
        </w:rPr>
        <w:t>(</w:t>
      </w:r>
      <w:r w:rsidR="002D514C">
        <w:rPr>
          <w:noProof/>
        </w:rPr>
        <w:t>200</w:t>
      </w:r>
      <w:r w:rsidR="0071785F">
        <w:rPr>
          <w:noProof/>
        </w:rPr>
        <w:t>7</w:t>
      </w:r>
      <w:r w:rsidR="00A20643">
        <w:rPr>
          <w:noProof/>
        </w:rPr>
        <w:t>, 2008, and 2009</w:t>
      </w:r>
      <w:r w:rsidR="002D514C">
        <w:rPr>
          <w:noProof/>
        </w:rPr>
        <w:t>)</w:t>
      </w:r>
      <w:r w:rsidR="002D514C">
        <w:fldChar w:fldCharType="end"/>
      </w:r>
      <w:r w:rsidR="002D514C">
        <w:t xml:space="preserve"> </w:t>
      </w:r>
      <w:r w:rsidR="00B00E11">
        <w:t>combines static and flow-dependent error covariances</w:t>
      </w:r>
      <w:r w:rsidR="00780F14">
        <w:t xml:space="preserve"> into a single framework</w:t>
      </w:r>
      <w:r w:rsidR="00B00E11">
        <w:t xml:space="preserve"> and </w:t>
      </w:r>
      <w:r>
        <w:t>ha</w:t>
      </w:r>
      <w:r w:rsidR="002D514C">
        <w:t>s</w:t>
      </w:r>
      <w:r>
        <w:t xml:space="preserve"> </w:t>
      </w:r>
      <w:r w:rsidR="00AD13C1">
        <w:t xml:space="preserve">potential to improve analyses compared to either </w:t>
      </w:r>
      <w:r w:rsidR="002D514C">
        <w:t>EnKF</w:t>
      </w:r>
      <w:r w:rsidR="00AD13C1">
        <w:t xml:space="preserve"> or the pure variational </w:t>
      </w:r>
      <w:r w:rsidR="002D514C">
        <w:t xml:space="preserve">based </w:t>
      </w:r>
      <w:r w:rsidR="00AD13C1">
        <w:t>method</w:t>
      </w:r>
      <w:r w:rsidR="002D514C">
        <w:t>s</w:t>
      </w:r>
      <w:r w:rsidR="00AD13C1">
        <w:t xml:space="preserve">. </w:t>
      </w:r>
      <w:r w:rsidR="00AB0D07">
        <w:t>As stated above, b</w:t>
      </w:r>
      <w:r w:rsidR="00B00E11">
        <w:t xml:space="preserve">ased on these studies, </w:t>
      </w:r>
      <w:r w:rsidR="000F798E">
        <w:t>Gao and S</w:t>
      </w:r>
      <w:r w:rsidR="009E5F52">
        <w:t>t</w:t>
      </w:r>
      <w:r w:rsidR="000F798E">
        <w:t xml:space="preserve">ensrud (2014) </w:t>
      </w:r>
      <w:r w:rsidR="00B00E11">
        <w:t>developed</w:t>
      </w:r>
      <w:r w:rsidR="000F798E">
        <w:t xml:space="preserve"> </w:t>
      </w:r>
      <w:r w:rsidR="00B00E11">
        <w:t xml:space="preserve">the early version of WoF-Hybrid for </w:t>
      </w:r>
      <w:r w:rsidR="002C1860">
        <w:t>convective-scale</w:t>
      </w:r>
      <w:r w:rsidR="00B00E11">
        <w:t xml:space="preserve"> radar DA</w:t>
      </w:r>
      <w:r w:rsidR="000F798E">
        <w:t>.</w:t>
      </w:r>
      <w:r w:rsidR="00B00E11">
        <w:t xml:space="preserve"> </w:t>
      </w:r>
      <w:r w:rsidR="000F798E">
        <w:t xml:space="preserve">However, the static background error </w:t>
      </w:r>
      <w:r w:rsidR="002E2724">
        <w:t>covariances</w:t>
      </w:r>
      <w:r w:rsidR="000F798E">
        <w:t xml:space="preserve"> </w:t>
      </w:r>
      <w:r w:rsidR="0071785F">
        <w:t xml:space="preserve">used </w:t>
      </w:r>
      <w:r w:rsidR="002E2724">
        <w:t>were</w:t>
      </w:r>
      <w:r w:rsidR="00CC6F52">
        <w:t xml:space="preserve"> very simple and </w:t>
      </w:r>
      <w:r w:rsidR="004334B0">
        <w:t>are</w:t>
      </w:r>
      <w:r w:rsidR="00CC6F52">
        <w:t xml:space="preserve"> not suitable for </w:t>
      </w:r>
      <w:r w:rsidR="004334B0">
        <w:t xml:space="preserve">convective-scale </w:t>
      </w:r>
      <w:r w:rsidR="00CC6F52">
        <w:t>real</w:t>
      </w:r>
      <w:r w:rsidR="004334B0">
        <w:t>-</w:t>
      </w:r>
      <w:r w:rsidR="00CC6F52">
        <w:t>time applications.</w:t>
      </w:r>
      <w:r w:rsidR="000F798E">
        <w:t xml:space="preserve"> </w:t>
      </w:r>
      <w:r w:rsidR="00AD13C1">
        <w:t>Therefore, it is worthy further develop</w:t>
      </w:r>
      <w:r w:rsidR="00AD7045">
        <w:t>ing</w:t>
      </w:r>
      <w:r w:rsidR="00AD13C1">
        <w:t xml:space="preserve"> static background error </w:t>
      </w:r>
      <w:r w:rsidR="002E2724">
        <w:t>covariances</w:t>
      </w:r>
      <w:r w:rsidR="00AD13C1">
        <w:t xml:space="preserve"> for convective-scale DA</w:t>
      </w:r>
      <w:r w:rsidR="00B00E11">
        <w:t>.</w:t>
      </w:r>
      <w:r w:rsidR="00AD13C1">
        <w:t xml:space="preserve"> </w:t>
      </w:r>
      <w:r w:rsidR="009C7A2D">
        <w:t xml:space="preserve">In Chapter 4, </w:t>
      </w:r>
      <w:r w:rsidR="00AD13C1">
        <w:t xml:space="preserve">weather-dependent static error </w:t>
      </w:r>
      <w:r w:rsidR="00F35DB8">
        <w:t>covariances</w:t>
      </w:r>
      <w:r w:rsidR="00F529B7">
        <w:t xml:space="preserve"> </w:t>
      </w:r>
      <w:r w:rsidR="004A429C">
        <w:t>a</w:t>
      </w:r>
      <w:r w:rsidR="004334B0">
        <w:t>re</w:t>
      </w:r>
      <w:r w:rsidR="009C7A2D">
        <w:t xml:space="preserve"> developed and implemented in WoF-Hybrid and tested in </w:t>
      </w:r>
      <w:r w:rsidR="00AD13C1">
        <w:t>a pure variational framework</w:t>
      </w:r>
      <w:r w:rsidR="009C7A2D">
        <w:t>.</w:t>
      </w:r>
      <w:r w:rsidR="00AD13C1">
        <w:t xml:space="preserve"> </w:t>
      </w:r>
      <w:r w:rsidR="0071785F">
        <w:t>Another task of Chapter</w:t>
      </w:r>
      <w:r w:rsidR="00F529B7">
        <w:t xml:space="preserve"> </w:t>
      </w:r>
      <w:r w:rsidR="00103462">
        <w:t xml:space="preserve">4 </w:t>
      </w:r>
      <w:r w:rsidR="00F529B7">
        <w:t xml:space="preserve">is to </w:t>
      </w:r>
      <w:r w:rsidR="0037234C">
        <w:t>investigate if this new scheme is effective and efficient for improv</w:t>
      </w:r>
      <w:r w:rsidR="005F164F">
        <w:t>ing</w:t>
      </w:r>
      <w:r w:rsidR="0037234C">
        <w:t xml:space="preserve"> analysis and prediction of severe and </w:t>
      </w:r>
      <w:r w:rsidR="00101AEA">
        <w:t>high-impact</w:t>
      </w:r>
      <w:r w:rsidR="0037234C">
        <w:t xml:space="preserve"> weather events. </w:t>
      </w:r>
    </w:p>
    <w:p w14:paraId="761ED741" w14:textId="2332ED88" w:rsidR="00AD13C1" w:rsidRDefault="0019070C" w:rsidP="008D1F89">
      <w:r w:rsidRPr="005F164F">
        <w:rPr>
          <w:szCs w:val="24"/>
        </w:rPr>
        <w:t xml:space="preserve">The </w:t>
      </w:r>
      <w:r w:rsidR="00423D15" w:rsidRPr="005F164F">
        <w:rPr>
          <w:szCs w:val="24"/>
        </w:rPr>
        <w:t>WoF-Hybrid was formally tested in</w:t>
      </w:r>
      <w:r w:rsidRPr="005F164F">
        <w:rPr>
          <w:szCs w:val="24"/>
        </w:rPr>
        <w:t xml:space="preserve"> </w:t>
      </w:r>
      <w:r w:rsidR="00AD13C1" w:rsidRPr="005F164F">
        <w:rPr>
          <w:szCs w:val="24"/>
        </w:rPr>
        <w:t xml:space="preserve">the NOAA </w:t>
      </w:r>
      <w:r w:rsidR="00780F14">
        <w:rPr>
          <w:szCs w:val="24"/>
        </w:rPr>
        <w:t>HWT</w:t>
      </w:r>
      <w:r w:rsidR="00AD13C1" w:rsidRPr="005F164F">
        <w:rPr>
          <w:szCs w:val="24"/>
        </w:rPr>
        <w:t xml:space="preserve"> Spring Forecast experiment (SFE) </w:t>
      </w:r>
      <w:r w:rsidR="00423D15" w:rsidRPr="005F164F">
        <w:rPr>
          <w:szCs w:val="24"/>
        </w:rPr>
        <w:t xml:space="preserve">from 2019 to 2021 (Gao et al. </w:t>
      </w:r>
      <w:r w:rsidR="00423D15" w:rsidRPr="00DC333A">
        <w:rPr>
          <w:szCs w:val="24"/>
        </w:rPr>
        <w:t>2021, 2022; Carpenter 2022).</w:t>
      </w:r>
      <w:r w:rsidR="00423D15" w:rsidRPr="005F164F">
        <w:rPr>
          <w:szCs w:val="24"/>
        </w:rPr>
        <w:t xml:space="preserve"> The SFE/HWT platform </w:t>
      </w:r>
      <w:r w:rsidR="00AD13C1" w:rsidRPr="005F164F">
        <w:rPr>
          <w:szCs w:val="24"/>
        </w:rPr>
        <w:t xml:space="preserve">provides a unique opportunity to evaluate the use of </w:t>
      </w:r>
      <w:r w:rsidR="00423D15" w:rsidRPr="005F164F">
        <w:rPr>
          <w:szCs w:val="24"/>
        </w:rPr>
        <w:t xml:space="preserve">any </w:t>
      </w:r>
      <w:r w:rsidR="00AD13C1" w:rsidRPr="005F164F">
        <w:rPr>
          <w:szCs w:val="24"/>
        </w:rPr>
        <w:t xml:space="preserve">DA and forecast system as guidance for the prediction of </w:t>
      </w:r>
      <w:r w:rsidR="00607366">
        <w:rPr>
          <w:szCs w:val="24"/>
        </w:rPr>
        <w:t xml:space="preserve">severe and </w:t>
      </w:r>
      <w:r w:rsidR="00101AEA">
        <w:rPr>
          <w:szCs w:val="24"/>
        </w:rPr>
        <w:t>high-impact</w:t>
      </w:r>
      <w:r w:rsidR="00607366" w:rsidRPr="005F164F">
        <w:rPr>
          <w:szCs w:val="24"/>
        </w:rPr>
        <w:t xml:space="preserve"> </w:t>
      </w:r>
      <w:r w:rsidR="00AD13C1" w:rsidRPr="005F164F">
        <w:rPr>
          <w:szCs w:val="24"/>
        </w:rPr>
        <w:t xml:space="preserve">convective weather. </w:t>
      </w:r>
      <w:r w:rsidR="00423D15" w:rsidRPr="005F164F">
        <w:rPr>
          <w:szCs w:val="24"/>
        </w:rPr>
        <w:t>So</w:t>
      </w:r>
      <w:r w:rsidR="00137D1D">
        <w:rPr>
          <w:szCs w:val="24"/>
        </w:rPr>
        <w:t>,</w:t>
      </w:r>
      <w:r w:rsidR="00423D15" w:rsidRPr="005F164F">
        <w:rPr>
          <w:szCs w:val="24"/>
        </w:rPr>
        <w:t xml:space="preserve"> it is very important to also test our newly developed WoF-Hy</w:t>
      </w:r>
      <w:r w:rsidR="00137D1D">
        <w:rPr>
          <w:szCs w:val="24"/>
        </w:rPr>
        <w:t>b</w:t>
      </w:r>
      <w:r w:rsidR="00423D15" w:rsidRPr="005F164F">
        <w:rPr>
          <w:szCs w:val="24"/>
        </w:rPr>
        <w:t>rid</w:t>
      </w:r>
      <w:r w:rsidR="00AD13C1" w:rsidRPr="005F164F">
        <w:rPr>
          <w:szCs w:val="24"/>
        </w:rPr>
        <w:t xml:space="preserve"> </w:t>
      </w:r>
      <w:r w:rsidR="00F73C78" w:rsidRPr="005F164F">
        <w:rPr>
          <w:szCs w:val="24"/>
        </w:rPr>
        <w:t xml:space="preserve">for </w:t>
      </w:r>
      <w:r w:rsidR="00607366" w:rsidRPr="005F164F">
        <w:rPr>
          <w:szCs w:val="24"/>
        </w:rPr>
        <w:t xml:space="preserve">some </w:t>
      </w:r>
      <w:r w:rsidR="00F73C78" w:rsidRPr="005F164F">
        <w:rPr>
          <w:szCs w:val="24"/>
        </w:rPr>
        <w:t xml:space="preserve">severe and high-impact weather events from 2020 and 2021 </w:t>
      </w:r>
      <w:r w:rsidR="002E41D6">
        <w:rPr>
          <w:szCs w:val="24"/>
        </w:rPr>
        <w:t xml:space="preserve">during </w:t>
      </w:r>
      <w:r w:rsidR="00D055EF">
        <w:rPr>
          <w:szCs w:val="24"/>
        </w:rPr>
        <w:t xml:space="preserve">the </w:t>
      </w:r>
      <w:r w:rsidR="00780F14">
        <w:rPr>
          <w:szCs w:val="24"/>
        </w:rPr>
        <w:t>SFE</w:t>
      </w:r>
      <w:r w:rsidR="00F73C78" w:rsidRPr="005F164F">
        <w:rPr>
          <w:szCs w:val="24"/>
        </w:rPr>
        <w:t>/</w:t>
      </w:r>
      <w:r w:rsidR="00780F14">
        <w:rPr>
          <w:szCs w:val="24"/>
        </w:rPr>
        <w:t>HWT</w:t>
      </w:r>
      <w:r w:rsidR="00F73C78" w:rsidRPr="005F164F">
        <w:rPr>
          <w:szCs w:val="24"/>
        </w:rPr>
        <w:t xml:space="preserve"> test period. </w:t>
      </w:r>
      <w:r w:rsidR="00AD13C1" w:rsidRPr="005F164F">
        <w:rPr>
          <w:szCs w:val="24"/>
        </w:rPr>
        <w:t xml:space="preserve">Chapter 5 of this dissertation </w:t>
      </w:r>
      <w:r w:rsidR="00F73C78" w:rsidRPr="005F164F">
        <w:rPr>
          <w:szCs w:val="24"/>
        </w:rPr>
        <w:t>will test newly updated WoF-Hybrid with sever</w:t>
      </w:r>
      <w:r w:rsidR="00AD7045">
        <w:rPr>
          <w:szCs w:val="24"/>
        </w:rPr>
        <w:t>al</w:t>
      </w:r>
      <w:r w:rsidR="00152FD3" w:rsidRPr="005F164F">
        <w:rPr>
          <w:szCs w:val="24"/>
        </w:rPr>
        <w:t xml:space="preserve"> poor</w:t>
      </w:r>
      <w:r w:rsidR="00137D1D">
        <w:rPr>
          <w:szCs w:val="24"/>
        </w:rPr>
        <w:t>ly</w:t>
      </w:r>
      <w:r w:rsidR="00152FD3" w:rsidRPr="005F164F">
        <w:rPr>
          <w:szCs w:val="24"/>
        </w:rPr>
        <w:t xml:space="preserve"> perform</w:t>
      </w:r>
      <w:r w:rsidR="00137D1D">
        <w:rPr>
          <w:szCs w:val="24"/>
        </w:rPr>
        <w:t>ed</w:t>
      </w:r>
      <w:r w:rsidR="00F73C78" w:rsidRPr="005F164F">
        <w:rPr>
          <w:szCs w:val="24"/>
        </w:rPr>
        <w:t xml:space="preserve"> cases</w:t>
      </w:r>
      <w:r w:rsidR="00152FD3" w:rsidRPr="005F164F">
        <w:rPr>
          <w:szCs w:val="24"/>
        </w:rPr>
        <w:t xml:space="preserve">, </w:t>
      </w:r>
      <w:r w:rsidR="00F57FE3">
        <w:rPr>
          <w:rFonts w:hint="eastAsia"/>
          <w:szCs w:val="24"/>
        </w:rPr>
        <w:t>and</w:t>
      </w:r>
      <w:r w:rsidR="00F57FE3">
        <w:rPr>
          <w:szCs w:val="24"/>
        </w:rPr>
        <w:t xml:space="preserve"> </w:t>
      </w:r>
      <w:r w:rsidR="00152FD3" w:rsidRPr="005F164F">
        <w:rPr>
          <w:szCs w:val="24"/>
        </w:rPr>
        <w:t>especially focus on evaluating</w:t>
      </w:r>
      <w:r w:rsidR="00152FD3">
        <w:t xml:space="preserve"> </w:t>
      </w:r>
      <w:r w:rsidR="00AD13C1">
        <w:t xml:space="preserve">the performance </w:t>
      </w:r>
      <w:r w:rsidR="00AD13C1">
        <w:lastRenderedPageBreak/>
        <w:t xml:space="preserve">of using weather-dependent error </w:t>
      </w:r>
      <w:r w:rsidR="00F35DB8">
        <w:t>covariances</w:t>
      </w:r>
      <w:r w:rsidR="00AD13C1">
        <w:t xml:space="preserve"> with these events in both qualitative and quantitative manner</w:t>
      </w:r>
      <w:r w:rsidR="00CE5AA0">
        <w:t>s</w:t>
      </w:r>
      <w:r w:rsidR="00AD13C1">
        <w:t xml:space="preserve">. </w:t>
      </w:r>
    </w:p>
    <w:p w14:paraId="1B0549FF" w14:textId="77777777" w:rsidR="00AD13C1" w:rsidRPr="00AD13C1" w:rsidRDefault="00AD13C1" w:rsidP="00AD13C1">
      <w:pPr>
        <w:rPr>
          <w:rFonts w:cs="Times New Roman"/>
          <w:szCs w:val="24"/>
        </w:rPr>
      </w:pPr>
    </w:p>
    <w:p w14:paraId="565DD8F1" w14:textId="77777777" w:rsidR="006C690B" w:rsidRPr="008D1F89" w:rsidRDefault="006C690B">
      <w:pPr>
        <w:pStyle w:val="Heading2"/>
      </w:pPr>
      <w:bookmarkStart w:id="12" w:name="_Toc130995427"/>
      <w:bookmarkStart w:id="13" w:name="_Toc131018292"/>
      <w:r w:rsidRPr="008D1F89">
        <w:t>Overview of the dissertation</w:t>
      </w:r>
      <w:bookmarkEnd w:id="12"/>
      <w:bookmarkEnd w:id="13"/>
    </w:p>
    <w:p w14:paraId="69586A84" w14:textId="73CF36A5" w:rsidR="006C690B" w:rsidRDefault="006C690B" w:rsidP="008D1F89">
      <w:r w:rsidRPr="5B610C6B">
        <w:t xml:space="preserve">This dissertation first describes the </w:t>
      </w:r>
      <w:r w:rsidR="00604687">
        <w:t>early version of the</w:t>
      </w:r>
      <w:r w:rsidR="00AD13C1">
        <w:t xml:space="preserve"> </w:t>
      </w:r>
      <w:r w:rsidR="00137D1D">
        <w:t>WoF-Hybrid</w:t>
      </w:r>
      <w:r w:rsidR="0073579B">
        <w:t xml:space="preserve"> and WoFS</w:t>
      </w:r>
      <w:r w:rsidR="00AD13C1">
        <w:t xml:space="preserve"> </w:t>
      </w:r>
      <w:r w:rsidRPr="5B610C6B">
        <w:t xml:space="preserve">in Chapter 2. </w:t>
      </w:r>
      <w:r w:rsidR="00AD13C1">
        <w:t xml:space="preserve">The rest of this dissertation </w:t>
      </w:r>
      <w:r w:rsidR="00604687">
        <w:t xml:space="preserve">describes the development of several pieces of new elements for WoF-Hybrid and </w:t>
      </w:r>
      <w:r w:rsidR="00AD13C1">
        <w:t xml:space="preserve">employs this system to assimilate satellite derived observations and to evaluate the impact of weather-dependent error </w:t>
      </w:r>
      <w:r w:rsidR="00F35DB8">
        <w:t>covariances</w:t>
      </w:r>
      <w:r w:rsidR="00AD13C1">
        <w:t xml:space="preserve"> for a variety of severe </w:t>
      </w:r>
      <w:r w:rsidR="00604687">
        <w:t xml:space="preserve">and </w:t>
      </w:r>
      <w:r w:rsidR="00101AEA">
        <w:t>high-impact</w:t>
      </w:r>
      <w:r w:rsidR="00604687">
        <w:t xml:space="preserve"> </w:t>
      </w:r>
      <w:r w:rsidR="00AD13C1">
        <w:t>weather events.</w:t>
      </w:r>
      <w:r w:rsidRPr="5B610C6B">
        <w:t xml:space="preserve"> </w:t>
      </w:r>
      <w:r w:rsidR="00AD13C1">
        <w:t>More s</w:t>
      </w:r>
      <w:r w:rsidRPr="5B610C6B">
        <w:t xml:space="preserve">pecifically, the following scientific questions are </w:t>
      </w:r>
      <w:r w:rsidR="00533BAD">
        <w:t>mainly address</w:t>
      </w:r>
      <w:r w:rsidR="00AD13C1">
        <w:t>ed</w:t>
      </w:r>
      <w:r w:rsidRPr="5B610C6B">
        <w:t xml:space="preserve">: (i) Would </w:t>
      </w:r>
      <w:r w:rsidR="00AD13C1">
        <w:t>assimilating satellite-derived observations in addition to radar observation</w:t>
      </w:r>
      <w:r w:rsidR="00F57FE3">
        <w:t>s</w:t>
      </w:r>
      <w:r w:rsidRPr="5B610C6B">
        <w:t xml:space="preserve"> help improve the analysis and </w:t>
      </w:r>
      <w:r w:rsidR="00AD13C1">
        <w:t>forecast for severe weather events</w:t>
      </w:r>
      <w:r w:rsidRPr="5B610C6B">
        <w:t xml:space="preserve">? </w:t>
      </w:r>
      <w:r w:rsidR="00AD13C1">
        <w:t>And</w:t>
      </w:r>
      <w:r w:rsidRPr="5B610C6B">
        <w:t xml:space="preserve"> (ii) </w:t>
      </w:r>
      <w:r w:rsidR="00F35DB8">
        <w:t>are</w:t>
      </w:r>
      <w:r w:rsidR="00AD13C1">
        <w:t xml:space="preserve"> the weather-dependent error covariance</w:t>
      </w:r>
      <w:r w:rsidR="00F35DB8">
        <w:t>s</w:t>
      </w:r>
      <w:r w:rsidR="00AD13C1">
        <w:t xml:space="preserve"> able to address the problem associated with simultaneous assimilation of observations with different scales?</w:t>
      </w:r>
      <w:r w:rsidRPr="5B610C6B">
        <w:t xml:space="preserve"> </w:t>
      </w:r>
    </w:p>
    <w:p w14:paraId="047F7CF4" w14:textId="442BD29A" w:rsidR="00AD13C1" w:rsidRDefault="00AD13C1" w:rsidP="008D1F89">
      <w:r w:rsidRPr="00AD13C1">
        <w:t xml:space="preserve">Chapter 3 first explores whether assimilating </w:t>
      </w:r>
      <w:r>
        <w:t>satellite-derived</w:t>
      </w:r>
      <w:r w:rsidRPr="00AD13C1">
        <w:t xml:space="preserve"> observations can improve </w:t>
      </w:r>
      <w:r>
        <w:t>forecast</w:t>
      </w:r>
      <w:r w:rsidR="00142D4D">
        <w:t>s</w:t>
      </w:r>
      <w:r w:rsidRPr="00AD13C1">
        <w:t xml:space="preserve"> of </w:t>
      </w:r>
      <w:r>
        <w:t>severe weather events</w:t>
      </w:r>
      <w:r w:rsidRPr="00AD13C1">
        <w:t xml:space="preserve"> and </w:t>
      </w:r>
      <w:r>
        <w:t>their</w:t>
      </w:r>
      <w:r w:rsidRPr="00AD13C1">
        <w:t xml:space="preserve"> relevant </w:t>
      </w:r>
      <w:r>
        <w:t xml:space="preserve">convection </w:t>
      </w:r>
      <w:r w:rsidRPr="00AD13C1">
        <w:t>initiation mechanisms.</w:t>
      </w:r>
      <w:r>
        <w:t xml:space="preserve"> </w:t>
      </w:r>
      <w:r w:rsidRPr="00AD13C1">
        <w:t xml:space="preserve">The </w:t>
      </w:r>
      <w:r w:rsidR="00654C55">
        <w:t xml:space="preserve">three severe and </w:t>
      </w:r>
      <w:r w:rsidR="00101AEA">
        <w:t>high-impact</w:t>
      </w:r>
      <w:r w:rsidR="00654C55">
        <w:t xml:space="preserve"> weather </w:t>
      </w:r>
      <w:r>
        <w:t>events</w:t>
      </w:r>
      <w:r w:rsidRPr="00AD13C1">
        <w:t xml:space="preserve"> of interest occurred </w:t>
      </w:r>
      <w:r>
        <w:t>in 2017 as a result of different synoptic situations</w:t>
      </w:r>
      <w:r w:rsidRPr="00AD13C1">
        <w:t xml:space="preserve">. </w:t>
      </w:r>
      <w:r w:rsidR="006C690B">
        <w:t xml:space="preserve">As part of the investigation, detailed diagnostics </w:t>
      </w:r>
      <w:r>
        <w:t xml:space="preserve">of the analyses and forecasts </w:t>
      </w:r>
      <w:r w:rsidR="006C690B">
        <w:t>are performed in this chapter to explore the</w:t>
      </w:r>
      <w:r>
        <w:t xml:space="preserve"> relative</w:t>
      </w:r>
      <w:r w:rsidR="006C690B">
        <w:t xml:space="preserve"> </w:t>
      </w:r>
      <w:r>
        <w:t>impact</w:t>
      </w:r>
      <w:r w:rsidR="006C690B">
        <w:t xml:space="preserve"> of </w:t>
      </w:r>
      <w:r>
        <w:t>different types of observations</w:t>
      </w:r>
      <w:r w:rsidR="00654C55">
        <w:t>, especially satellite</w:t>
      </w:r>
      <w:r w:rsidR="00F57FE3">
        <w:t>-</w:t>
      </w:r>
      <w:r w:rsidR="00654C55">
        <w:t xml:space="preserve">derived </w:t>
      </w:r>
      <w:r w:rsidR="00137D1D">
        <w:t>CWP</w:t>
      </w:r>
      <w:r w:rsidR="00654C55">
        <w:t xml:space="preserve"> and </w:t>
      </w:r>
      <w:r w:rsidR="00137D1D">
        <w:t>LPW</w:t>
      </w:r>
      <w:r w:rsidR="00654C55">
        <w:t xml:space="preserve"> </w:t>
      </w:r>
      <w:r>
        <w:t>on</w:t>
      </w:r>
      <w:r w:rsidR="006C690B">
        <w:t xml:space="preserve"> </w:t>
      </w:r>
      <w:r>
        <w:t>preparing initial conditions</w:t>
      </w:r>
      <w:r w:rsidR="006C690B">
        <w:t xml:space="preserve"> </w:t>
      </w:r>
      <w:r>
        <w:t xml:space="preserve">for the </w:t>
      </w:r>
      <w:r w:rsidR="002C1860">
        <w:t>convective-scale</w:t>
      </w:r>
      <w:r w:rsidR="00EA474F">
        <w:t xml:space="preserve"> </w:t>
      </w:r>
      <w:r>
        <w:t>NWP</w:t>
      </w:r>
      <w:r w:rsidR="00EA474F">
        <w:t xml:space="preserve"> model </w:t>
      </w:r>
      <w:r w:rsidR="00101AEA">
        <w:t xml:space="preserve">– </w:t>
      </w:r>
      <w:r w:rsidR="00EA474F">
        <w:t xml:space="preserve">WRF to improve </w:t>
      </w:r>
      <w:r w:rsidR="000F3D30">
        <w:t xml:space="preserve">the prediction of </w:t>
      </w:r>
      <w:r w:rsidR="00EA474F">
        <w:t xml:space="preserve">severe and </w:t>
      </w:r>
      <w:r w:rsidR="00101AEA">
        <w:t>high-impact</w:t>
      </w:r>
      <w:r w:rsidR="00EA474F">
        <w:t xml:space="preserve"> weather</w:t>
      </w:r>
      <w:r w:rsidR="006C690B" w:rsidRPr="00723DA9">
        <w:t>.</w:t>
      </w:r>
      <w:r w:rsidR="0093219A">
        <w:t xml:space="preserve"> This part of the dissertation was already published in AMS journal Monthly Weather Review (Pan et al. 2021). </w:t>
      </w:r>
    </w:p>
    <w:p w14:paraId="5C4952E0" w14:textId="20339B7C" w:rsidR="00AD13C1" w:rsidRDefault="006C690B" w:rsidP="008D1F89">
      <w:r>
        <w:t>Next</w:t>
      </w:r>
      <w:r w:rsidR="00AD13C1">
        <w:t>,</w:t>
      </w:r>
      <w:r>
        <w:t xml:space="preserve"> C</w:t>
      </w:r>
      <w:r w:rsidRPr="00723DA9">
        <w:t>hapter 4</w:t>
      </w:r>
      <w:r w:rsidR="00AD13C1">
        <w:t xml:space="preserve"> explores </w:t>
      </w:r>
      <w:r w:rsidR="00C95B08">
        <w:t xml:space="preserve">if </w:t>
      </w:r>
      <w:r w:rsidR="00AD13C1">
        <w:t xml:space="preserve">prediction of severe </w:t>
      </w:r>
      <w:r w:rsidR="000F3D30">
        <w:t xml:space="preserve">and high-impact </w:t>
      </w:r>
      <w:r w:rsidR="00AD13C1">
        <w:t xml:space="preserve">weather events can be improved by </w:t>
      </w:r>
      <w:r w:rsidR="00101AEA">
        <w:t>replacing</w:t>
      </w:r>
      <w:r w:rsidR="00AD13C1">
        <w:t xml:space="preserve"> homogenous </w:t>
      </w:r>
      <w:r w:rsidR="000F3D30">
        <w:t xml:space="preserve">static </w:t>
      </w:r>
      <w:r w:rsidR="00AD13C1">
        <w:t xml:space="preserve">error </w:t>
      </w:r>
      <w:r w:rsidR="00F35DB8">
        <w:t>covariances</w:t>
      </w:r>
      <w:r w:rsidR="00E60DB7">
        <w:t xml:space="preserve"> with the new weather-dependent error </w:t>
      </w:r>
      <w:r w:rsidR="00E60DB7">
        <w:lastRenderedPageBreak/>
        <w:t>covariances</w:t>
      </w:r>
      <w:r w:rsidR="00AD13C1">
        <w:t>.</w:t>
      </w:r>
      <w:r>
        <w:t xml:space="preserve"> </w:t>
      </w:r>
      <w:r w:rsidR="00AD13C1">
        <w:t xml:space="preserve">The method for computing </w:t>
      </w:r>
      <w:r>
        <w:t xml:space="preserve">the </w:t>
      </w:r>
      <w:r w:rsidR="00AD13C1">
        <w:t xml:space="preserve">error </w:t>
      </w:r>
      <w:r w:rsidR="00F35DB8">
        <w:t>covariances</w:t>
      </w:r>
      <w:r w:rsidR="00AD13C1">
        <w:t xml:space="preserve"> is detailed in </w:t>
      </w:r>
      <w:r w:rsidR="00EF201B">
        <w:t xml:space="preserve">this </w:t>
      </w:r>
      <w:r w:rsidR="00101AEA">
        <w:t>c</w:t>
      </w:r>
      <w:r w:rsidR="00AD13C1">
        <w:t xml:space="preserve">hapter. To evaluate the weather-dependent error </w:t>
      </w:r>
      <w:r w:rsidR="00F35DB8">
        <w:t>covariances</w:t>
      </w:r>
      <w:r w:rsidR="00AD13C1">
        <w:t xml:space="preserve">, a single observation experiment and two real data experiments which </w:t>
      </w:r>
      <w:r w:rsidR="007A1E46">
        <w:t>were not</w:t>
      </w:r>
      <w:r w:rsidR="00EF201B">
        <w:t xml:space="preserve"> </w:t>
      </w:r>
      <w:r w:rsidR="00AD13C1">
        <w:t>perform</w:t>
      </w:r>
      <w:r w:rsidR="007A1E46">
        <w:t>ed</w:t>
      </w:r>
      <w:r w:rsidR="00142D4D">
        <w:t xml:space="preserve"> well </w:t>
      </w:r>
      <w:r w:rsidR="00AD13C1">
        <w:t xml:space="preserve">in the </w:t>
      </w:r>
      <w:r w:rsidR="0073579B">
        <w:t xml:space="preserve">quasi- </w:t>
      </w:r>
      <w:r w:rsidR="00AD13C1">
        <w:t>real-time operation</w:t>
      </w:r>
      <w:r w:rsidR="007A1E46">
        <w:t>al environment</w:t>
      </w:r>
      <w:r w:rsidR="00AD13C1">
        <w:t>, are conducted.</w:t>
      </w:r>
    </w:p>
    <w:p w14:paraId="7FFB4967" w14:textId="0948D13A" w:rsidR="006C690B" w:rsidRPr="00723DA9" w:rsidRDefault="00AD13C1" w:rsidP="008917B4">
      <w:r>
        <w:t xml:space="preserve">Finally, Chapter 5 of this </w:t>
      </w:r>
      <w:r w:rsidR="006C690B">
        <w:t>dissertation</w:t>
      </w:r>
      <w:r w:rsidR="006C690B" w:rsidRPr="00723DA9">
        <w:t xml:space="preserve"> </w:t>
      </w:r>
      <w:r>
        <w:t xml:space="preserve">addresses the systematic performance of </w:t>
      </w:r>
      <w:r w:rsidR="00B65AEA">
        <w:t xml:space="preserve">WoF-Hybrid with </w:t>
      </w:r>
      <w:r>
        <w:t xml:space="preserve">the </w:t>
      </w:r>
      <w:r w:rsidR="00F35DB8">
        <w:t xml:space="preserve">new </w:t>
      </w:r>
      <w:r>
        <w:t xml:space="preserve">weather-dependent error </w:t>
      </w:r>
      <w:r w:rsidR="00F35DB8">
        <w:t>covariances</w:t>
      </w:r>
      <w:r>
        <w:t xml:space="preserve"> across five poorly performed events in 2020 and 2021 real-time application</w:t>
      </w:r>
      <w:r w:rsidR="0037032C">
        <w:t xml:space="preserve">, especially for the rare high-impact and severe weather event – </w:t>
      </w:r>
      <w:r w:rsidR="00B54B9C">
        <w:t xml:space="preserve">10 </w:t>
      </w:r>
      <w:r w:rsidR="0037032C">
        <w:t>December 2021 tornado outbreak which was</w:t>
      </w:r>
      <w:r w:rsidR="007746CA">
        <w:t xml:space="preserve"> named as</w:t>
      </w:r>
      <w:r w:rsidR="0037032C">
        <w:t xml:space="preserve"> the world’s </w:t>
      </w:r>
      <w:r w:rsidR="00C95B08">
        <w:t>No. 3 highest</w:t>
      </w:r>
      <w:r w:rsidR="0037032C">
        <w:t xml:space="preserve"> </w:t>
      </w:r>
      <w:r w:rsidR="004D605B">
        <w:rPr>
          <w:rFonts w:hint="eastAsia"/>
        </w:rPr>
        <w:t>catastrophic</w:t>
      </w:r>
      <w:r w:rsidR="0037032C">
        <w:t xml:space="preserve"> </w:t>
      </w:r>
      <w:r w:rsidR="007746CA">
        <w:t xml:space="preserve">weather and climate </w:t>
      </w:r>
      <w:r w:rsidR="0037032C">
        <w:t xml:space="preserve">event by </w:t>
      </w:r>
      <w:r w:rsidR="008917B4" w:rsidRPr="008917B4">
        <w:t>Cable News Network</w:t>
      </w:r>
      <w:r>
        <w:t>.</w:t>
      </w:r>
      <w:r w:rsidR="006C690B" w:rsidRPr="00723DA9">
        <w:t xml:space="preserve"> </w:t>
      </w:r>
      <w:r>
        <w:t xml:space="preserve">These events also represent the wide spectrum of mechanisms for the initiation and development of </w:t>
      </w:r>
      <w:r w:rsidR="004D605B">
        <w:t>strong convective storms</w:t>
      </w:r>
      <w:r>
        <w:t xml:space="preserve">. The evaluation is conducted in both qualitative and quantitative manner for composite reflectivity and </w:t>
      </w:r>
      <w:r w:rsidR="00755919">
        <w:t>midlevel</w:t>
      </w:r>
      <w:r>
        <w:t xml:space="preserve"> updraft helicity forecasts.</w:t>
      </w:r>
      <w:r w:rsidR="006C690B">
        <w:t xml:space="preserve"> </w:t>
      </w:r>
      <w:r w:rsidR="008917B4">
        <w:t xml:space="preserve"> </w:t>
      </w:r>
      <w:r w:rsidR="00C95B08">
        <w:t>Finally, a</w:t>
      </w:r>
      <w:r w:rsidR="006C690B" w:rsidRPr="00723DA9">
        <w:t xml:space="preserve"> general summary and future plans are given in Chapter 6.</w:t>
      </w:r>
    </w:p>
    <w:p w14:paraId="663BF37F" w14:textId="77777777" w:rsidR="006C690B" w:rsidRPr="00723DA9" w:rsidRDefault="006C690B" w:rsidP="006C690B">
      <w:pPr>
        <w:rPr>
          <w:rFonts w:eastAsiaTheme="majorEastAsia" w:cs="Times New Roman"/>
          <w:b/>
          <w:szCs w:val="24"/>
        </w:rPr>
      </w:pPr>
      <w:r w:rsidRPr="00723DA9">
        <w:rPr>
          <w:rFonts w:cs="Times New Roman"/>
          <w:b/>
          <w:szCs w:val="24"/>
        </w:rPr>
        <w:br w:type="page"/>
      </w:r>
    </w:p>
    <w:p w14:paraId="24F92B60" w14:textId="7834D873" w:rsidR="006C690B" w:rsidRPr="008D1F89" w:rsidRDefault="004512A7">
      <w:pPr>
        <w:pStyle w:val="Heading1"/>
      </w:pPr>
      <w:bookmarkStart w:id="14" w:name="_Toc130995428"/>
      <w:bookmarkStart w:id="15" w:name="_Toc131018293"/>
      <w:r>
        <w:lastRenderedPageBreak/>
        <w:t xml:space="preserve">The </w:t>
      </w:r>
      <w:r w:rsidR="00AD13C1" w:rsidRPr="008D1F89">
        <w:t>Methods and System</w:t>
      </w:r>
      <w:r>
        <w:t>s</w:t>
      </w:r>
      <w:r w:rsidR="00AD13C1" w:rsidRPr="008D1F89">
        <w:t xml:space="preserve"> Description</w:t>
      </w:r>
      <w:bookmarkEnd w:id="14"/>
      <w:bookmarkEnd w:id="15"/>
    </w:p>
    <w:p w14:paraId="0601CC5C" w14:textId="1E03A302" w:rsidR="006C690B" w:rsidRPr="008D1F89" w:rsidRDefault="006C690B">
      <w:pPr>
        <w:pStyle w:val="Heading2"/>
      </w:pPr>
      <w:bookmarkStart w:id="16" w:name="_Toc130995429"/>
      <w:bookmarkStart w:id="17" w:name="_Toc131018294"/>
      <w:r w:rsidRPr="008D1F89">
        <w:t xml:space="preserve">Overview of the </w:t>
      </w:r>
      <w:r w:rsidR="003112AD">
        <w:t xml:space="preserve">Early Version of </w:t>
      </w:r>
      <w:r w:rsidR="009E00CF">
        <w:rPr>
          <w:szCs w:val="24"/>
        </w:rPr>
        <w:t>the pure</w:t>
      </w:r>
      <w:r w:rsidR="009E00CF" w:rsidRPr="00506D3C">
        <w:rPr>
          <w:szCs w:val="24"/>
        </w:rPr>
        <w:t xml:space="preserve"> 3DVAR</w:t>
      </w:r>
      <w:r w:rsidR="009E00CF" w:rsidDel="009E00CF">
        <w:t xml:space="preserve"> </w:t>
      </w:r>
      <w:r w:rsidR="003112AD">
        <w:t>System</w:t>
      </w:r>
      <w:bookmarkEnd w:id="16"/>
      <w:bookmarkEnd w:id="17"/>
      <w:r w:rsidR="003112AD">
        <w:t xml:space="preserve"> </w:t>
      </w:r>
    </w:p>
    <w:p w14:paraId="577369CC" w14:textId="21CF5722" w:rsidR="00AD13C1" w:rsidRPr="00506D3C" w:rsidRDefault="00AD13C1" w:rsidP="008D1F89">
      <w:pPr>
        <w:rPr>
          <w:iCs/>
          <w:szCs w:val="24"/>
        </w:rPr>
      </w:pPr>
      <w:r w:rsidRPr="00506D3C">
        <w:rPr>
          <w:szCs w:val="24"/>
        </w:rPr>
        <w:t>The WoF-Hybrid system is a development mainly based on the AR</w:t>
      </w:r>
      <w:r w:rsidR="00F57FE3">
        <w:rPr>
          <w:szCs w:val="24"/>
        </w:rPr>
        <w:t>P</w:t>
      </w:r>
      <w:r w:rsidRPr="00506D3C">
        <w:rPr>
          <w:szCs w:val="24"/>
        </w:rPr>
        <w:t xml:space="preserve">S 3DVAR </w:t>
      </w:r>
      <w:r w:rsidR="003F0051">
        <w:rPr>
          <w:szCs w:val="24"/>
        </w:rPr>
        <w:t>DA</w:t>
      </w:r>
      <w:r w:rsidRPr="00506D3C">
        <w:rPr>
          <w:szCs w:val="24"/>
        </w:rPr>
        <w:t xml:space="preserve"> system</w:t>
      </w:r>
      <w:r w:rsidR="009E00CF">
        <w:rPr>
          <w:szCs w:val="24"/>
        </w:rPr>
        <w:t xml:space="preserve"> developed at </w:t>
      </w:r>
      <w:r w:rsidR="006D0DFF">
        <w:rPr>
          <w:szCs w:val="24"/>
        </w:rPr>
        <w:t>CAPS</w:t>
      </w:r>
      <w:r w:rsidR="009E00CF">
        <w:rPr>
          <w:szCs w:val="24"/>
        </w:rPr>
        <w:t xml:space="preserve"> and NOAA/</w:t>
      </w:r>
      <w:r w:rsidR="006D0DFF">
        <w:rPr>
          <w:szCs w:val="24"/>
        </w:rPr>
        <w:t>NSSL</w:t>
      </w:r>
      <w:r w:rsidRPr="00506D3C">
        <w:rPr>
          <w:szCs w:val="24"/>
        </w:rPr>
        <w:t xml:space="preserve"> </w:t>
      </w:r>
      <w:r w:rsidRPr="00506D3C">
        <w:rPr>
          <w:szCs w:val="24"/>
        </w:rPr>
        <w:fldChar w:fldCharType="begin"/>
      </w:r>
      <w:r w:rsidR="00186B73">
        <w:rPr>
          <w:szCs w:val="24"/>
        </w:rPr>
        <w:instrText xml:space="preserve"> ADDIN ZOTERO_ITEM CSL_CITATION {"citationID":"m4zYX61z","properties":{"formattedCitation":"(Gao et al. 1999, 2004; Hu et al. 2006; Gao and Stensrud 2012)","plainCitation":"(Gao et al. 1999, 2004; Hu et al. 2006; Gao and Stensrud 2012)","dontUpdate":true,"noteIndex":0},"citationItems":[{"id":285,"uris":["http://zotero.org/users/local/6VSApgKp/items/PK26CMSC"],"itemData":{"id":285,"type":"article-journal","abstract":"Abstract This paper proposes a new method of dual-Doppler radar analysis based on a variational approach. In it, a cost function, defined as the distance between the analysis and the observations at the data points, is minimized through a limited memory, quasi-Newton conjugate gradient algorithm with the mass continuity equation imposed as a weak constraint. The analysis is performed in Cartesian space. Compared with traditional methods, the variational method offers much more flexibility in its use of observational data and various constraints. Using the radar data directly at observation locations avoids an interpolation step, which is often a source of error, especially in the presence of data voids. In addition, using the mass continuity equation as a weak instead of strong constraint avoids the error accumulation and the subsequent somewhat arbitrary adjustment associated with the explicit vertical integration of the continuity equation. The current method is tested on both model-simulated and observed datasets of supercell storms. It is shown that the circulation inside and around the storms, including the strong updraft and associated downdraft, is well analyzed in both cases. Furthermore, the authors found that the analysis is not very sensitive to the specification of boundary conditions and to data contamination. The method also has the potential for retrieving, with reasonable accuracy, the wind in regions of single-Doppler radar coverage.","container-title":"Monthly Weather Review","DOI":"10.1175/1520-0493(1999)127&lt;2128:AVMFTA&gt;2.0.CO;2","ISSN":"1520-0493, 0027-0644","issue":"9","language":"EN","note":"publisher: American Meteorological Society\nsection: Monthly Weather Review","page":"2128-2142","source":"journals.ametsoc.org","title":"A Variational Method for the Analysis of Three-Dimensional Wind Fields from Two Doppler Radars","volume":"127","author":[{"family":"Gao","given":"Jidong"},{"family":"Xue","given":"Ming"},{"family":"Shapiro","given":"Alan"},{"family":"Droegemeier","given":"Kelvin K."}],"issued":{"date-parts":[["1999",9,1]]},"citation-key":"gaoVariationalMethodAnalysis1999"}},{"id":80,"uris":["http://zotero.org/users/local/6VSApgKp/items/8I9QVS4P"],"itemData":{"id":80,"type":"article-journal","abstract":"&lt;section class=\"abstract\"&gt;&lt;h2 class=\"abstractTitle text-title my-1\" id=\"d155362577e78\"&gt;Abstract&lt;/h2&gt;&lt;p&gt;In this paper, a new method of dual-Doppler radar wind analysis based on a three-dimensional variational data assimilation (3DVAR) approach is proposed. In it, a cost function, including background term and radial observation term, is minimized through a limited memory, quasi-Newton conjugate-gradient algorithm with the mass continuity equation imposed as a weak constraint. In the method, the background error covariance matrix, though simple in this case, is modeled by a recursive filter. Furthermore, the square root of this matrix is used to precondition the minimization problem.&lt;/p&gt;&lt;p&gt;The current method is applied to Doppler radar observation of a supercell storm, and the analysis results are compared to a conceptual model and previous research. It is shown that the horizontal circulations, both within and around the storms, as well as the strong updraft and the associated downdraft, are well analyzed. Because no explicit integration of the anelastic mass continuity equation is involved, error accumulation associated with such integration is avoided. As a result, the method is less sensitive to the vertical boundary uncertainties.&lt;/p&gt;&lt;/section&gt;","container-title":"Journal of Atmospheric and Oceanic Technology","DOI":"10.1175/1520-0426(2004)021&lt;0457:ATVDAM&gt;2.0.CO;2","ISSN":"0739-0572, 1520-0426","issue":"3","language":"EN","note":"publisher: American Meteorological Society\nsection: Journal of Atmospheric and Oceanic Technology","page":"457-469","source":"journals.ametsoc.org","title":"A Three-Dimensional Variational Data Analysis Method with Recursive Filter for Doppler Radars","volume":"21","author":[{"family":"Gao","given":"Jidong"},{"family":"Xue","given":"Ming"},{"family":"Brewster","given":"Keith"},{"family":"Droegemeier","given":"Kelvin K."}],"issued":{"date-parts":[["2004",3,1]]},"citation-key":"gaoThreeDimensionalVariationalData2004"}},{"id":389,"uris":["http://zotero.org/users/local/6VSApgKp/items/RMJHCMWP"],"itemData":{"id":389,"type":"article-journal","abstract":"Abstract In this two-part paper, the impact of level-II Weather Surveillance Radar-1988 Doppler (WSR-88D) reflectivity and radial velocity data on the prediction of a cluster of tornadic thunderstorms in the Advanced Regional Prediction System (ARPS) model are studied. Radar reflectivity data are used primarily in a cloud analysis procedure that retrieves the amount of hydrometeors and adjusts in-cloud temperature, moisture, and cloud fields, while radial velocity data are analyzed through a three-dimensional variational (3DVAR) scheme that contains a mass divergence constraint in the cost function. In Part I, the impact of the cloud analysis and modifications to the scheme are examined while Part II focuses on the impact of radial velocity and the mass divergence constraint. The case studied is that of the 28 March 2000 Fort Worth, Texas, tornado outbreaks. The same case was studied by Xue et al. using the ARPS Data Analysis System (ADAS) and an earlier version of the cloud analysis procedure with WSR-88D level-III data. Since then, several modifications to the cloud analysis procedure, including those to the in-cloud temperature adjustment and the analysis of precipitation species, have been made. They are described in detail with examples. The assimilation and predictions use a 3-km grid nested inside a 9-km one. The level-II reflectivity data are assimilated, through the cloud analysis, at 10-min intervals in a 1-h period that ends a little over 1 h preceding the first tornado outbreak. Experiments with different settings within the cloud analysis procedure are examined. It is found that the experiment using the improved cloud analysis procedure with reflectivity data can capture the important characteristics of the main tornadic thunderstorm more accurately than the experiment using the early version of cloud analysis. The contributions of different modifications to the above improvements are investigated.","container-title":"Monthly Weather Review","DOI":"10.1175/MWR3092.1","ISSN":"1520-0493, 0027-0644","issue":"2","language":"EN","note":"publisher: American Meteorological Society\nsection: Monthly Weather Review","page":"675-698","source":"journals-ametsoc-org.ezproxy.lib.ou.edu","title":"3DVAR and Cloud Analysis with WSR-88D Level-II Data for the Prediction of the Fort Worth, Texas, Tornadic Thunderstorms. Part I: Cloud Analysis and Its Impact","title-short":"3DVAR and Cloud Analysis with WSR-88D Level-II Data for the Prediction of the Fort Worth, Texas, Tornadic Thunderstorms. Part I","volume":"134","author":[{"family":"Hu","given":"Ming"},{"family":"Xue","given":"Ming"},{"family":"Brewster","given":"Keith"}],"issued":{"date-parts":[["2006",2,1]]},"citation-key":"hu3DVARCloudAnalysis2006"}},{"id":461,"uris":["http://zotero.org/users/local/6VSApgKp/items/EIUDWW5C"],"itemData":{"id":461,"type":"article-journal","abstract":"Abstract The impact of assimilating radar reflectivity and radial velocity data with an intermittent, cycled three-dimensional variational assimilation (3DVAR) system is explored using an idealized thunderstorm case and a real data case on 8 May 2003. A new forward operator for radar reflectivity is developed that uses a background temperature field provided by a numerical weather prediction model for automatic hydrometeor classification. Three types of experiments are performed on both the idealized and real data cases. The first experiment uses radial velocity data only, the second experiment uses both radial velocity and reflectivity data without hydrometeor classification, and the final experiment uses both radial velocity and reflectivity data with hydrometeor classification. All experiments advance the analysis state to the next observation time using a numerical model prediction, which is then used as the background for the next analysis. Results from both the idealized and real data cases show that, assimilating only radial velocity data, the model can reconstruct the supercell thunderstorm after several cycles, but the development of precipitation is delayed because of the well-known spinup problem. The spinup problem is reduced dramatically when assimilating reflectivity without hydrometeor classification. The analyses are further improved using the new reflectivity formulation with hydrometeor classification. This study represents a successful first effort in variational convective-scale data assimilation to partition hydrometeors using a background temperature field from a numerical weather prediction model.","container-title":"Journal of the Atmospheric Sciences","DOI":"10.1175/JAS-D-11-0162.1","ISSN":"0022-4928, 1520-0469","issue":"3","language":"EN","note":"publisher: American Meteorological Society\nsection: Journal of the Atmospheric Sciences","page":"1054-1065","source":"journals.ametsoc.org","title":"Assimilation of Reflectivity Data in a Convective-Scale, Cycled 3DVAR Framework with Hydrometeor Classification","volume":"69","author":[{"family":"Gao","given":"Jidong"},{"family":"Stensrud","given":"David J."}],"issued":{"date-parts":[["2012",3,1]]},"citation-key":"gaoAssimilationReflectivityData2012"}}],"schema":"https://github.com/citation-style-language/schema/raw/master/csl-citation.json"} </w:instrText>
      </w:r>
      <w:r w:rsidRPr="00506D3C">
        <w:rPr>
          <w:szCs w:val="24"/>
        </w:rPr>
        <w:fldChar w:fldCharType="separate"/>
      </w:r>
      <w:r w:rsidRPr="00506D3C">
        <w:rPr>
          <w:noProof/>
          <w:szCs w:val="24"/>
        </w:rPr>
        <w:t xml:space="preserve">(Gao et al. 1999, 2004; Hu et al. 2006; </w:t>
      </w:r>
      <w:r w:rsidR="009E00CF">
        <w:rPr>
          <w:noProof/>
          <w:szCs w:val="24"/>
        </w:rPr>
        <w:t xml:space="preserve">Stensrud and Gao 2010; </w:t>
      </w:r>
      <w:r w:rsidRPr="00506D3C">
        <w:rPr>
          <w:noProof/>
          <w:szCs w:val="24"/>
        </w:rPr>
        <w:t>Gao and Stensrud 2012)</w:t>
      </w:r>
      <w:r w:rsidRPr="00506D3C">
        <w:rPr>
          <w:szCs w:val="24"/>
        </w:rPr>
        <w:fldChar w:fldCharType="end"/>
      </w:r>
      <w:r w:rsidRPr="00506D3C">
        <w:rPr>
          <w:szCs w:val="24"/>
        </w:rPr>
        <w:t xml:space="preserve">, which was </w:t>
      </w:r>
      <w:r w:rsidR="006C1602">
        <w:rPr>
          <w:szCs w:val="24"/>
        </w:rPr>
        <w:t>used</w:t>
      </w:r>
      <w:r w:rsidR="006C1602" w:rsidRPr="00506D3C">
        <w:rPr>
          <w:szCs w:val="24"/>
        </w:rPr>
        <w:t xml:space="preserve"> </w:t>
      </w:r>
      <w:r w:rsidRPr="00506D3C">
        <w:rPr>
          <w:szCs w:val="24"/>
        </w:rPr>
        <w:t xml:space="preserve">to specifically assimilate radar reflectivity and radial velocity and used for high-resolution (1 km) and high frequency (every 5 minutes) real-time analysis of atmospheric states </w:t>
      </w:r>
      <w:r w:rsidRPr="00506D3C">
        <w:rPr>
          <w:szCs w:val="24"/>
        </w:rPr>
        <w:fldChar w:fldCharType="begin"/>
      </w:r>
      <w:r w:rsidRPr="00506D3C">
        <w:rPr>
          <w:szCs w:val="24"/>
        </w:rPr>
        <w:instrText xml:space="preserve"> ADDIN ZOTERO_ITEM CSL_CITATION {"citationID":"Vc3fRRQY","properties":{"formattedCitation":"(Gao et al. 2013)","plainCitation":"(Gao et al. 2013)","noteIndex":0},"citationItems":[{"id":359,"uris":["http://zotero.org/users/local/6VSApgKp/items/5X8IN2IW"],"itemData":{"id":359,"type":"article-journal","abstract":"Abstract A real-time, weather-adaptive three-dimensional variational data assimilation (3DVAR) system has been adapted for the NOAA Warn-on-Forecast (WoF) project to incorporate all available radar observations within a moveable analysis domain. The key features of the system include 1) incorporating radar observations from multiple Weather Surveillance Radars-1988 Doppler (WSR-88Ds) with NCEP forecast products as a background state, 2) the ability to automatically detect and analyze severe local hazardous weather events at 1-km horizontal resolution every 5 min in real time based on the current weather situation, and 3) the identification of strong circulation patterns embedded in thunderstorms. Although still in the early development stage, the system performed very well within the NOAA's Hazardous Weather Testbed (HWT) Experimental Warning Program during preliminary testing in spring 2010 when many severe weather events were successfully detected and analyzed. This study represents a first step in the assessment of this type of 3DVAR analysis for use in severe weather warnings. The eventual goal of this real-time 3DVAR system is to help meteorologists better track severe weather events and eventually provide better warning information to the public, ultimately saving lives and reducing property damage.","container-title":"Weather and Forecasting","DOI":"10.1175/WAF-D-12-00093.1","ISSN":"1520-0434, 0882-8156","issue":"3","language":"EN","note":"publisher: American Meteorological Society\nsection: Weather and Forecasting","page":"727-745","source":"journals.ametsoc.org","title":"A Real-Time Weather-Adaptive 3DVAR Analysis System for Severe Weather Detections and Warnings","volume":"28","author":[{"family":"Gao","given":"Jidong"},{"family":"Smith","given":"Travis M."},{"family":"Stensrud","given":"David J."},{"family":"Fu","given":"Chenghao"},{"family":"Calhoun","given":"Kristin"},{"family":"Manross","given":"Kevin L."},{"family":"Brogden","given":"Jeffrey"},{"family":"Lakshmanan","given":"Valliappa"},{"family":"Wang","given":"Yunheng"},{"family":"Thomas","given":"Kevin W."},{"family":"Brewster","given":"Keith"},{"family":"Xue","given":"Ming"}],"issued":{"date-parts":[["2013",6,1]]},"citation-key":"gaoRealTimeWeatherAdaptive3DVAR2013"}}],"schema":"https://github.com/citation-style-language/schema/raw/master/csl-citation.json"} </w:instrText>
      </w:r>
      <w:r w:rsidRPr="00506D3C">
        <w:rPr>
          <w:szCs w:val="24"/>
        </w:rPr>
        <w:fldChar w:fldCharType="separate"/>
      </w:r>
      <w:r w:rsidRPr="00506D3C">
        <w:rPr>
          <w:noProof/>
          <w:szCs w:val="24"/>
        </w:rPr>
        <w:t>(Gao et al. 2013)</w:t>
      </w:r>
      <w:r w:rsidRPr="00506D3C">
        <w:rPr>
          <w:szCs w:val="24"/>
        </w:rPr>
        <w:fldChar w:fldCharType="end"/>
      </w:r>
      <w:r w:rsidRPr="00506D3C">
        <w:rPr>
          <w:szCs w:val="24"/>
        </w:rPr>
        <w:t xml:space="preserve">. </w:t>
      </w:r>
      <w:r w:rsidRPr="00506D3C">
        <w:rPr>
          <w:iCs/>
          <w:szCs w:val="24"/>
        </w:rPr>
        <w:t xml:space="preserve">The cost function </w:t>
      </w:r>
      <w:r w:rsidRPr="00506D3C">
        <w:rPr>
          <w:i/>
          <w:szCs w:val="24"/>
        </w:rPr>
        <w:t>J</w:t>
      </w:r>
      <w:r w:rsidRPr="00506D3C">
        <w:rPr>
          <w:iCs/>
          <w:szCs w:val="24"/>
        </w:rPr>
        <w:t xml:space="preserve"> </w:t>
      </w:r>
      <w:r w:rsidRPr="00506D3C">
        <w:rPr>
          <w:szCs w:val="24"/>
        </w:rPr>
        <w:t>is the sum of the background and observational terms plus a penalty or equation constraint term (</w:t>
      </w:r>
      <w:r w:rsidRPr="00506D3C">
        <w:rPr>
          <w:i/>
          <w:szCs w:val="24"/>
        </w:rPr>
        <w:t>J</w:t>
      </w:r>
      <w:r w:rsidRPr="00506D3C">
        <w:rPr>
          <w:i/>
          <w:szCs w:val="24"/>
          <w:vertAlign w:val="subscript"/>
        </w:rPr>
        <w:t>c</w:t>
      </w:r>
      <w:r w:rsidRPr="00506D3C">
        <w:rPr>
          <w:szCs w:val="24"/>
        </w:rPr>
        <w:t>)</w:t>
      </w:r>
      <w:r w:rsidRPr="00506D3C">
        <w:rPr>
          <w:iCs/>
          <w:szCs w:val="24"/>
        </w:rPr>
        <w:t>, and can be written as:</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35"/>
        <w:gridCol w:w="715"/>
      </w:tblGrid>
      <w:tr w:rsidR="008D1F89" w:rsidRPr="00506D3C" w14:paraId="61678D4B" w14:textId="77777777" w:rsidTr="00506D3C">
        <w:tc>
          <w:tcPr>
            <w:tcW w:w="8635" w:type="dxa"/>
            <w:vAlign w:val="center"/>
          </w:tcPr>
          <w:p w14:paraId="08F2DCA0" w14:textId="0764843D" w:rsidR="008D1F89" w:rsidRPr="00506D3C" w:rsidRDefault="008D1F89" w:rsidP="008D1F89">
            <w:pPr>
              <w:ind w:firstLine="0"/>
              <w:jc w:val="center"/>
              <w:rPr>
                <w:iCs/>
                <w:sz w:val="24"/>
                <w:szCs w:val="24"/>
              </w:rPr>
            </w:pPr>
            <m:oMath>
              <m:r>
                <w:rPr>
                  <w:rFonts w:ascii="Cambria Math" w:hAnsi="Cambria Math"/>
                  <w:sz w:val="24"/>
                  <w:szCs w:val="24"/>
                </w:rPr>
                <m:t>J</m:t>
              </m:r>
              <m:d>
                <m:dPr>
                  <m:ctrlPr>
                    <w:rPr>
                      <w:rFonts w:ascii="Cambria Math" w:hAnsi="Cambria Math"/>
                      <w:i/>
                      <w:iCs/>
                      <w:sz w:val="24"/>
                      <w:szCs w:val="24"/>
                    </w:rPr>
                  </m:ctrlPr>
                </m:dPr>
                <m:e>
                  <m:r>
                    <m:rPr>
                      <m:sty m:val="p"/>
                    </m:rPr>
                    <w:rPr>
                      <w:rFonts w:ascii="Cambria Math" w:hAnsi="Cambria Math"/>
                      <w:sz w:val="24"/>
                      <w:szCs w:val="24"/>
                    </w:rPr>
                    <m:t>x</m:t>
                  </m:r>
                </m:e>
              </m:d>
              <m:r>
                <w:rPr>
                  <w:rFonts w:ascii="Cambria Math" w:hAnsi="Cambria Math"/>
                  <w:sz w:val="24"/>
                  <w:szCs w:val="24"/>
                </w:rPr>
                <m:t>=</m:t>
              </m:r>
              <m:f>
                <m:fPr>
                  <m:ctrlPr>
                    <w:rPr>
                      <w:rFonts w:ascii="Cambria Math" w:hAnsi="Cambria Math"/>
                      <w:i/>
                      <w:iCs/>
                      <w:sz w:val="24"/>
                      <w:szCs w:val="24"/>
                    </w:rPr>
                  </m:ctrlPr>
                </m:fPr>
                <m:num>
                  <m:r>
                    <w:rPr>
                      <w:rFonts w:ascii="Cambria Math" w:hAnsi="Cambria Math"/>
                      <w:sz w:val="24"/>
                      <w:szCs w:val="24"/>
                    </w:rPr>
                    <m:t>1</m:t>
                  </m:r>
                </m:num>
                <m:den>
                  <m:r>
                    <w:rPr>
                      <w:rFonts w:ascii="Cambria Math" w:hAnsi="Cambria Math"/>
                      <w:sz w:val="24"/>
                      <w:szCs w:val="24"/>
                    </w:rPr>
                    <m:t>2</m:t>
                  </m:r>
                </m:den>
              </m:f>
              <m:sSup>
                <m:sSupPr>
                  <m:ctrlPr>
                    <w:rPr>
                      <w:rFonts w:ascii="Cambria Math" w:hAnsi="Cambria Math"/>
                      <w:i/>
                      <w:iCs/>
                      <w:sz w:val="24"/>
                      <w:szCs w:val="24"/>
                    </w:rPr>
                  </m:ctrlPr>
                </m:sSupPr>
                <m:e>
                  <m:d>
                    <m:dPr>
                      <m:ctrlPr>
                        <w:rPr>
                          <w:rFonts w:ascii="Cambria Math" w:hAnsi="Cambria Math"/>
                          <w:i/>
                          <w:iCs/>
                          <w:sz w:val="24"/>
                          <w:szCs w:val="24"/>
                        </w:rPr>
                      </m:ctrlPr>
                    </m:dPr>
                    <m:e>
                      <m:r>
                        <m:rPr>
                          <m:sty m:val="b"/>
                        </m:rPr>
                        <w:rPr>
                          <w:rFonts w:ascii="Cambria Math" w:hAnsi="Cambria Math"/>
                          <w:sz w:val="24"/>
                          <w:szCs w:val="24"/>
                        </w:rPr>
                        <m:t>x</m:t>
                      </m:r>
                      <m:r>
                        <m:rPr>
                          <m:sty m:val="p"/>
                        </m:rPr>
                        <w:rPr>
                          <w:rFonts w:ascii="Cambria Math" w:hAnsi="Cambria Math"/>
                          <w:sz w:val="24"/>
                          <w:szCs w:val="24"/>
                        </w:rPr>
                        <m:t>-</m:t>
                      </m:r>
                      <m:sSup>
                        <m:sSupPr>
                          <m:ctrlPr>
                            <w:rPr>
                              <w:rFonts w:ascii="Cambria Math" w:hAnsi="Cambria Math"/>
                              <w:sz w:val="24"/>
                              <w:szCs w:val="24"/>
                            </w:rPr>
                          </m:ctrlPr>
                        </m:sSupPr>
                        <m:e>
                          <m:r>
                            <m:rPr>
                              <m:sty m:val="b"/>
                            </m:rPr>
                            <w:rPr>
                              <w:rFonts w:ascii="Cambria Math" w:hAnsi="Cambria Math"/>
                              <w:sz w:val="24"/>
                              <w:szCs w:val="24"/>
                            </w:rPr>
                            <m:t>x</m:t>
                          </m:r>
                        </m:e>
                        <m:sup>
                          <m:r>
                            <w:rPr>
                              <w:rFonts w:ascii="Cambria Math" w:hAnsi="Cambria Math"/>
                              <w:sz w:val="24"/>
                              <w:szCs w:val="24"/>
                            </w:rPr>
                            <m:t>b</m:t>
                          </m:r>
                        </m:sup>
                      </m:sSup>
                    </m:e>
                  </m:d>
                  <m:ctrlPr>
                    <w:rPr>
                      <w:rFonts w:ascii="Cambria Math" w:hAnsi="Cambria Math"/>
                      <w:sz w:val="24"/>
                      <w:szCs w:val="24"/>
                    </w:rPr>
                  </m:ctrlPr>
                </m:e>
                <m:sup>
                  <m:r>
                    <m:rPr>
                      <m:sty m:val="p"/>
                    </m:rPr>
                    <w:rPr>
                      <w:rFonts w:ascii="Cambria Math" w:hAnsi="Cambria Math"/>
                      <w:sz w:val="24"/>
                      <w:szCs w:val="24"/>
                    </w:rPr>
                    <m:t>T</m:t>
                  </m:r>
                </m:sup>
              </m:sSup>
              <m:sSup>
                <m:sSupPr>
                  <m:ctrlPr>
                    <w:rPr>
                      <w:rFonts w:ascii="Cambria Math" w:hAnsi="Cambria Math"/>
                      <w:sz w:val="24"/>
                      <w:szCs w:val="24"/>
                    </w:rPr>
                  </m:ctrlPr>
                </m:sSupPr>
                <m:e>
                  <m:r>
                    <m:rPr>
                      <m:sty m:val="b"/>
                    </m:rPr>
                    <w:rPr>
                      <w:rFonts w:ascii="Cambria Math" w:hAnsi="Cambria Math"/>
                      <w:sz w:val="24"/>
                      <w:szCs w:val="24"/>
                    </w:rPr>
                    <m:t>B</m:t>
                  </m:r>
                </m:e>
                <m:sup>
                  <m:r>
                    <m:rPr>
                      <m:sty m:val="p"/>
                    </m:rPr>
                    <w:rPr>
                      <w:rFonts w:ascii="Cambria Math" w:hAnsi="Cambria Math"/>
                      <w:sz w:val="24"/>
                      <w:szCs w:val="24"/>
                    </w:rPr>
                    <m:t>-1</m:t>
                  </m:r>
                </m:sup>
              </m:sSup>
              <m:d>
                <m:dPr>
                  <m:ctrlPr>
                    <w:rPr>
                      <w:rFonts w:ascii="Cambria Math" w:hAnsi="Cambria Math"/>
                      <w:sz w:val="24"/>
                      <w:szCs w:val="24"/>
                    </w:rPr>
                  </m:ctrlPr>
                </m:dPr>
                <m:e>
                  <m:r>
                    <m:rPr>
                      <m:sty m:val="b"/>
                    </m:rPr>
                    <w:rPr>
                      <w:rFonts w:ascii="Cambria Math" w:hAnsi="Cambria Math"/>
                      <w:sz w:val="24"/>
                      <w:szCs w:val="24"/>
                    </w:rPr>
                    <m:t>x</m:t>
                  </m:r>
                  <m:r>
                    <m:rPr>
                      <m:sty m:val="p"/>
                    </m:rPr>
                    <w:rPr>
                      <w:rFonts w:ascii="Cambria Math" w:hAnsi="Cambria Math"/>
                      <w:sz w:val="24"/>
                      <w:szCs w:val="24"/>
                    </w:rPr>
                    <m:t>-</m:t>
                  </m:r>
                  <m:sSup>
                    <m:sSupPr>
                      <m:ctrlPr>
                        <w:rPr>
                          <w:rFonts w:ascii="Cambria Math" w:hAnsi="Cambria Math"/>
                          <w:sz w:val="24"/>
                          <w:szCs w:val="24"/>
                        </w:rPr>
                      </m:ctrlPr>
                    </m:sSupPr>
                    <m:e>
                      <m:r>
                        <m:rPr>
                          <m:sty m:val="b"/>
                        </m:rPr>
                        <w:rPr>
                          <w:rFonts w:ascii="Cambria Math" w:hAnsi="Cambria Math"/>
                          <w:sz w:val="24"/>
                          <w:szCs w:val="24"/>
                        </w:rPr>
                        <m:t>x</m:t>
                      </m:r>
                    </m:e>
                    <m:sup>
                      <m:r>
                        <w:rPr>
                          <w:rFonts w:ascii="Cambria Math" w:hAnsi="Cambria Math"/>
                          <w:sz w:val="24"/>
                          <w:szCs w:val="24"/>
                        </w:rPr>
                        <m:t>b</m:t>
                      </m:r>
                    </m:sup>
                  </m:sSup>
                </m:e>
              </m:d>
              <m:r>
                <m:rPr>
                  <m:sty m:val="p"/>
                </m:rP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sSup>
                <m:sSupPr>
                  <m:ctrlPr>
                    <w:rPr>
                      <w:rFonts w:ascii="Cambria Math" w:hAnsi="Cambria Math"/>
                      <w:sz w:val="24"/>
                      <w:szCs w:val="24"/>
                    </w:rPr>
                  </m:ctrlPr>
                </m:sSupPr>
                <m:e>
                  <m:d>
                    <m:dPr>
                      <m:begChr m:val="["/>
                      <m:endChr m:val="]"/>
                      <m:ctrlPr>
                        <w:rPr>
                          <w:rFonts w:ascii="Cambria Math" w:hAnsi="Cambria Math"/>
                          <w:sz w:val="24"/>
                          <w:szCs w:val="24"/>
                        </w:rPr>
                      </m:ctrlPr>
                    </m:dPr>
                    <m:e>
                      <m:r>
                        <w:rPr>
                          <w:rFonts w:ascii="Cambria Math" w:hAnsi="Cambria Math"/>
                          <w:sz w:val="24"/>
                          <w:szCs w:val="24"/>
                        </w:rPr>
                        <m:t>H</m:t>
                      </m:r>
                      <m:d>
                        <m:dPr>
                          <m:ctrlPr>
                            <w:rPr>
                              <w:rFonts w:ascii="Cambria Math" w:hAnsi="Cambria Math"/>
                              <w:sz w:val="24"/>
                              <w:szCs w:val="24"/>
                            </w:rPr>
                          </m:ctrlPr>
                        </m:dPr>
                        <m:e>
                          <m:r>
                            <m:rPr>
                              <m:sty m:val="b"/>
                            </m:rPr>
                            <w:rPr>
                              <w:rFonts w:ascii="Cambria Math" w:hAnsi="Cambria Math"/>
                              <w:sz w:val="24"/>
                              <w:szCs w:val="24"/>
                            </w:rPr>
                            <m:t>x</m:t>
                          </m:r>
                        </m:e>
                      </m:d>
                      <m:r>
                        <m:rPr>
                          <m:sty m:val="p"/>
                        </m:rPr>
                        <w:rPr>
                          <w:rFonts w:ascii="Cambria Math" w:hAnsi="Cambria Math"/>
                          <w:sz w:val="24"/>
                          <w:szCs w:val="24"/>
                        </w:rPr>
                        <m:t>-</m:t>
                      </m:r>
                      <m:sSup>
                        <m:sSupPr>
                          <m:ctrlPr>
                            <w:rPr>
                              <w:rFonts w:ascii="Cambria Math" w:hAnsi="Cambria Math"/>
                              <w:sz w:val="24"/>
                              <w:szCs w:val="24"/>
                            </w:rPr>
                          </m:ctrlPr>
                        </m:sSupPr>
                        <m:e>
                          <m:r>
                            <m:rPr>
                              <m:sty m:val="p"/>
                            </m:rPr>
                            <w:rPr>
                              <w:rFonts w:ascii="Cambria Math" w:hAnsi="Cambria Math"/>
                              <w:sz w:val="24"/>
                              <w:szCs w:val="24"/>
                            </w:rPr>
                            <m:t>y</m:t>
                          </m:r>
                        </m:e>
                        <m:sup>
                          <m:r>
                            <w:rPr>
                              <w:rFonts w:ascii="Cambria Math" w:hAnsi="Cambria Math"/>
                              <w:sz w:val="24"/>
                              <w:szCs w:val="24"/>
                            </w:rPr>
                            <m:t>o</m:t>
                          </m:r>
                        </m:sup>
                      </m:sSup>
                    </m:e>
                  </m:d>
                </m:e>
                <m:sup>
                  <m:r>
                    <m:rPr>
                      <m:sty m:val="p"/>
                    </m:rPr>
                    <w:rPr>
                      <w:rFonts w:ascii="Cambria Math" w:hAnsi="Cambria Math"/>
                      <w:sz w:val="24"/>
                      <w:szCs w:val="24"/>
                    </w:rPr>
                    <m:t>T</m:t>
                  </m:r>
                </m:sup>
              </m:sSup>
              <m:sSup>
                <m:sSupPr>
                  <m:ctrlPr>
                    <w:rPr>
                      <w:rFonts w:ascii="Cambria Math" w:hAnsi="Cambria Math"/>
                      <w:sz w:val="24"/>
                      <w:szCs w:val="24"/>
                    </w:rPr>
                  </m:ctrlPr>
                </m:sSupPr>
                <m:e>
                  <m:r>
                    <m:rPr>
                      <m:sty m:val="b"/>
                    </m:rPr>
                    <w:rPr>
                      <w:rFonts w:ascii="Cambria Math" w:hAnsi="Cambria Math"/>
                      <w:sz w:val="24"/>
                      <w:szCs w:val="24"/>
                    </w:rPr>
                    <m:t>R</m:t>
                  </m:r>
                </m:e>
                <m:sup>
                  <m:r>
                    <m:rPr>
                      <m:sty m:val="p"/>
                    </m:rPr>
                    <w:rPr>
                      <w:rFonts w:ascii="Cambria Math" w:hAnsi="Cambria Math"/>
                      <w:sz w:val="24"/>
                      <w:szCs w:val="24"/>
                    </w:rPr>
                    <m:t>-1</m:t>
                  </m:r>
                </m:sup>
              </m:sSup>
              <m:d>
                <m:dPr>
                  <m:begChr m:val="["/>
                  <m:endChr m:val="]"/>
                  <m:ctrlPr>
                    <w:rPr>
                      <w:rFonts w:ascii="Cambria Math" w:hAnsi="Cambria Math"/>
                      <w:sz w:val="24"/>
                      <w:szCs w:val="24"/>
                    </w:rPr>
                  </m:ctrlPr>
                </m:dPr>
                <m:e>
                  <m:r>
                    <w:rPr>
                      <w:rFonts w:ascii="Cambria Math" w:hAnsi="Cambria Math"/>
                      <w:sz w:val="24"/>
                      <w:szCs w:val="24"/>
                    </w:rPr>
                    <m:t>H</m:t>
                  </m:r>
                  <m:d>
                    <m:dPr>
                      <m:ctrlPr>
                        <w:rPr>
                          <w:rFonts w:ascii="Cambria Math" w:hAnsi="Cambria Math"/>
                          <w:sz w:val="24"/>
                          <w:szCs w:val="24"/>
                        </w:rPr>
                      </m:ctrlPr>
                    </m:dPr>
                    <m:e>
                      <m:r>
                        <m:rPr>
                          <m:sty m:val="b"/>
                        </m:rPr>
                        <w:rPr>
                          <w:rFonts w:ascii="Cambria Math" w:hAnsi="Cambria Math"/>
                          <w:sz w:val="24"/>
                          <w:szCs w:val="24"/>
                        </w:rPr>
                        <m:t>x</m:t>
                      </m:r>
                    </m:e>
                  </m:d>
                  <m:r>
                    <m:rPr>
                      <m:sty m:val="p"/>
                    </m:rPr>
                    <w:rPr>
                      <w:rFonts w:ascii="Cambria Math" w:hAnsi="Cambria Math"/>
                      <w:sz w:val="24"/>
                      <w:szCs w:val="24"/>
                    </w:rPr>
                    <m:t>-</m:t>
                  </m:r>
                  <m:sSup>
                    <m:sSupPr>
                      <m:ctrlPr>
                        <w:rPr>
                          <w:rFonts w:ascii="Cambria Math" w:hAnsi="Cambria Math"/>
                          <w:sz w:val="24"/>
                          <w:szCs w:val="24"/>
                        </w:rPr>
                      </m:ctrlPr>
                    </m:sSupPr>
                    <m:e>
                      <m:r>
                        <m:rPr>
                          <m:sty m:val="p"/>
                        </m:rPr>
                        <w:rPr>
                          <w:rFonts w:ascii="Cambria Math" w:hAnsi="Cambria Math"/>
                          <w:sz w:val="24"/>
                          <w:szCs w:val="24"/>
                        </w:rPr>
                        <m:t>y</m:t>
                      </m:r>
                    </m:e>
                    <m:sup>
                      <m:r>
                        <w:rPr>
                          <w:rFonts w:ascii="Cambria Math" w:hAnsi="Cambria Math"/>
                          <w:sz w:val="24"/>
                          <w:szCs w:val="24"/>
                        </w:rPr>
                        <m:t>o</m:t>
                      </m:r>
                    </m:sup>
                  </m:sSup>
                </m:e>
              </m:d>
              <m:r>
                <m:rPr>
                  <m:sty m:val="p"/>
                </m:rPr>
                <w:rPr>
                  <w:rFonts w:ascii="Cambria Math" w:hAnsi="Cambria Math"/>
                  <w:sz w:val="24"/>
                  <w:szCs w:val="24"/>
                </w:rPr>
                <m:t>+</m:t>
              </m:r>
              <m:sSub>
                <m:sSubPr>
                  <m:ctrlPr>
                    <w:rPr>
                      <w:rFonts w:ascii="Cambria Math" w:hAnsi="Cambria Math"/>
                      <w:i/>
                      <w:iCs/>
                      <w:sz w:val="24"/>
                      <w:szCs w:val="24"/>
                    </w:rPr>
                  </m:ctrlPr>
                </m:sSubPr>
                <m:e>
                  <m:r>
                    <w:rPr>
                      <w:rFonts w:ascii="Cambria Math" w:hAnsi="Cambria Math"/>
                      <w:sz w:val="24"/>
                      <w:szCs w:val="24"/>
                    </w:rPr>
                    <m:t>J</m:t>
                  </m:r>
                </m:e>
                <m:sub>
                  <m:r>
                    <w:rPr>
                      <w:rFonts w:ascii="Cambria Math" w:hAnsi="Cambria Math"/>
                      <w:sz w:val="24"/>
                      <w:szCs w:val="24"/>
                    </w:rPr>
                    <m:t>c</m:t>
                  </m:r>
                </m:sub>
              </m:sSub>
            </m:oMath>
            <w:r w:rsidRPr="00506D3C">
              <w:rPr>
                <w:sz w:val="24"/>
                <w:szCs w:val="24"/>
              </w:rPr>
              <w:t>,</w:t>
            </w:r>
          </w:p>
        </w:tc>
        <w:tc>
          <w:tcPr>
            <w:tcW w:w="715" w:type="dxa"/>
            <w:vAlign w:val="center"/>
          </w:tcPr>
          <w:p w14:paraId="6806A151" w14:textId="24DD11A3" w:rsidR="008D1F89" w:rsidRPr="00506D3C" w:rsidRDefault="008D1F89" w:rsidP="008D1F89">
            <w:pPr>
              <w:ind w:firstLine="0"/>
              <w:jc w:val="center"/>
              <w:rPr>
                <w:iCs/>
                <w:sz w:val="24"/>
                <w:szCs w:val="24"/>
              </w:rPr>
            </w:pPr>
            <w:r w:rsidRPr="00506D3C">
              <w:rPr>
                <w:sz w:val="24"/>
                <w:szCs w:val="24"/>
              </w:rPr>
              <w:t>(2.1)</w:t>
            </w:r>
          </w:p>
        </w:tc>
      </w:tr>
    </w:tbl>
    <w:p w14:paraId="3AE10854" w14:textId="05B43A09" w:rsidR="00AD13C1" w:rsidRPr="00506D3C" w:rsidRDefault="00AD13C1" w:rsidP="008D1F89">
      <w:pPr>
        <w:rPr>
          <w:iCs/>
          <w:szCs w:val="24"/>
        </w:rPr>
      </w:pPr>
      <w:r w:rsidRPr="00506D3C">
        <w:rPr>
          <w:iCs/>
          <w:szCs w:val="24"/>
        </w:rPr>
        <w:t xml:space="preserve">where </w:t>
      </w:r>
      <m:oMath>
        <m:r>
          <m:rPr>
            <m:sty m:val="b"/>
          </m:rPr>
          <w:rPr>
            <w:rFonts w:ascii="Cambria Math" w:hAnsi="Cambria Math"/>
            <w:szCs w:val="24"/>
          </w:rPr>
          <m:t>x</m:t>
        </m:r>
      </m:oMath>
      <w:r w:rsidRPr="00506D3C">
        <w:rPr>
          <w:iCs/>
          <w:szCs w:val="24"/>
        </w:rPr>
        <w:t xml:space="preserve"> and </w:t>
      </w:r>
      <m:oMath>
        <m:sSup>
          <m:sSupPr>
            <m:ctrlPr>
              <w:rPr>
                <w:rFonts w:ascii="Cambria Math" w:hAnsi="Cambria Math"/>
                <w:szCs w:val="24"/>
              </w:rPr>
            </m:ctrlPr>
          </m:sSupPr>
          <m:e>
            <m:r>
              <m:rPr>
                <m:sty m:val="b"/>
              </m:rPr>
              <w:rPr>
                <w:rFonts w:ascii="Cambria Math" w:hAnsi="Cambria Math"/>
                <w:szCs w:val="24"/>
              </w:rPr>
              <m:t>x</m:t>
            </m:r>
          </m:e>
          <m:sup>
            <m:r>
              <w:rPr>
                <w:rFonts w:ascii="Cambria Math" w:hAnsi="Cambria Math"/>
                <w:szCs w:val="24"/>
              </w:rPr>
              <m:t>b</m:t>
            </m:r>
          </m:sup>
        </m:sSup>
      </m:oMath>
      <w:r w:rsidRPr="00506D3C">
        <w:rPr>
          <w:iCs/>
          <w:szCs w:val="24"/>
        </w:rPr>
        <w:t xml:space="preserve"> are the analysis and background state vectors, </w:t>
      </w:r>
      <w:r w:rsidRPr="00506D3C">
        <w:rPr>
          <w:szCs w:val="24"/>
        </w:rPr>
        <w:t xml:space="preserve">respectively, and </w:t>
      </w:r>
      <w:r w:rsidRPr="00506D3C">
        <w:rPr>
          <w:b/>
          <w:szCs w:val="24"/>
        </w:rPr>
        <w:t>y</w:t>
      </w:r>
      <w:r w:rsidRPr="00506D3C">
        <w:rPr>
          <w:b/>
          <w:szCs w:val="24"/>
          <w:vertAlign w:val="superscript"/>
        </w:rPr>
        <w:t>o</w:t>
      </w:r>
      <w:r w:rsidRPr="00506D3C">
        <w:rPr>
          <w:szCs w:val="24"/>
        </w:rPr>
        <w:t xml:space="preserve"> is the observation vector. </w:t>
      </w:r>
      <w:r w:rsidRPr="00506D3C">
        <w:rPr>
          <w:b/>
          <w:szCs w:val="24"/>
        </w:rPr>
        <w:t>B</w:t>
      </w:r>
      <w:r w:rsidRPr="00506D3C">
        <w:rPr>
          <w:szCs w:val="24"/>
        </w:rPr>
        <w:t xml:space="preserve"> and </w:t>
      </w:r>
      <w:r w:rsidRPr="00506D3C">
        <w:rPr>
          <w:b/>
          <w:szCs w:val="24"/>
        </w:rPr>
        <w:t xml:space="preserve">R </w:t>
      </w:r>
      <w:r w:rsidRPr="00506D3C">
        <w:rPr>
          <w:szCs w:val="24"/>
        </w:rPr>
        <w:t xml:space="preserve">are the background and observation error covariance matrices (see discussion below), respectively, and </w:t>
      </w:r>
      <w:r w:rsidRPr="00506D3C">
        <w:rPr>
          <w:i/>
          <w:iCs/>
          <w:szCs w:val="24"/>
        </w:rPr>
        <w:t>H</w:t>
      </w:r>
      <w:r w:rsidRPr="00506D3C">
        <w:rPr>
          <w:iCs/>
          <w:szCs w:val="24"/>
        </w:rPr>
        <w:t>(</w:t>
      </w:r>
      <w:r w:rsidRPr="00506D3C">
        <w:rPr>
          <w:b/>
          <w:iCs/>
          <w:szCs w:val="24"/>
        </w:rPr>
        <w:t>x</w:t>
      </w:r>
      <w:r w:rsidRPr="00506D3C">
        <w:rPr>
          <w:iCs/>
          <w:szCs w:val="24"/>
        </w:rPr>
        <w:t>) represents the forward observation operators</w:t>
      </w:r>
      <w:r w:rsidRPr="00506D3C">
        <w:rPr>
          <w:szCs w:val="24"/>
        </w:rPr>
        <w:t xml:space="preserve">. Any penalty or dynamic equation constraints may be included in the quantity </w:t>
      </w:r>
      <w:r w:rsidRPr="00506D3C">
        <w:rPr>
          <w:i/>
          <w:iCs/>
          <w:szCs w:val="24"/>
        </w:rPr>
        <w:t>J</w:t>
      </w:r>
      <w:r w:rsidRPr="00506D3C">
        <w:rPr>
          <w:i/>
          <w:iCs/>
          <w:szCs w:val="24"/>
          <w:vertAlign w:val="subscript"/>
        </w:rPr>
        <w:t xml:space="preserve">c </w:t>
      </w:r>
      <w:r w:rsidRPr="00506D3C">
        <w:rPr>
          <w:szCs w:val="24"/>
        </w:rPr>
        <w:t xml:space="preserve">in </w:t>
      </w:r>
      <w:r w:rsidR="006D0DFF">
        <w:rPr>
          <w:szCs w:val="24"/>
        </w:rPr>
        <w:t>Eq. 2.</w:t>
      </w:r>
      <w:r w:rsidRPr="00506D3C">
        <w:rPr>
          <w:szCs w:val="24"/>
        </w:rPr>
        <w:t xml:space="preserve">1 to serve the important role of correlating the relevant analysis variables </w:t>
      </w:r>
      <w:r w:rsidRPr="00506D3C">
        <w:rPr>
          <w:szCs w:val="24"/>
        </w:rPr>
        <w:fldChar w:fldCharType="begin"/>
      </w:r>
      <w:r w:rsidRPr="00506D3C">
        <w:rPr>
          <w:szCs w:val="24"/>
        </w:rPr>
        <w:instrText xml:space="preserve"> ADDIN ZOTERO_ITEM CSL_CITATION {"citationID":"km8dKvLf","properties":{"formattedCitation":"(Gao et al. 1999, 2004; Ge et al. 2012)","plainCitation":"(Gao et al. 1999, 2004; Ge et al. 2012)","noteIndex":0},"citationItems":[{"id":285,"uris":["http://zotero.org/users/local/6VSApgKp/items/PK26CMSC"],"itemData":{"id":285,"type":"article-journal","abstract":"Abstract This paper proposes a new method of dual-Doppler radar analysis based on a variational approach. In it, a cost function, defined as the distance between the analysis and the observations at the data points, is minimized through a limited memory, quasi-Newton conjugate gradient algorithm with the mass continuity equation imposed as a weak constraint. The analysis is performed in Cartesian space. Compared with traditional methods, the variational method offers much more flexibility in its use of observational data and various constraints. Using the radar data directly at observation locations avoids an interpolation step, which is often a source of error, especially in the presence of data voids. In addition, using the mass continuity equation as a weak instead of strong constraint avoids the error accumulation and the subsequent somewhat arbitrary adjustment associated with the explicit vertical integration of the continuity equation. The current method is tested on both model-simulated and observed datasets of supercell storms. It is shown that the circulation inside and around the storms, including the strong updraft and associated downdraft, is well analyzed in both cases. Furthermore, the authors found that the analysis is not very sensitive to the specification of boundary conditions and to data contamination. The method also has the potential for retrieving, with reasonable accuracy, the wind in regions of single-Doppler radar coverage.","container-title":"Monthly Weather Review","DOI":"10.1175/1520-0493(1999)127&lt;2128:AVMFTA&gt;2.0.CO;2","ISSN":"1520-0493, 0027-0644","issue":"9","language":"EN","note":"publisher: American Meteorological Society\nsection: Monthly Weather Review","page":"2128-2142","source":"journals.ametsoc.org","title":"A Variational Method for the Analysis of Three-Dimensional Wind Fields from Two Doppler Radars","volume":"127","author":[{"family":"Gao","given":"Jidong"},{"family":"Xue","given":"Ming"},{"family":"Shapiro","given":"Alan"},{"family":"Droegemeier","given":"Kelvin K."}],"issued":{"date-parts":[["1999",9,1]]},"citation-key":"gaoVariationalMethodAnalysis1999"}},{"id":80,"uris":["http://zotero.org/users/local/6VSApgKp/items/8I9QVS4P"],"itemData":{"id":80,"type":"article-journal","abstract":"&lt;section class=\"abstract\"&gt;&lt;h2 class=\"abstractTitle text-title my-1\" id=\"d155362577e78\"&gt;Abstract&lt;/h2&gt;&lt;p&gt;In this paper, a new method of dual-Doppler radar wind analysis based on a three-dimensional variational data assimilation (3DVAR) approach is proposed. In it, a cost function, including background term and radial observation term, is minimized through a limited memory, quasi-Newton conjugate-gradient algorithm with the mass continuity equation imposed as a weak constraint. In the method, the background error covariance matrix, though simple in this case, is modeled by a recursive filter. Furthermore, the square root of this matrix is used to precondition the minimization problem.&lt;/p&gt;&lt;p&gt;The current method is applied to Doppler radar observation of a supercell storm, and the analysis results are compared to a conceptual model and previous research. It is shown that the horizontal circulations, both within and around the storms, as well as the strong updraft and the associated downdraft, are well analyzed. Because no explicit integration of the anelastic mass continuity equation is involved, error accumulation associated with such integration is avoided. As a result, the method is less sensitive to the vertical boundary uncertainties.&lt;/p&gt;&lt;/section&gt;","container-title":"Journal of Atmospheric and Oceanic Technology","DOI":"10.1175/1520-0426(2004)021&lt;0457:ATVDAM&gt;2.0.CO;2","ISSN":"0739-0572, 1520-0426","issue":"3","language":"EN","note":"publisher: American Meteorological Society\nsection: Journal of Atmospheric and Oceanic Technology","page":"457-469","source":"journals.ametsoc.org","title":"A Three-Dimensional Variational Data Analysis Method with Recursive Filter for Doppler Radars","volume":"21","author":[{"family":"Gao","given":"Jidong"},{"family":"Xue","given":"Ming"},{"family":"Brewster","given":"Keith"},{"family":"Droegemeier","given":"Kelvin K."}],"issued":{"date-parts":[["2004",3,1]]},"citation-key":"gaoThreeDimensionalVariationalData2004"}},{"id":450,"uris":["http://zotero.org/users/local/6VSApgKp/items/IJKH6RPQ"],"itemData":{"id":450,"type":"article-journal","abstract":"Abstract A diagnostic pressure equation is incorporated into a storm-scale three-dimensional variational data assimilation (3DVAR) system in the form of a weak constraint in addition to a mass continuity equation constraint (MCEC). The goal of this diagnostic pressure equation constraint (DPEC) is to couple different model variables to help build a more dynamic consistent analysis, and therefore improve the data assimilation results and subsequent forecasts. Observational System Simulation Experiments (OSSEs) are first performed to examine the impact of the pressure equation constraint on storm-scale radar data assimilation using an idealized tornadic thunderstorm simulation. The impact of MCEC is also investigated relative to that of DPEC. It is shown that DPEC can improve the data assimilation results slightly after a given period of data assimilation. Including both DPEC and MCEC yields the best data assimilation results. Sensitivity tests show that MCEC is not very sensitive to the choice of its weighting coefficients in the cost function, while DPEC is more sensitive and its weight should be carefully chosen. The updated 3DVAR system with DPEC is further applied to the 5 May 2007 Greensburg, Kansas, tornadic supercell storm case assimilating real radar data. It is shown that the use of DPEC can speed up the spinup of precipitation during the intermittent data assimilation process and also improve the follow-on forecast in terms of the general evolution of storm cells and mesocyclone rotation near the time of observed tornado.","container-title":"Journal of Atmospheric and Oceanic Technology","DOI":"10.1175/JTECH-D-11-00201.1","ISSN":"0739-0572, 1520-0426","issue":"8","language":"EN","note":"publisher: American Meteorological Society\nsection: Journal of Atmospheric and Oceanic Technology","page":"1075-1092","source":"journals.ametsoc.org","title":"Diagnostic Pressure Equation as a Weak Constraint in a Storm-Scale Three-Dimensional Variational Radar Data Assimilation System","volume":"29","author":[{"family":"Ge","given":"Guoqing"},{"family":"Gao","given":"Jidong"},{"family":"Xue","given":"Ming"}],"issued":{"date-parts":[["2012",8,1]]},"citation-key":"geDiagnosticPressureEquation2012"}}],"schema":"https://github.com/citation-style-language/schema/raw/master/csl-citation.json"} </w:instrText>
      </w:r>
      <w:r w:rsidRPr="00506D3C">
        <w:rPr>
          <w:szCs w:val="24"/>
        </w:rPr>
        <w:fldChar w:fldCharType="separate"/>
      </w:r>
      <w:r w:rsidRPr="00506D3C">
        <w:rPr>
          <w:noProof/>
          <w:szCs w:val="24"/>
        </w:rPr>
        <w:t>(Gao et al. 1999, 2004; Ge et al. 2012)</w:t>
      </w:r>
      <w:r w:rsidRPr="00506D3C">
        <w:rPr>
          <w:szCs w:val="24"/>
        </w:rPr>
        <w:fldChar w:fldCharType="end"/>
      </w:r>
      <w:r w:rsidRPr="00506D3C">
        <w:rPr>
          <w:szCs w:val="24"/>
        </w:rPr>
        <w:t>. In our current DA system, the background field (</w:t>
      </w:r>
      <w:r w:rsidRPr="00506D3C">
        <w:rPr>
          <w:b/>
          <w:szCs w:val="24"/>
        </w:rPr>
        <w:t>x</w:t>
      </w:r>
      <w:r w:rsidRPr="00506D3C">
        <w:rPr>
          <w:i/>
          <w:szCs w:val="24"/>
          <w:vertAlign w:val="superscript"/>
        </w:rPr>
        <w:t>b</w:t>
      </w:r>
      <w:r w:rsidRPr="00506D3C">
        <w:rPr>
          <w:szCs w:val="24"/>
        </w:rPr>
        <w:t xml:space="preserve"> in Eq. </w:t>
      </w:r>
      <w:r w:rsidR="008D1F89" w:rsidRPr="00506D3C">
        <w:rPr>
          <w:szCs w:val="24"/>
        </w:rPr>
        <w:t>2.</w:t>
      </w:r>
      <w:r w:rsidRPr="00506D3C">
        <w:rPr>
          <w:szCs w:val="24"/>
        </w:rPr>
        <w:t>1) is provided by a previous WRF forecast. Observations (</w:t>
      </w:r>
      <w:r w:rsidRPr="00506D3C">
        <w:rPr>
          <w:b/>
          <w:szCs w:val="24"/>
        </w:rPr>
        <w:t>y</w:t>
      </w:r>
      <w:r w:rsidRPr="00506D3C">
        <w:rPr>
          <w:b/>
          <w:szCs w:val="24"/>
          <w:vertAlign w:val="superscript"/>
        </w:rPr>
        <w:t>o</w:t>
      </w:r>
      <w:r w:rsidRPr="00506D3C">
        <w:rPr>
          <w:szCs w:val="24"/>
        </w:rPr>
        <w:t xml:space="preserve"> in Eq. </w:t>
      </w:r>
      <w:r w:rsidR="008D1F89" w:rsidRPr="00506D3C">
        <w:rPr>
          <w:szCs w:val="24"/>
        </w:rPr>
        <w:t>2.</w:t>
      </w:r>
      <w:r w:rsidRPr="00506D3C">
        <w:rPr>
          <w:szCs w:val="24"/>
        </w:rPr>
        <w:t xml:space="preserve">1) include Doppler radar data, single-level data (e.g., from surface </w:t>
      </w:r>
      <w:r w:rsidR="00506D3C" w:rsidRPr="00506D3C">
        <w:rPr>
          <w:szCs w:val="24"/>
        </w:rPr>
        <w:t>Mesonet</w:t>
      </w:r>
      <w:r w:rsidRPr="00506D3C">
        <w:rPr>
          <w:szCs w:val="24"/>
        </w:rPr>
        <w:t xml:space="preserve"> observations), multiple-level observations (such as from rawinsondes, wind profilers, and aircraft), and GOES-derived datasets, such as lightning, precipitable water and atmospheric motion vectors </w:t>
      </w:r>
      <w:r w:rsidRPr="00506D3C">
        <w:rPr>
          <w:szCs w:val="24"/>
        </w:rPr>
        <w:fldChar w:fldCharType="begin"/>
      </w:r>
      <w:r w:rsidR="00186B73">
        <w:rPr>
          <w:szCs w:val="24"/>
        </w:rPr>
        <w:instrText xml:space="preserve"> ADDIN ZOTERO_ITEM CSL_CITATION {"citationID":"bgpAYiWL","properties":{"formattedCitation":"(Fierro et al. 2016, 2019; Pan et al. 2021; Zhao et al. 2021a,b, 2022)","plainCitation":"(Fierro et al. 2016, 2019; Pan et al. 2021; Zhao et al. 2021a,b, 2022)","dontUpdate":true,"noteIndex":0},"citationItems":[{"id":36,"uris":["http://zotero.org/users/local/6VSApgKp/items/8K8EJCVF"],"itemData":{"id":36,"type":"article-journal","abstract":"&lt;section class=\"abstract\"&gt;&lt;h2 class=\"abstractTitle text-title my-1\" id=\"d137406800e102\"&gt;Abstract&lt;/h2&gt;&lt;p&gt;This work evaluates the performance of the assimilation of total lightning data within a three-dimensional variational (3DVAR) framework for the analysis and short-term forecast of the 24 May 2011 tornado outbreak using the Weather Research and Forecasting (WRF) Model at convection-allowing scales. Between the lifted condensation level and a fixed upper height, pseudo-observations for water vapor mass first are created based on either the flash extent densities derived from Oklahoma Lightning Mapping Array data or the lightning source densities derived from the Earth Networks pulse data, and then assimilated by the 3DVAR system. Assimilation of radar data with 3DVAR and a cloud analysis algorithm (RAD) also are performed as a baseline for comparison and in tandem with lightning to evaluate the added value of this lightning data assimilation (LDA) method.&lt;/p&gt;&lt;p&gt;Given a scenario wherein the control experiment without radar or lightning data assimilation fails to accurately initiate and forecast the observed storms, the LDA and RAD yield comparable short-term forecast improvements. The RAD alone produces storms of similar strength to the observations during the first 30 min of forecast more rapidly than the LDA alone; however, the LDA is able to better depict individual supercellular features at 1-h forecast. When both the lightning and radar data are assimilated, the 30-min forecast showed noteworthy improvements over RAD in terms of the model’s ability to better resolve individual supercell structures and still maintained a 1-h forecast similar to that from the LDA. The results chiefly illustrate the potential value of assimilating total lightning data along with radar data.&lt;/p&gt;&lt;/section&gt;","container-title":"Monthly Weather Review","DOI":"10.1175/MWR-D-16-0053.1","ISSN":"1520-0493, 0027-0644","issue":"11","language":"EN","note":"publisher: American Meteorological Society\nsection: Monthly Weather Review","page":"4373-4393","source":"journals.ametsoc.org","title":"Assimilation of Flash Extent Data in the Variational Framework at Convection-Allowing Scales: Proof-of-Concept and Evaluation for the Short-Term Forecast of the 24 May 2011 Tornado Outbreak","title-short":"Assimilation of Flash Extent Data in the Variational Framework at Convection-Allowing Scales","volume":"144","author":[{"family":"Fierro","given":"Alexandre O."},{"family":"Gao","given":"Jidong"},{"family":"Ziegler","given":"Conrad L."},{"family":"Calhoun","given":"Kristin M."},{"family":"Mansell","given":"Edward R."},{"family":"MacGorman","given":"Donald R."}],"issued":{"date-parts":[["2016",11,1]]},"citation-key":"fierroAssimilationFlashExtent2016"}},{"id":10,"uris":["http://zotero.org/users/local/6VSApgKp/items/77NV63LL"],"itemData":{"id":10,"type":"article-journal","abstract":"&lt;section class=\"abstract\"&gt;&lt;h2 class=\"abstractTitle text-title my-1\" id=\"d146998611e97\"&gt;Abstract&lt;/h2&gt;&lt;p&gt;The assimilation of water vapor mass mixing ratio derived from total lightning data from the Geostationary Lightning Mapper (G</w:instrText>
      </w:r>
      <w:r w:rsidR="00186B73">
        <w:rPr>
          <w:rFonts w:hint="eastAsia"/>
          <w:szCs w:val="24"/>
        </w:rPr>
        <w:instrText>LM) within a three-dimensional variational (3DVAR) system is evaluated for the analysis and short-term forecast (</w:instrText>
      </w:r>
      <w:r w:rsidR="00186B73">
        <w:rPr>
          <w:rFonts w:hint="eastAsia"/>
          <w:szCs w:val="24"/>
        </w:rPr>
        <w:instrText>≤</w:instrText>
      </w:r>
      <w:r w:rsidR="00186B73">
        <w:rPr>
          <w:rFonts w:hint="eastAsia"/>
          <w:szCs w:val="24"/>
        </w:rPr>
        <w:instrText>6 h) of a high-impact convective event over the northern Great Plains in the United States. Building on recent work, the lightning data assim</w:instrText>
      </w:r>
      <w:r w:rsidR="00186B73">
        <w:rPr>
          <w:szCs w:val="24"/>
        </w:rPr>
        <w:instrText xml:space="preserve">ilation (LDA) method adjusts water vapor mass mixing ratio within a fixed layer depth above the lifted condensation level by assuming nearly water-saturated conditions at observed lightning locations. In this algorithm, the total water vapor mass added by the LDA is balanced by an equal removal outside observed lightning locations. Additional refinements were also devised to partially alleviate the seasonal and geographical dependence of the original scheme. To gauge the added value of lightning, radar data (radial velocity and reflectivity) were also assimilated with or without lightning. Although the method was evaluated in quasi–real time for several high-impact weather events throughout 2018, this work will focus on one specific, illustrative severe weather case wherein the control simulation—which did not assimilate any data—was eventually able to initiate and forecast the majority of the observed storms. Given a relatively reasonable forecast in the control experiment, the GLM and radar assimilation experiments were still able to improve the short-term forecast of accumulated rainfall and composite radar reflectivity further, as measured by neighborhood-based metrics. These results held whether the simulations made use of one single 3DVAR analysis or high-frequency (10 min) successive cycling over a 1-h period.&lt;/p&gt;&lt;/section&gt;","container-title":"Monthly Weather Review","DOI":"10.1175/MWR-D-18-0421.1","ISSN":"1520-0493, 0027-0644","issue":"11","language":"EN","note":"publisher: American Meteorological Society\nsection: Monthly Weather Review","page":"4045-4069","source":"journals.ametsoc.org","title":"Variational Assimilation of Radar Data and GLM Lightning-Derived Water Vapor for the Short-Term Forecasts of High-Impact Convective Events","volume":"147","author":[{"family":"Fierro","given":"Alexandre O."},{"family":"Wang","given":"Yunheng"},{"family":"Gao","given":"Jidong"},{"family":"Mansell","given":"Edward R."}],"issued":{"date-parts":[["2019",11,1]]},"citation-key":"fierroVariationalAssimilationRadar2019"}},{"id":363,"uris":["http://zotero.org/users/local/6VSApgKp/items/H9RVUPAI"],"itemData":{"id":363,"type":"article-journal","abstract":"Abstract With the launch of GOES-16 in November 2016, effective utilization of its data in convective-scale numerical weather prediction (NWP) has the potential to improve high-impact weather (HIWeather) forecasts. In this study, the impact of satellite-derived layered precipitable water (LPW) and cloud water path (CWP) in addition to NEXRAD observations on short-term convective-scale NWP forecasts are examined using three severe weather cases that occurred in May 2017. In each case, satellite-derived CWP and LPW products and radar observations are assimilated into the Advanced Research Weather Research and Forecasting (WRF-ARW) Model using the NSSL hybrid Warn-on-Forecast (WoF) analysis and forecast system. The system includes two components: the GSI-EnKF system and a deterministic 3DEnVAR system. This study examines deterministic 0–6-h forecasts launched from the hybrid 3DEnVAR analyses for the three severe weather events. Three types of experiments are conducted and compared: (i) the control experiment (CTRL) without assimilating any data, (ii) the radar experiment (RAD) with the assimilation of radar and surface observations, and (iii) the satellite experiment (RADSAT) with the assimilation of all observations including surface-, radar-, and satellite-derived CWP and LPW. The results show that assimilating additional GOES products improves short-range forecasts by providing more accurate initial conditions, especially for moisture and temperature variables.","container-title":"Monthly Weather Review","DOI":"10.1175/MWR-D-20-0040.1","ISSN":"1520-0493, 0027-0644","issue":"5","language":"EN","note":"publisher: American Meteorological Society\nsection: Monthly Weather Review","page":"1359-1380","source":"journals.ametsoc.org","title":"The Impact of Assimilating Satellite-Derived Layered Precipitable Water, Cloud Water Path, and Radar Data on Short-Range Thunderstorm Forecasts","volume":"149","author":[{"family":"Pan","given":"Sijie"},{"family":"Gao","given":"Jidong"},{"family":"Jones","given":"Thomas A."},{"family":"Wang","given":"Yunheng"},{"family":"Wang","given":"Xuguang"},{"family":"Li","given":"Jun"}],"issued":{"date-parts":[["2021",5,1]]},"citation-key":"panImpactAssimilatingSatelliteDerived2021"}},{"id":452,"uris":["http://zotero.org/users/local/6VSApgKp/items/MRJKI375"],"itemData":{"id":452,"type":"article-journal","abstract":"This research investigates to what extent the high-spatiotemporal-resolution Atmospheric Motion Vector (AMV) product derived from the new-generation Geostationary Operational Environmental Satellites-Series R can benefit convective-scale data assimilation (DA) and forecasts of potential high impact weather events. In the first part of this two-part study, the impact of AMV DA on convective-scale numerical weather prediction (NWP) is evaluated with an idealized supercell storm. The simulated AMV observations are synthesized from the idealized supercell storm generated by the Weather Research and Forecasting model and then the data are assimilated with a three-dimensional variational analysis and forecast system. A baseline DA experiment demonstrates that the wind errors within and around the storms are remarkably reduced by assimilating the AMV data, consequently enhancing the storm top-level divergence and low-level convergence signatures associated with two strong splitting supercells. Three sets of sensitivity experiments are then performed to test the impact of observation resolution, DA cycling frequency and horizontal correlation length scale respectively. Generally, assimilating higher-spatial-resolution AMVs at higher cycling frequency is able to produce reasonable divergence analysis as well as the subsequent 90 min forecasts. However, too frequent DA cycling tends to produce a warm bias and overestimate nonprecipitating hydrometeor and storm-relative helicity features, resulting in more spurious cells in the short-term forecasts. It is also found that the correlation length scale of 20 km produces the best results when assimilating the AMV data.","container-title":"Journal of Advances in Modeling Earth Systems","DOI":"10.1029/2021MS002484","ISSN":"1942-2466","issue":"10","language":"en","note":"_eprint: https://onlinelibrary.wiley.com/doi/pdf/10.1029/2021MS002484","page":"e2021MS002484","source":"Wiley Online Library","title":"Impact of Assimilating High-Resolution Atmospheric Motion Vectors on Convective Scale Short-Term Forecasts: 1. Observing System Simulation Experiment (OSSE)","title-short":"Impact of Assimilating High-Resolution Atmospheric Motion Vectors on Convective Scale Short-Term Forecasts","volume":"13","author":[{"family":"Zhao","given":"Juan"},{"family":"Gao","given":"Jidong"},{"family":"Jones","given":"Thomas A."},{"family":"Hu","given":"Junjun"}],"issued":{"date-parts":[["2021"]]},"citation-key":"zhaoImpactAssimilatingHighResolution2021"}},{"id":455,"uris":["http://zotero.org/users/local/6VSApgKp/items/K9NIM6R8"],"itemData":{"id":455,"type":"article-journal","abstract":"Building on the results from the observing system simulation experiments in Part I, this study investigates the impact of assimilating Geostationary Operational Environmental Satellite-16 (GOES-16) derived atmospheric motion vector (AMV) data on the convective scale numerical weather prediction (NWP) by using the National Severe Storms Laboratory (NSSL) three-dimensional variational (3DVAR) data assimilation (DA) system. The benefit of the AMV DA for short-term severe weather forecast is assessed with three high-impact weather events that occurred in spring 2018 and 2019 over the Great Plains of the United States. The results show that the wind and equivalent potential temperature fields associated with the storm environment and the nearby ongoing convection are improved by the AMV DA, which yields better simulation of the boundaries and the subsequent forecasts of storm evolution. For the quasi-linear or mesoscale convective system, the assimilation of AMVs has a positive impact on the 0–3 h forecasts of composite reflectivity and accumulated precipitation in terms of the shape, location, and magnitude. However, the AMV DA has difficulty in capturing the sharp moisture gradient associated with the dryline and mostly underpredicts the associated scattered storms.","container-title":"Journal of Advances in Modeling Earth Systems","DOI":"10.1029/2021MS002486","ISSN":"1942-2466","issue":"10","language":"en","note":"_eprint: https://onlinelibrary.wiley.com/doi/pdf/10.1029/2021MS002486","page":"e2021MS002486","source":"Wiley Online Library","title":"Impact of Assimilating High-Resolution Atmospheric Motion Vectors on Convective Scale Short-Term Forecasts: 2. Assimilation Experiments of GOES-16 Satellite Derived Winds","title-short":"Impact of Assimilating High-Resolution Atmospheric Motion Vectors on Convective Scale Short-Term Forecasts","volume":"13","author":[{"family":"Zhao","given":"Juan"},{"family":"Gao","given":"Jidong"},{"family":"Jones","given":"Thomas A."},{"family":"Hu","given":"Junjun"}],"issued":{"date-parts":[["2021"]]},"citation-key":"zhaoImpactAssimilatingHighResolution2021a"}},{"id":458,"uris":["http://zotero.org/users/local/6VSApgKp/items/Y6UGJAJY"],"itemData":{"id":458,"type":"article-journal","abstract":"Based on the idealized supercell and real case studies in Part I and II, the purpose of this subsequent study is to further investigate the impact of assimilating Geostationary Operational Environmental Satellites-16 (GOES-16) derived atmospheric motion vectors (AMVs) in addition to WSR_88D Doppler radar observations on convective scale numerical weather prediction. Five high-impact weather events that occurred in spring 2018 and 2019 are analyzed using the National Severe Storms Laboratory three-dimensional variational data assimilation (DA) system. Four types of experiments are implemented and compared: (a) the control experiment (NoDA) without assimilating any observation, (b) the radar DA experiment (RAD), (c) the GOES-16 AMV DA experiment (AMV), and (d) the experiment assimilating AMVs together with radar data (AMV_RAD). Score metrics aggregated over all cases indicate that AMV_RAD performs slightly better than RAD in 0–3 hr reflectivity and precipitation forecasts especially at higher thresholds, suggesting the added value of GOES-16 AMVs on radar data. Detailed case examinations also show that AMV_RAD generally exhibits slightly more skillful storm forecast in terms of the areal coverage, storm mode, and storm orientations, owing to improvements in the analysis of boundary locations and localized enhanced divergence signatures. In spite of encouraging objective and subjective evaluation results, AMV_RAD has difficulty in adjusting the moisture gradient associated with dryline and tends to underpredict the associated weak discrete storms.","container-title":"Journal of Advances in Modeling Earth Systems","DOI":"10.1029/2022MS003246","ISSN":"1942-2466","issue":"12","language":"en","note":"_eprint: https://onlinelibrary.wiley.com/doi/pdf/10.1029/2022MS003246","page":"e2022MS003246","source":"Wiley Online Library","title":"Impact of Assimilating High-Resolution Atmospheric Motion Vectors on Convective Scale Short-Term Forecasts: 3. Experiments With Radar Reflectivity and Radial Velocity","title-short":"Impact of Assimilating High-Resolution Atmospheric Motion Vectors on Convective Scale Short-Term Forecasts","volume":"14","author":[{"family":"Zhao","given":"Juan"},{"family":"Gao","given":"Jidong"},{"family":"Jones","given":"Thomas"},{"family":"Hu","given":"Junjun"}],"issued":{"date-parts":[["2022"]]},"citation-key":"zhaoImpactAssimilatingHighResolution2022"}}],"schema":"https://github.com/citation-style-language/schema/raw/master/csl-citation.json"} </w:instrText>
      </w:r>
      <w:r w:rsidRPr="00506D3C">
        <w:rPr>
          <w:szCs w:val="24"/>
        </w:rPr>
        <w:fldChar w:fldCharType="separate"/>
      </w:r>
      <w:r w:rsidRPr="00506D3C">
        <w:rPr>
          <w:noProof/>
          <w:szCs w:val="24"/>
        </w:rPr>
        <w:t>(Fierro et al. 2016, 2019; Zhao et al. 2021a,b, 2022)</w:t>
      </w:r>
      <w:r w:rsidRPr="00506D3C">
        <w:rPr>
          <w:szCs w:val="24"/>
        </w:rPr>
        <w:fldChar w:fldCharType="end"/>
      </w:r>
      <w:r w:rsidRPr="00506D3C">
        <w:rPr>
          <w:szCs w:val="24"/>
        </w:rPr>
        <w:t>.</w:t>
      </w:r>
    </w:p>
    <w:p w14:paraId="66094911" w14:textId="3DA63550" w:rsidR="00AD13C1" w:rsidRPr="00506D3C" w:rsidRDefault="00AD13C1" w:rsidP="008D1F89">
      <w:pPr>
        <w:rPr>
          <w:szCs w:val="24"/>
        </w:rPr>
      </w:pPr>
      <w:r w:rsidRPr="00506D3C">
        <w:rPr>
          <w:szCs w:val="24"/>
        </w:rPr>
        <w:t xml:space="preserve">To improve conditioning of the cost function minimization and avoid the need for computing the inverse of </w:t>
      </w:r>
      <w:r w:rsidRPr="00506D3C">
        <w:rPr>
          <w:b/>
          <w:szCs w:val="24"/>
        </w:rPr>
        <w:t>B</w:t>
      </w:r>
      <w:r w:rsidRPr="00506D3C">
        <w:rPr>
          <w:szCs w:val="24"/>
        </w:rPr>
        <w:t xml:space="preserve">, a new control variable, </w:t>
      </w:r>
      <w:r w:rsidRPr="00506D3C">
        <w:rPr>
          <w:b/>
          <w:szCs w:val="24"/>
        </w:rPr>
        <w:t>v</w:t>
      </w:r>
      <w:r w:rsidRPr="00506D3C">
        <w:rPr>
          <w:szCs w:val="24"/>
        </w:rPr>
        <w:t>, is introduced and is related to the analysis increment according to,</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35"/>
        <w:gridCol w:w="715"/>
      </w:tblGrid>
      <w:tr w:rsidR="008D1F89" w:rsidRPr="00506D3C" w14:paraId="56F0B117" w14:textId="77777777" w:rsidTr="00506D3C">
        <w:tc>
          <w:tcPr>
            <w:tcW w:w="8635" w:type="dxa"/>
            <w:vAlign w:val="center"/>
          </w:tcPr>
          <w:p w14:paraId="748D66C7" w14:textId="38EC962D" w:rsidR="008D1F89" w:rsidRPr="00506D3C" w:rsidRDefault="008D1F89" w:rsidP="00B45862">
            <w:pPr>
              <w:ind w:firstLine="0"/>
              <w:jc w:val="center"/>
              <w:rPr>
                <w:iCs/>
                <w:sz w:val="24"/>
                <w:szCs w:val="24"/>
              </w:rPr>
            </w:pPr>
            <m:oMath>
              <m:r>
                <m:rPr>
                  <m:sty m:val="b"/>
                </m:rPr>
                <w:rPr>
                  <w:rFonts w:ascii="Cambria Math" w:hAnsi="Cambria Math"/>
                  <w:sz w:val="24"/>
                  <w:szCs w:val="24"/>
                </w:rPr>
                <w:lastRenderedPageBreak/>
                <m:t>x</m:t>
              </m:r>
              <m:r>
                <m:rPr>
                  <m:sty m:val="p"/>
                </m:rPr>
                <w:rPr>
                  <w:rFonts w:ascii="Cambria Math" w:hAnsi="Cambria Math"/>
                  <w:sz w:val="24"/>
                  <w:szCs w:val="24"/>
                </w:rPr>
                <m:t>-</m:t>
              </m:r>
              <m:sSup>
                <m:sSupPr>
                  <m:ctrlPr>
                    <w:rPr>
                      <w:rFonts w:ascii="Cambria Math" w:hAnsi="Cambria Math"/>
                      <w:sz w:val="24"/>
                      <w:szCs w:val="24"/>
                    </w:rPr>
                  </m:ctrlPr>
                </m:sSupPr>
                <m:e>
                  <m:r>
                    <m:rPr>
                      <m:sty m:val="b"/>
                    </m:rPr>
                    <w:rPr>
                      <w:rFonts w:ascii="Cambria Math" w:hAnsi="Cambria Math"/>
                      <w:sz w:val="24"/>
                      <w:szCs w:val="24"/>
                    </w:rPr>
                    <m:t>x</m:t>
                  </m:r>
                </m:e>
                <m:sup>
                  <m:r>
                    <w:rPr>
                      <w:rFonts w:ascii="Cambria Math" w:hAnsi="Cambria Math"/>
                      <w:sz w:val="24"/>
                      <w:szCs w:val="24"/>
                    </w:rPr>
                    <m:t>b</m:t>
                  </m:r>
                </m:sup>
              </m:sSup>
              <m:r>
                <w:rPr>
                  <w:rFonts w:ascii="Cambria Math" w:hAnsi="Cambria Math"/>
                  <w:sz w:val="24"/>
                  <w:szCs w:val="24"/>
                </w:rPr>
                <m:t>=</m:t>
              </m:r>
              <m:sSup>
                <m:sSupPr>
                  <m:ctrlPr>
                    <w:rPr>
                      <w:rFonts w:ascii="Cambria Math" w:hAnsi="Cambria Math"/>
                      <w:sz w:val="24"/>
                      <w:szCs w:val="24"/>
                    </w:rPr>
                  </m:ctrlPr>
                </m:sSupPr>
                <m:e>
                  <m:r>
                    <m:rPr>
                      <m:sty m:val="b"/>
                    </m:rPr>
                    <w:rPr>
                      <w:rFonts w:ascii="Cambria Math" w:hAnsi="Cambria Math"/>
                      <w:sz w:val="24"/>
                      <w:szCs w:val="24"/>
                    </w:rPr>
                    <m:t>B</m:t>
                  </m:r>
                </m:e>
                <m:sup>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sup>
              </m:sSup>
              <m:r>
                <m:rPr>
                  <m:sty m:val="b"/>
                </m:rPr>
                <w:rPr>
                  <w:rFonts w:ascii="Cambria Math" w:hAnsi="Cambria Math"/>
                  <w:sz w:val="24"/>
                  <w:szCs w:val="24"/>
                </w:rPr>
                <m:t>v</m:t>
              </m:r>
            </m:oMath>
            <w:r w:rsidRPr="00506D3C">
              <w:rPr>
                <w:sz w:val="24"/>
                <w:szCs w:val="24"/>
              </w:rPr>
              <w:t>.</w:t>
            </w:r>
          </w:p>
        </w:tc>
        <w:tc>
          <w:tcPr>
            <w:tcW w:w="715" w:type="dxa"/>
            <w:vAlign w:val="center"/>
          </w:tcPr>
          <w:p w14:paraId="6FACE596" w14:textId="5F2C6DA1" w:rsidR="008D1F89" w:rsidRPr="00506D3C" w:rsidRDefault="008D1F89" w:rsidP="00B45862">
            <w:pPr>
              <w:ind w:firstLine="0"/>
              <w:jc w:val="center"/>
              <w:rPr>
                <w:iCs/>
                <w:sz w:val="24"/>
                <w:szCs w:val="24"/>
              </w:rPr>
            </w:pPr>
            <w:r w:rsidRPr="00506D3C">
              <w:rPr>
                <w:sz w:val="24"/>
                <w:szCs w:val="24"/>
              </w:rPr>
              <w:t>(2.2)</w:t>
            </w:r>
          </w:p>
        </w:tc>
      </w:tr>
    </w:tbl>
    <w:p w14:paraId="29366EB8" w14:textId="79BD1E8A" w:rsidR="00AD13C1" w:rsidRPr="00506D3C" w:rsidRDefault="00AD13C1" w:rsidP="006D0DFF">
      <w:pPr>
        <w:ind w:firstLine="0"/>
        <w:rPr>
          <w:szCs w:val="24"/>
        </w:rPr>
      </w:pPr>
      <w:r w:rsidRPr="00506D3C">
        <w:rPr>
          <w:iCs/>
          <w:szCs w:val="24"/>
        </w:rPr>
        <w:t xml:space="preserve">In practice, </w:t>
      </w:r>
      <w:r w:rsidRPr="00506D3C">
        <w:rPr>
          <w:b/>
          <w:bCs/>
          <w:iCs/>
          <w:szCs w:val="24"/>
        </w:rPr>
        <w:t>B</w:t>
      </w:r>
      <w:r w:rsidRPr="00506D3C">
        <w:rPr>
          <w:iCs/>
          <w:szCs w:val="24"/>
        </w:rPr>
        <w:t xml:space="preserve"> is decomposed into several components to avoid difficulties for explicit calculation of large dimensional problems. As noted in </w:t>
      </w:r>
      <w:r w:rsidRPr="00506D3C">
        <w:rPr>
          <w:iCs/>
          <w:szCs w:val="24"/>
        </w:rPr>
        <w:fldChar w:fldCharType="begin"/>
      </w:r>
      <w:r w:rsidR="006E4F25">
        <w:rPr>
          <w:iCs/>
          <w:szCs w:val="24"/>
        </w:rPr>
        <w:instrText xml:space="preserve"> ADDIN ZOTERO_ITEM CSL_CITATION {"citationID":"EN43bhxr","properties":{"formattedCitation":"(Gao et al. 2004)","plainCitation":"(Gao et al. 2004)","dontUpdate":true,"noteIndex":0},"citationItems":[{"id":80,"uris":["http://zotero.org/users/local/6VSApgKp/items/8I9QVS4P"],"itemData":{"id":80,"type":"article-journal","abstract":"&lt;section class=\"abstract\"&gt;&lt;h2 class=\"abstractTitle text-title my-1\" id=\"d155362577e78\"&gt;Abstract&lt;/h2&gt;&lt;p&gt;In this paper, a new method of dual-Doppler radar wind analysis based on a three-dimensional variational data assimilation (3DVAR) approach is proposed. In it, a cost function, including background term and radial observation term, is minimized through a limited memory, quasi-Newton conjugate-gradient algorithm with the mass continuity equation imposed as a weak constraint. In the method, the background error covariance matrix, though simple in this case, is modeled by a recursive filter. Furthermore, the square root of this matrix is used to precondition the minimization problem.&lt;/p&gt;&lt;p&gt;The current method is applied to Doppler radar observation of a supercell storm, and the analysis results are compared to a conceptual model and previous research. It is shown that the horizontal circulations, both within and around the storms, as well as the strong updraft and the associated downdraft, are well analyzed. Because no explicit integration of the anelastic mass continuity equation is involved, error accumulation associated with such integration is avoided. As a result, the method is less sensitive to the vertical boundary uncertainties.&lt;/p&gt;&lt;/section&gt;","container-title":"Journal of Atmospheric and Oceanic Technology","DOI":"10.1175/1520-0426(2004)021&lt;0457:ATVDAM&gt;2.0.CO;2","ISSN":"0739-0572, 1520-0426","issue":"3","language":"EN","note":"publisher: American Meteorological Society\nsection: Journal of Atmospheric and Oceanic Technology","page":"457-469","source":"journals.ametsoc.org","title":"A Three-Dimensional Variational Data Analysis Method with Recursive Filter for Doppler Radars","volume":"21","author":[{"family":"Gao","given":"Jidong"},{"family":"Xue","given":"Ming"},{"family":"Brewster","given":"Keith"},{"family":"Droegemeier","given":"Kelvin K."}],"issued":{"date-parts":[["2004",3,1]]},"citation-key":"gaoThreeDimensionalVariationalData2004"}}],"schema":"https://github.com/citation-style-language/schema/raw/master/csl-citation.json"} </w:instrText>
      </w:r>
      <w:r w:rsidRPr="00506D3C">
        <w:rPr>
          <w:iCs/>
          <w:szCs w:val="24"/>
        </w:rPr>
        <w:fldChar w:fldCharType="separate"/>
      </w:r>
      <w:r w:rsidRPr="00506D3C">
        <w:rPr>
          <w:iCs/>
          <w:noProof/>
          <w:szCs w:val="24"/>
        </w:rPr>
        <w:t>Gao et al. (2004)</w:t>
      </w:r>
      <w:r w:rsidRPr="00506D3C">
        <w:rPr>
          <w:iCs/>
          <w:szCs w:val="24"/>
        </w:rPr>
        <w:fldChar w:fldCharType="end"/>
      </w:r>
      <w:r w:rsidRPr="00506D3C">
        <w:rPr>
          <w:iCs/>
          <w:szCs w:val="24"/>
        </w:rPr>
        <w:t xml:space="preserve">, the background error covariance matrix </w:t>
      </w:r>
      <w:r w:rsidRPr="00506D3C">
        <w:rPr>
          <w:b/>
          <w:bCs/>
          <w:iCs/>
          <w:szCs w:val="24"/>
        </w:rPr>
        <w:t>B</w:t>
      </w:r>
      <w:r w:rsidRPr="00506D3C">
        <w:rPr>
          <w:iCs/>
          <w:szCs w:val="24"/>
        </w:rPr>
        <w:t xml:space="preserve"> can be treated as </w:t>
      </w:r>
      <w:r w:rsidRPr="00506D3C">
        <w:rPr>
          <w:b/>
          <w:bCs/>
          <w:iCs/>
          <w:szCs w:val="24"/>
        </w:rPr>
        <w:t>C</w:t>
      </w:r>
      <w:r w:rsidRPr="00506D3C">
        <w:rPr>
          <w:iCs/>
          <w:szCs w:val="24"/>
          <w:vertAlign w:val="superscript"/>
        </w:rPr>
        <w:t>T</w:t>
      </w:r>
      <w:r w:rsidRPr="00506D3C">
        <w:rPr>
          <w:b/>
          <w:bCs/>
          <w:iCs/>
          <w:szCs w:val="24"/>
        </w:rPr>
        <w:t>C</w:t>
      </w:r>
      <w:r w:rsidRPr="00506D3C">
        <w:rPr>
          <w:iCs/>
          <w:szCs w:val="24"/>
        </w:rPr>
        <w:t xml:space="preserve">, where </w:t>
      </w:r>
      <w:r w:rsidRPr="00506D3C">
        <w:rPr>
          <w:b/>
          <w:bCs/>
          <w:iCs/>
          <w:szCs w:val="24"/>
        </w:rPr>
        <w:t>C</w:t>
      </w:r>
      <w:r w:rsidRPr="00506D3C">
        <w:rPr>
          <w:iCs/>
          <w:szCs w:val="24"/>
        </w:rPr>
        <w:t xml:space="preserve"> has the identical eigenvectors as </w:t>
      </w:r>
      <w:r w:rsidRPr="00506D3C">
        <w:rPr>
          <w:b/>
          <w:bCs/>
          <w:iCs/>
          <w:szCs w:val="24"/>
        </w:rPr>
        <w:t>B</w:t>
      </w:r>
      <w:r w:rsidRPr="00506D3C">
        <w:rPr>
          <w:iCs/>
          <w:szCs w:val="24"/>
        </w:rPr>
        <w:t xml:space="preserve"> and eigenvalues as </w:t>
      </w:r>
      <w:r w:rsidRPr="00506D3C">
        <w:rPr>
          <w:b/>
          <w:bCs/>
          <w:iCs/>
          <w:szCs w:val="24"/>
        </w:rPr>
        <w:t>B</w:t>
      </w:r>
      <w:r w:rsidRPr="00506D3C">
        <w:rPr>
          <w:iCs/>
          <w:szCs w:val="24"/>
          <w:vertAlign w:val="superscript"/>
        </w:rPr>
        <w:t>1/2</w:t>
      </w:r>
      <w:r w:rsidRPr="00506D3C">
        <w:rPr>
          <w:iCs/>
          <w:szCs w:val="24"/>
        </w:rPr>
        <w:t xml:space="preserve">. </w:t>
      </w:r>
      <w:r w:rsidRPr="00506D3C">
        <w:rPr>
          <w:szCs w:val="24"/>
        </w:rPr>
        <w:t xml:space="preserve">By letting </w:t>
      </w:r>
      <w:r w:rsidRPr="00506D3C">
        <w:rPr>
          <w:b/>
          <w:bCs/>
          <w:iCs/>
          <w:szCs w:val="24"/>
        </w:rPr>
        <w:t>C = B</w:t>
      </w:r>
      <w:r w:rsidRPr="00506D3C">
        <w:rPr>
          <w:iCs/>
          <w:szCs w:val="24"/>
          <w:vertAlign w:val="superscript"/>
        </w:rPr>
        <w:t>1/2</w:t>
      </w:r>
      <w:r w:rsidRPr="00506D3C">
        <w:rPr>
          <w:szCs w:val="24"/>
        </w:rPr>
        <w:t>, the cost function becomes:</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35"/>
        <w:gridCol w:w="715"/>
      </w:tblGrid>
      <w:tr w:rsidR="008D1F89" w:rsidRPr="00506D3C" w14:paraId="062F3ED8" w14:textId="77777777" w:rsidTr="00506D3C">
        <w:tc>
          <w:tcPr>
            <w:tcW w:w="8635" w:type="dxa"/>
            <w:vAlign w:val="center"/>
          </w:tcPr>
          <w:p w14:paraId="7275A995" w14:textId="72B24D3B" w:rsidR="008D1F89" w:rsidRPr="00506D3C" w:rsidRDefault="007B297F" w:rsidP="00B45862">
            <w:pPr>
              <w:ind w:firstLine="0"/>
              <w:jc w:val="center"/>
              <w:rPr>
                <w:iCs/>
                <w:sz w:val="24"/>
                <w:szCs w:val="24"/>
              </w:rPr>
            </w:pPr>
            <m:oMath>
              <m:sSub>
                <m:sSubPr>
                  <m:ctrlPr>
                    <w:rPr>
                      <w:rFonts w:ascii="Cambria Math" w:hAnsi="Cambria Math"/>
                      <w:i/>
                      <w:iCs/>
                      <w:sz w:val="24"/>
                      <w:szCs w:val="24"/>
                    </w:rPr>
                  </m:ctrlPr>
                </m:sSubPr>
                <m:e>
                  <m:r>
                    <w:rPr>
                      <w:rFonts w:ascii="Cambria Math" w:hAnsi="Cambria Math"/>
                      <w:sz w:val="24"/>
                      <w:szCs w:val="24"/>
                    </w:rPr>
                    <m:t>J</m:t>
                  </m:r>
                </m:e>
                <m:sub>
                  <m:r>
                    <w:rPr>
                      <w:rFonts w:ascii="Cambria Math" w:hAnsi="Cambria Math"/>
                      <w:sz w:val="24"/>
                      <w:szCs w:val="24"/>
                    </w:rPr>
                    <m:t>inc</m:t>
                  </m:r>
                </m:sub>
              </m:sSub>
              <m:d>
                <m:dPr>
                  <m:ctrlPr>
                    <w:rPr>
                      <w:rFonts w:ascii="Cambria Math" w:hAnsi="Cambria Math"/>
                      <w:i/>
                      <w:iCs/>
                      <w:sz w:val="24"/>
                      <w:szCs w:val="24"/>
                    </w:rPr>
                  </m:ctrlPr>
                </m:dPr>
                <m:e>
                  <m:r>
                    <m:rPr>
                      <m:sty m:val="b"/>
                    </m:rPr>
                    <w:rPr>
                      <w:rFonts w:ascii="Cambria Math" w:hAnsi="Cambria Math"/>
                      <w:sz w:val="24"/>
                      <w:szCs w:val="24"/>
                    </w:rPr>
                    <m:t>v</m:t>
                  </m:r>
                </m:e>
              </m:d>
              <m:r>
                <w:rPr>
                  <w:rFonts w:ascii="Cambria Math" w:hAnsi="Cambria Math"/>
                  <w:sz w:val="24"/>
                  <w:szCs w:val="24"/>
                </w:rPr>
                <m:t>=</m:t>
              </m:r>
              <m:f>
                <m:fPr>
                  <m:ctrlPr>
                    <w:rPr>
                      <w:rFonts w:ascii="Cambria Math" w:hAnsi="Cambria Math"/>
                      <w:i/>
                      <w:iCs/>
                      <w:sz w:val="24"/>
                      <w:szCs w:val="24"/>
                    </w:rPr>
                  </m:ctrlPr>
                </m:fPr>
                <m:num>
                  <m:r>
                    <w:rPr>
                      <w:rFonts w:ascii="Cambria Math" w:hAnsi="Cambria Math"/>
                      <w:sz w:val="24"/>
                      <w:szCs w:val="24"/>
                    </w:rPr>
                    <m:t>1</m:t>
                  </m:r>
                </m:num>
                <m:den>
                  <m:r>
                    <w:rPr>
                      <w:rFonts w:ascii="Cambria Math" w:hAnsi="Cambria Math"/>
                      <w:sz w:val="24"/>
                      <w:szCs w:val="24"/>
                    </w:rPr>
                    <m:t>2</m:t>
                  </m:r>
                </m:den>
              </m:f>
              <m:sSup>
                <m:sSupPr>
                  <m:ctrlPr>
                    <w:rPr>
                      <w:rFonts w:ascii="Cambria Math" w:hAnsi="Cambria Math"/>
                      <w:sz w:val="24"/>
                      <w:szCs w:val="24"/>
                    </w:rPr>
                  </m:ctrlPr>
                </m:sSupPr>
                <m:e>
                  <m:r>
                    <m:rPr>
                      <m:sty m:val="b"/>
                    </m:rPr>
                    <w:rPr>
                      <w:rFonts w:ascii="Cambria Math" w:hAnsi="Cambria Math"/>
                      <w:sz w:val="24"/>
                      <w:szCs w:val="24"/>
                    </w:rPr>
                    <m:t>v</m:t>
                  </m:r>
                </m:e>
                <m:sup>
                  <m:r>
                    <m:rPr>
                      <m:sty m:val="p"/>
                    </m:rPr>
                    <w:rPr>
                      <w:rFonts w:ascii="Cambria Math" w:hAnsi="Cambria Math"/>
                      <w:sz w:val="24"/>
                      <w:szCs w:val="24"/>
                    </w:rPr>
                    <m:t>T</m:t>
                  </m:r>
                </m:sup>
              </m:sSup>
              <m:r>
                <m:rPr>
                  <m:sty m:val="b"/>
                </m:rPr>
                <w:rPr>
                  <w:rFonts w:ascii="Cambria Math" w:hAnsi="Cambria Math"/>
                  <w:sz w:val="24"/>
                  <w:szCs w:val="24"/>
                </w:rPr>
                <m:t>v</m:t>
              </m:r>
              <m:r>
                <m:rPr>
                  <m:sty m:val="p"/>
                </m:rP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sSup>
                <m:sSupPr>
                  <m:ctrlPr>
                    <w:rPr>
                      <w:rFonts w:ascii="Cambria Math" w:hAnsi="Cambria Math"/>
                      <w:sz w:val="24"/>
                      <w:szCs w:val="24"/>
                    </w:rPr>
                  </m:ctrlPr>
                </m:sSupPr>
                <m:e>
                  <m:d>
                    <m:dPr>
                      <m:begChr m:val="["/>
                      <m:endChr m:val="]"/>
                      <m:ctrlPr>
                        <w:rPr>
                          <w:rFonts w:ascii="Cambria Math" w:hAnsi="Cambria Math"/>
                          <w:sz w:val="24"/>
                          <w:szCs w:val="24"/>
                        </w:rPr>
                      </m:ctrlPr>
                    </m:dPr>
                    <m:e>
                      <m:r>
                        <m:rPr>
                          <m:sty m:val="b"/>
                        </m:rPr>
                        <w:rPr>
                          <w:rFonts w:ascii="Cambria Math" w:hAnsi="Cambria Math"/>
                          <w:sz w:val="24"/>
                          <w:szCs w:val="24"/>
                        </w:rPr>
                        <m:t>HCv-</m:t>
                      </m:r>
                      <m:r>
                        <m:rPr>
                          <m:sty m:val="p"/>
                        </m:rPr>
                        <w:rPr>
                          <w:rFonts w:ascii="Cambria Math" w:hAnsi="Cambria Math"/>
                          <w:sz w:val="24"/>
                          <w:szCs w:val="24"/>
                        </w:rPr>
                        <m:t>d</m:t>
                      </m:r>
                    </m:e>
                  </m:d>
                </m:e>
                <m:sup>
                  <m:r>
                    <m:rPr>
                      <m:sty m:val="p"/>
                    </m:rPr>
                    <w:rPr>
                      <w:rFonts w:ascii="Cambria Math" w:hAnsi="Cambria Math"/>
                      <w:sz w:val="24"/>
                      <w:szCs w:val="24"/>
                    </w:rPr>
                    <m:t>T</m:t>
                  </m:r>
                </m:sup>
              </m:sSup>
              <m:sSup>
                <m:sSupPr>
                  <m:ctrlPr>
                    <w:rPr>
                      <w:rFonts w:ascii="Cambria Math" w:hAnsi="Cambria Math"/>
                      <w:sz w:val="24"/>
                      <w:szCs w:val="24"/>
                    </w:rPr>
                  </m:ctrlPr>
                </m:sSupPr>
                <m:e>
                  <m:r>
                    <m:rPr>
                      <m:sty m:val="b"/>
                    </m:rPr>
                    <w:rPr>
                      <w:rFonts w:ascii="Cambria Math" w:hAnsi="Cambria Math"/>
                      <w:sz w:val="24"/>
                      <w:szCs w:val="24"/>
                    </w:rPr>
                    <m:t>R</m:t>
                  </m:r>
                </m:e>
                <m:sup>
                  <m:r>
                    <m:rPr>
                      <m:sty m:val="p"/>
                    </m:rPr>
                    <w:rPr>
                      <w:rFonts w:ascii="Cambria Math" w:hAnsi="Cambria Math"/>
                      <w:sz w:val="24"/>
                      <w:szCs w:val="24"/>
                    </w:rPr>
                    <m:t>-1</m:t>
                  </m:r>
                </m:sup>
              </m:sSup>
              <m:d>
                <m:dPr>
                  <m:begChr m:val="["/>
                  <m:endChr m:val="]"/>
                  <m:ctrlPr>
                    <w:rPr>
                      <w:rFonts w:ascii="Cambria Math" w:hAnsi="Cambria Math"/>
                      <w:sz w:val="24"/>
                      <w:szCs w:val="24"/>
                    </w:rPr>
                  </m:ctrlPr>
                </m:dPr>
                <m:e>
                  <m:r>
                    <m:rPr>
                      <m:sty m:val="b"/>
                    </m:rPr>
                    <w:rPr>
                      <w:rFonts w:ascii="Cambria Math" w:hAnsi="Cambria Math"/>
                      <w:sz w:val="24"/>
                      <w:szCs w:val="24"/>
                    </w:rPr>
                    <m:t>HCv-</m:t>
                  </m:r>
                  <m:r>
                    <m:rPr>
                      <m:sty m:val="p"/>
                    </m:rPr>
                    <w:rPr>
                      <w:rFonts w:ascii="Cambria Math" w:hAnsi="Cambria Math"/>
                      <w:sz w:val="24"/>
                      <w:szCs w:val="24"/>
                    </w:rPr>
                    <m:t>d</m:t>
                  </m:r>
                </m:e>
              </m:d>
              <m:r>
                <m:rPr>
                  <m:sty m:val="p"/>
                </m:rPr>
                <w:rPr>
                  <w:rFonts w:ascii="Cambria Math" w:hAnsi="Cambria Math"/>
                  <w:sz w:val="24"/>
                  <w:szCs w:val="24"/>
                </w:rPr>
                <m:t>+</m:t>
              </m:r>
              <m:sSub>
                <m:sSubPr>
                  <m:ctrlPr>
                    <w:rPr>
                      <w:rFonts w:ascii="Cambria Math" w:hAnsi="Cambria Math"/>
                      <w:i/>
                      <w:iCs/>
                      <w:sz w:val="24"/>
                      <w:szCs w:val="24"/>
                    </w:rPr>
                  </m:ctrlPr>
                </m:sSubPr>
                <m:e>
                  <m:r>
                    <w:rPr>
                      <w:rFonts w:ascii="Cambria Math" w:hAnsi="Cambria Math"/>
                      <w:sz w:val="24"/>
                      <w:szCs w:val="24"/>
                    </w:rPr>
                    <m:t>J</m:t>
                  </m:r>
                </m:e>
                <m:sub>
                  <m:r>
                    <w:rPr>
                      <w:rFonts w:ascii="Cambria Math" w:hAnsi="Cambria Math"/>
                      <w:sz w:val="24"/>
                      <w:szCs w:val="24"/>
                    </w:rPr>
                    <m:t>c</m:t>
                  </m:r>
                </m:sub>
              </m:sSub>
              <m:d>
                <m:dPr>
                  <m:ctrlPr>
                    <w:rPr>
                      <w:rFonts w:ascii="Cambria Math" w:hAnsi="Cambria Math"/>
                      <w:i/>
                      <w:iCs/>
                      <w:sz w:val="24"/>
                      <w:szCs w:val="24"/>
                    </w:rPr>
                  </m:ctrlPr>
                </m:dPr>
                <m:e>
                  <m:r>
                    <m:rPr>
                      <m:sty m:val="b"/>
                    </m:rPr>
                    <w:rPr>
                      <w:rFonts w:ascii="Cambria Math" w:hAnsi="Cambria Math"/>
                      <w:sz w:val="24"/>
                      <w:szCs w:val="24"/>
                    </w:rPr>
                    <m:t>v</m:t>
                  </m:r>
                </m:e>
              </m:d>
            </m:oMath>
            <w:r w:rsidR="008D1F89" w:rsidRPr="00506D3C">
              <w:rPr>
                <w:sz w:val="24"/>
                <w:szCs w:val="24"/>
              </w:rPr>
              <w:t>,</w:t>
            </w:r>
          </w:p>
        </w:tc>
        <w:tc>
          <w:tcPr>
            <w:tcW w:w="715" w:type="dxa"/>
            <w:vAlign w:val="center"/>
          </w:tcPr>
          <w:p w14:paraId="26F7A986" w14:textId="53A7D108" w:rsidR="008D1F89" w:rsidRPr="00506D3C" w:rsidRDefault="008D1F89" w:rsidP="00B45862">
            <w:pPr>
              <w:ind w:firstLine="0"/>
              <w:jc w:val="center"/>
              <w:rPr>
                <w:iCs/>
                <w:sz w:val="24"/>
                <w:szCs w:val="24"/>
              </w:rPr>
            </w:pPr>
            <w:r w:rsidRPr="00506D3C">
              <w:rPr>
                <w:sz w:val="24"/>
                <w:szCs w:val="24"/>
              </w:rPr>
              <w:t>(2.3)</w:t>
            </w:r>
          </w:p>
        </w:tc>
      </w:tr>
    </w:tbl>
    <w:p w14:paraId="4F13FEE6" w14:textId="680AF579" w:rsidR="00AD13C1" w:rsidRPr="00506D3C" w:rsidRDefault="00AD13C1" w:rsidP="006D0DFF">
      <w:pPr>
        <w:ind w:firstLine="0"/>
        <w:rPr>
          <w:szCs w:val="24"/>
        </w:rPr>
      </w:pPr>
      <w:r w:rsidRPr="00506D3C">
        <w:rPr>
          <w:szCs w:val="24"/>
        </w:rPr>
        <w:t xml:space="preserve">where </w:t>
      </w:r>
      <w:r w:rsidRPr="00506D3C">
        <w:rPr>
          <w:b/>
          <w:bCs/>
          <w:szCs w:val="24"/>
        </w:rPr>
        <w:t>H</w:t>
      </w:r>
      <w:r w:rsidRPr="00506D3C">
        <w:rPr>
          <w:szCs w:val="24"/>
        </w:rPr>
        <w:t xml:space="preserve"> is the linearized version of </w:t>
      </w:r>
      <w:r w:rsidRPr="00506D3C">
        <w:rPr>
          <w:i/>
          <w:iCs/>
          <w:szCs w:val="24"/>
        </w:rPr>
        <w:t>H</w:t>
      </w:r>
      <w:r w:rsidRPr="00506D3C">
        <w:rPr>
          <w:szCs w:val="24"/>
        </w:rPr>
        <w:t xml:space="preserve"> and </w:t>
      </w:r>
      <m:oMath>
        <m:r>
          <m:rPr>
            <m:sty m:val="p"/>
          </m:rPr>
          <w:rPr>
            <w:rFonts w:ascii="Cambria Math" w:hAnsi="Cambria Math"/>
            <w:szCs w:val="24"/>
          </w:rPr>
          <m:t>d≡</m:t>
        </m:r>
        <m:sSup>
          <m:sSupPr>
            <m:ctrlPr>
              <w:rPr>
                <w:rFonts w:ascii="Cambria Math" w:hAnsi="Cambria Math"/>
                <w:szCs w:val="24"/>
              </w:rPr>
            </m:ctrlPr>
          </m:sSupPr>
          <m:e>
            <m:r>
              <m:rPr>
                <m:sty m:val="p"/>
              </m:rPr>
              <w:rPr>
                <w:rFonts w:ascii="Cambria Math" w:hAnsi="Cambria Math"/>
                <w:szCs w:val="24"/>
              </w:rPr>
              <m:t>y</m:t>
            </m:r>
          </m:e>
          <m:sup>
            <m:r>
              <w:rPr>
                <w:rFonts w:ascii="Cambria Math" w:hAnsi="Cambria Math"/>
                <w:szCs w:val="24"/>
              </w:rPr>
              <m:t>o</m:t>
            </m:r>
          </m:sup>
        </m:sSup>
        <m:r>
          <w:rPr>
            <w:rFonts w:ascii="Cambria Math" w:hAnsi="Cambria Math"/>
            <w:szCs w:val="24"/>
          </w:rPr>
          <m:t>-H</m:t>
        </m:r>
        <m:d>
          <m:dPr>
            <m:ctrlPr>
              <w:rPr>
                <w:rFonts w:ascii="Cambria Math" w:hAnsi="Cambria Math"/>
                <w:szCs w:val="24"/>
              </w:rPr>
            </m:ctrlPr>
          </m:dPr>
          <m:e>
            <m:sSup>
              <m:sSupPr>
                <m:ctrlPr>
                  <w:rPr>
                    <w:rFonts w:ascii="Cambria Math" w:hAnsi="Cambria Math"/>
                    <w:b/>
                    <w:szCs w:val="24"/>
                  </w:rPr>
                </m:ctrlPr>
              </m:sSupPr>
              <m:e>
                <m:r>
                  <m:rPr>
                    <m:sty m:val="b"/>
                  </m:rPr>
                  <w:rPr>
                    <w:rFonts w:ascii="Cambria Math" w:hAnsi="Cambria Math"/>
                    <w:szCs w:val="24"/>
                  </w:rPr>
                  <m:t>x</m:t>
                </m:r>
              </m:e>
              <m:sup>
                <m:r>
                  <w:rPr>
                    <w:rFonts w:ascii="Cambria Math" w:hAnsi="Cambria Math"/>
                    <w:szCs w:val="24"/>
                  </w:rPr>
                  <m:t>b</m:t>
                </m:r>
              </m:sup>
            </m:sSup>
          </m:e>
        </m:d>
      </m:oMath>
      <w:r w:rsidRPr="00506D3C">
        <w:rPr>
          <w:szCs w:val="24"/>
        </w:rPr>
        <w:t xml:space="preserve">. Consequently, the minimization is performed in the space of </w:t>
      </w:r>
      <w:r w:rsidRPr="00506D3C">
        <w:rPr>
          <w:b/>
          <w:szCs w:val="24"/>
        </w:rPr>
        <w:t>v</w:t>
      </w:r>
      <w:r w:rsidRPr="00506D3C">
        <w:rPr>
          <w:szCs w:val="24"/>
        </w:rPr>
        <w:t xml:space="preserve">. The matrix </w:t>
      </w:r>
      <w:r w:rsidRPr="00506D3C">
        <w:rPr>
          <w:b/>
          <w:bCs/>
          <w:szCs w:val="24"/>
        </w:rPr>
        <w:t>C</w:t>
      </w:r>
      <w:r w:rsidRPr="00506D3C">
        <w:rPr>
          <w:szCs w:val="24"/>
        </w:rPr>
        <w:t xml:space="preserve"> is further defined as:</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35"/>
        <w:gridCol w:w="715"/>
      </w:tblGrid>
      <w:tr w:rsidR="008D1F89" w:rsidRPr="00506D3C" w14:paraId="1D6B3097" w14:textId="77777777" w:rsidTr="00506D3C">
        <w:tc>
          <w:tcPr>
            <w:tcW w:w="8635" w:type="dxa"/>
            <w:vAlign w:val="center"/>
          </w:tcPr>
          <w:p w14:paraId="5D3712B2" w14:textId="229B043F" w:rsidR="008D1F89" w:rsidRPr="00506D3C" w:rsidRDefault="008D1F89" w:rsidP="00B45862">
            <w:pPr>
              <w:ind w:firstLine="0"/>
              <w:jc w:val="center"/>
              <w:rPr>
                <w:rFonts w:ascii="Cambria Math" w:hAnsi="Cambria Math"/>
                <w:bCs/>
                <w:iCs/>
                <w:sz w:val="24"/>
                <w:szCs w:val="24"/>
              </w:rPr>
            </w:pPr>
            <m:oMath>
              <m:r>
                <m:rPr>
                  <m:sty m:val="b"/>
                </m:rPr>
                <w:rPr>
                  <w:rFonts w:ascii="Cambria Math" w:hAnsi="Cambria Math"/>
                  <w:sz w:val="24"/>
                  <w:szCs w:val="24"/>
                </w:rPr>
                <m:t>C=DF</m:t>
              </m:r>
            </m:oMath>
            <w:r w:rsidR="006D0DFF">
              <w:rPr>
                <w:sz w:val="24"/>
                <w:szCs w:val="24"/>
              </w:rPr>
              <w:t>.</w:t>
            </w:r>
          </w:p>
        </w:tc>
        <w:tc>
          <w:tcPr>
            <w:tcW w:w="715" w:type="dxa"/>
            <w:vAlign w:val="center"/>
          </w:tcPr>
          <w:p w14:paraId="24D513F4" w14:textId="4144BF72" w:rsidR="008D1F89" w:rsidRPr="00506D3C" w:rsidRDefault="008D1F89" w:rsidP="00B45862">
            <w:pPr>
              <w:ind w:firstLine="0"/>
              <w:jc w:val="center"/>
              <w:rPr>
                <w:iCs/>
                <w:sz w:val="24"/>
                <w:szCs w:val="24"/>
              </w:rPr>
            </w:pPr>
            <w:r w:rsidRPr="00506D3C">
              <w:rPr>
                <w:sz w:val="24"/>
                <w:szCs w:val="24"/>
              </w:rPr>
              <w:t>(2.4)</w:t>
            </w:r>
          </w:p>
        </w:tc>
      </w:tr>
    </w:tbl>
    <w:p w14:paraId="4289B4E8" w14:textId="2AAD35F3" w:rsidR="00AD13C1" w:rsidRPr="00506D3C" w:rsidRDefault="00AD13C1" w:rsidP="006D0DFF">
      <w:pPr>
        <w:ind w:firstLine="0"/>
        <w:rPr>
          <w:szCs w:val="24"/>
        </w:rPr>
      </w:pPr>
      <w:r w:rsidRPr="00506D3C">
        <w:rPr>
          <w:iCs/>
          <w:szCs w:val="24"/>
        </w:rPr>
        <w:t xml:space="preserve">Here </w:t>
      </w:r>
      <w:r w:rsidRPr="00506D3C">
        <w:rPr>
          <w:b/>
          <w:bCs/>
          <w:iCs/>
          <w:szCs w:val="24"/>
        </w:rPr>
        <w:t>D</w:t>
      </w:r>
      <w:r w:rsidRPr="00506D3C">
        <w:rPr>
          <w:iCs/>
          <w:szCs w:val="24"/>
        </w:rPr>
        <w:t xml:space="preserve">, representing the background error standard deviations, is a diagonal matrix. </w:t>
      </w:r>
      <w:r w:rsidRPr="00506D3C">
        <w:rPr>
          <w:color w:val="333333"/>
          <w:szCs w:val="24"/>
          <w:shd w:val="clear" w:color="auto" w:fill="FFFFFF"/>
        </w:rPr>
        <w:t xml:space="preserve">The </w:t>
      </w:r>
      <w:r w:rsidRPr="00506D3C">
        <w:rPr>
          <w:color w:val="000000"/>
          <w:szCs w:val="24"/>
        </w:rPr>
        <w:t>standard deviations</w:t>
      </w:r>
      <w:r w:rsidRPr="00506D3C">
        <w:rPr>
          <w:color w:val="333333"/>
          <w:szCs w:val="24"/>
          <w:shd w:val="clear" w:color="auto" w:fill="FFFFFF"/>
        </w:rPr>
        <w:t xml:space="preserve"> for the model variables are derived from the statistics of the Rapid Update Cycle </w:t>
      </w:r>
      <w:r w:rsidRPr="00506D3C">
        <w:rPr>
          <w:color w:val="333333"/>
          <w:szCs w:val="24"/>
          <w:shd w:val="clear" w:color="auto" w:fill="FFFFFF"/>
        </w:rPr>
        <w:fldChar w:fldCharType="begin"/>
      </w:r>
      <w:r w:rsidRPr="00506D3C">
        <w:rPr>
          <w:color w:val="333333"/>
          <w:szCs w:val="24"/>
          <w:shd w:val="clear" w:color="auto" w:fill="FFFFFF"/>
        </w:rPr>
        <w:instrText xml:space="preserve"> ADDIN ZOTERO_ITEM CSL_CITATION {"citationID":"wBsTnWQ9","properties":{"formattedCitation":"(Benjamin et al. 2004)","plainCitation":"(Benjamin et al. 2004)","noteIndex":0},"citationItems":[{"id":463,"uris":["http://zotero.org/users/local/6VSApgKp/items/TTGUPZA3"],"itemData":{"id":463,"type":"article-journal","abstract":"Abstract A mesoscale atmospheric forecast model configured in a hybrid isentropic–sigma vertical coordinate and used in the NOAA Rapid Update Cycle (RUC) for operational numerical guidance is presented. The RUC model is the only quasi-isentropic forecast model running operationally in the world and is distinguished from other hybrid isentropic models by its application at fairly high horizontal resolution (10–20 km) and a generalized vertical coordinate formulation that allows model levels to remain continuous and yet be purely isentropic well into the middle and even lower troposphere. The RUC model is fully described in its 2003 operational version, including numerics and physical parameterizations. The use of these parameterizations, including mixed-phase cloud microphysics and an ensemble-closure-based cumulus parameterization, is fully consistent with the RUC vertical coordinate without any loss of generality. A series of experiments confirm that the RUC hybrid θ–σ coordinate reduces cross-coordinate transport over a quasi-horizontal σ coordinate. This reduction in cross-coordinate vertical transport results in less numerical vertical diffusion and thereby improves numerical accuracy for moist reversible processes. Finally, a forecast is presented of a strong cyclogenesis case over the eastern United States in which the RUC model produced an accurate 36-h prediction, especially in a 10-km nested version. Horizontal and vertical plots from these forecasts give evidence of detailed yet coherent structures of potential vorticity, moisture, and vertical motion.","container-title":"Monthly Weather Review","DOI":"10.1175/1520-0493(2004)132&lt;0473:MWPWTR&gt;2.0.CO;2","ISSN":"1520-0493, 0027-0644","issue":"2","language":"EN","note":"publisher: American Meteorological Society\nsection: Monthly Weather Review","page":"473-494","source":"journals.ametsoc.org","title":"Mesoscale Weather Prediction with the RUC Hybrid Isentropic–Terrain-Following Coordinate Model","volume":"132","author":[{"family":"Benjamin","given":"Stanley G."},{"family":"Grell","given":"Georg A."},{"family":"Brown","given":"John M."},{"family":"Smirnova","given":"Tatiana G."},{"family":"Bleck","given":"Rainer"}],"issued":{"date-parts":[["2004",2,1]]},"citation-key":"benjaminMesoscaleWeatherPrediction2004"}}],"schema":"https://github.com/citation-style-language/schema/raw/master/csl-citation.json"} </w:instrText>
      </w:r>
      <w:r w:rsidRPr="00506D3C">
        <w:rPr>
          <w:color w:val="333333"/>
          <w:szCs w:val="24"/>
          <w:shd w:val="clear" w:color="auto" w:fill="FFFFFF"/>
        </w:rPr>
        <w:fldChar w:fldCharType="separate"/>
      </w:r>
      <w:r w:rsidRPr="00506D3C">
        <w:rPr>
          <w:noProof/>
          <w:color w:val="333333"/>
          <w:szCs w:val="24"/>
          <w:shd w:val="clear" w:color="auto" w:fill="FFFFFF"/>
        </w:rPr>
        <w:t>(Benjamin et al. 2004)</w:t>
      </w:r>
      <w:r w:rsidRPr="00506D3C">
        <w:rPr>
          <w:color w:val="333333"/>
          <w:szCs w:val="24"/>
          <w:shd w:val="clear" w:color="auto" w:fill="FFFFFF"/>
        </w:rPr>
        <w:fldChar w:fldCharType="end"/>
      </w:r>
      <w:r w:rsidRPr="00506D3C">
        <w:rPr>
          <w:color w:val="333333"/>
          <w:szCs w:val="24"/>
          <w:shd w:val="clear" w:color="auto" w:fill="FFFFFF"/>
        </w:rPr>
        <w:t xml:space="preserve"> model 3</w:t>
      </w:r>
      <w:r w:rsidR="00FB5992">
        <w:rPr>
          <w:color w:val="333333"/>
          <w:szCs w:val="24"/>
          <w:shd w:val="clear" w:color="auto" w:fill="FFFFFF"/>
        </w:rPr>
        <w:t>-hour</w:t>
      </w:r>
      <w:r w:rsidRPr="00506D3C">
        <w:rPr>
          <w:color w:val="333333"/>
          <w:szCs w:val="24"/>
          <w:shd w:val="clear" w:color="auto" w:fill="FFFFFF"/>
        </w:rPr>
        <w:t xml:space="preserve"> forecasts over 4 years from 2001 to 2004. </w:t>
      </w:r>
      <w:r w:rsidRPr="00506D3C">
        <w:rPr>
          <w:szCs w:val="24"/>
        </w:rPr>
        <w:t xml:space="preserve">A newly developed heterogeneous error profile based on reflectivity partitioning, which is used for replacing this homogeneous error profile, will be detailed described in Chapter 4. </w:t>
      </w:r>
      <w:r w:rsidRPr="00506D3C">
        <w:rPr>
          <w:iCs/>
          <w:szCs w:val="24"/>
        </w:rPr>
        <w:t xml:space="preserve">The square root of a matrix with diagonal elements equal to one and off-diagonal elements representing the background error correlation coefficients is characterized by </w:t>
      </w:r>
      <w:r w:rsidRPr="00506D3C">
        <w:rPr>
          <w:b/>
          <w:bCs/>
          <w:iCs/>
          <w:szCs w:val="24"/>
        </w:rPr>
        <w:t>F</w:t>
      </w:r>
      <w:r w:rsidRPr="00506D3C">
        <w:rPr>
          <w:iCs/>
          <w:szCs w:val="24"/>
        </w:rPr>
        <w:t xml:space="preserve">. </w:t>
      </w:r>
      <w:r w:rsidRPr="00506D3C">
        <w:rPr>
          <w:b/>
          <w:bCs/>
          <w:szCs w:val="24"/>
        </w:rPr>
        <w:t xml:space="preserve">F </w:t>
      </w:r>
      <w:r w:rsidRPr="00506D3C">
        <w:rPr>
          <w:szCs w:val="24"/>
        </w:rPr>
        <w:t>is modeled</w:t>
      </w:r>
      <w:r w:rsidRPr="00506D3C">
        <w:rPr>
          <w:b/>
          <w:bCs/>
          <w:szCs w:val="24"/>
        </w:rPr>
        <w:t xml:space="preserve"> </w:t>
      </w:r>
      <w:r w:rsidRPr="00506D3C">
        <w:rPr>
          <w:szCs w:val="24"/>
        </w:rPr>
        <w:t xml:space="preserve">by the recursive filter </w:t>
      </w:r>
      <w:r w:rsidRPr="00506D3C">
        <w:rPr>
          <w:szCs w:val="24"/>
        </w:rPr>
        <w:fldChar w:fldCharType="begin"/>
      </w:r>
      <w:r w:rsidR="00186B73">
        <w:rPr>
          <w:szCs w:val="24"/>
        </w:rPr>
        <w:instrText xml:space="preserve"> ADDIN ZOTERO_ITEM CSL_CITATION {"citationID":"JtrxatOg","properties":{"formattedCitation":"(Purser et al. 2003a,b)","plainCitation":"(Purser et al. 2003a,b)","dontUpdate":true,"noteIndex":0},"citationItems":[{"id":408,"uris":["http://zotero.org/users/local/6VSApgKp/items/9THB9WJV"],"itemData":{"id":408,"type":"article-journal","abstract":"Abstract The construction and application of efficient numerical recursive filters for the task of convolving a spatial distribution of “forcing” terms with a quasi-Gaussian self-adjoint smoothing kernel in two or three dimensions are described. In the context of variational analysis, this smoothing operation may be interpreted as the convolution of a covariance function of background error with the given forcing terms, which constitutes one of the most computationally intensive components of the iterative solution of a variational analysis problem. Among the technical aspects of the recursive filters, the problems of achieving acceptable approximations to horizontal isotropy and the implementation of both periodic and nonperiodic boundary conditions that avoid the appearance of spurious numerical artifacts are treated herein. A multigrid approach that helps to minimize numerical noise at filtering scales greatly in excess of the grid step is also discussed. It is emphasized that the methods are not inherently limited to the construction of purely Gaussian shapes, although the detailed elaboration of methods by which a more general set of possible covariance profiles may be synthesized is deferred to the companion paper ().","container-title":"Monthly Weather Review","DOI":"10.1175//1520-0493(2003)131&lt;1524:NAOTAO&gt;2.0.CO;2","ISSN":"1520-0493, 0027-0644","issue":"8","language":"EN","note":"publisher: American Meteorological Society\nsection: Monthly Weather Review","page":"1524-1535","source":"journals.ametsoc.org","title":"Numerical Aspects of the Application of Recursive Filters to Variational Statistical Analysis. Part I: Spatially Homogeneous and Isotropic Gaussian Covariances","title-short":"Numerical Aspects of the Application of Recursive Filters to Variational Statistical Analysis. Part I","volume":"131","author":[{"family":"Purser","given":"R. James"},{"family":"Wu","given":"Wan-Shu"},{"family":"Parrish","given":"David F."},{"family":"Roberts","given":"Nigel M."}],"issued":{"date-parts":[["2003",8,1]]},"citation-key":"purserNumericalAspectsApplication2003a"}},{"id":406,"uris":["http://zotero.org/users/local/6VSApgKp/items/SCGYETA8"],"itemData":{"id":406,"type":"article-journal","abstract":"Abstract In this second part of a two-part study of recursive filter techniques applied to the synthesis of covariances in a variational analysis, methods by which non-Gaussian shapes and spatial inhomogeneities and anisotropies for the covariances may be introduced in a well-controlled way are examined. These methods permit an analysis scheme to possess covariance structures with adaptive variations of amplitude, scale, profile shape, and degrees of local anisotropy, all as functions of geographical location and altitude. First, it is shown how a wider and more useful variety of covariance shapes than just the Gaussian may be obtained by the positive superposition of Gaussian components of different scales, or by further combinations of these operators with the application of Laplacian operators in order for the products to possess negative sidelobes in their radial profiles. Then it is shown how the techniques of recursive filters may be generalized to admit the construction of covariances whose characteristic scales relative to the grid become adaptive to geographical location, while preserving the necessary properties of self-adjointness and positivity. Special attention is paid to the problems of amplitude control for these spatially inhomogeneous filters and an estimate for the kernel amplitude is proposed based upon an asymptotic analysis of the problem. Finally, a further generalization of the filters that enables fully anisotropic and geographically adaptive covariances to be constructed in a computationally efficient way is discussed.","container-title":"Monthly Weather Review","DOI":"10.1175//2543.1","ISSN":"1520-0493, 0027-0644","issue":"8","language":"EN","note":"publisher: American Meteorological Society\nsection: Monthly Weather Review","page":"1536-1548","source":"journals.ametsoc.org","title":"Numerical Aspects of the Application of Recursive Filters to Variational Statistical Analysis. Part II: Spatially Inhomogeneous and Anisotropic General Covariances","title-short":"Numerical Aspects of the Application of Recursive Filters to Variational Statistical Analysis. Part II","volume":"131","author":[{"family":"Purser","given":"R. James"},{"family":"Wu","given":"Wan-Shu"},{"family":"Parrish","given":"David F."},{"family":"Roberts","given":"Nigel M."}],"issued":{"date-parts":[["2003",8,1]]},"citation-key":"purserNumericalAspectsApplication2003"}}],"schema":"https://github.com/citation-style-language/schema/raw/master/csl-citation.json"} </w:instrText>
      </w:r>
      <w:r w:rsidRPr="00506D3C">
        <w:rPr>
          <w:szCs w:val="24"/>
        </w:rPr>
        <w:fldChar w:fldCharType="separate"/>
      </w:r>
      <w:r w:rsidRPr="00506D3C">
        <w:rPr>
          <w:noProof/>
          <w:szCs w:val="24"/>
        </w:rPr>
        <w:t>(Purser et al. 2003a,</w:t>
      </w:r>
      <w:r w:rsidR="003A1125">
        <w:rPr>
          <w:noProof/>
          <w:szCs w:val="24"/>
        </w:rPr>
        <w:t xml:space="preserve"> </w:t>
      </w:r>
      <w:r w:rsidRPr="00506D3C">
        <w:rPr>
          <w:noProof/>
          <w:szCs w:val="24"/>
        </w:rPr>
        <w:t>b)</w:t>
      </w:r>
      <w:r w:rsidRPr="00506D3C">
        <w:rPr>
          <w:szCs w:val="24"/>
        </w:rPr>
        <w:fldChar w:fldCharType="end"/>
      </w:r>
      <w:r w:rsidRPr="00506D3C">
        <w:rPr>
          <w:szCs w:val="24"/>
        </w:rPr>
        <w:t xml:space="preserve">. </w:t>
      </w:r>
      <w:r w:rsidRPr="00506D3C">
        <w:rPr>
          <w:color w:val="333333"/>
          <w:szCs w:val="24"/>
          <w:shd w:val="clear" w:color="auto" w:fill="FFFFFF"/>
        </w:rPr>
        <w:t>Multiple passes (or outer loops) can be applied to the recursive filter for assimilating observations with different spatial scales. For example, surface observations are assimilated in the first loop with wider radius, while radar observations are assimilated in the second loop with narrow radius.</w:t>
      </w:r>
    </w:p>
    <w:p w14:paraId="66FA74C2" w14:textId="77777777" w:rsidR="00AD13C1" w:rsidRPr="00506D3C" w:rsidRDefault="00AD13C1" w:rsidP="00AD13C1">
      <w:pPr>
        <w:rPr>
          <w:szCs w:val="24"/>
        </w:rPr>
      </w:pPr>
    </w:p>
    <w:p w14:paraId="21612CF8" w14:textId="127B442D" w:rsidR="00AD13C1" w:rsidRPr="00506D3C" w:rsidRDefault="00AD13C1" w:rsidP="007E1C8B">
      <w:pPr>
        <w:pStyle w:val="Heading2"/>
      </w:pPr>
      <w:bookmarkStart w:id="18" w:name="_Toc130995430"/>
      <w:bookmarkStart w:id="19" w:name="_Toc131018295"/>
      <w:r w:rsidRPr="00506D3C">
        <w:lastRenderedPageBreak/>
        <w:t xml:space="preserve">Overview of the Warn-on-Forecast Hybrid </w:t>
      </w:r>
      <w:r w:rsidR="00DC2D4C">
        <w:t>DA and Forecast System</w:t>
      </w:r>
      <w:bookmarkEnd w:id="18"/>
      <w:bookmarkEnd w:id="19"/>
    </w:p>
    <w:p w14:paraId="02709157" w14:textId="44596558" w:rsidR="00AD13C1" w:rsidRPr="00506D3C" w:rsidRDefault="00AD13C1" w:rsidP="008D1F89">
      <w:pPr>
        <w:rPr>
          <w:szCs w:val="24"/>
        </w:rPr>
      </w:pPr>
      <w:r w:rsidRPr="00506D3C">
        <w:rPr>
          <w:szCs w:val="24"/>
        </w:rPr>
        <w:t>The system</w:t>
      </w:r>
      <w:r w:rsidR="00DC2D4C">
        <w:rPr>
          <w:szCs w:val="24"/>
        </w:rPr>
        <w:t xml:space="preserve"> described in Section 2.1</w:t>
      </w:r>
      <w:r w:rsidRPr="00506D3C">
        <w:rPr>
          <w:szCs w:val="24"/>
        </w:rPr>
        <w:t xml:space="preserve"> </w:t>
      </w:r>
      <w:r w:rsidR="003A1125">
        <w:rPr>
          <w:szCs w:val="24"/>
        </w:rPr>
        <w:t>was</w:t>
      </w:r>
      <w:r w:rsidRPr="00506D3C">
        <w:rPr>
          <w:szCs w:val="24"/>
        </w:rPr>
        <w:t xml:space="preserve"> extended to </w:t>
      </w:r>
      <w:r w:rsidR="00DC2D4C">
        <w:rPr>
          <w:szCs w:val="24"/>
        </w:rPr>
        <w:t xml:space="preserve">be </w:t>
      </w:r>
      <w:r w:rsidRPr="00506D3C">
        <w:rPr>
          <w:szCs w:val="24"/>
        </w:rPr>
        <w:t>implement</w:t>
      </w:r>
      <w:r w:rsidR="00DC2D4C">
        <w:rPr>
          <w:szCs w:val="24"/>
        </w:rPr>
        <w:t>ed in a</w:t>
      </w:r>
      <w:r w:rsidRPr="00506D3C">
        <w:rPr>
          <w:szCs w:val="24"/>
        </w:rPr>
        <w:t xml:space="preserve"> hybrid </w:t>
      </w:r>
      <w:r w:rsidR="00DC2D4C">
        <w:rPr>
          <w:szCs w:val="24"/>
        </w:rPr>
        <w:t xml:space="preserve">ensemble and variational DA </w:t>
      </w:r>
      <w:r w:rsidRPr="00506D3C">
        <w:rPr>
          <w:szCs w:val="24"/>
        </w:rPr>
        <w:t xml:space="preserve">scheme </w:t>
      </w:r>
      <w:r w:rsidRPr="00506D3C">
        <w:rPr>
          <w:szCs w:val="24"/>
        </w:rPr>
        <w:fldChar w:fldCharType="begin"/>
      </w:r>
      <w:r w:rsidRPr="00506D3C">
        <w:rPr>
          <w:szCs w:val="24"/>
        </w:rPr>
        <w:instrText xml:space="preserve"> ADDIN ZOTERO_ITEM CSL_CITATION {"citationID":"PwWqhWCd","properties":{"formattedCitation":"(Gao and Stensrud 2014; Gao et al. 2016)","plainCitation":"(Gao and Stensrud 2014; Gao et al. 2016)","noteIndex":0},"citationItems":[{"id":78,"uris":["http://zotero.org/users/local/6VSApgKp/items/7553UDVX"],"itemData":{"id":78,"type":"article-journal","abstract":"&lt;section class=\"abstract\"&gt;&lt;h2 class=\"abstractTitle text-title my-1\" id=\"d130372467e65\"&gt;Abstract&lt;/h2&gt;&lt;p&gt;A hybrid three-dimensional ensemble–variational data assimilation (3DEnVAR) algorithm is developed based on the 3D variational data assimilation (3DVAR) and ensemble Kalman filter (EnKF) programs with the Advanced Regional Prediction System (ARPS). The method uses the extended control variable approach to combine the static and ensemble-derived flow-dependent forecast error covariances. The method is applied to the assimilation of simulated data from two radars for a supercell storm. Some sensitivity experiments are performed to answer questions about how flow-dependent covariance estimated from the forecast ensemble can be best used in the hybrid 3DEnVAR scheme. When the ensemble size is relatively small (with 5 or 10 ensemble members), it is found that experiments with a weaker weighting value for the ensemble covariance leads to better analysis results. Even when severe sampling errors exist, introducing ensemble-estimated covariances into the variational method still benefits the analysis. For reasonably large ensemble sizes (50–100 members), a stronger relative weighting (&amp;gt;0.8) for the ensemble covariance leads to better analyses from the hybrid 3DEnVAR. In addition, the sensitivity experiments also indicate that the best results are obtained when the number of the augmented control variables is a function of three spatial dimensions and ensemble members, and is the same for all analysis variables.&lt;/p&gt;&lt;/section&gt;","container-title":"Monthly Weather Review","DOI":"10.1175/MWR-D-14-00025.1","ISSN":"1520-0493, 0027-0644","issue":"9","language":"EN","note":"publisher: American Meteorological Society\nsection: Monthly Weather Review","page":"3326-3346","source":"journals.ametsoc.org","title":"Some Observing System Simulation Experiments with a Hybrid 3DEnVAR System for Storm-Scale Radar Data Assimilation","volume":"142","author":[{"family":"Gao","given":"Jidong"},{"family":"Stensrud","given":"David J."}],"issued":{"date-parts":[["2014",9,1]]},"citation-key":"gaoObservingSystemSimulation2014"}},{"id":465,"uris":["http://zotero.org/users/local/6VSApgKp/items/R93AHVXK"],"itemData":{"id":465,"type":"article-journal","abstract":"Abstract An ensemble of the three-dimensional variational data assimilation (En3DA) method for convective-scale weather has been developed. It consists of an ensemble of three-dimensional variational data assimilations and forecasts in which member differences are introduced by perturbing initial conditions and/or observations, and it uses flow-dependent error covariances generated by the ensemble forecasts. The method is applied to the assimilation of simulated radar data for a supercell storm. Results indicate that the flow-dependent ensemble covariances are effective in enabling convective-scale analyses, as the most important features of the simulated storm, including the low-level cold pool and midlevel mesocyclone, are well analyzed. Several groups of sensitivity experiments are conducted to test the robustness of the method. The first group demonstrates that incorporating a mass continuity equation as a weak constraint into the En3DA algorithm can improve the quality of the analyses when radial velocity observations contain large errors. In the second group of experiments, the sensitivity of analyses to the microphysical parameterization scheme is explored. Results indicate that the En3DA analyses are quite sensitive to differences in the microphysics scheme, suggesting that ensemble forecasts with multiple microphysics schemes could reduce uncertainty related to model physics errors. Experiments also show that assimilating reflectivity observations can reduce spinup time and that it has a small positive impact on the quality of the wind field analysis. Of the threshold values tested for assimilating reflectivity observations, 15 dBZ provides the best analysis. The final group of experiments demonstrates that it is not necessary to perturb radial velocity observations for every ensemble number in order to improve the quality of the analysis.","container-title":"Journal of the Atmospheric Sciences","DOI":"10.1175/JAS-D-15-0311.1","ISSN":"0022-4928, 1520-0469","issue":"6","language":"EN","note":"publisher: American Meteorological Society\nsection: Journal of the Atmospheric Sciences","page":"2403-2426","source":"journals.ametsoc.org","title":"OSSEs for an Ensemble 3DVAR Data Assimilation System with Radar Observations of Convective Storms","volume":"73","author":[{"family":"Gao","given":"Jidong"},{"family":"Fu","given":"Chenghao"},{"family":"Stensrud","given":"David J."},{"family":"Kain","given":"John S."}],"issued":{"date-parts":[["2016",6,1]]},"citation-key":"gaoOSSEsEnsemble3DVAR2016"}}],"schema":"https://github.com/citation-style-language/schema/raw/master/csl-citation.json"} </w:instrText>
      </w:r>
      <w:r w:rsidRPr="00506D3C">
        <w:rPr>
          <w:szCs w:val="24"/>
        </w:rPr>
        <w:fldChar w:fldCharType="separate"/>
      </w:r>
      <w:r w:rsidRPr="00506D3C">
        <w:rPr>
          <w:noProof/>
          <w:szCs w:val="24"/>
        </w:rPr>
        <w:t>(Gao and Stensrud 2014; Gao et al. 2016)</w:t>
      </w:r>
      <w:r w:rsidRPr="00506D3C">
        <w:rPr>
          <w:szCs w:val="24"/>
        </w:rPr>
        <w:fldChar w:fldCharType="end"/>
      </w:r>
      <w:r w:rsidRPr="00506D3C">
        <w:rPr>
          <w:szCs w:val="24"/>
        </w:rPr>
        <w:t xml:space="preserve"> by combining the static error covariances and flow-dependent error covariances from an ensemble. To achieve this goal, a so-called alpha control method is implemented by augmentation of the state vector, from </w:t>
      </w:r>
      <w:r w:rsidRPr="00506D3C">
        <w:rPr>
          <w:b/>
          <w:szCs w:val="24"/>
        </w:rPr>
        <w:t>v</w:t>
      </w:r>
      <w:r w:rsidRPr="00506D3C">
        <w:rPr>
          <w:szCs w:val="24"/>
        </w:rPr>
        <w:t xml:space="preserve"> to (</w:t>
      </w:r>
      <w:r w:rsidRPr="00506D3C">
        <w:rPr>
          <w:b/>
          <w:szCs w:val="24"/>
        </w:rPr>
        <w:t>v</w:t>
      </w:r>
      <w:r w:rsidRPr="00506D3C">
        <w:rPr>
          <w:szCs w:val="24"/>
        </w:rPr>
        <w:t xml:space="preserve">, </w:t>
      </w:r>
      <w:r w:rsidRPr="00506D3C">
        <w:rPr>
          <w:b/>
          <w:bCs/>
          <w:szCs w:val="24"/>
        </w:rPr>
        <w:t>w</w:t>
      </w:r>
      <w:r w:rsidRPr="00506D3C">
        <w:rPr>
          <w:szCs w:val="24"/>
        </w:rPr>
        <w:t xml:space="preserve">) </w:t>
      </w:r>
      <w:r w:rsidRPr="00506D3C">
        <w:rPr>
          <w:szCs w:val="24"/>
        </w:rPr>
        <w:fldChar w:fldCharType="begin"/>
      </w:r>
      <w:r w:rsidR="00186B73">
        <w:rPr>
          <w:szCs w:val="24"/>
        </w:rPr>
        <w:instrText xml:space="preserve"> ADDIN ZOTERO_ITEM CSL_CITATION {"citationID":"2eBQdk5F","properties":{"formattedCitation":"(Hamill and Snyder 2000; Lorenc 2003; Buehner 2005; Wang et al. 2007)","plainCitation":"(Hamill and Snyder 2000; Lorenc 2003; Buehner 2005; Wang et al. 2007)","dontUpdate":true,"noteIndex":0},"citationItems":[{"id":383,"uris":["http://zotero.org/users/local/6VSApgKp/items/IABCVT25"],"itemData":{"id":383,"type":"article-journal","abstract":"Abstract A hybrid ensemble Kalman filter–three-dimensional variational (3DVAR) analysis scheme is demonstrated using a quasigeostrophic model under perfect-model assumptions. Four networks with differing observational densities are tested, including one network with a data void. The hybrid scheme operates by computing a set of parallel data assimilation cycles, with each member of the set receiving unique perturbed observations. The perturbed observations are generated by adding random noise consistent with observation error statistics to the control set of observations. Background error statistics for the data assimilation are estimated from a linear combination of time-invariant 3DVAR covariances and flow-dependent covariances developed from the ensemble of short-range forecasts. The hybrid scheme allows the user to weight the relative contributions of the 3DVAR and ensemble-based background covariances. The analysis scheme was cycled for 90 days, with new observations assimilated every 12 h. Generally, it was found that the analysis performs best when background error covariances are estimated almost fully from the ensemble, especially when the ensemble size was large. When small-sized ensembles are used, some lessened weighting of ensemble-based covariances is desirable. The relative improvement over 3DVAR analyses was dependent upon the observational data density and norm; generally, there is less improvement for data-rich networks than for data-poor networks, with the largest improvement for the network with the data void. As expected, errors depend on the size of the ensemble, with errors decreasing as more ensemble members are added. The sets of initial conditions generated from the hybrid are generally well calibrated and provide an improved set of initial conditions for ensemble forecasts.","container-title":"Monthly Weather Review","DOI":"10.1175/1520-0493(2000)128&lt;2905:AHEKFV&gt;2.0.CO;2","ISSN":"1520-0493, 0027-0644","issue":"8","language":"EN","note":"publisher: American Meteorological Society\nsection: Monthly Weather Review","page":"2905-2919","source":"journals-ametsoc-org.ezproxy.lib.ou.edu","title":"A Hybrid Ensemble Kalman Filter–3D Variational Analysis Scheme","volume":"128","author":[{"family":"Hamill","given":"Thomas M."},{"family":"Snyder","given":"Chris"}],"issued":{"date-parts":[["2000",8,1]]},"citation-key":"hamillHybridEnsembleKalman2000"}},{"id":195,"uris":["http://zotero.org/users/local/6VSApgKp/items/PVIWKBBA"],"itemData":{"id":195,"type":"article-journal","abstract":"The ensemble Kalman filter (EnKF) is reviewed for its expected assimilation characteristics and ease of implementation, and compared to the currently more popular four-dimensional variational assimilation (4D-Var). The EnKF is attractive when building a new medium-range ensemble numerical weather prediction (NWP) system. However it is less suitable for NWP systems with uncertainty in a wide range of scales; it may not use high-resolution satellite data as effectively as 4D-Var. For limited-area mesoscale NWP systems a hybrid method is attractive. © Crown copyright, 2003. Royal Meteorological Society","container-title":"Quarterly Journal of the Royal Meteorological Society","DOI":"10.1256/qj.02.132","ISSN":"1477-870X","issue":"595","language":"en","note":"_eprint: https://onlinelibrary.wiley.com/doi/pdf/10.1256/qj.02.132","page":"3183-3203","source":"Wiley Online Library","title":"The potential of the ensemble Kalman filter for NWP—a comparison with 4D-Var","volume":"129","author":[{"family":"Lorenc","given":"Andrew C."}],"issued":{"date-parts":[["2003"]]},"citation-key":"lorencPotentialEnsembleKalman2003"}},{"id":194,"uris":["http://zotero.org/users/local/6VSApgKp/items/MYPFE53T"],"itemData":{"id":194,"type":"article-journal","abstract":"In this study several approaches for obtaining more accurate background-error covariances for atmospheric data assimilation are evaluated. Experiments are conducted by replacing the covariances in the operational three-dimensional variational analysis system at the Canadian Meteorological Centre. In the current system, these covariances are computed using the so-called NMC method that is known to suffer from several deficiencies. The approaches evaluated in this study attempt to more realistically sample the probability distribution of background error by simulating (using a Monte Carlo approach) the error generated at each stage of the forecast-analysis process. The ensemble Kalman filter and a simpler approach applied to an existing forecast-analysis system are both used to generate these error samples. In addition, error samples are generated directly from the covariances of the operational system to allow the effects of sampling error to be quantified. Several strategies for estimating the full covariance matrix from a relatively small number of error samples are then employed. Approaches include the use of a spatially localized ensemble representation of the correlations that allows the usual assumptions of homogeneity and isotropy to be relaxed. In addition, the use of a weighted average between such a covariance matrix and a covariance matrix with homogeneous and isotropic correlations is evaluated. Several diagnostic results from the estimated background-error covariances are presented in addition to verification statistics computed from two-week forecast-analysis experiments. Modest forecast improvements are obtained by using the new background-error covariance estimates, mostly in the southern hemisphere. However, additional results suggest that further improvements may be gained by increasing the number of error samples and a preliminary quantitative estimate of the expected gain is computed. © Crown copyright, 2005. Royal Meteorological Society","container-title":"Quarterly Journal of the Royal Meteorological Society","DOI":"10.1256/qj.04.15","ISSN":"1477-870X","issue":"607","language":"en","note":"_eprint: https://onlinelibrary.wiley.com/doi/pdf/10.1256/qj.04.15","page":"1013-1043","source":"Wiley Online Library","title":"Ensemble-derived stationary and flow-dependent background-error covariances: Evaluation in a quasi-operational NWP setting","title-short":"Ensemble-derived stationary and flow-dependent background-error covariances","volume":"131","author":[{"family":"Buehner","given":"Mark"}],"issued":{"date-parts":[["2005"]]},"citation-key":"buehnerEnsemblederivedStationaryFlowdependent2005"}},{"id":307,"uris":["http://zotero.org/users/local/6VSApgKp/items/9MLMPPQJ"],"itemData":{"id":307,"type":"article-journal","abstract":"Abstract Hybrid ensemble–three-dimensional variational analysis schemes incorporate flow-dependent, ensemble-estimated background-error covariances into the three-dimensional variational data assimilation (3DVAR) framework. Typically the 3DVAR background-error covariance estimate is assumed to be stationary, nearly homogeneous, and isotropic. A hybrid scheme can be achieved by 1) directly replacing the background-error covariance term in the cost function by a linear combination of the original background-error covariance with the ensemble covariance or 2) through augmenting the state vector with another set of control variables preconditioned upon the square root of the ensemble covariance. These differently proposed hybrid schemes are proven to be equivalent. The latter framework may be a simpler way to incorporate ensemble information into operational 3DVAR schemes, where the preconditioning is performed with respect to the background term.","container-title":"Monthly Weather Review","DOI":"10.1175/MWR3282.1","ISSN":"1520-0493, 0027-0644","issue":"1","language":"EN","note":"publisher: American Meteorological Society\nsection: Monthly Weather Review","page":"222-227","source":"journals.ametsoc.org","title":"On the Theoretical Equivalence of Differently Proposed Ensemble–3DVAR Hybrid Analysis Schemes","volume":"135","author":[{"family":"Wang","given":"Xuguang"},{"family":"Snyder","given":"Chris"},{"family":"Hamill","given":"Thomas M."}],"issued":{"date-parts":[["2007",1,1]]},"citation-key":"wangTheoreticalEquivalenceDifferently2007"}}],"schema":"https://github.com/citation-style-language/schema/raw/master/csl-citation.json"} </w:instrText>
      </w:r>
      <w:r w:rsidRPr="00506D3C">
        <w:rPr>
          <w:szCs w:val="24"/>
        </w:rPr>
        <w:fldChar w:fldCharType="separate"/>
      </w:r>
      <w:r w:rsidRPr="00506D3C">
        <w:rPr>
          <w:noProof/>
          <w:szCs w:val="24"/>
        </w:rPr>
        <w:t xml:space="preserve">(Hamill and Snyder 2000; Lorenc 2003; Buehner 2005; </w:t>
      </w:r>
      <w:r w:rsidR="006C1602" w:rsidRPr="00506D3C">
        <w:rPr>
          <w:noProof/>
          <w:szCs w:val="24"/>
        </w:rPr>
        <w:t xml:space="preserve">Buehner </w:t>
      </w:r>
      <w:r w:rsidR="006C1602">
        <w:rPr>
          <w:noProof/>
          <w:szCs w:val="24"/>
        </w:rPr>
        <w:t>et al. 2010a,b, 2015</w:t>
      </w:r>
      <w:r w:rsidR="006C1602" w:rsidRPr="00506D3C">
        <w:rPr>
          <w:noProof/>
          <w:szCs w:val="24"/>
        </w:rPr>
        <w:t>;</w:t>
      </w:r>
      <w:r w:rsidRPr="00506D3C">
        <w:rPr>
          <w:noProof/>
          <w:szCs w:val="24"/>
        </w:rPr>
        <w:t>Wang et al. 2007</w:t>
      </w:r>
      <w:r w:rsidR="006C1602">
        <w:rPr>
          <w:noProof/>
          <w:szCs w:val="24"/>
        </w:rPr>
        <w:t>, 2008 and 2009</w:t>
      </w:r>
      <w:r w:rsidRPr="00506D3C">
        <w:rPr>
          <w:noProof/>
          <w:szCs w:val="24"/>
        </w:rPr>
        <w:t>)</w:t>
      </w:r>
      <w:r w:rsidRPr="00506D3C">
        <w:rPr>
          <w:szCs w:val="24"/>
        </w:rPr>
        <w:fldChar w:fldCharType="end"/>
      </w:r>
      <w:r w:rsidRPr="00506D3C">
        <w:rPr>
          <w:szCs w:val="24"/>
        </w:rPr>
        <w:t>. The cost function then can be written as:</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35"/>
        <w:gridCol w:w="715"/>
      </w:tblGrid>
      <w:tr w:rsidR="008D1F89" w:rsidRPr="00506D3C" w14:paraId="28700ECF" w14:textId="77777777" w:rsidTr="00506D3C">
        <w:tc>
          <w:tcPr>
            <w:tcW w:w="8635" w:type="dxa"/>
            <w:vAlign w:val="center"/>
          </w:tcPr>
          <w:p w14:paraId="148013C9" w14:textId="05550CCC" w:rsidR="008D1F89" w:rsidRPr="00506D3C" w:rsidRDefault="008D1F89" w:rsidP="00B45862">
            <w:pPr>
              <w:ind w:firstLine="0"/>
              <w:jc w:val="center"/>
              <w:rPr>
                <w:iCs/>
                <w:sz w:val="24"/>
                <w:szCs w:val="24"/>
              </w:rPr>
            </w:pPr>
            <m:oMath>
              <m:r>
                <w:rPr>
                  <w:rFonts w:ascii="Cambria Math" w:hAnsi="Cambria Math"/>
                  <w:sz w:val="24"/>
                  <w:szCs w:val="24"/>
                </w:rPr>
                <m:t>J=</m:t>
              </m:r>
              <m:f>
                <m:fPr>
                  <m:ctrlPr>
                    <w:rPr>
                      <w:rFonts w:ascii="Cambria Math" w:hAnsi="Cambria Math"/>
                      <w:i/>
                      <w:iCs/>
                      <w:sz w:val="24"/>
                      <w:szCs w:val="24"/>
                    </w:rPr>
                  </m:ctrlPr>
                </m:fPr>
                <m:num>
                  <m:r>
                    <w:rPr>
                      <w:rFonts w:ascii="Cambria Math" w:hAnsi="Cambria Math"/>
                      <w:sz w:val="24"/>
                      <w:szCs w:val="24"/>
                    </w:rPr>
                    <m:t>1</m:t>
                  </m:r>
                </m:num>
                <m:den>
                  <m:r>
                    <w:rPr>
                      <w:rFonts w:ascii="Cambria Math" w:hAnsi="Cambria Math"/>
                      <w:sz w:val="24"/>
                      <w:szCs w:val="24"/>
                    </w:rPr>
                    <m:t>2</m:t>
                  </m:r>
                </m:den>
              </m:f>
              <m:sSup>
                <m:sSupPr>
                  <m:ctrlPr>
                    <w:rPr>
                      <w:rFonts w:ascii="Cambria Math" w:hAnsi="Cambria Math"/>
                      <w:sz w:val="24"/>
                      <w:szCs w:val="24"/>
                    </w:rPr>
                  </m:ctrlPr>
                </m:sSupPr>
                <m:e>
                  <m:r>
                    <m:rPr>
                      <m:sty m:val="b"/>
                    </m:rPr>
                    <w:rPr>
                      <w:rFonts w:ascii="Cambria Math" w:hAnsi="Cambria Math"/>
                      <w:sz w:val="24"/>
                      <w:szCs w:val="24"/>
                    </w:rPr>
                    <m:t>v</m:t>
                  </m:r>
                </m:e>
                <m:sup>
                  <m:r>
                    <m:rPr>
                      <m:sty m:val="p"/>
                    </m:rPr>
                    <w:rPr>
                      <w:rFonts w:ascii="Cambria Math" w:hAnsi="Cambria Math"/>
                      <w:sz w:val="24"/>
                      <w:szCs w:val="24"/>
                    </w:rPr>
                    <m:t>T</m:t>
                  </m:r>
                </m:sup>
              </m:sSup>
              <m:r>
                <m:rPr>
                  <m:sty m:val="b"/>
                </m:rPr>
                <w:rPr>
                  <w:rFonts w:ascii="Cambria Math" w:hAnsi="Cambria Math"/>
                  <w:sz w:val="24"/>
                  <w:szCs w:val="24"/>
                </w:rPr>
                <m:t>v+</m:t>
              </m:r>
              <m:f>
                <m:fPr>
                  <m:ctrlPr>
                    <w:rPr>
                      <w:rFonts w:ascii="Cambria Math" w:hAnsi="Cambria Math"/>
                      <w:i/>
                      <w:iCs/>
                      <w:sz w:val="24"/>
                      <w:szCs w:val="24"/>
                    </w:rPr>
                  </m:ctrlPr>
                </m:fPr>
                <m:num>
                  <m:r>
                    <w:rPr>
                      <w:rFonts w:ascii="Cambria Math" w:hAnsi="Cambria Math"/>
                      <w:sz w:val="24"/>
                      <w:szCs w:val="24"/>
                    </w:rPr>
                    <m:t>1</m:t>
                  </m:r>
                </m:num>
                <m:den>
                  <m:r>
                    <w:rPr>
                      <w:rFonts w:ascii="Cambria Math" w:hAnsi="Cambria Math"/>
                      <w:sz w:val="24"/>
                      <w:szCs w:val="24"/>
                    </w:rPr>
                    <m:t>2</m:t>
                  </m:r>
                </m:den>
              </m:f>
              <m:sSup>
                <m:sSupPr>
                  <m:ctrlPr>
                    <w:rPr>
                      <w:rFonts w:ascii="Cambria Math" w:hAnsi="Cambria Math"/>
                      <w:sz w:val="24"/>
                      <w:szCs w:val="24"/>
                    </w:rPr>
                  </m:ctrlPr>
                </m:sSupPr>
                <m:e>
                  <m:r>
                    <m:rPr>
                      <m:sty m:val="b"/>
                    </m:rPr>
                    <w:rPr>
                      <w:rFonts w:ascii="Cambria Math" w:hAnsi="Cambria Math"/>
                      <w:sz w:val="24"/>
                      <w:szCs w:val="24"/>
                    </w:rPr>
                    <m:t>w</m:t>
                  </m:r>
                </m:e>
                <m:sup>
                  <m:r>
                    <m:rPr>
                      <m:sty m:val="p"/>
                    </m:rPr>
                    <w:rPr>
                      <w:rFonts w:ascii="Cambria Math" w:hAnsi="Cambria Math"/>
                      <w:sz w:val="24"/>
                      <w:szCs w:val="24"/>
                    </w:rPr>
                    <m:t>T</m:t>
                  </m:r>
                </m:sup>
              </m:sSup>
              <m:r>
                <m:rPr>
                  <m:sty m:val="b"/>
                </m:rPr>
                <w:rPr>
                  <w:rFonts w:ascii="Cambria Math" w:hAnsi="Cambria Math"/>
                  <w:sz w:val="24"/>
                  <w:szCs w:val="24"/>
                </w:rPr>
                <m:t>w</m:t>
              </m:r>
              <m:r>
                <m:rPr>
                  <m:sty m:val="p"/>
                </m:rP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sSup>
                <m:sSupPr>
                  <m:ctrlPr>
                    <w:rPr>
                      <w:rFonts w:ascii="Cambria Math" w:hAnsi="Cambria Math"/>
                      <w:sz w:val="24"/>
                      <w:szCs w:val="24"/>
                    </w:rPr>
                  </m:ctrlPr>
                </m:sSupPr>
                <m:e>
                  <m:d>
                    <m:dPr>
                      <m:begChr m:val="["/>
                      <m:endChr m:val="]"/>
                      <m:ctrlPr>
                        <w:rPr>
                          <w:rFonts w:ascii="Cambria Math" w:hAnsi="Cambria Math"/>
                          <w:sz w:val="24"/>
                          <w:szCs w:val="24"/>
                        </w:rPr>
                      </m:ctrlPr>
                    </m:dPr>
                    <m:e>
                      <m:r>
                        <w:rPr>
                          <w:rFonts w:ascii="Cambria Math" w:hAnsi="Cambria Math"/>
                          <w:sz w:val="24"/>
                          <w:szCs w:val="24"/>
                        </w:rPr>
                        <m:t>H</m:t>
                      </m:r>
                      <m:d>
                        <m:dPr>
                          <m:ctrlPr>
                            <w:rPr>
                              <w:rFonts w:ascii="Cambria Math" w:hAnsi="Cambria Math"/>
                              <w:sz w:val="24"/>
                              <w:szCs w:val="24"/>
                            </w:rPr>
                          </m:ctrlPr>
                        </m:dPr>
                        <m:e>
                          <m:sSup>
                            <m:sSupPr>
                              <m:ctrlPr>
                                <w:rPr>
                                  <w:rFonts w:ascii="Cambria Math" w:hAnsi="Cambria Math"/>
                                  <w:b/>
                                  <w:i/>
                                  <w:sz w:val="24"/>
                                  <w:szCs w:val="24"/>
                                </w:rPr>
                              </m:ctrlPr>
                            </m:sSupPr>
                            <m:e>
                              <m:acc>
                                <m:accPr>
                                  <m:chr m:val="̅"/>
                                  <m:ctrlPr>
                                    <w:rPr>
                                      <w:rFonts w:ascii="Cambria Math" w:hAnsi="Cambria Math"/>
                                      <w:b/>
                                      <w:sz w:val="24"/>
                                      <w:szCs w:val="24"/>
                                    </w:rPr>
                                  </m:ctrlPr>
                                </m:accPr>
                                <m:e>
                                  <m:r>
                                    <m:rPr>
                                      <m:sty m:val="b"/>
                                    </m:rPr>
                                    <w:rPr>
                                      <w:rFonts w:ascii="Cambria Math" w:hAnsi="Cambria Math"/>
                                      <w:sz w:val="24"/>
                                      <w:szCs w:val="24"/>
                                    </w:rPr>
                                    <m:t>x</m:t>
                                  </m:r>
                                </m:e>
                              </m:acc>
                              <m:ctrlPr>
                                <w:rPr>
                                  <w:rFonts w:ascii="Cambria Math" w:hAnsi="Cambria Math"/>
                                  <w:bCs/>
                                  <w:i/>
                                  <w:sz w:val="24"/>
                                  <w:szCs w:val="24"/>
                                </w:rPr>
                              </m:ctrlPr>
                            </m:e>
                            <m:sup>
                              <m:r>
                                <w:rPr>
                                  <w:rFonts w:ascii="Cambria Math" w:hAnsi="Cambria Math"/>
                                  <w:sz w:val="24"/>
                                  <w:szCs w:val="24"/>
                                </w:rPr>
                                <m:t>b</m:t>
                              </m:r>
                            </m:sup>
                          </m:sSup>
                          <m:r>
                            <m:rPr>
                              <m:sty m:val="bi"/>
                            </m:rPr>
                            <w:rPr>
                              <w:rFonts w:ascii="Cambria Math" w:hAnsi="Cambria Math"/>
                              <w:sz w:val="24"/>
                              <w:szCs w:val="24"/>
                            </w:rPr>
                            <m:t>+∆</m:t>
                          </m:r>
                          <m:r>
                            <m:rPr>
                              <m:sty m:val="b"/>
                            </m:rPr>
                            <w:rPr>
                              <w:rFonts w:ascii="Cambria Math" w:hAnsi="Cambria Math"/>
                              <w:sz w:val="24"/>
                              <w:szCs w:val="24"/>
                            </w:rPr>
                            <m:t>x</m:t>
                          </m:r>
                        </m:e>
                      </m:d>
                      <m:r>
                        <m:rPr>
                          <m:sty m:val="p"/>
                        </m:rPr>
                        <w:rPr>
                          <w:rFonts w:ascii="Cambria Math" w:hAnsi="Cambria Math"/>
                          <w:sz w:val="24"/>
                          <w:szCs w:val="24"/>
                        </w:rPr>
                        <m:t>-</m:t>
                      </m:r>
                      <m:sSup>
                        <m:sSupPr>
                          <m:ctrlPr>
                            <w:rPr>
                              <w:rFonts w:ascii="Cambria Math" w:hAnsi="Cambria Math"/>
                              <w:sz w:val="24"/>
                              <w:szCs w:val="24"/>
                            </w:rPr>
                          </m:ctrlPr>
                        </m:sSupPr>
                        <m:e>
                          <m:r>
                            <m:rPr>
                              <m:sty m:val="p"/>
                            </m:rPr>
                            <w:rPr>
                              <w:rFonts w:ascii="Cambria Math" w:hAnsi="Cambria Math"/>
                              <w:sz w:val="24"/>
                              <w:szCs w:val="24"/>
                            </w:rPr>
                            <m:t>y</m:t>
                          </m:r>
                        </m:e>
                        <m:sup>
                          <m:r>
                            <w:rPr>
                              <w:rFonts w:ascii="Cambria Math" w:hAnsi="Cambria Math"/>
                              <w:sz w:val="24"/>
                              <w:szCs w:val="24"/>
                            </w:rPr>
                            <m:t>o</m:t>
                          </m:r>
                        </m:sup>
                      </m:sSup>
                    </m:e>
                  </m:d>
                </m:e>
                <m:sup>
                  <m:r>
                    <m:rPr>
                      <m:sty m:val="p"/>
                    </m:rPr>
                    <w:rPr>
                      <w:rFonts w:ascii="Cambria Math" w:hAnsi="Cambria Math"/>
                      <w:sz w:val="24"/>
                      <w:szCs w:val="24"/>
                    </w:rPr>
                    <m:t>T</m:t>
                  </m:r>
                </m:sup>
              </m:sSup>
              <m:sSup>
                <m:sSupPr>
                  <m:ctrlPr>
                    <w:rPr>
                      <w:rFonts w:ascii="Cambria Math" w:hAnsi="Cambria Math"/>
                      <w:sz w:val="24"/>
                      <w:szCs w:val="24"/>
                    </w:rPr>
                  </m:ctrlPr>
                </m:sSupPr>
                <m:e>
                  <m:r>
                    <m:rPr>
                      <m:sty m:val="b"/>
                    </m:rPr>
                    <w:rPr>
                      <w:rFonts w:ascii="Cambria Math" w:hAnsi="Cambria Math"/>
                      <w:sz w:val="24"/>
                      <w:szCs w:val="24"/>
                    </w:rPr>
                    <m:t>R</m:t>
                  </m:r>
                </m:e>
                <m:sup>
                  <m:r>
                    <m:rPr>
                      <m:sty m:val="p"/>
                    </m:rPr>
                    <w:rPr>
                      <w:rFonts w:ascii="Cambria Math" w:hAnsi="Cambria Math"/>
                      <w:sz w:val="24"/>
                      <w:szCs w:val="24"/>
                    </w:rPr>
                    <m:t>-1</m:t>
                  </m:r>
                </m:sup>
              </m:sSup>
              <m:d>
                <m:dPr>
                  <m:begChr m:val="["/>
                  <m:endChr m:val="]"/>
                  <m:ctrlPr>
                    <w:rPr>
                      <w:rFonts w:ascii="Cambria Math" w:hAnsi="Cambria Math"/>
                      <w:sz w:val="24"/>
                      <w:szCs w:val="24"/>
                    </w:rPr>
                  </m:ctrlPr>
                </m:dPr>
                <m:e>
                  <m:r>
                    <w:rPr>
                      <w:rFonts w:ascii="Cambria Math" w:hAnsi="Cambria Math"/>
                      <w:sz w:val="24"/>
                      <w:szCs w:val="24"/>
                    </w:rPr>
                    <m:t>H</m:t>
                  </m:r>
                  <m:d>
                    <m:dPr>
                      <m:ctrlPr>
                        <w:rPr>
                          <w:rFonts w:ascii="Cambria Math" w:hAnsi="Cambria Math"/>
                          <w:sz w:val="24"/>
                          <w:szCs w:val="24"/>
                        </w:rPr>
                      </m:ctrlPr>
                    </m:dPr>
                    <m:e>
                      <m:sSup>
                        <m:sSupPr>
                          <m:ctrlPr>
                            <w:rPr>
                              <w:rFonts w:ascii="Cambria Math" w:hAnsi="Cambria Math"/>
                              <w:b/>
                              <w:i/>
                              <w:sz w:val="24"/>
                              <w:szCs w:val="24"/>
                            </w:rPr>
                          </m:ctrlPr>
                        </m:sSupPr>
                        <m:e>
                          <m:acc>
                            <m:accPr>
                              <m:chr m:val="̅"/>
                              <m:ctrlPr>
                                <w:rPr>
                                  <w:rFonts w:ascii="Cambria Math" w:hAnsi="Cambria Math"/>
                                  <w:b/>
                                  <w:sz w:val="24"/>
                                  <w:szCs w:val="24"/>
                                </w:rPr>
                              </m:ctrlPr>
                            </m:accPr>
                            <m:e>
                              <m:r>
                                <m:rPr>
                                  <m:sty m:val="b"/>
                                </m:rPr>
                                <w:rPr>
                                  <w:rFonts w:ascii="Cambria Math" w:hAnsi="Cambria Math"/>
                                  <w:sz w:val="24"/>
                                  <w:szCs w:val="24"/>
                                </w:rPr>
                                <m:t>x</m:t>
                              </m:r>
                            </m:e>
                          </m:acc>
                          <m:ctrlPr>
                            <w:rPr>
                              <w:rFonts w:ascii="Cambria Math" w:hAnsi="Cambria Math"/>
                              <w:bCs/>
                              <w:i/>
                              <w:sz w:val="24"/>
                              <w:szCs w:val="24"/>
                            </w:rPr>
                          </m:ctrlPr>
                        </m:e>
                        <m:sup>
                          <m:r>
                            <w:rPr>
                              <w:rFonts w:ascii="Cambria Math" w:hAnsi="Cambria Math"/>
                              <w:sz w:val="24"/>
                              <w:szCs w:val="24"/>
                            </w:rPr>
                            <m:t>b</m:t>
                          </m:r>
                        </m:sup>
                      </m:sSup>
                      <m:r>
                        <m:rPr>
                          <m:sty m:val="bi"/>
                        </m:rPr>
                        <w:rPr>
                          <w:rFonts w:ascii="Cambria Math" w:hAnsi="Cambria Math"/>
                          <w:sz w:val="24"/>
                          <w:szCs w:val="24"/>
                        </w:rPr>
                        <m:t>+∆</m:t>
                      </m:r>
                      <m:r>
                        <m:rPr>
                          <m:sty m:val="b"/>
                        </m:rPr>
                        <w:rPr>
                          <w:rFonts w:ascii="Cambria Math" w:hAnsi="Cambria Math"/>
                          <w:sz w:val="24"/>
                          <w:szCs w:val="24"/>
                        </w:rPr>
                        <m:t>x</m:t>
                      </m:r>
                    </m:e>
                  </m:d>
                  <m:r>
                    <m:rPr>
                      <m:sty m:val="p"/>
                    </m:rPr>
                    <w:rPr>
                      <w:rFonts w:ascii="Cambria Math" w:hAnsi="Cambria Math"/>
                      <w:sz w:val="24"/>
                      <w:szCs w:val="24"/>
                    </w:rPr>
                    <m:t>-</m:t>
                  </m:r>
                  <m:sSup>
                    <m:sSupPr>
                      <m:ctrlPr>
                        <w:rPr>
                          <w:rFonts w:ascii="Cambria Math" w:hAnsi="Cambria Math"/>
                          <w:sz w:val="24"/>
                          <w:szCs w:val="24"/>
                        </w:rPr>
                      </m:ctrlPr>
                    </m:sSupPr>
                    <m:e>
                      <m:r>
                        <m:rPr>
                          <m:sty m:val="p"/>
                        </m:rPr>
                        <w:rPr>
                          <w:rFonts w:ascii="Cambria Math" w:hAnsi="Cambria Math"/>
                          <w:sz w:val="24"/>
                          <w:szCs w:val="24"/>
                        </w:rPr>
                        <m:t>y</m:t>
                      </m:r>
                    </m:e>
                    <m:sup>
                      <m:r>
                        <w:rPr>
                          <w:rFonts w:ascii="Cambria Math" w:hAnsi="Cambria Math"/>
                          <w:sz w:val="24"/>
                          <w:szCs w:val="24"/>
                        </w:rPr>
                        <m:t>o</m:t>
                      </m:r>
                    </m:sup>
                  </m:sSup>
                </m:e>
              </m:d>
              <m:r>
                <m:rPr>
                  <m:sty m:val="p"/>
                </m:rPr>
                <w:rPr>
                  <w:rFonts w:ascii="Cambria Math" w:hAnsi="Cambria Math"/>
                  <w:sz w:val="24"/>
                  <w:szCs w:val="24"/>
                </w:rPr>
                <m:t>+</m:t>
              </m:r>
              <m:sSub>
                <m:sSubPr>
                  <m:ctrlPr>
                    <w:rPr>
                      <w:rFonts w:ascii="Cambria Math" w:hAnsi="Cambria Math"/>
                      <w:i/>
                      <w:iCs/>
                      <w:sz w:val="24"/>
                      <w:szCs w:val="24"/>
                    </w:rPr>
                  </m:ctrlPr>
                </m:sSubPr>
                <m:e>
                  <m:r>
                    <w:rPr>
                      <w:rFonts w:ascii="Cambria Math" w:hAnsi="Cambria Math"/>
                      <w:sz w:val="24"/>
                      <w:szCs w:val="24"/>
                    </w:rPr>
                    <m:t>J</m:t>
                  </m:r>
                </m:e>
                <m:sub>
                  <m:r>
                    <w:rPr>
                      <w:rFonts w:ascii="Cambria Math" w:hAnsi="Cambria Math"/>
                      <w:sz w:val="24"/>
                      <w:szCs w:val="24"/>
                    </w:rPr>
                    <m:t>c</m:t>
                  </m:r>
                </m:sub>
              </m:sSub>
              <m:d>
                <m:dPr>
                  <m:ctrlPr>
                    <w:rPr>
                      <w:rFonts w:ascii="Cambria Math" w:hAnsi="Cambria Math"/>
                      <w:i/>
                      <w:iCs/>
                      <w:sz w:val="24"/>
                      <w:szCs w:val="24"/>
                    </w:rPr>
                  </m:ctrlPr>
                </m:dPr>
                <m:e>
                  <m:r>
                    <m:rPr>
                      <m:sty m:val="b"/>
                    </m:rPr>
                    <w:rPr>
                      <w:rFonts w:ascii="Cambria Math" w:hAnsi="Cambria Math"/>
                      <w:sz w:val="24"/>
                      <w:szCs w:val="24"/>
                    </w:rPr>
                    <m:t>v</m:t>
                  </m:r>
                </m:e>
              </m:d>
            </m:oMath>
            <w:r w:rsidRPr="00506D3C">
              <w:rPr>
                <w:iCs/>
                <w:sz w:val="24"/>
                <w:szCs w:val="24"/>
              </w:rPr>
              <w:t>,</w:t>
            </w:r>
          </w:p>
        </w:tc>
        <w:tc>
          <w:tcPr>
            <w:tcW w:w="715" w:type="dxa"/>
            <w:vAlign w:val="center"/>
          </w:tcPr>
          <w:p w14:paraId="1083B980" w14:textId="6F09E0F4" w:rsidR="008D1F89" w:rsidRPr="00506D3C" w:rsidRDefault="008D1F89" w:rsidP="00B45862">
            <w:pPr>
              <w:ind w:firstLine="0"/>
              <w:jc w:val="center"/>
              <w:rPr>
                <w:iCs/>
                <w:sz w:val="24"/>
                <w:szCs w:val="24"/>
              </w:rPr>
            </w:pPr>
            <w:r w:rsidRPr="00506D3C">
              <w:rPr>
                <w:sz w:val="24"/>
                <w:szCs w:val="24"/>
              </w:rPr>
              <w:t>(2.5)</w:t>
            </w:r>
          </w:p>
        </w:tc>
      </w:tr>
      <w:tr w:rsidR="008D1F89" w:rsidRPr="00506D3C" w14:paraId="3ED645DE" w14:textId="77777777" w:rsidTr="00506D3C">
        <w:tc>
          <w:tcPr>
            <w:tcW w:w="8635" w:type="dxa"/>
            <w:vAlign w:val="center"/>
          </w:tcPr>
          <w:p w14:paraId="26C258AB" w14:textId="025B627F" w:rsidR="008D1F89" w:rsidRPr="00506D3C" w:rsidRDefault="008D1F89" w:rsidP="00B45862">
            <w:pPr>
              <w:ind w:firstLine="0"/>
              <w:jc w:val="center"/>
              <w:rPr>
                <w:rFonts w:eastAsia="等线" w:cs="Times New Roman"/>
                <w:sz w:val="24"/>
                <w:szCs w:val="24"/>
              </w:rPr>
            </w:pPr>
            <m:oMath>
              <m:r>
                <m:rPr>
                  <m:sty m:val="bi"/>
                </m:rPr>
                <w:rPr>
                  <w:rFonts w:ascii="Cambria Math" w:hAnsi="Cambria Math"/>
                  <w:sz w:val="24"/>
                  <w:szCs w:val="24"/>
                </w:rPr>
                <m:t>∆</m:t>
              </m:r>
              <m:r>
                <m:rPr>
                  <m:sty m:val="b"/>
                </m:rPr>
                <w:rPr>
                  <w:rFonts w:ascii="Cambria Math" w:hAnsi="Cambria Math"/>
                  <w:sz w:val="24"/>
                  <w:szCs w:val="24"/>
                </w:rPr>
                <m:t>x=</m:t>
              </m:r>
              <m:sSub>
                <m:sSubPr>
                  <m:ctrlPr>
                    <w:rPr>
                      <w:rFonts w:ascii="Cambria Math" w:hAnsi="Cambria Math"/>
                      <w:bCs/>
                      <w:i/>
                      <w:iCs/>
                      <w:sz w:val="24"/>
                      <w:szCs w:val="24"/>
                    </w:rPr>
                  </m:ctrlPr>
                </m:sSubPr>
                <m:e>
                  <m:r>
                    <w:rPr>
                      <w:rFonts w:ascii="Cambria Math" w:hAnsi="Cambria Math"/>
                      <w:sz w:val="24"/>
                      <w:szCs w:val="24"/>
                    </w:rPr>
                    <m:t>β</m:t>
                  </m:r>
                </m:e>
                <m:sub>
                  <m:r>
                    <w:rPr>
                      <w:rFonts w:ascii="Cambria Math" w:hAnsi="Cambria Math"/>
                      <w:sz w:val="24"/>
                      <w:szCs w:val="24"/>
                    </w:rPr>
                    <m:t>1</m:t>
                  </m:r>
                </m:sub>
              </m:sSub>
              <m:sSup>
                <m:sSupPr>
                  <m:ctrlPr>
                    <w:rPr>
                      <w:rFonts w:ascii="Cambria Math" w:hAnsi="Cambria Math"/>
                      <w:sz w:val="24"/>
                      <w:szCs w:val="24"/>
                    </w:rPr>
                  </m:ctrlPr>
                </m:sSupPr>
                <m:e>
                  <m:r>
                    <m:rPr>
                      <m:sty m:val="b"/>
                    </m:rPr>
                    <w:rPr>
                      <w:rFonts w:ascii="Cambria Math" w:hAnsi="Cambria Math"/>
                      <w:sz w:val="24"/>
                      <w:szCs w:val="24"/>
                    </w:rPr>
                    <m:t>B</m:t>
                  </m:r>
                </m:e>
                <m:sup>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sup>
              </m:sSup>
              <m:r>
                <m:rPr>
                  <m:sty m:val="b"/>
                </m:rPr>
                <w:rPr>
                  <w:rFonts w:ascii="Cambria Math" w:hAnsi="Cambria Math"/>
                  <w:sz w:val="24"/>
                  <w:szCs w:val="24"/>
                </w:rPr>
                <m:t>v</m:t>
              </m:r>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2</m:t>
                  </m:r>
                </m:sub>
              </m:sSub>
              <m:sSup>
                <m:sSupPr>
                  <m:ctrlPr>
                    <w:rPr>
                      <w:rFonts w:ascii="Cambria Math" w:hAnsi="Cambria Math"/>
                      <w:sz w:val="24"/>
                      <w:szCs w:val="24"/>
                    </w:rPr>
                  </m:ctrlPr>
                </m:sSupPr>
                <m:e>
                  <m:r>
                    <m:rPr>
                      <m:sty m:val="b"/>
                    </m:rPr>
                    <w:rPr>
                      <w:rFonts w:ascii="Cambria Math" w:hAnsi="Cambria Math"/>
                      <w:sz w:val="24"/>
                      <w:szCs w:val="24"/>
                    </w:rPr>
                    <m:t>P</m:t>
                  </m:r>
                </m:e>
                <m:sup>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sup>
              </m:sSup>
              <m:r>
                <m:rPr>
                  <m:sty m:val="b"/>
                </m:rPr>
                <w:rPr>
                  <w:rFonts w:ascii="Cambria Math" w:hAnsi="Cambria Math"/>
                  <w:sz w:val="24"/>
                  <w:szCs w:val="24"/>
                </w:rPr>
                <m:t>w</m:t>
              </m:r>
            </m:oMath>
            <w:r w:rsidRPr="00506D3C">
              <w:rPr>
                <w:sz w:val="24"/>
                <w:szCs w:val="24"/>
              </w:rPr>
              <w:t>,</w:t>
            </w:r>
          </w:p>
        </w:tc>
        <w:tc>
          <w:tcPr>
            <w:tcW w:w="715" w:type="dxa"/>
            <w:vAlign w:val="center"/>
          </w:tcPr>
          <w:p w14:paraId="08D06C45" w14:textId="7E8D316B" w:rsidR="008D1F89" w:rsidRPr="00506D3C" w:rsidRDefault="008D1F89" w:rsidP="00B45862">
            <w:pPr>
              <w:ind w:firstLine="0"/>
              <w:jc w:val="center"/>
              <w:rPr>
                <w:sz w:val="24"/>
                <w:szCs w:val="24"/>
              </w:rPr>
            </w:pPr>
            <w:r w:rsidRPr="00506D3C">
              <w:rPr>
                <w:sz w:val="24"/>
                <w:szCs w:val="24"/>
              </w:rPr>
              <w:t>(2.6)</w:t>
            </w:r>
          </w:p>
        </w:tc>
      </w:tr>
    </w:tbl>
    <w:p w14:paraId="6E175E03" w14:textId="343EE416" w:rsidR="008D1F89" w:rsidRPr="00506D3C" w:rsidRDefault="00AD13C1" w:rsidP="008D1F89">
      <w:pPr>
        <w:ind w:firstLine="0"/>
        <w:rPr>
          <w:bCs/>
          <w:szCs w:val="24"/>
        </w:rPr>
      </w:pPr>
      <w:r w:rsidRPr="00506D3C">
        <w:rPr>
          <w:szCs w:val="24"/>
        </w:rPr>
        <w:t xml:space="preserve">where </w:t>
      </w:r>
      <m:oMath>
        <m:r>
          <m:rPr>
            <m:sty m:val="bi"/>
          </m:rPr>
          <w:rPr>
            <w:rFonts w:ascii="Cambria Math" w:hAnsi="Cambria Math"/>
            <w:szCs w:val="24"/>
          </w:rPr>
          <m:t>∆</m:t>
        </m:r>
        <m:r>
          <m:rPr>
            <m:sty m:val="b"/>
          </m:rPr>
          <w:rPr>
            <w:rFonts w:ascii="Cambria Math" w:hAnsi="Cambria Math"/>
            <w:szCs w:val="24"/>
          </w:rPr>
          <m:t>x</m:t>
        </m:r>
      </m:oMath>
      <w:r w:rsidRPr="00506D3C" w:rsidDel="00A4024D">
        <w:rPr>
          <w:noProof/>
          <w:szCs w:val="24"/>
        </w:rPr>
        <w:t xml:space="preserve"> </w:t>
      </w:r>
      <w:r w:rsidRPr="00506D3C">
        <w:rPr>
          <w:szCs w:val="24"/>
        </w:rPr>
        <w:t xml:space="preserve">is the analysis increment, </w:t>
      </w:r>
      <w:r w:rsidRPr="00506D3C">
        <w:rPr>
          <w:b/>
          <w:szCs w:val="24"/>
        </w:rPr>
        <w:t>P</w:t>
      </w:r>
      <w:r w:rsidRPr="00506D3C">
        <w:rPr>
          <w:szCs w:val="24"/>
        </w:rPr>
        <w:t xml:space="preserve"> is the ensemble-based flow-dependent covariance matrix, and </w:t>
      </w:r>
      <w:r w:rsidRPr="00506D3C">
        <w:rPr>
          <w:b/>
          <w:szCs w:val="24"/>
        </w:rPr>
        <w:t>w</w:t>
      </w:r>
      <w:r w:rsidRPr="00506D3C">
        <w:rPr>
          <w:szCs w:val="24"/>
        </w:rPr>
        <w:t xml:space="preserve"> is the augmented control vector associated with </w:t>
      </w:r>
      <w:r w:rsidRPr="00506D3C">
        <w:rPr>
          <w:b/>
          <w:szCs w:val="24"/>
        </w:rPr>
        <w:t>P</w:t>
      </w:r>
      <w:r w:rsidRPr="00506D3C">
        <w:rPr>
          <w:szCs w:val="24"/>
        </w:rPr>
        <w:t xml:space="preserve">. If no covariance localization is applied, </w:t>
      </w:r>
      <w:r w:rsidRPr="00506D3C">
        <w:rPr>
          <w:b/>
          <w:szCs w:val="24"/>
        </w:rPr>
        <w:t>P</w:t>
      </w:r>
      <w:r w:rsidRPr="00506D3C">
        <w:rPr>
          <w:szCs w:val="24"/>
        </w:rPr>
        <w:t xml:space="preserve"> is simply the rectangular matrix whose columns are ensemble perturbations divided by square root of </w:t>
      </w:r>
      <w:r w:rsidRPr="00506D3C">
        <w:rPr>
          <w:i/>
          <w:szCs w:val="24"/>
        </w:rPr>
        <w:t>N</w:t>
      </w:r>
      <w:r w:rsidRPr="00506D3C">
        <w:rPr>
          <w:szCs w:val="24"/>
        </w:rPr>
        <w:t xml:space="preserve">-1, where </w:t>
      </w:r>
      <w:r w:rsidRPr="00506D3C">
        <w:rPr>
          <w:i/>
          <w:szCs w:val="24"/>
        </w:rPr>
        <w:t>N</w:t>
      </w:r>
      <w:r w:rsidRPr="00506D3C">
        <w:rPr>
          <w:szCs w:val="24"/>
        </w:rPr>
        <w:t xml:space="preserve"> is the ensemble size. The localization of the ensemble covariance in a variational system with preconditioning was discussed in </w:t>
      </w:r>
      <w:r w:rsidRPr="00506D3C">
        <w:rPr>
          <w:szCs w:val="24"/>
        </w:rPr>
        <w:fldChar w:fldCharType="begin"/>
      </w:r>
      <w:r w:rsidR="006E4F25">
        <w:rPr>
          <w:szCs w:val="24"/>
        </w:rPr>
        <w:instrText xml:space="preserve"> ADDIN ZOTERO_ITEM CSL_CITATION {"citationID":"zD02FKnD","properties":{"formattedCitation":"(Lorenc 2003; Wang et al. 2008)","plainCitation":"(Lorenc 2003; Wang et al. 2008)","dontUpdate":true,"noteIndex":0},"citationItems":[{"id":195,"uris":["http://zotero.org/users/local/6VSApgKp/items/PVIWKBBA"],"itemData":{"id":195,"type":"article-journal","abstract":"The ensemble Kalman filter (EnKF) is reviewed for its expected assimilation characteristics and ease of implementation, and compared to the currently more popular four-dimensional variational assimilation (4D-Var). The EnKF is attractive when building a new medium-range ensemble numerical weather prediction (NWP) system. However it is less suitable for NWP systems with uncertainty in a wide range of scales; it may not use high-resolution satellite data as effectively as 4D-Var. For limited-area mesoscale NWP systems a hybrid method is attractive. © Crown copyright, 2003. Royal Meteorological Society","container-title":"Quarterly Journal of the Royal Meteorological Society","DOI":"10.1256/qj.02.132","ISSN":"1477-870X","issue":"595","language":"en","note":"_eprint: https://onlinelibrary.wiley.com/doi/pdf/10.1256/qj.02.132","page":"3183-3203","source":"Wiley Online Library","title":"The potential of the ensemble Kalman filter for NWP—a comparison with 4D-Var","volume":"129","author":[{"family":"Lorenc","given":"Andrew C."}],"issued":{"date-parts":[["2003"]]},"citation-key":"lorencPotentialEnsembleKalman2003"}},{"id":385,"uris":["http://zotero.org/users/local/6VSApgKp/items/VW2UN7G7"],"itemData":{"id":385,"type":"article-journal","abstract":"Abstract A hybrid ensemble transform Kalman filter–three-dimensional variational data assimilation (ETKF–3DVAR) system for the Weather Research and Forecasting (WRF) Model is introduced. The system is based on the existing WRF 3DVAR. Unlike WRF 3DVAR, which utilizes a simple, static covariance model to estimate the forecast-error statistics, the hybrid system combines ensemble covariances with the static covariances to estimate the complex, flow-dependent forecast-error statistics. Ensemble covariances are incorporated by using the extended control variable method during the variational minimization. The ensemble perturbations are maintained by the computationally efficient ETKF. As an initial attempt to test and understand the newly developed system, both an observing system simulation experiment under the perfect model assumption (Part I) and the real observation experiment (Part II) were conducted. In these pilot studies, the WRF was run over the North America domain at a coarse grid spacing (200 km) to emphasize synoptic scales, owing to limited computational resources and the large number of experiments conducted. In Part I, simulated radiosonde wind and temperature observations were assimilated. The results demonstrated that the hybrid data assimilation method provided more accurate analyses than the 3DVAR. The horizontal distributions of the errors demonstrated the hybrid analyses had larger improvements over data-sparse regions than over data-dense regions. It was also found that the ETKF ensemble spread in general agreed with the root-mean-square background forecast error for both the first- and second-order measures. Given the coarse resolution, relatively sparse observation network, and perfect model assumption adopted in this part of the study, caution is warranted when extrapolating the results to operational applications.","container-title":"Monthly Weather Review","DOI":"10.1175/2008MWR2444.1","ISSN":"1520-0493, 0027-0644","issue":"12","language":"EN","note":"publisher: American Meteorological Society\nsection: Monthly Weather Review","page":"5116-5131","source":"journals-ametsoc-org.ezproxy.lib.ou.edu","title":"A Hybrid ETKF–3DVAR Data Assimilation Scheme for the WRF Model. Part I: Observing System Simulation Experiment","title-short":"A Hybrid ETKF–3DVAR Data Assimilation Scheme for the WRF Model. Part I","volume":"136","author":[{"family":"Wang","given":"Xuguang"},{"family":"Barker","given":"Dale M."},{"family":"Snyder","given":"Chris"},{"family":"Hamill","given":"Thomas M."}],"issued":{"date-parts":[["2008",12,1]]},"citation-key":"wangHybridETKF3DVAR2008"}}],"schema":"https://github.com/citation-style-language/schema/raw/master/csl-citation.json"} </w:instrText>
      </w:r>
      <w:r w:rsidRPr="00506D3C">
        <w:rPr>
          <w:szCs w:val="24"/>
        </w:rPr>
        <w:fldChar w:fldCharType="separate"/>
      </w:r>
      <w:r w:rsidRPr="00506D3C">
        <w:rPr>
          <w:noProof/>
          <w:szCs w:val="24"/>
        </w:rPr>
        <w:t>Lorenc (2003) and Wang et al. (2008)</w:t>
      </w:r>
      <w:r w:rsidRPr="00506D3C">
        <w:rPr>
          <w:szCs w:val="24"/>
        </w:rPr>
        <w:fldChar w:fldCharType="end"/>
      </w:r>
      <w:r w:rsidRPr="00506D3C">
        <w:rPr>
          <w:szCs w:val="24"/>
        </w:rPr>
        <w:t xml:space="preserve">. The parameters </w:t>
      </w:r>
      <m:oMath>
        <m:sSub>
          <m:sSubPr>
            <m:ctrlPr>
              <w:rPr>
                <w:rFonts w:ascii="Cambria Math" w:eastAsiaTheme="minorHAnsi" w:hAnsi="Cambria Math"/>
                <w:i/>
                <w:szCs w:val="24"/>
              </w:rPr>
            </m:ctrlPr>
          </m:sSubPr>
          <m:e>
            <m:r>
              <w:rPr>
                <w:rFonts w:ascii="Cambria Math" w:hAnsi="Cambria Math"/>
                <w:i/>
                <w:szCs w:val="24"/>
              </w:rPr>
              <w:sym w:font="Symbol" w:char="F062"/>
            </m:r>
          </m:e>
          <m:sub>
            <m:r>
              <w:rPr>
                <w:rFonts w:ascii="Cambria Math" w:hAnsi="Cambria Math"/>
                <w:szCs w:val="24"/>
              </w:rPr>
              <m:t>1</m:t>
            </m:r>
          </m:sub>
        </m:sSub>
      </m:oMath>
      <w:r w:rsidRPr="00506D3C">
        <w:rPr>
          <w:szCs w:val="24"/>
        </w:rPr>
        <w:t xml:space="preserve"> and </w:t>
      </w:r>
      <m:oMath>
        <m:sSub>
          <m:sSubPr>
            <m:ctrlPr>
              <w:rPr>
                <w:rFonts w:ascii="Cambria Math" w:eastAsiaTheme="minorHAnsi" w:hAnsi="Cambria Math"/>
                <w:i/>
                <w:szCs w:val="24"/>
              </w:rPr>
            </m:ctrlPr>
          </m:sSubPr>
          <m:e>
            <m:r>
              <w:rPr>
                <w:rFonts w:ascii="Cambria Math" w:hAnsi="Cambria Math"/>
                <w:i/>
                <w:szCs w:val="24"/>
              </w:rPr>
              <w:sym w:font="Symbol" w:char="F062"/>
            </m:r>
          </m:e>
          <m:sub>
            <m:r>
              <w:rPr>
                <w:rFonts w:ascii="Cambria Math" w:hAnsi="Cambria Math"/>
                <w:szCs w:val="24"/>
              </w:rPr>
              <m:t>2</m:t>
            </m:r>
          </m:sub>
        </m:sSub>
      </m:oMath>
      <w:r w:rsidRPr="00506D3C">
        <w:rPr>
          <w:szCs w:val="24"/>
        </w:rPr>
        <w:t xml:space="preserve"> control the relative weight given to each covariance matrix. </w:t>
      </w:r>
      <w:r w:rsidRPr="00506D3C">
        <w:rPr>
          <w:bCs/>
          <w:szCs w:val="24"/>
        </w:rPr>
        <w:t>The following rule should be applied:</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35"/>
        <w:gridCol w:w="715"/>
      </w:tblGrid>
      <w:tr w:rsidR="008D1F89" w:rsidRPr="00506D3C" w14:paraId="4E4114D7" w14:textId="77777777" w:rsidTr="00506D3C">
        <w:tc>
          <w:tcPr>
            <w:tcW w:w="8635" w:type="dxa"/>
            <w:vAlign w:val="center"/>
          </w:tcPr>
          <w:p w14:paraId="19F21D37" w14:textId="45526763" w:rsidR="008D1F89" w:rsidRPr="00506D3C" w:rsidRDefault="007B297F" w:rsidP="00B45862">
            <w:pPr>
              <w:ind w:firstLine="0"/>
              <w:jc w:val="center"/>
              <w:rPr>
                <w:iCs/>
                <w:sz w:val="24"/>
                <w:szCs w:val="24"/>
              </w:rPr>
            </w:pPr>
            <m:oMath>
              <m:sSub>
                <m:sSubPr>
                  <m:ctrlPr>
                    <w:rPr>
                      <w:rFonts w:ascii="Cambria Math" w:hAnsi="Cambria Math"/>
                      <w:bCs/>
                      <w:i/>
                      <w:iCs/>
                      <w:sz w:val="24"/>
                      <w:szCs w:val="24"/>
                    </w:rPr>
                  </m:ctrlPr>
                </m:sSubPr>
                <m:e>
                  <m:r>
                    <w:rPr>
                      <w:rFonts w:ascii="Cambria Math" w:hAnsi="Cambria Math"/>
                      <w:sz w:val="24"/>
                      <w:szCs w:val="24"/>
                    </w:rPr>
                    <m:t>β</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2</m:t>
                  </m:r>
                </m:sub>
              </m:sSub>
              <m:r>
                <m:rPr>
                  <m:sty m:val="p"/>
                </m:rPr>
                <w:rPr>
                  <w:rFonts w:ascii="Cambria Math" w:hAnsi="Cambria Math"/>
                  <w:sz w:val="24"/>
                  <w:szCs w:val="24"/>
                </w:rPr>
                <m:t>=1</m:t>
              </m:r>
            </m:oMath>
            <w:r w:rsidR="008D1F89" w:rsidRPr="00506D3C">
              <w:rPr>
                <w:sz w:val="24"/>
                <w:szCs w:val="24"/>
              </w:rPr>
              <w:t>.</w:t>
            </w:r>
          </w:p>
        </w:tc>
        <w:tc>
          <w:tcPr>
            <w:tcW w:w="715" w:type="dxa"/>
            <w:vAlign w:val="center"/>
          </w:tcPr>
          <w:p w14:paraId="7857756F" w14:textId="52B35510" w:rsidR="008D1F89" w:rsidRPr="00506D3C" w:rsidRDefault="008D1F89" w:rsidP="00B45862">
            <w:pPr>
              <w:ind w:firstLine="0"/>
              <w:jc w:val="center"/>
              <w:rPr>
                <w:iCs/>
                <w:sz w:val="24"/>
                <w:szCs w:val="24"/>
              </w:rPr>
            </w:pPr>
            <w:r w:rsidRPr="00506D3C">
              <w:rPr>
                <w:sz w:val="24"/>
                <w:szCs w:val="24"/>
              </w:rPr>
              <w:t>(2.7)</w:t>
            </w:r>
          </w:p>
        </w:tc>
      </w:tr>
    </w:tbl>
    <w:p w14:paraId="24403FD0" w14:textId="0ADBBA3E" w:rsidR="00AD13C1" w:rsidRPr="00506D3C" w:rsidRDefault="00AD13C1" w:rsidP="008D1F89">
      <w:pPr>
        <w:rPr>
          <w:szCs w:val="24"/>
        </w:rPr>
      </w:pPr>
      <w:r w:rsidRPr="00506D3C">
        <w:rPr>
          <w:szCs w:val="24"/>
        </w:rPr>
        <w:t xml:space="preserve">By minimizing the cost function (Eq. </w:t>
      </w:r>
      <w:r w:rsidR="008D1F89" w:rsidRPr="00506D3C">
        <w:rPr>
          <w:szCs w:val="24"/>
        </w:rPr>
        <w:t>2.</w:t>
      </w:r>
      <w:r w:rsidRPr="00506D3C">
        <w:rPr>
          <w:szCs w:val="24"/>
        </w:rPr>
        <w:t xml:space="preserve">5), optimal analyses of control vectors </w:t>
      </w:r>
      <w:r w:rsidRPr="00506D3C">
        <w:rPr>
          <w:b/>
          <w:szCs w:val="24"/>
        </w:rPr>
        <w:t>v</w:t>
      </w:r>
      <w:r w:rsidRPr="00506D3C">
        <w:rPr>
          <w:szCs w:val="24"/>
        </w:rPr>
        <w:t xml:space="preserve"> and </w:t>
      </w:r>
      <w:r w:rsidRPr="00506D3C">
        <w:rPr>
          <w:b/>
          <w:szCs w:val="24"/>
        </w:rPr>
        <w:t xml:space="preserve">w </w:t>
      </w:r>
      <w:r w:rsidRPr="00506D3C">
        <w:rPr>
          <w:szCs w:val="24"/>
        </w:rPr>
        <w:t>can be obtained, and then the optimal analysis increment</w:t>
      </w:r>
      <w:r w:rsidRPr="00506D3C" w:rsidDel="00A4024D">
        <w:rPr>
          <w:noProof/>
          <w:szCs w:val="24"/>
        </w:rPr>
        <w:t xml:space="preserve"> </w:t>
      </w:r>
      <m:oMath>
        <m:r>
          <m:rPr>
            <m:sty m:val="bi"/>
          </m:rPr>
          <w:rPr>
            <w:rFonts w:ascii="Cambria Math" w:hAnsi="Cambria Math"/>
            <w:szCs w:val="24"/>
          </w:rPr>
          <m:t>∆</m:t>
        </m:r>
        <m:r>
          <m:rPr>
            <m:sty m:val="b"/>
          </m:rPr>
          <w:rPr>
            <w:rFonts w:ascii="Cambria Math" w:hAnsi="Cambria Math"/>
            <w:szCs w:val="24"/>
          </w:rPr>
          <m:t>x</m:t>
        </m:r>
      </m:oMath>
      <w:r w:rsidRPr="00506D3C">
        <w:rPr>
          <w:szCs w:val="24"/>
        </w:rPr>
        <w:t xml:space="preserve"> can be derived from </w:t>
      </w:r>
      <w:r w:rsidR="006D0DFF">
        <w:rPr>
          <w:szCs w:val="24"/>
        </w:rPr>
        <w:t>Eq. 2.</w:t>
      </w:r>
      <w:r w:rsidRPr="00506D3C">
        <w:rPr>
          <w:szCs w:val="24"/>
        </w:rPr>
        <w:t xml:space="preserve">6 on the fine-scale convection-resolving grid. As discussed previously, </w:t>
      </w:r>
      <w:r w:rsidRPr="00506D3C">
        <w:rPr>
          <w:b/>
          <w:szCs w:val="24"/>
        </w:rPr>
        <w:t>P</w:t>
      </w:r>
      <w:r w:rsidRPr="00506D3C">
        <w:rPr>
          <w:szCs w:val="24"/>
        </w:rPr>
        <w:t xml:space="preserve"> is composed of ensemble perturbations with covariance localization. </w:t>
      </w:r>
      <w:r w:rsidRPr="00506D3C">
        <w:rPr>
          <w:bCs/>
          <w:szCs w:val="24"/>
        </w:rPr>
        <w:t>In this study, the ensemble background error covariance matri</w:t>
      </w:r>
      <w:r w:rsidR="00E832D4">
        <w:rPr>
          <w:bCs/>
          <w:szCs w:val="24"/>
        </w:rPr>
        <w:t>x</w:t>
      </w:r>
      <w:r w:rsidRPr="00506D3C">
        <w:rPr>
          <w:bCs/>
          <w:szCs w:val="24"/>
        </w:rPr>
        <w:t xml:space="preserve"> </w:t>
      </w:r>
      <m:oMath>
        <m:r>
          <m:rPr>
            <m:sty m:val="b"/>
          </m:rPr>
          <w:rPr>
            <w:rFonts w:ascii="Cambria Math" w:hAnsi="Cambria Math"/>
            <w:szCs w:val="24"/>
          </w:rPr>
          <m:t>P</m:t>
        </m:r>
      </m:oMath>
      <w:r w:rsidRPr="00506D3C">
        <w:rPr>
          <w:bCs/>
          <w:szCs w:val="24"/>
        </w:rPr>
        <w:t xml:space="preserve"> is calculated based on the ensemble forecasts from the </w:t>
      </w:r>
      <w:r w:rsidR="00DE73FF">
        <w:t>WoF ensemble data assimilation and forecast system (</w:t>
      </w:r>
      <w:r w:rsidRPr="00506D3C">
        <w:rPr>
          <w:bCs/>
          <w:szCs w:val="24"/>
        </w:rPr>
        <w:t>WoFS</w:t>
      </w:r>
      <w:r w:rsidR="00DE73FF">
        <w:rPr>
          <w:bCs/>
          <w:szCs w:val="24"/>
        </w:rPr>
        <w:t>)</w:t>
      </w:r>
      <w:r w:rsidRPr="00506D3C">
        <w:rPr>
          <w:bCs/>
          <w:szCs w:val="24"/>
        </w:rPr>
        <w:t xml:space="preserve"> that uses </w:t>
      </w:r>
      <w:r w:rsidRPr="00506D3C">
        <w:rPr>
          <w:szCs w:val="24"/>
        </w:rPr>
        <w:t xml:space="preserve">a customized Advanced Research </w:t>
      </w:r>
      <w:r w:rsidR="00DE73FF">
        <w:rPr>
          <w:szCs w:val="24"/>
        </w:rPr>
        <w:t>WRF</w:t>
      </w:r>
      <w:r w:rsidRPr="00506D3C">
        <w:rPr>
          <w:szCs w:val="24"/>
        </w:rPr>
        <w:t xml:space="preserve"> Model (WRF-ARW) based on </w:t>
      </w:r>
      <w:r w:rsidRPr="00506D3C">
        <w:rPr>
          <w:szCs w:val="24"/>
        </w:rPr>
        <w:lastRenderedPageBreak/>
        <w:t xml:space="preserve">version 3.8.1 </w:t>
      </w:r>
      <w:r w:rsidRPr="00506D3C">
        <w:rPr>
          <w:szCs w:val="24"/>
        </w:rPr>
        <w:fldChar w:fldCharType="begin"/>
      </w:r>
      <w:r w:rsidRPr="00506D3C">
        <w:rPr>
          <w:szCs w:val="24"/>
        </w:rPr>
        <w:instrText xml:space="preserve"> ADDIN ZOTERO_ITEM CSL_CITATION {"citationID":"D1prNBOr","properties":{"formattedCitation":"(Skamarock et al. 2008)","plainCitation":"(Skamarock et al. 2008)","noteIndex":0},"citationItems":[{"id":146,"uris":["http://zotero.org/users/local/6VSApgKp/items/DTYKN3QD"],"itemData":{"id":146,"type":"article-journal","container-title":"University Corporation for Atmospheric Research","DOI":"http://dx.doi.org/10.5065/D68S4MVH","language":"en","note":"dimensions: 1002 KB\nmedium: application/pdf\nDOI: 10.5065/D68S4MVH","title":"A Description of the Advanced Research WRF Version 3 (No. NCAR/TN-475+STR)","author":[{"family":"Skamarock","given":"William"},{"family":"Klemp","given":"Joseph"},{"family":"Dudhia","given":"Jimy"},{"family":"Gill","given":"David"},{"family":"Barker","given":"Dale"},{"family":"Wang","given":"Wei"},{"family":"Huang","given":"Xiang-Yu"},{"family":"Duda","given":"Michael"}],"contributor":[{"family":"University Corporation For Atmospheric Research (UCAR):National Center For Atmospheric Research (NCAR):NCAR Library (NCARLIB)","given":""}],"accessed":{"date-parts":[["2021",7,23]]},"issued":{"date-parts":[["2008",6]]},"citation-key":"skamarockDescriptionAdvancedResearch2008"}}],"schema":"https://github.com/citation-style-language/schema/raw/master/csl-citation.json"} </w:instrText>
      </w:r>
      <w:r w:rsidRPr="00506D3C">
        <w:rPr>
          <w:szCs w:val="24"/>
        </w:rPr>
        <w:fldChar w:fldCharType="separate"/>
      </w:r>
      <w:r w:rsidRPr="00506D3C">
        <w:rPr>
          <w:noProof/>
          <w:szCs w:val="24"/>
        </w:rPr>
        <w:t>(Skamarock et al. 2008)</w:t>
      </w:r>
      <w:r w:rsidRPr="00506D3C">
        <w:rPr>
          <w:szCs w:val="24"/>
        </w:rPr>
        <w:fldChar w:fldCharType="end"/>
      </w:r>
      <w:r w:rsidRPr="00506D3C">
        <w:rPr>
          <w:szCs w:val="24"/>
        </w:rPr>
        <w:t>, coupled with the GSI-based EnKF system</w:t>
      </w:r>
      <w:r w:rsidR="00D4121D">
        <w:rPr>
          <w:szCs w:val="24"/>
        </w:rPr>
        <w:t xml:space="preserve"> </w:t>
      </w:r>
      <w:r w:rsidR="00D4121D">
        <w:rPr>
          <w:szCs w:val="24"/>
        </w:rPr>
        <w:fldChar w:fldCharType="begin"/>
      </w:r>
      <w:r w:rsidR="00D4121D">
        <w:rPr>
          <w:szCs w:val="24"/>
        </w:rPr>
        <w:instrText xml:space="preserve"> ADDIN ZOTERO_ITEM CSL_CITATION {"citationID":"OCbDL49k","properties":{"formattedCitation":"(Jones et al. 2016, 2020; Yussouf and Knopfmeier 2019; Pan and Gao 2022)","plainCitation":"(Jones et al. 2016, 2020; Yussouf and Knopfmeier 2019; Pan and Gao 2022)","noteIndex":0},"citationItems":[{"id":94,"uris":["http://zotero.org/users/local/6VSApgKp/items/R7ACBQF9"],"itemData":{"id":94,"type":"article-journal","abstract":"&lt;section class=\"abstract\"&gt;&lt;h2 class=\"abstractTitle text-title my-1\" id=\"d4105766e88\"&gt;Abstract&lt;/h2&gt;&lt;p&gt;This research represents the second part of a two-part series describing the development of a prototype ensemble data assimilation system for the Warn-on-Forecast (WoF) project known as the NSSL Experimental WoF System for ensembles (NEWS-e). Part I describes the NEWS-e design and results from radar reflectivity and radial velocity data assimilation for six severe weather events occurring during 2013 and 2014. Part II describes the impact of assimilating satellite liquid and ice water path (LWP and IWP, respectively) retrievals from the GOES Imager along with the radar observations. Assimilating LWP and IWP observations may improve thermodynamic conditions at the surface over the storm-scale domain through better analysis of cloud coverage in the model compared to radar-only experiments. These improvements sometimes corresponded to an improved analysis of supercell storms leading to better forecasts of low-level vorticity. This positive impact was most evident for events where convection is not ongoing at the beginning of the radar and satellite data assimilation period. For more complex cases containing significant amounts of ongoing convection, only assimilating clear-sky satellite retrievals in place of clear-air reflectivity resulted in spurious regions of light precipitation compared to the radar-only experiments. The analyzed tornadic storms in these experiments are sometimes too weak and quickly diminished in intensity in the forecasts. The lessons learned as part of these experiments should lead to improved iterations of the NEWS-e system, building on the modestly successful results described here.&lt;/p&gt;&lt;/section&gt;","container-title":"Weather and Forecasting","DOI":"10.1175/WAF-D-15-0107.1","ISSN":"1520-0434, 0882-8156","issue":"1","language":"EN","note":"publisher: American Meteorological Society\nsection: Weather and Forecasting","page":"297-327","source":"journals.ametsoc.org","title":"Storm-Scale Data Assimilation and Ensemble Forecasting with the NSSL Experimental Warn-on-Forecast System. Part II: Combined Radar and Satellite Data Experiments","title-short":"Storm-Scale Data Assimilation and Ensemble Forecasting with the NSSL Experimental Warn-on-Forecast System. Part II","volume":"31","author":[{"family":"Jones","given":"Thomas A."},{"family":"Knopfmeier","given":"Kent"},{"family":"Wheatley","given":"Dustan"},{"family":"Creager","given":"Gerald"},{"family":"Minnis","given":"Patrick"},{"family":"Palikonda","given":"Rabindra"}],"issued":{"date-parts":[["2016",2,1]]},"citation-key":"jonesStormScaleDataAssimilation2016"}},{"id":110,"uris":["http://zotero.org/users/local/6VSApgKp/items/9DW6JJW2"],"itemData":{"id":110,"type":"article-journal","abstract":"&lt;section class=\"abstract\"&gt;&lt;h2 class=\"abstractTitle text-title my-1\" id=\"d45130806e150\"&gt;Abstract&lt;/h2&gt;&lt;p&gt;The increasing maturity of the Warn-on-Forecast System (WoFS) coupled with the now operational &lt;em&gt;GOES-16&lt;/em&gt; satellite allows for the first time a comprehensive analysis of the relative impacts of assimilating &lt;em&gt;GOES-16&lt;/em&gt; all-sky 6.2-, 6.9-, and 7.3-&lt;em&gt;μ&lt;/em&gt;m channel radiances compared to other radar and satellite observations. The WoFS relies on cloud property retrievals such as cloud water path, which have been proven to increase forecast skill compared to only assimilating radar data and other conventional observations. The impacts of assimilating clear-sky radiances have also been explored and shown to provide useful information on midtropospheric moisture content in the near-storm environment. Assimilation of all-sky radiances adds a layer of complexity and is tested to determine its effectiveness across four events occurring in the spring and summer of 2019. Qualitative and object-based verification of severe weather and the near-storm environment are used to assess the impact of assimilating all-sky radiances compared to the current model configuration. We focus our study through the entire WoFS analysis and forecasting cycle (1900–0600 UTC, daily) so that the impacts throughout the evolution of convection from initiation to large upscale growth can be assessed. Overall, assimilating satellite data improves forecasts relative to radar-only assimilation experiments. The retrieval method with clear-sky radiances performs best overall, but assimilating all-sky radiances does have very positive impacts in certain conditions. In particular, all-sky radiance assimilation improved convective initiation forecast of severe storms in several instances. This work represents an initial attempt at assimilating all-sky radiances into the WoFS and additional research is ongoing to further improve forecast skill.&lt;/p&gt;&lt;/section&gt;","container-title":"Monthly Weather Review","DOI":"10.1175/MWR-D-19-0379.1","ISSN":"1520-0493, 0027-0644","issue":"5","language":"EN","note":"publisher: American Meteorological Society\nsection: Monthly Weather Review","page":"1829-1859","source":"journals.ametsoc.org","title":"Assimilation of GOES-16 Radiances and Retrievals into the Warn-on-Forecast System","volume":"148","author":[{"family":"Jones","given":"Thomas A."},{"family":"Skinner","given":"Patrick"},{"family":"Yussouf","given":"Nusrat"},{"family":"Knopfmeier","given":"Kent"},{"family":"Reinhart","given":"Anthony"},{"family":"Wang","given":"Xuguang"},{"family":"Bedka","given":"Kristopher"},{"family":"Smith","given":"William"},{"family":"Palikonda","given":"Rabindra"}],"issued":{"date-parts":[["2020",5,1]]},"citation-key":"jonesAssimilationGOES16Radiances2020"}},{"id":222,"uris":["http://zotero.org/users/local/6VSApgKp/items/68USL9V6"],"itemData":{"id":222,"type":"article-journal","abstract":"The vision of the National Oceanic and Atmospheric Administration's (NOAA) Warn-on-Forecast (WoF) research and development project is to provide very short-term probabilistic model guidance products that will aid the ability of National Weather Service forecasters to issue probabilistic warnings of severe convective hazards with higher accuracy and longer lead times. The experimental Warn-on-Forecast System (WoFS), which is under development, is a frequently cycled, regional, convective-scale, on-demand, ensemble data assimilation and prediction system. The system assimilates thunderstorm observations to forecast the life cycle and associated hazards of individual convective storms. Most of the initial research effort, since the beginning of the WoF project in 2009, has been focused on tornadic events, which constitute one of the most violent and difficult to predict weather threats. However, the system emerging from this project has significant potential to help with prediction of other hazards as well: in particular, flash-flood-producing, convectively driven intense rainfall events. This study focuses on the application of WoFS in 0–6-hr probabilistic rainfall forecasts of several flash-flood-producing heavy rainfall events during the spring and summer of 2015 and 2016. Results indicate that WoFS successfully initializes the convective storms in the ensemble. Visual inspections and probabilistic verification metrics show that WoFS predicts the intense rainfall that often leads to flash flooding at the correct location with higher accuracy in areal coverage and amount during the 0–3 hr forecast period than during the later 3–6 hr period. Overall results indicate that the frequently updated 0–6-hr ensemble forecast from the WoFS has the potential to highlight areas where intense rainfall can result in flash flooding and increase near-term situational awareness of flash flood threats.","container-title":"Quarterly Journal of the Royal Meteorological Society","DOI":"10.1002/qj.3568","ISSN":"1477-870X","issue":"723","language":"en","note":"_eprint: https://onlinelibrary.wiley.com/doi/pdf/10.1002/qj.3568","page":"2385-2403","source":"Wiley Online Library","title":"Application of the Warn-on-Forecast system for flash-flood-producing heavy convective rainfall events","volume":"145","author":[{"family":"Yussouf","given":"Nusrat"},{"family":"Knopfmeier","given":"Kent H."}],"issued":{"date-parts":[["2019"]]},"citation-key":"yussoufApplicationWarnonForecastSystem2019"}},{"id":245,"uris":["http://zotero.org/users/local/6VSApgKp/items/UN5HZGWG"],"itemData":{"id":245,"type":"article-journal","abstract":"In this study, a new lightning data assimilation (LDA) scheme using Geostationary Lightning Mapper (GLM) flash extent density (FED) is developed and implemented in the National Severe Storms Laboratory (NSSL) Warn-on-Forecast System (WoFS). The new LDA scheme first assigns a pseudo relative humidity between the cloud base and a specific layer based on the FED value. Then at each model layer, the pseudo relative humidity is converted to pseudo dewpoint temperature according to the corresponding air temperature. Some sensitivity experiments are performed to investigate how to assign and use GLM/FED in an optimum way. The impact of assimilating this pseudo dewpoint temperature on a short-term severe weather forecast is preliminarily assessed in this proof-of-concept study. A high-impact weather event in Kansas on 24 May 2021 is used to evaluate the performance of the new scheme on analyses and subsequent short-term forecasts. The results show that the assimilation of additional FED-based dewpoint temperature observations along with radar, satellite radiance, and cloud water can improve short-term (3-h) forecast skill in terms of quantitative and qualitative verifications against the observations. The improvement is primarily due to the direct and indirect adjustment of dynamic and thermodynamic conditions through the LDA process. More specifically, the assimilation of FED-based dewpoint temperature, in addition to the other observations currently used in WoFS, tends to enhance the ingredients required for thunderstorm formation, namely moisture, instability, and lifting mechanism.","container-title":"Earth and Space Science","DOI":"10.1029/2022EA002378","ISSN":"2333-5084","issue":"n/a","language":"en","note":"_eprint: https://onlinelibrary.wiley.com/doi/pdf/10.1029/2022EA002378","page":"e2022EA002378","source":"Wiley Online Library","title":"A Method for Assimilating Pseudo Dewpoint Temperature as a Function of GLM Flash Extent Density in GSI-Based EnKF Data Assimilation System – A Proof of Concept study","volume":"9","author":[{"family":"Pan","given":"Sijie"},{"family":"Gao","given":"Jidong"}],"issued":{"date-parts":[["2022"]]},"citation-key":"panMethodAssimilatingPseudo2022"}}],"schema":"https://github.com/citation-style-language/schema/raw/master/csl-citation.json"} </w:instrText>
      </w:r>
      <w:r w:rsidR="00D4121D">
        <w:rPr>
          <w:szCs w:val="24"/>
        </w:rPr>
        <w:fldChar w:fldCharType="separate"/>
      </w:r>
      <w:r w:rsidR="00D4121D">
        <w:rPr>
          <w:noProof/>
          <w:szCs w:val="24"/>
        </w:rPr>
        <w:t>(Jones et al. 2016, 2020; Yussouf and Knopfmeier 2019; Pan and Gao 2022)</w:t>
      </w:r>
      <w:r w:rsidR="00D4121D">
        <w:rPr>
          <w:szCs w:val="24"/>
        </w:rPr>
        <w:fldChar w:fldCharType="end"/>
      </w:r>
      <w:r w:rsidRPr="00506D3C">
        <w:rPr>
          <w:szCs w:val="24"/>
        </w:rPr>
        <w:t>. Th</w:t>
      </w:r>
      <w:r w:rsidR="003A1125">
        <w:rPr>
          <w:szCs w:val="24"/>
        </w:rPr>
        <w:t>e</w:t>
      </w:r>
      <w:r w:rsidRPr="00506D3C">
        <w:rPr>
          <w:szCs w:val="24"/>
        </w:rPr>
        <w:t xml:space="preserve"> WoF-Hybrid system </w:t>
      </w:r>
      <w:r w:rsidR="003A1125">
        <w:rPr>
          <w:szCs w:val="24"/>
        </w:rPr>
        <w:t xml:space="preserve">with real data cases was evaluated by our several recent studies </w:t>
      </w:r>
      <w:r w:rsidR="006C1602">
        <w:rPr>
          <w:szCs w:val="24"/>
        </w:rPr>
        <w:t>(Wang et al. 2019; Pan et al. 2021)</w:t>
      </w:r>
      <w:r w:rsidR="003A1125">
        <w:rPr>
          <w:szCs w:val="24"/>
        </w:rPr>
        <w:t>.</w:t>
      </w:r>
      <w:r w:rsidR="006C1602">
        <w:rPr>
          <w:szCs w:val="24"/>
        </w:rPr>
        <w:t xml:space="preserve"> </w:t>
      </w:r>
      <w:r w:rsidR="003A1125">
        <w:rPr>
          <w:szCs w:val="24"/>
        </w:rPr>
        <w:t xml:space="preserve">The system </w:t>
      </w:r>
      <w:r w:rsidRPr="00506D3C">
        <w:rPr>
          <w:szCs w:val="24"/>
        </w:rPr>
        <w:t>was</w:t>
      </w:r>
      <w:r w:rsidR="0095125A">
        <w:rPr>
          <w:szCs w:val="24"/>
        </w:rPr>
        <w:t xml:space="preserve"> also</w:t>
      </w:r>
      <w:r w:rsidRPr="00506D3C">
        <w:rPr>
          <w:szCs w:val="24"/>
        </w:rPr>
        <w:t xml:space="preserve"> formally tested </w:t>
      </w:r>
      <w:r w:rsidR="004A668B">
        <w:rPr>
          <w:szCs w:val="24"/>
        </w:rPr>
        <w:t>in</w:t>
      </w:r>
      <w:r w:rsidR="004A668B" w:rsidRPr="00506D3C">
        <w:rPr>
          <w:szCs w:val="24"/>
        </w:rPr>
        <w:t xml:space="preserve"> </w:t>
      </w:r>
      <w:r w:rsidRPr="00506D3C">
        <w:rPr>
          <w:szCs w:val="24"/>
        </w:rPr>
        <w:t>SFE</w:t>
      </w:r>
      <w:r w:rsidR="004A668B">
        <w:rPr>
          <w:szCs w:val="24"/>
        </w:rPr>
        <w:t>/HWT in</w:t>
      </w:r>
      <w:r w:rsidRPr="00506D3C">
        <w:rPr>
          <w:szCs w:val="24"/>
        </w:rPr>
        <w:t xml:space="preserve"> 20</w:t>
      </w:r>
      <w:r w:rsidR="004A668B">
        <w:rPr>
          <w:szCs w:val="24"/>
        </w:rPr>
        <w:t>19, 2020 and 2021</w:t>
      </w:r>
      <w:r w:rsidRPr="00506D3C">
        <w:rPr>
          <w:szCs w:val="24"/>
        </w:rPr>
        <w:t xml:space="preserve">, and some updates introduced in this dissertation </w:t>
      </w:r>
      <w:r w:rsidR="009E6897">
        <w:rPr>
          <w:szCs w:val="24"/>
        </w:rPr>
        <w:t>were</w:t>
      </w:r>
      <w:r w:rsidR="009E6897" w:rsidRPr="00506D3C">
        <w:rPr>
          <w:szCs w:val="24"/>
        </w:rPr>
        <w:t xml:space="preserve"> </w:t>
      </w:r>
      <w:r w:rsidRPr="00506D3C">
        <w:rPr>
          <w:szCs w:val="24"/>
        </w:rPr>
        <w:t xml:space="preserve">implemented into the system and further tested during </w:t>
      </w:r>
      <w:r w:rsidR="0035106E">
        <w:rPr>
          <w:szCs w:val="24"/>
        </w:rPr>
        <w:t xml:space="preserve">HWT </w:t>
      </w:r>
      <w:r w:rsidRPr="00506D3C">
        <w:rPr>
          <w:szCs w:val="24"/>
        </w:rPr>
        <w:t xml:space="preserve">SFE 2020 and 2021. The performance and comparisons with the WoF ensemble-based system were reasonable and promising </w:t>
      </w:r>
      <w:r w:rsidRPr="00506D3C">
        <w:rPr>
          <w:szCs w:val="24"/>
        </w:rPr>
        <w:fldChar w:fldCharType="begin"/>
      </w:r>
      <w:r w:rsidR="006E4F25">
        <w:rPr>
          <w:szCs w:val="24"/>
        </w:rPr>
        <w:instrText xml:space="preserve"> ADDIN ZOTERO_ITEM CSL_CITATION {"citationID":"qABJZ90W","properties":{"formattedCitation":"(Gao and Coauthors 2021, 2022; Carpenter 2022)","plainCitation":"(Gao and Coauthors 2021, 2022; Carpenter 2022)","dontUpdate":true,"noteIndex":0},"citationItems":[{"id":467,"uris":["http://zotero.org/users/local/6VSApgKp/items/MDXWBMAL"],"itemData":{"id":467,"type":"webpage","container-title":"AMS - 101st American Meteorological Society Annual Meeting","title":"Testing of the Warn-on-Forecast (WoF) Hybrid Data Assimilation and Forecasting System during the HWT Spring Experiment in 2020","URL":"https://ams.confex.com/ams/101ANNUAL/meetingapp.cgi/Program/1513","author":[{"family":"Gao","given":"Jidong"},{"family":"Coauthors","given":""}],"accessed":{"date-parts":[["2023",3,22]]},"issued":{"date-parts":[["2021"]]},"citation-key":"gaoTestingWarnonForecastWoF2021"}},{"id":468,"uris":["http://zotero.org/users/local/6VSApgKp/items/TMCE7VYS"],"itemData":{"id":468,"type":"webpage","container-title":"AMS - 30th Conference on Severe Local Storms","title":"The Performance of the Warn-on-Forecast Hybrid Data Assimilation and Forecasting System During the HWT Spring Forecast Experiment in 2021","URL":"https://ams.confex.com/ams/30SLS/meetingapp.cgi/Home/0","author":[{"family":"Gao","given":"Jidong"},{"family":"Coauthors","given":""}],"accessed":{"date-parts":[["2023",3,22]]},"issued":{"date-parts":[["2022"]]},"citation-key":"gaoPerformanceWarnonForecastHybrid2022"}},{"id":394,"uris":["http://zotero.org/users/local/6VSApgKp/items/94LGTI6D"],"itemData":{"id":394,"type":"article-journal","abstract":"Over the last few decades, it has become more important than ever to provide accurate forecasts for severe hazards that have become more common due to climate change effects. Over this time, several forecasting experiments have been performed with increasing computer power to better our understanding of these hazards. Currently, severe thunderstorms are diagnosed through a Warn-on-Detection paradigm, which bases severe warnings on storm reports or live radar data. To increase severe warning lead times, a Warn-on-Forecast has been developed, which focuses on the forecast evolution of ensemble systems to focus on probabilistic guidance of individual thunderstorm hazards. From this, the Warn-on-Forecast System (WoFS, defined in Section 1.3) and Warn-on-Forecast Hybrid System (WoF-Hybrid, defined in Section 1.5) have been developed. \r\n\r\nThe purpose of this study is to demonstrate and evaluate the capability of WoFS and WoF-Hybrid for predicting short-term severe weather forecasts that occurred during 2021 and help to identify room for future improvement. In addition to the 3 km grid-spacing, 18-member Experimental Warn-on-Forecast System (WoFS), which uses a Gridpoint Statistical Interpolation- Ensemble Kalman Filter (GSI-EnKF) data assimilation method, a 1.5 km grid-spacing, single member hybrid three-dimensional ensemble–variational data assimilation (3DEnVar System; referred to hereafter as WoF-Hybrid) has been tested for several years in NOAA Hazardous Weather Testbed (HWT) Spring Forecasting Experiments (SFE). Whether WoF-Hybrid exhibits attributes that complement WoFS is an open question. This is addressed by applying a spatial verification method, Fractions Skill Score (FSS), and object-based verification measures to 31 cases between April–December 2021. For the spatial verification method, WoF-Hybrid reflectivity FSSs are significantly lower than the WoFS member average at forecast initialization. Scores converge after one hour and are higher for WoF-Hybrid through the rest of the period. The difference in skill at initialization may be attributed to a higher reflectivity bias and a greater number of spurious convective cells in WoF-Hybrid. \r\n\r\nThe object-based method applied to reflectivity shows similar probability of detections (PODs) and false alarm ratios (FARs) for both systems. For updraft helicity (UH), however, WoF-Hybrid yields better PODs at all lead times. WoF-Hybrid better resolves UH swaths seen in plan-view analysis of forecast output, which tend to be narrow in the verification dataset. Partitioning cases based on event severity per the number of local storm reports, this study shows WoF-Hybrid has higher PODs and lower FARs than the WoFS member average for both reflectivity and UH in eight high-end events. WoF-Hybrid forecast reflectivity objects are both closer in size and location to observed objects than are WoFS objects. \r\n\r\nThree severe weather events of 26 May and 27 May (multi-mode severe and heavy rain), and 10 December (rare winter tornado outbreak) are selected for detailed investigation. In each May case, PODs and FARs for both prediction systems were similar; however, for 10 December, WoF-Hybrid far outperformed WoFS in forecasts of the single most impactful thunderstorm in the dataset (quad-state tornadic supercell). These results suggest that using both WoF-Hybrid and WoFS forecast guidance may better support NWS forecasters' warning and forecast decisions.","language":"en","note":"Accepted: 2022-12-12T15:24:28Z","source":"shareok.org","title":"Evaluation of the experimental warn-on-forecast system and WoF-hybrid 3DEnVar system on short-term forecasts for 2021 real-time cases","URL":"https://shareok.org/handle/11244/336918","author":[{"family":"Carpenter","given":"Noah"}],"accessed":{"date-parts":[["2023",2,8]]},"issued":{"date-parts":[["2022",12,16]]},"citation-key":"carpenterEvaluationExperimentalWarnonforecast2022"}}],"schema":"https://github.com/citation-style-language/schema/raw/master/csl-citation.json"} </w:instrText>
      </w:r>
      <w:r w:rsidRPr="00506D3C">
        <w:rPr>
          <w:szCs w:val="24"/>
        </w:rPr>
        <w:fldChar w:fldCharType="separate"/>
      </w:r>
      <w:r w:rsidRPr="00506D3C">
        <w:rPr>
          <w:noProof/>
          <w:szCs w:val="24"/>
        </w:rPr>
        <w:t>(Gao et al. 2021, 2022; Carpenter 2022)</w:t>
      </w:r>
      <w:r w:rsidRPr="00506D3C">
        <w:rPr>
          <w:szCs w:val="24"/>
        </w:rPr>
        <w:fldChar w:fldCharType="end"/>
      </w:r>
      <w:r w:rsidRPr="00506D3C">
        <w:rPr>
          <w:szCs w:val="24"/>
        </w:rPr>
        <w:t xml:space="preserve">. </w:t>
      </w:r>
    </w:p>
    <w:p w14:paraId="7ACF4ED3" w14:textId="77777777" w:rsidR="00AD13C1" w:rsidRPr="00506D3C" w:rsidRDefault="00AD13C1" w:rsidP="00506D3C">
      <w:pPr>
        <w:ind w:firstLine="0"/>
        <w:rPr>
          <w:szCs w:val="24"/>
        </w:rPr>
      </w:pPr>
    </w:p>
    <w:p w14:paraId="1873D725" w14:textId="6EC5A7F8" w:rsidR="00AD13C1" w:rsidRPr="00506D3C" w:rsidRDefault="00AD13C1">
      <w:pPr>
        <w:pStyle w:val="Heading2"/>
        <w:rPr>
          <w:szCs w:val="24"/>
        </w:rPr>
      </w:pPr>
      <w:bookmarkStart w:id="20" w:name="_Toc130995431"/>
      <w:bookmarkStart w:id="21" w:name="_Toc131018296"/>
      <w:r w:rsidRPr="00506D3C">
        <w:rPr>
          <w:szCs w:val="24"/>
        </w:rPr>
        <w:t xml:space="preserve">Overview of the Warn-on-Forecast </w:t>
      </w:r>
      <w:r w:rsidR="00DC2D4C">
        <w:rPr>
          <w:szCs w:val="24"/>
        </w:rPr>
        <w:t xml:space="preserve">ensemble DA and Forecast </w:t>
      </w:r>
      <w:r w:rsidRPr="00506D3C">
        <w:rPr>
          <w:szCs w:val="24"/>
        </w:rPr>
        <w:t>System (WoFS)</w:t>
      </w:r>
      <w:bookmarkEnd w:id="20"/>
      <w:bookmarkEnd w:id="21"/>
    </w:p>
    <w:p w14:paraId="48F595F0" w14:textId="73B78D73" w:rsidR="00AD13C1" w:rsidRPr="00506D3C" w:rsidRDefault="00AD13C1" w:rsidP="00AD13C1">
      <w:pPr>
        <w:ind w:firstLine="540"/>
        <w:rPr>
          <w:rFonts w:eastAsia="Times New Roman" w:cs="Times New Roman"/>
          <w:szCs w:val="24"/>
        </w:rPr>
      </w:pPr>
      <w:r w:rsidRPr="00506D3C">
        <w:rPr>
          <w:rFonts w:eastAsia="Times New Roman" w:cs="Times New Roman"/>
          <w:szCs w:val="24"/>
        </w:rPr>
        <w:t>In this dissertation, the ensemble background error covariance matri</w:t>
      </w:r>
      <w:r w:rsidR="00E832D4">
        <w:rPr>
          <w:rFonts w:eastAsia="Times New Roman" w:cs="Times New Roman"/>
          <w:szCs w:val="24"/>
        </w:rPr>
        <w:t>x</w:t>
      </w:r>
      <w:r w:rsidRPr="00506D3C">
        <w:rPr>
          <w:rFonts w:eastAsia="Times New Roman" w:cs="Times New Roman"/>
          <w:szCs w:val="24"/>
        </w:rPr>
        <w:t xml:space="preserve"> </w:t>
      </w:r>
      <m:oMath>
        <m:r>
          <m:rPr>
            <m:sty m:val="b"/>
          </m:rPr>
          <w:rPr>
            <w:rFonts w:ascii="Cambria Math" w:eastAsia="Times New Roman" w:hAnsi="Cambria Math" w:cs="Times New Roman"/>
            <w:szCs w:val="24"/>
          </w:rPr>
          <m:t>P</m:t>
        </m:r>
      </m:oMath>
      <w:r w:rsidRPr="00506D3C">
        <w:rPr>
          <w:rFonts w:eastAsia="Times New Roman" w:cs="Times New Roman"/>
          <w:szCs w:val="24"/>
        </w:rPr>
        <w:t xml:space="preserve"> employed in the WoF-Hybrid are calculated from the WoFS ensemble forecasts. The WoFS is a high-resolution, on-demand ensemble </w:t>
      </w:r>
      <w:r w:rsidR="003F0051">
        <w:rPr>
          <w:rFonts w:eastAsia="Times New Roman" w:cs="Times New Roman"/>
          <w:szCs w:val="24"/>
        </w:rPr>
        <w:t>DA</w:t>
      </w:r>
      <w:r w:rsidRPr="00506D3C">
        <w:rPr>
          <w:rFonts w:eastAsia="Times New Roman" w:cs="Times New Roman"/>
          <w:szCs w:val="24"/>
        </w:rPr>
        <w:t xml:space="preserve"> and forecast system. It consists of a 36-member ensemble with diverse physical parameterizations </w:t>
      </w:r>
      <w:r w:rsidRPr="00506D3C">
        <w:rPr>
          <w:rFonts w:eastAsia="Times New Roman" w:cs="Times New Roman"/>
          <w:szCs w:val="24"/>
        </w:rPr>
        <w:fldChar w:fldCharType="begin"/>
      </w:r>
      <w:r w:rsidR="006E4F25">
        <w:rPr>
          <w:rFonts w:eastAsia="Times New Roman" w:cs="Times New Roman"/>
          <w:szCs w:val="24"/>
        </w:rPr>
        <w:instrText xml:space="preserve"> ADDIN ZOTERO_ITEM CSL_CITATION {"citationID":"5bDmbv4f","properties":{"formattedCitation":"(Wheatley et al. 2015)","plainCitation":"(Wheatley et al. 2015)","dontUpdate":true,"noteIndex":0},"citationItems":[{"id":86,"uris":["http://zotero.org/users/local/6VSApgKp/items/4BQRKSFC"],"itemData":{"id":86,"type":"article-journal","abstract":"&lt;section class=\"abstract\"&gt;&lt;h2 class=\"abstractTitle text-title my-1\" id=\"d4223959e74\"&gt;Abstract&lt;/h2&gt;&lt;p&gt;This first part of a two-part study on storm-scale radar and satellite data assimilation provides an overview of a multicase study conducted as part of the NOAA Warn-on-Forecast (WoF) project. The NSSL Experimental WoF System for ensembles (NEWS-e) is used to produce storm-scale analyses and forecasts of six diverse severe weather events from spring 2013 and 2014. In this study, only Doppler reflectivity and radial velocity observations (and, when available, surface mesonet data) are assimilated into a 36-member, storm-scale ensemble using an ensemble Kalman filter (EnKF) approach. A series of 1-h ensemble forecasts are then initialized from storm-scale analyses during the 1-h period preceding the onset of storm reports. Of particular interest is the ability of these 0–1-h ensemble forecasts to reproduce the low-level rotational characteristics of supercell thunderstorms, as well as other convective hazards. For the tornado-producing thunderstorms considered in this study, ensemble probabilistic forecasts of low-level rotation generally indicated a rotating thunderstorm approximately 30 min before the time of first observed tornado. Displacement errors (often to the north of tornado-affected areas) associated with vorticity swaths were greatest in those forecasts launched 30–60 min before the time of first tornado. Similar forecasts were produced for a tornadic mesovortex along the leading edge of a bow echo and, again, highlighted a well-defined vorticity swath as much as 30 min prior to the first tornado.&lt;/p&gt;&lt;/section&gt;","container-title":"Weather and Forecasting","DOI":"10.1175/WAF-D-15-0043.1","ISSN":"1520-0434, 0882-8156","issue":"6","language":"EN","note":"publisher: American Meteorological Society\nsection: Weather and Forecasting","page":"1795-1817","source":"journals.ametsoc.org","title":"Storm-Scale Data Assimilation and Ensemble Forecasting with the NSSL Experimental Warn-on-Forecast System. Part I: Radar Data Experiments","title-short":"Storm-Scale Data Assimilation and Ensemble Forecasting with the NSSL Experimental Warn-on-Forecast System. Part I","volume":"30","author":[{"family":"Wheatley","given":"Dustan M."},{"family":"Knopfmeier","given":"Kent H."},{"family":"Jones","given":"Thomas A."},{"family":"Creager","given":"Gerald J."}],"issued":{"date-parts":[["2015",12,1]]},"citation-key":"wheatleyStormScaleDataAssimilation2015"}}],"schema":"https://github.com/citation-style-language/schema/raw/master/csl-citation.json"} </w:instrText>
      </w:r>
      <w:r w:rsidRPr="00506D3C">
        <w:rPr>
          <w:rFonts w:eastAsia="Times New Roman" w:cs="Times New Roman"/>
          <w:szCs w:val="24"/>
        </w:rPr>
        <w:fldChar w:fldCharType="separate"/>
      </w:r>
      <w:r w:rsidRPr="00506D3C">
        <w:rPr>
          <w:rFonts w:eastAsia="Times New Roman" w:cs="Times New Roman"/>
          <w:noProof/>
          <w:szCs w:val="24"/>
        </w:rPr>
        <w:t>(Wheatley et al. 2015)</w:t>
      </w:r>
      <w:r w:rsidRPr="00506D3C">
        <w:rPr>
          <w:rFonts w:eastAsia="Times New Roman" w:cs="Times New Roman"/>
          <w:szCs w:val="24"/>
        </w:rPr>
        <w:fldChar w:fldCharType="end"/>
      </w:r>
      <w:r w:rsidRPr="00506D3C">
        <w:rPr>
          <w:rFonts w:eastAsia="Times New Roman" w:cs="Times New Roman"/>
          <w:szCs w:val="24"/>
        </w:rPr>
        <w:t xml:space="preserve"> and is usually run over a 300 × 300 km</w:t>
      </w:r>
      <w:r w:rsidRPr="00506D3C">
        <w:rPr>
          <w:rFonts w:eastAsia="Times New Roman" w:cs="Times New Roman"/>
          <w:szCs w:val="24"/>
          <w:vertAlign w:val="superscript"/>
        </w:rPr>
        <w:t>2</w:t>
      </w:r>
      <w:r w:rsidRPr="00506D3C">
        <w:rPr>
          <w:rFonts w:eastAsia="Times New Roman" w:cs="Times New Roman"/>
          <w:szCs w:val="24"/>
        </w:rPr>
        <w:t xml:space="preserve"> domain with a 3-km horizontal grid spacing. The Analyses are initialized at 1700 UTC daily before 2019 and 1500 UTC after 2019 with initial and boundary conditions provided by the High-Resolution Rapid Refresh Ensemble</w:t>
      </w:r>
      <w:r w:rsidR="00682CE2">
        <w:rPr>
          <w:rFonts w:eastAsia="Times New Roman" w:cs="Times New Roman"/>
          <w:szCs w:val="24"/>
        </w:rPr>
        <w:t xml:space="preserve"> </w:t>
      </w:r>
      <w:r w:rsidRPr="00506D3C">
        <w:rPr>
          <w:rFonts w:eastAsia="Times New Roman" w:cs="Times New Roman"/>
          <w:szCs w:val="24"/>
        </w:rPr>
        <w:fldChar w:fldCharType="begin"/>
      </w:r>
      <w:r w:rsidR="00186B73">
        <w:rPr>
          <w:rFonts w:eastAsia="Times New Roman" w:cs="Times New Roman"/>
          <w:szCs w:val="24"/>
        </w:rPr>
        <w:instrText xml:space="preserve"> ADDIN ZOTERO_ITEM CSL_CITATION {"citationID":"OOCpNQWJ","properties":{"formattedCitation":"(Kalina et al. 2021)","plainCitation":"(Kalina et al. 2021)","dontUpdate":true,"noteIndex":0},"citationItems":[{"id":537,"uris":["http://zotero.org/users/local/6VSApgKp/items/YY6RGKH4"],"itemData":{"id":537,"type":"article-journal","abstract":"Abstract The High-Resolution Rapid Refresh Ensemble (HRRRE) is a 36-member ensemble analysis system with 9 forecast members that utilizes the Advanced Research version of the Weather Research and Forecasting (ARW-WRF) dynamic core and the physics suite from the operational Rapid Refresh/High-Resolution Rapid Refresh deterministic modeling system. A goal of HRRRE development is a system with sufficient spread among members, comparable in magnitude to the random error in the ensemble mean, to represent the range of possible future atmospheric states. HRRRE member diversity has traditionally been obtained by perturbing the initial and lateral boundary conditions of each member, but recent development has focused on implementing stochastic approaches in HRRRE to generate additional spread. These techniques were tested in retrospective experiments and in the May 2019 Hazardous Weather Testbed Spring Experiment (HWT-SE). Results show a 6%–25% increase in the ensemble spread in 2-m temperature, 2-m mixing ratio, and 10-m wind speed when stochastic parameter perturbations are used in HRRRE (HRRRE-SPP). Case studies from HWT-SE demonstrate that HRRRE-SPP performed similar to or better than the operational High-Resolution Ensemble Forecast system, version 2 (HREFv2), and the nonstochastic HRRRE. However, subjective evaluations provided by HWT-SE forecasters indicated that overall, HRRRE-SPP predicted lower probabilities of severe weather (using updraft helicity as a proxy) compared to HREFv2. A statistical analysis of the performance of HRRRE-SPP and HREFv2 from the 2019 summer convective season supports this claim, but also demonstrates that the two systems have similar reliability for prediction of severe weather using updraft helicity.","container-title":"Weather and Forecasting","DOI":"10.1175/WAF-D-20-0098.1","ISSN":"1520-0434, 0882-8156","issue":"3","language":"EN","note":"publisher: American Meteorological Society\nsection: Weather and Forecasting","page":"791-804","source":"journals.ametsoc.org","title":"A Progress Report on the Development of the High-Resolution Rapid Refresh Ensemble","volume":"36","author":[{"family":"Kalina","given":"Evan A."},{"family":"Jankov","given":"Isidora"},{"family":"Alcott","given":"Trevor"},{"family":"Olson","given":"Joseph"},{"family":"Beck","given":"Jeffrey"},{"family":"Berner","given":"Judith"},{"family":"Dowell","given":"David"},{"family":"Alexander","given":"Curtis"}],"issued":{"date-parts":[["2021",6,1]]},"citation-key":"kalinaProgressReportDevelopment2021"}}],"schema":"https://github.com/citation-style-language/schema/raw/master/csl-citation.json"} </w:instrText>
      </w:r>
      <w:r w:rsidRPr="00506D3C">
        <w:rPr>
          <w:rFonts w:eastAsia="Times New Roman" w:cs="Times New Roman"/>
          <w:szCs w:val="24"/>
        </w:rPr>
        <w:fldChar w:fldCharType="separate"/>
      </w:r>
      <w:r w:rsidR="00682CE2">
        <w:rPr>
          <w:rFonts w:eastAsia="Times New Roman" w:cs="Times New Roman"/>
          <w:noProof/>
          <w:szCs w:val="24"/>
        </w:rPr>
        <w:t>(HRRRE; Kalina et al. 2021)</w:t>
      </w:r>
      <w:r w:rsidRPr="00506D3C">
        <w:rPr>
          <w:rFonts w:eastAsia="Times New Roman" w:cs="Times New Roman"/>
          <w:szCs w:val="24"/>
        </w:rPr>
        <w:fldChar w:fldCharType="end"/>
      </w:r>
      <w:r w:rsidRPr="00506D3C">
        <w:rPr>
          <w:rFonts w:eastAsia="Times New Roman" w:cs="Times New Roman"/>
          <w:szCs w:val="24"/>
        </w:rPr>
        <w:t xml:space="preserve">. The location of the domain is typically determined by the Storm Prediction Center (SPC) Day 1 outlook </w:t>
      </w:r>
      <w:r w:rsidRPr="00506D3C">
        <w:rPr>
          <w:rFonts w:eastAsia="Times New Roman" w:cs="Times New Roman"/>
          <w:szCs w:val="24"/>
        </w:rPr>
        <w:fldChar w:fldCharType="begin"/>
      </w:r>
      <w:r w:rsidR="006E4F25">
        <w:rPr>
          <w:rFonts w:eastAsia="Times New Roman" w:cs="Times New Roman"/>
          <w:szCs w:val="24"/>
        </w:rPr>
        <w:instrText xml:space="preserve"> ADDIN ZOTERO_ITEM CSL_CITATION {"citationID":"QFzupQJ2","properties":{"formattedCitation":"(Kain et al. 2003; Gallo et al. 2017, p. 201)","plainCitation":"(Kain et al. 2003; Gallo et al. 2017, p. 201)","dontUpdate":true,"noteIndex":0},"citationItems":[{"id":475,"uris":["http://zotero.org/users/local/6VSApgKp/items/KQBUZE4J"],"itemData":{"id":475,"type":"article-journal","abstract":"Collaborative activities between operational forecasters and meteorological research scientists have the potential to provide significant benefits to both groups and to society as a whole, yet such collaboration is rare. An exception to this state of affairs is occurring at the National Severe Storms Laboratory (NSSL) and Storm Prediction Center (SPC). Since the SPC moved from Kansas City to the NSSL facility in Norman, Oklahoma in 1997, collaborative efforts between researchers and forecasters at this facility have begun to flourish. This article presents a historical background for this interaction and discusses some of the factors that have helped this collaboration gain momentum. It focuses on the 2001 Spring Program, a collaborative effort focusing on experimental forecasting techniques and numerical model evaluation, as a prototype for organized interactions between researchers and forecasters. In addition, the many tangible and intangible benefits of this unusual working relationship are discussed.","container-title":"Bulletin of the American Meteorological Society","DOI":"10.1175/BAMS-84-12-1797","ISSN":"0003-0007, 1520-0477","issue":"12","language":"en","note":"publisher: American Meteorological Society\nsection: Bulletin of the American Meteorological Society","page":"1797-1806","source":"journals.ametsoc.org","title":"Collaboration between Forecasters and Research Scientists at the NSSL and SPC: The Spring Program: The Spring Program","title-short":"Collaboration between Forecasters and Research Scientists at the NSSL and SPC","volume":"84","author":[{"family":"Kain","given":"John S."},{"family":"Janish","given":"Paul R."},{"family":"Weiss","given":"Steven J."},{"family":"Baldwin","given":"Michael E."},{"family":"Schneider","given":"Russell S."},{"family":"Brooks","given":"Harold E."}],"issued":{"date-parts":[["2003",12,1]]},"citation-key":"kainCollaborationForecastersResearch2003"}},{"id":477,"uris":["http://zotero.org/users/local/6VSApgKp/items/ANRKNL9U"],"itemData":{"id":477,"type":"article-journal","abstract":"Abstract Led by NOAA’s Storm Prediction Center and National Severe Storms Laboratory, annual spring forecasting experiments (SFEs) in the Hazardous Weather Testbed test and evaluate cutting-edge technologies and concepts for improving severe weather prediction through intensive real-time forecasting and evaluation activities. Experimental forecast guidance is provided through collaborations with several U.S. government and academic institutions, as well as the Met Office. The purpose of this article is to summarize activities, insights, and preliminary findings from recent SFEs, emphasizing SFE 2015. Several innovative aspects of recent experiments are discussed, including the 1) use of convection-allowing model (CAM) ensembles with advanced ensemble data assimilation, 2) generation of severe weather outlooks valid at time periods shorter than those issued operationally (e.g., 1–4 h), 3) use of CAMs to issue outlooks beyond the day 1 period, 4) increased interaction through software allowing participants to create individual severe weather outlooks, and 5) tests of newly developed storm-attribute-based diagnostics for predicting tornadoes and hail size. Additionally, plans for future experiments will be discussed, including the creation of a Community Leveraged Unified Ensemble (CLUE) system, which will test various strategies for CAM ensemble design using carefully designed sets of ensemble members contributed by different agencies to drive evidence-based decision-making for near-future operational systems.","container-title":"Weather and Forecasting","DOI":"10.1175/WAF-D-16-0178.1","ISSN":"1520-0434, 0882-8156","issue":"4","language":"EN","note":"publisher: American Meteorological Society\nsection: Weather and Forecasting","page":"1541-1568","source":"journals.ametsoc.org","title":"Breaking New Ground in Severe Weather Prediction: The 2015 NOAA/Hazardous Weather Testbed Spring Forecasting Experiment","title-short":"Breaking New Ground in Severe Weather Prediction","volume":"32","author":[{"family":"Gallo","given":"Burkely T."},{"family":"Clark","given":"Adam J."},{"family":"Jirak","given":"Israel"},{"family":"Kain","given":"John S."},{"family":"Weiss","given":"Steven J."},{"family":"Coniglio","given":"Michael"},{"family":"Knopfmeier","given":"Kent"},{"family":"Correia","given":"James"},{"family":"Melick","given":"Christopher J."},{"family":"Karstens","given":"Christopher D."},{"family":"Iyer","given":"Eswar"},{"family":"Dean","given":"Andrew R."},{"family":"Xue","given":"Ming"},{"family":"Kong","given":"Fanyou"},{"family":"Jung","given":"Youngsun"},{"family":"Shen","given":"Feifei"},{"family":"Thomas","given":"Kevin W."},{"family":"Brewster","given":"Keith"},{"family":"Stratman","given":"Derek"},{"family":"Carbin","given":"Gregory W."},{"family":"Line","given":"William"},{"family":"Adams-Selin","given":"Rebecca"},{"family":"Willington","given":"Steve"}],"issued":{"date-parts":[["2017",8,1]]},"citation-key":"galloBreakingNewGround2017"},"locator":"201"}],"schema":"https://github.com/citation-style-language/schema/raw/master/csl-citation.json"} </w:instrText>
      </w:r>
      <w:r w:rsidRPr="00506D3C">
        <w:rPr>
          <w:rFonts w:eastAsia="Times New Roman" w:cs="Times New Roman"/>
          <w:szCs w:val="24"/>
        </w:rPr>
        <w:fldChar w:fldCharType="separate"/>
      </w:r>
      <w:r w:rsidRPr="00506D3C">
        <w:rPr>
          <w:rFonts w:eastAsia="Times New Roman" w:cs="Times New Roman"/>
          <w:noProof/>
          <w:szCs w:val="24"/>
        </w:rPr>
        <w:t>(Kain et al. 2003; Gallo et al. 2017)</w:t>
      </w:r>
      <w:r w:rsidRPr="00506D3C">
        <w:rPr>
          <w:rFonts w:eastAsia="Times New Roman" w:cs="Times New Roman"/>
          <w:szCs w:val="24"/>
        </w:rPr>
        <w:fldChar w:fldCharType="end"/>
      </w:r>
      <w:r w:rsidRPr="00506D3C">
        <w:rPr>
          <w:rFonts w:eastAsia="Times New Roman" w:cs="Times New Roman"/>
          <w:szCs w:val="24"/>
        </w:rPr>
        <w:t xml:space="preserve">. Once initial conditions are prepared, analyses are produced at </w:t>
      </w:r>
      <w:r w:rsidR="009E6897">
        <w:rPr>
          <w:rFonts w:eastAsia="Times New Roman" w:cs="Times New Roman"/>
          <w:szCs w:val="24"/>
        </w:rPr>
        <w:t xml:space="preserve">a </w:t>
      </w:r>
      <w:r w:rsidRPr="00506D3C">
        <w:rPr>
          <w:rFonts w:eastAsia="Times New Roman" w:cs="Times New Roman"/>
          <w:szCs w:val="24"/>
        </w:rPr>
        <w:t>15</w:t>
      </w:r>
      <w:r w:rsidR="009E6897">
        <w:rPr>
          <w:rFonts w:eastAsia="Times New Roman" w:cs="Times New Roman"/>
          <w:szCs w:val="24"/>
        </w:rPr>
        <w:t>-</w:t>
      </w:r>
      <w:r w:rsidRPr="00506D3C">
        <w:rPr>
          <w:rFonts w:eastAsia="Times New Roman" w:cs="Times New Roman"/>
          <w:szCs w:val="24"/>
        </w:rPr>
        <w:t xml:space="preserve">minute interval with the assimilation of conventional observations, WSR-88D radar reflectivity and radial velocity data </w:t>
      </w:r>
      <w:r w:rsidRPr="00506D3C">
        <w:rPr>
          <w:rFonts w:eastAsia="Times New Roman" w:cs="Times New Roman"/>
          <w:szCs w:val="24"/>
        </w:rPr>
        <w:fldChar w:fldCharType="begin"/>
      </w:r>
      <w:r w:rsidRPr="00506D3C">
        <w:rPr>
          <w:rFonts w:eastAsia="Times New Roman" w:cs="Times New Roman"/>
          <w:szCs w:val="24"/>
        </w:rPr>
        <w:instrText xml:space="preserve"> ADDIN ZOTERO_ITEM CSL_CITATION {"citationID":"SLEfjLTl","properties":{"formattedCitation":"(Wheatley et al. 2015)","plainCitation":"(Wheatley et al. 2015)","noteIndex":0},"citationItems":[{"id":86,"uris":["http://zotero.org/users/local/6VSApgKp/items/4BQRKSFC"],"itemData":{"id":86,"type":"article-journal","abstract":"&lt;section class=\"abstract\"&gt;&lt;h2 class=\"abstractTitle text-title my-1\" id=\"d4223959e74\"&gt;Abstract&lt;/h2&gt;&lt;p&gt;This first part of a two-part study on storm-scale radar and satellite data assimilation provides an overview of a multicase study conducted as part of the NOAA Warn-on-Forecast (WoF) project. The NSSL Experimental WoF System for ensembles (NEWS-e) is used to produce storm-scale analyses and forecasts of six diverse severe weather events from spring 2013 and 2014. In this study, only Doppler reflectivity and radial velocity observations (and, when available, surface mesonet data) are assimilated into a 36-member, storm-scale ensemble using an ensemble Kalman filter (EnKF) approach. A series of 1-h ensemble forecasts are then initialized from storm-scale analyses during the 1-h period preceding the onset of storm reports. Of particular interest is the ability of these 0–1-h ensemble forecasts to reproduce the low-level rotational characteristics of supercell thunderstorms, as well as other convective hazards. For the tornado-producing thunderstorms considered in this study, ensemble probabilistic forecasts of low-level rotation generally indicated a rotating thunderstorm approximately 30 min before the time of first observed tornado. Displacement errors (often to the north of tornado-affected areas) associated with vorticity swaths were greatest in those forecasts launched 30–60 min before the time of first tornado. Similar forecasts were produced for a tornadic mesovortex along the leading edge of a bow echo and, again, highlighted a well-defined vorticity swath as much as 30 min prior to the first tornado.&lt;/p&gt;&lt;/section&gt;","container-title":"Weather and Forecasting","DOI":"10.1175/WAF-D-15-0043.1","ISSN":"1520-0434, 0882-8156","issue":"6","language":"EN","note":"publisher: American Meteorological Society\nsection: Weather and Forecasting","page":"1795-1817","source":"journals.ametsoc.org","title":"Storm-Scale Data Assimilation and Ensemble Forecasting with the NSSL Experimental Warn-on-Forecast System. Part I: Radar Data Experiments","title-short":"Storm-Scale Data Assimilation and Ensemble Forecasting with the NSSL Experimental Warn-on-Forecast System. Part I","volume":"30","author":[{"family":"Wheatley","given":"Dustan M."},{"family":"Knopfmeier","given":"Kent H."},{"family":"Jones","given":"Thomas A."},{"family":"Creager","given":"Gerald J."}],"issued":{"date-parts":[["2015",12,1]]},"citation-key":"wheatleyStormScaleDataAssimilation2015"}}],"schema":"https://github.com/citation-style-language/schema/raw/master/csl-citation.json"} </w:instrText>
      </w:r>
      <w:r w:rsidRPr="00506D3C">
        <w:rPr>
          <w:rFonts w:eastAsia="Times New Roman" w:cs="Times New Roman"/>
          <w:szCs w:val="24"/>
        </w:rPr>
        <w:fldChar w:fldCharType="separate"/>
      </w:r>
      <w:r w:rsidRPr="00506D3C">
        <w:rPr>
          <w:rFonts w:eastAsia="Times New Roman" w:cs="Times New Roman"/>
          <w:noProof/>
          <w:szCs w:val="24"/>
        </w:rPr>
        <w:t>(Wheatley et al. 2015)</w:t>
      </w:r>
      <w:r w:rsidRPr="00506D3C">
        <w:rPr>
          <w:rFonts w:eastAsia="Times New Roman" w:cs="Times New Roman"/>
          <w:szCs w:val="24"/>
        </w:rPr>
        <w:fldChar w:fldCharType="end"/>
      </w:r>
      <w:r w:rsidRPr="00506D3C">
        <w:rPr>
          <w:rFonts w:eastAsia="Times New Roman" w:cs="Times New Roman"/>
          <w:szCs w:val="24"/>
        </w:rPr>
        <w:t xml:space="preserve">, satellite-derived cloud water path </w:t>
      </w:r>
      <w:r w:rsidRPr="00506D3C">
        <w:rPr>
          <w:rFonts w:eastAsia="Times New Roman" w:cs="Times New Roman"/>
          <w:szCs w:val="24"/>
        </w:rPr>
        <w:fldChar w:fldCharType="begin"/>
      </w:r>
      <w:r w:rsidRPr="00506D3C">
        <w:rPr>
          <w:rFonts w:eastAsia="Times New Roman" w:cs="Times New Roman"/>
          <w:szCs w:val="24"/>
        </w:rPr>
        <w:instrText xml:space="preserve"> ADDIN ZOTERO_ITEM CSL_CITATION {"citationID":"kxRlJfKm","properties":{"formattedCitation":"(Minnis et al. 2011; Jones et al. 2016)","plainCitation":"(Minnis et al. 2011; Jones et al. 2016)","noteIndex":0},"citationItems":[{"id":479,"uris":["http://zotero.org/users/local/6VSApgKp/items/FVJUHE3Z"],"itemData":{"id":479,"type":"article-journal","abstract":"The National Aeronautics and Space Administration's Clouds and the Earth's Radiant Energy System (CERES) Project was designed to improve our understanding of the relationship between clouds and solar and longwave radiation. This is achieved using satellite broad-band instruments to map the top-of-atmosphere radiation fields with coincident data from satellite narrow-band imagers employed to retrieve the properties of clouds associated with those fields. This paper documents the CERES Edition-2 cloud property retrieval system used to analyze data from the Tropical Rainfall Measuring Mission Visible and Infrared Scanner and by the MODerate-resolution Imaging Spectrometer instruments on board the Terra and Aqua satellites covering the period 1998 through 2007. Two daytime retrieval methods are explained: the Visible Infrared Shortwave-infrared Split-window Technique for snow-free surfaces and the Shortwave-infrared Infrared Near-infrared Technique for snow or ice-covered surfaces. The Shortwave-infrared Infrared Split-window Technique is used for all surfaces at night. These methods, along with the ancillary data and empirical parameterizations of cloud thickness, are used to derive cloud boundaries, phase, optical depth, effective particle size, and condensed/frozen water path at both pixel and CERES footprint levels. Additional information is presented, detailing the potential effects of satellite calibration differences, highlighting methods to compensate for spectral differences and correct for atmospheric absorption and emissivity, and discussing known errors in the code. Because a consistent set of algorithms, auxiliary input, and calibrations across platforms are used, instrument and algorithm-induced changes in the data record are minimized. This facilitates the use of the CERES data products for studying climate-scale trends.","container-title":"IEEE Transactions on Geoscience and Remote Sensing","DOI":"10.1109/TGRS.2011.2144601","ISSN":"1558-0644","issue":"11","note":"event-title: IEEE Transactions on Geoscience and Remote Sensing","page":"4374-4400","source":"IEEE Xplore","title":"CERES Edition-2 Cloud Property Retrievals Using TRMM VIRS and Terra and Aqua MODIS Data—Part I: Algorithms","title-short":"CERES Edition-2 Cloud Property Retrievals Using TRMM VIRS and Terra and Aqua MODIS Data—Part I","volume":"49","author":[{"family":"Minnis","given":"Patrick"},{"family":"Sun-Mack","given":"Szedung"},{"family":"Young","given":"David F."},{"family":"Heck","given":"Patrick W."},{"family":"Garber","given":"Donald P."},{"family":"Chen","given":"Yan"},{"family":"Spangenberg","given":"Douglas A."},{"family":"Arduini","given":"Robert F."},{"family":"Trepte","given":"Qing Z."},{"family":"Smith","given":"William L."},{"family":"Ayers","given":"J. Kirk"},{"family":"Gibson","given":"Sharon C."},{"family":"Miller","given":"Walter F."},{"family":"Hong","given":"Gang"},{"family":"Chakrapani","given":"Venkatesan"},{"family":"Takano","given":"Yoshihide"},{"family":"Liou","given":"Kuo-Nan"},{"family":"Xie","given":"Yu"},{"family":"Yang","given":"Ping"}],"issued":{"date-parts":[["2011",11]]},"citation-key":"minnisCERESEdition2Cloud2011"}},{"id":94,"uris":["http://zotero.org/users/local/6VSApgKp/items/R7ACBQF9"],"itemData":{"id":94,"type":"article-journal","abstract":"&lt;section class=\"abstract\"&gt;&lt;h2 class=\"abstractTitle text-title my-1\" id=\"d4105766e88\"&gt;Abstract&lt;/h2&gt;&lt;p&gt;This research represents the second part of a two-part series describing the development of a prototype ensemble data assimilation system for the Warn-on-Forecast (WoF) project known as the NSSL Experimental WoF System for ensembles (NEWS-e). Part I describes the NEWS-e design and results from radar reflectivity and radial velocity data assimilation for six severe weather events occurring during 2013 and 2014. Part II describes the impact of assimilating satellite liquid and ice water path (LWP and IWP, respectively) retrievals from the GOES Imager along with the radar observations. Assimilating LWP and IWP observations may improve thermodynamic conditions at the surface over the storm-scale domain through better analysis of cloud coverage in the model compared to radar-only experiments. These improvements sometimes corresponded to an improved analysis of supercell storms leading to better forecasts of low-level vorticity. This positive impact was most evident for events where convection is not ongoing at the beginning of the radar and satellite data assimilation period. For more complex cases containing significant amounts of ongoing convection, only assimilating clear-sky satellite retrievals in place of clear-air reflectivity resulted in spurious regions of light precipitation compared to the radar-only experiments. The analyzed tornadic storms in these experiments are sometimes too weak and quickly diminished in intensity in the forecasts. The lessons learned as part of these experiments should lead to improved iterations of the NEWS-e system, building on the modestly successful results described here.&lt;/p&gt;&lt;/section&gt;","container-title":"Weather and Forecasting","DOI":"10.1175/WAF-D-15-0107.1","ISSN":"1520-0434, 0882-8156","issue":"1","language":"EN","note":"publisher: American Meteorological Society\nsection: Weather and Forecasting","page":"297-327","source":"journals.ametsoc.org","title":"Storm-Scale Data Assimilation and Ensemble Forecasting with the NSSL Experimental Warn-on-Forecast System. Part II: Combined Radar and Satellite Data Experiments","title-short":"Storm-Scale Data Assimilation and Ensemble Forecasting with the NSSL Experimental Warn-on-Forecast System. Part II","volume":"31","author":[{"family":"Jones","given":"Thomas A."},{"family":"Knopfmeier","given":"Kent"},{"family":"Wheatley","given":"Dustan"},{"family":"Creager","given":"Gerald"},{"family":"Minnis","given":"Patrick"},{"family":"Palikonda","given":"Rabindra"}],"issued":{"date-parts":[["2016",2,1]]},"citation-key":"jonesStormScaleDataAssimilation2016"}}],"schema":"https://github.com/citation-style-language/schema/raw/master/csl-citation.json"} </w:instrText>
      </w:r>
      <w:r w:rsidRPr="00506D3C">
        <w:rPr>
          <w:rFonts w:eastAsia="Times New Roman" w:cs="Times New Roman"/>
          <w:szCs w:val="24"/>
        </w:rPr>
        <w:fldChar w:fldCharType="separate"/>
      </w:r>
      <w:r w:rsidRPr="00506D3C">
        <w:rPr>
          <w:rFonts w:eastAsia="Times New Roman" w:cs="Times New Roman"/>
          <w:noProof/>
          <w:szCs w:val="24"/>
        </w:rPr>
        <w:t>(Minnis et al. 2011; Jones et al. 2016)</w:t>
      </w:r>
      <w:r w:rsidRPr="00506D3C">
        <w:rPr>
          <w:rFonts w:eastAsia="Times New Roman" w:cs="Times New Roman"/>
          <w:szCs w:val="24"/>
        </w:rPr>
        <w:fldChar w:fldCharType="end"/>
      </w:r>
      <w:r w:rsidRPr="00506D3C">
        <w:rPr>
          <w:rFonts w:eastAsia="Times New Roman" w:cs="Times New Roman"/>
          <w:szCs w:val="24"/>
        </w:rPr>
        <w:t xml:space="preserve">, and clear-sky radiance </w:t>
      </w:r>
      <w:r w:rsidRPr="00506D3C">
        <w:rPr>
          <w:rFonts w:eastAsia="Times New Roman" w:cs="Times New Roman"/>
          <w:szCs w:val="24"/>
        </w:rPr>
        <w:fldChar w:fldCharType="begin"/>
      </w:r>
      <w:r w:rsidRPr="00506D3C">
        <w:rPr>
          <w:rFonts w:eastAsia="Times New Roman" w:cs="Times New Roman"/>
          <w:szCs w:val="24"/>
        </w:rPr>
        <w:instrText xml:space="preserve"> ADDIN ZOTERO_ITEM CSL_CITATION {"citationID":"g2l8bBof","properties":{"formattedCitation":"(Jones et al. 2020)","plainCitation":"(Jones et al. 2020)","noteIndex":0},"citationItems":[{"id":110,"uris":["http://zotero.org/users/local/6VSApgKp/items/9DW6JJW2"],"itemData":{"id":110,"type":"article-journal","abstract":"&lt;section class=\"abstract\"&gt;&lt;h2 class=\"abstractTitle text-title my-1\" id=\"d45130806e150\"&gt;Abstract&lt;/h2&gt;&lt;p&gt;The increasing maturity of the Warn-on-Forecast System (WoFS) coupled with the now operational &lt;em&gt;GOES-16&lt;/em&gt; satellite allows for the first time a comprehensive analysis of the relative impacts of assimilating &lt;em&gt;GOES-16&lt;/em&gt; all-sky 6.2-, 6.9-, and 7.3-&lt;em&gt;μ&lt;/em&gt;m channel radiances compared to other radar and satellite observations. The WoFS relies on cloud property retrievals such as cloud water path, which have been proven to increase forecast skill compared to only assimilating radar data and other conventional observations. The impacts of assimilating clear-sky radiances have also been explored and shown to provide useful information on midtropospheric moisture content in the near-storm environment. Assimilation of all-sky radiances adds a layer of complexity and is tested to determine its effectiveness across four events occurring in the spring and summer of 2019. Qualitative and object-based verification of severe weather and the near-storm environment are used to assess the impact of assimilating all-sky radiances compared to the current model configuration. We focus our study through the entire WoFS analysis and forecasting cycle (1900–0600 UTC, daily) so that the impacts throughout the evolution of convection from initiation to large upscale growth can be assessed. Overall, assimilating satellite data improves forecasts relative to radar-only assimilation experiments. The retrieval method with clear-sky radiances performs best overall, but assimilating all-sky radiances does have very positive impacts in certain conditions. In particular, all-sky radiance assimilation improved convective initiation forecast of severe storms in several instances. This work represents an initial attempt at assimilating all-sky radiances into the WoFS and additional research is ongoing to further improve forecast skill.&lt;/p&gt;&lt;/section&gt;","container-title":"Monthly Weather Review","DOI":"10.1175/MWR-D-19-0379.1","ISSN":"1520-0493, 0027-0644","issue":"5","language":"EN","note":"publisher: American Meteorological Society\nsection: Monthly Weather Review","page":"1829-1859","source":"journals.ametsoc.org","title":"Assimilation of GOES-16 Radiances and Retrievals into the Warn-on-Forecast System","volume":"148","author":[{"family":"Jones","given":"Thomas A."},{"family":"Skinner","given":"Patrick"},{"family":"Yussouf","given":"Nusrat"},{"family":"Knopfmeier","given":"Kent"},{"family":"Reinhart","given":"Anthony"},{"family":"Wang","given":"Xuguang"},{"family":"Bedka","given":"Kristopher"},{"family":"Smith","given":"William"},{"family":"Palikonda","given":"Rabindra"}],"issued":{"date-parts":[["2020",5,1]]},"citation-key":"jonesAssimilationGOES16Radiances2020"}}],"schema":"https://github.com/citation-style-language/schema/raw/master/csl-citation.json"} </w:instrText>
      </w:r>
      <w:r w:rsidRPr="00506D3C">
        <w:rPr>
          <w:rFonts w:eastAsia="Times New Roman" w:cs="Times New Roman"/>
          <w:szCs w:val="24"/>
        </w:rPr>
        <w:fldChar w:fldCharType="separate"/>
      </w:r>
      <w:r w:rsidRPr="00506D3C">
        <w:rPr>
          <w:rFonts w:eastAsia="Times New Roman" w:cs="Times New Roman"/>
          <w:noProof/>
          <w:szCs w:val="24"/>
        </w:rPr>
        <w:t>(Jones et al. 2020)</w:t>
      </w:r>
      <w:r w:rsidRPr="00506D3C">
        <w:rPr>
          <w:rFonts w:eastAsia="Times New Roman" w:cs="Times New Roman"/>
          <w:szCs w:val="24"/>
        </w:rPr>
        <w:fldChar w:fldCharType="end"/>
      </w:r>
      <w:r w:rsidRPr="00506D3C">
        <w:rPr>
          <w:rFonts w:eastAsia="Times New Roman" w:cs="Times New Roman"/>
          <w:szCs w:val="24"/>
        </w:rPr>
        <w:t xml:space="preserve"> using the GSI-EnKF, one of the EnKF systems which is widely used for convective-scale </w:t>
      </w:r>
      <w:r w:rsidR="003F0051">
        <w:rPr>
          <w:rFonts w:eastAsia="Times New Roman" w:cs="Times New Roman"/>
          <w:szCs w:val="24"/>
        </w:rPr>
        <w:t>DA</w:t>
      </w:r>
      <w:r w:rsidRPr="00506D3C">
        <w:rPr>
          <w:rFonts w:eastAsia="Times New Roman" w:cs="Times New Roman"/>
          <w:szCs w:val="24"/>
        </w:rPr>
        <w:t xml:space="preserve"> in both the operational and research communities </w:t>
      </w:r>
      <w:r w:rsidRPr="00506D3C">
        <w:rPr>
          <w:rFonts w:eastAsia="Times New Roman" w:cs="Times New Roman"/>
          <w:szCs w:val="24"/>
        </w:rPr>
        <w:fldChar w:fldCharType="begin"/>
      </w:r>
      <w:r w:rsidRPr="00506D3C">
        <w:rPr>
          <w:rFonts w:eastAsia="Times New Roman" w:cs="Times New Roman"/>
          <w:szCs w:val="24"/>
        </w:rPr>
        <w:instrText xml:space="preserve"> ADDIN ZOTERO_ITEM CSL_CITATION {"citationID":"iR4Nom3g","properties":{"formattedCitation":"(Johnson et al. 2015; Wang and Wang 2017; Jones et al. 2018; Yussouf and Knopfmeier 2019)","plainCitation":"(Johnson et al. 2015; Wang and Wang 2017; Jones et al. 2018; Yussouf and Knopfmeier 2019)","noteIndex":0},"citationItems":[{"id":82,"uris":["http://zotero.org/users/local/6VSApgKp/items/RSKTEA6Y"],"itemData":{"id":82,"type":"article-journal","abstract":"&lt;section class=\"abstract\"&gt;&lt;h2 class=\"abstractTitle text-title my-1\" id=\"d135332123e93\"&gt;Abstract&lt;/h2&gt;&lt;p&gt;A GSI-based data assimilation (DA) system, including three-dimensional variational assimilation (3DVar) and ensemble Kalman filter (EnKF), is extended to the multiscale assimilation of both meso- and synoptic-scale observation networks and convective-scale radar reflectivity and velocity observations. EnKF and 3DVar are systematically compared in this multiscale context to better understand the impacts of differences between the DA techniques on the analyses at multiple scales and the subsequent convective-scale precipitation forecasts.&lt;/p&gt;&lt;p&gt;Averaged over 10 diverse cases, 8-h precipitation forecasts initialized using GSI-based EnKF are more skillful than those using GSI-based 3DVar, both with and without storm-scale radar DA. The advantage from radar DA persists for ~5 h using EnKF, but only ~1 h using 3DVar.&lt;/p&gt;&lt;p&gt;A case study of an upscale growing MCS is also examined. The better EnKF-initialized forecast is attributed to more accurate analyses of both the mesoscale environment and the storm-scale features. The mesoscale location and structure of a warm front is more accurately analyzed using EnKF than 3DVar. Furthermore, storms in the EnKF multiscale analysis are maintained during the subsequent forecast period. However, storms in the 3DVar multiscale analysis are not maintained and generate excessive cold pools. Therefore, while the EnKF forecast with radar DA remains better than the forecast without radar DA throughout the forecast period, the 3DVar forecast quality is degraded by radar DA after the first hour. Diagnostics revealed that the inferior analysis at mesoscales and storm scales for the 3DVar is primarily attributed to the lack of flow dependence and cross-variable correlation, respectively, in the 3DVar static background error covariance.&lt;/p&gt;&lt;/section&gt;","container-title":"Monthly Weather Review","DOI":"10.1175/MWR-D-14-00345.1","ISSN":"1520-0493, 0027-0644","issue":"8","language":"EN","note":"publisher: American Meteorological Society\nsection: Monthly Weather Review","page":"3087-3108","source":"journals.ametsoc.org","title":"A Comparison of Multiscale GSI-Based EnKF and 3DVar Data Assimilation Using Radar and Conventional Observations for Midlatitude Convective-Scale Precipitation Forecasts","volume":"143","author":[{"family":"Johnson","given":"Aaron"},{"family":"Wang","given":"Xuguang"},{"family":"Carley","given":"Jacob R."},{"family":"Wicker","given":"Louis J."},{"family":"Karstens","given":"Christopher"}],"issued":{"date-parts":[["2015",8,1]]},"citation-key":"johnsonComparisonMultiscaleGSIBased2015"}},{"id":83,"uris":["http://zotero.org/users/local/6VSApgKp/items/6GLJE7HI"],"itemData":{"id":83,"type":"article-journal","abstract":"&lt;section class=\"abstract\"&gt;&lt;h2 class=\"abstractTitle text-title my-1\" id=\"d143025105e81\"&gt;Abstract&lt;/h2&gt;&lt;p&gt;A GSI-based EnVar data assimilation system is extended to directly assimilate radar reflectivity to initialize convective-scale forecasts. When hydrometeor mixing ratios are used as state variables (method mixing ratio), large differences of the cost function gradients with respect to the small hydrometeor mixing ratios and wind prevent efficient convergence. Using logarithmic mixing ratios as state variables (method logarithm) fixes this problem, but generates spuriously large hydrometeor increments partly due to the transform to and from the logarithmic space. The tangent linear of the reflectivity operators further contributes to spuriously small and large hydrometeor increments in method mixing ratio and method logarithm, respectively. A new method is proposed by directly adding the reflectivity as a state variable (method dB&lt;em&gt;Z&lt;/em&gt;). Without the tangent linear and adjoint of the nonlinear operator, the new method therefore avoids the aforementioned problems.&lt;/p&gt;&lt;p&gt;The newly proposed method is examined on the analysis and prediction of the 8 May 2003 Oklahoma City tornadic supercell storm. Both the probabilistic forecast of strong low-level vorticity and maintenance of strong updraft and vorticity in method dB&lt;em&gt;Z&lt;/em&gt; are more consistent with reality than in method logarithm and method mixing ratio. Detailed diagnostics suggest that a more realistic cold pool due to the better analyzed hydrometeors in method dB&lt;em&gt;Z&lt;/em&gt; than in other methods leads to constructive interaction between the surface gust front and the updraft aloft associated with the midlevel mesocyclone. Similar low-level vorticity forecast and maintenance of the storm are produced by the WSM6 and Thompson microphysics schemes in method dB&lt;em&gt;Z&lt;/em&gt;. The Thompson scheme matches the reflectivity distribution with the observations better for all lead times, but shows more southeastward track bias compared to the WSM6 scheme.&lt;/p&gt;&lt;/section&gt;","container-title":"Monthly Weather Review","DOI":"10.1175/MWR-D-16-0231.1","ISSN":"1520-0493, 0027-0644","issue":"4","language":"EN","note":"publisher: American Meteorological Society\nsection: Monthly Weather Review","page":"1447-1471","source":"journals.ametsoc.org","title":"Direct Assimilation of Radar Reflectivity without Tangent Linear and Adjoint of the Nonlinear Observation Operator in the GSI-Based EnVar System: Methodology and Experiment with the 8 May 2003 Oklahoma City Tornadic Supercell","title-short":"Direct Assimilation of Radar Reflectivity without Tangent Linear and Adjoint of the Nonlinear Observation Operator in the GSI-Based EnVar System","volume":"145","author":[{"family":"Wang","given":"Yongming"},{"family":"Wang","given":"Xuguang"}],"issued":{"date-parts":[["2017",4,1]]},"citation-key":"wangDirectAssimilationRadar2017"}},{"id":159,"uris":["http://zotero.org/users/local/6VSApgKp/items/DFGHCEPE"],"itemData":{"id":159,"type":"article-journal","abstract":"&lt;section class=\"abstract\"&gt;&lt;h2 class=\"abstractTitle text-title my-1\" id=\"d145953427e115\"&gt;Abstract&lt;/h2&gt;&lt;p&gt;A prototype convection-allowing system using the Advanced Research version of the Weather Research and Forecasting (WRF-ARW) Model and employing an ensemble Kalman filter (EnKF) data assimilation technique has been developed and used during the spring 2016 and 2017 Hazardous Weather Testbeds. This system assimilates WSR-88D reflectivity and radial velocity, geostationary satellite cloud water path (CWP) retrievals, and available surface observations over a regional domain with a 3-km horizontal resolution at 15-min intervals, with 3-km initial conditions provided by an experimental High-Resolution Rapid Refresh ensemble (HRRR-e). However, no information on upper-level thermodynamic conditions in cloud-free regions is currently assimilated, as few timely observations exist. One potential solution is to also assimilate clear-sky satellite radiances, which provide information on mid- and upper-tropospheric temperature and moisture conditions. This research assimilates &lt;em&gt;GOES-13&lt;/em&gt; imager water vapor band (6.5 &lt;em&gt;μ&lt;/em&gt;m) radiances using the GSI-EnKF system to take advantage of the Community Radiative Transfer Model (CRTM) integration. Results using four cases from May 2016 showed that assimilating radiances generally had a neutral-to-positive impact on the model analysis, reducing humidity bias and/or errors at the appropriate model levels where verification observations were present. The effects on high-impact weather forecasts, as verified against forecast reflectivity and updraft helicity, were mixed. Three cases (9, 22, and 24 May) showed some improvement in skill, while the other (25 May) performed worse, despite the improved environment. This research represents the first step in designing a high-resolution ensemble data assimilation system to use &lt;em&gt;GOES-16&lt;/em&gt; Advanced Baseline Imager data, which provides additional water vapor bands and increased spatial and temporal resolution.&lt;/p&gt;&lt;/section&gt;","container-title":"Monthly Weather Review","DOI":"10.1175/MWR-D-17-0280.1","ISSN":"1520-0493, 0027-0644","issue":"4","language":"EN","note":"publisher: American Meteorological Society\nsection: Monthly Weather Review","page":"1077-1107","source":"journals.ametsoc.org","title":"Assimilation of GOES-13 Imager Clear-Sky Water Vapor (6.5 μm) Radiances into a Warn-on-Forecast System","volume":"146","author":[{"family":"Jones","given":"Thomas A."},{"family":"Wang","given":"Xuguang"},{"family":"Skinner","given":"Patrick"},{"family":"Johnson","given":"Aaron"},{"family":"Wang","given":"Yongming"}],"issued":{"date-parts":[["2018",4,1]]},"citation-key":"jonesAssimilationGOES13Imager2018"}},{"id":222,"uris":["http://zotero.org/users/local/6VSApgKp/items/68USL9V6"],"itemData":{"id":222,"type":"article-journal","abstract":"The vision of the National Oceanic and Atmospheric Administration's (NOAA) Warn-on-Forecast (WoF) research and development project is to provide very short-term probabilistic model guidance products that will aid the ability of National Weather Service forecasters to issue probabilistic warnings of severe convective hazards with higher accuracy and longer lead times. The experimental Warn-on-Forecast System (WoFS), which is under development, is a frequently cycled, regional, convective-scale, on-demand, ensemble data assimilation and prediction system. The system assimilates thunderstorm observations to forecast the life cycle and associated hazards of individual convective storms. Most of the initial research effort, since the beginning of the WoF project in 2009, has been focused on tornadic events, which constitute one of the most violent and difficult to predict weather threats. However, the system emerging from this project has significant potential to help with prediction of other hazards as well: in particular, flash-flood-producing, convectively driven intense rainfall events. This study focuses on the application of WoFS in 0–6-hr probabilistic rainfall forecasts of several flash-flood-producing heavy rainfall events during the spring and summer of 2015 and 2016. Results indicate that WoFS successfully initializes the convective storms in the ensemble. Visual inspections and probabilistic verification metrics show that WoFS predicts the intense rainfall that often leads to flash flooding at the correct location with higher accuracy in areal coverage and amount during the 0–3 hr forecast period than during the later 3–6 hr period. Overall results indicate that the frequently updated 0–6-hr ensemble forecast from the WoFS has the potential to highlight areas where intense rainfall can result in flash flooding and increase near-term situational awareness of flash flood threats.","container-title":"Quarterly Journal of the Royal Meteorological Society","DOI":"10.1002/qj.3568","ISSN":"1477-870X","issue":"723","language":"en","note":"_eprint: https://onlinelibrary.wiley.com/doi/pdf/10.1002/qj.3568","page":"2385-2403","source":"Wiley Online Library","title":"Application of the Warn-on-Forecast system for flash-flood-producing heavy convective rainfall events","volume":"145","author":[{"family":"Yussouf","given":"Nusrat"},{"family":"Knopfmeier","given":"Kent H."}],"issued":{"date-parts":[["2019"]]},"citation-key":"yussoufApplicationWarnonForecastSystem2019"}}],"schema":"https://github.com/citation-style-language/schema/raw/master/csl-citation.json"} </w:instrText>
      </w:r>
      <w:r w:rsidRPr="00506D3C">
        <w:rPr>
          <w:rFonts w:eastAsia="Times New Roman" w:cs="Times New Roman"/>
          <w:szCs w:val="24"/>
        </w:rPr>
        <w:fldChar w:fldCharType="separate"/>
      </w:r>
      <w:r w:rsidRPr="00506D3C">
        <w:rPr>
          <w:rFonts w:eastAsia="Times New Roman" w:cs="Times New Roman"/>
          <w:noProof/>
          <w:szCs w:val="24"/>
        </w:rPr>
        <w:t>(Johnson et al. 2015; Wang and Wang 2017; Jones et al. 2018; Yussouf and Knopfmeier 2019)</w:t>
      </w:r>
      <w:r w:rsidRPr="00506D3C">
        <w:rPr>
          <w:rFonts w:eastAsia="Times New Roman" w:cs="Times New Roman"/>
          <w:szCs w:val="24"/>
        </w:rPr>
        <w:fldChar w:fldCharType="end"/>
      </w:r>
      <w:r w:rsidRPr="00506D3C">
        <w:rPr>
          <w:rFonts w:eastAsia="Times New Roman" w:cs="Times New Roman"/>
          <w:szCs w:val="24"/>
        </w:rPr>
        <w:t xml:space="preserve">. The </w:t>
      </w:r>
      <w:r w:rsidRPr="00506D3C">
        <w:rPr>
          <w:rFonts w:eastAsia="Times New Roman" w:cs="Times New Roman"/>
          <w:szCs w:val="24"/>
        </w:rPr>
        <w:lastRenderedPageBreak/>
        <w:t xml:space="preserve">conventional observations have a varied localization length from 60 km for the Mesonet to 460 km for the sparser resolution instruments (e.g., the Automated Surface Observing System and the Aircraft Communications, Addressing, and Reporting System). The radar observations and satellite observations use 18 km and 36 km horizontal radii, respectively. Localization values applied here were derived from those used by Jones et al. </w:t>
      </w:r>
      <w:r w:rsidRPr="00506D3C">
        <w:rPr>
          <w:rFonts w:eastAsia="Times New Roman" w:cs="Times New Roman"/>
          <w:szCs w:val="24"/>
        </w:rPr>
        <w:fldChar w:fldCharType="begin"/>
      </w:r>
      <w:r w:rsidR="006E4F25">
        <w:rPr>
          <w:rFonts w:eastAsia="Times New Roman" w:cs="Times New Roman"/>
          <w:szCs w:val="24"/>
        </w:rPr>
        <w:instrText xml:space="preserve"> ADDIN ZOTERO_ITEM CSL_CITATION {"citationID":"WdwX9FnP","properties":{"formattedCitation":"(Jones et al. 2020)","plainCitation":"(Jones et al. 2020)","dontUpdate":true,"noteIndex":0},"citationItems":[{"id":110,"uris":["http://zotero.org/users/local/6VSApgKp/items/9DW6JJW2"],"itemData":{"id":110,"type":"article-journal","abstract":"&lt;section class=\"abstract\"&gt;&lt;h2 class=\"abstractTitle text-title my-1\" id=\"d45130806e150\"&gt;Abstract&lt;/h2&gt;&lt;p&gt;The increasing maturity of the Warn-on-Forecast System (WoFS) coupled with the now operational &lt;em&gt;GOES-16&lt;/em&gt; satellite allows for the first time a comprehensive analysis of the relative impacts of assimilating &lt;em&gt;GOES-16&lt;/em&gt; all-sky 6.2-, 6.9-, and 7.3-&lt;em&gt;μ&lt;/em&gt;m channel radiances compared to other radar and satellite observations. The WoFS relies on cloud property retrievals such as cloud water path, which have been proven to increase forecast skill compared to only assimilating radar data and other conventional observations. The impacts of assimilating clear-sky radiances have also been explored and shown to provide useful information on midtropospheric moisture content in the near-storm environment. Assimilation of all-sky radiances adds a layer of complexity and is tested to determine its effectiveness across four events occurring in the spring and summer of 2019. Qualitative and object-based verification of severe weather and the near-storm environment are used to assess the impact of assimilating all-sky radiances compared to the current model configuration. We focus our study through the entire WoFS analysis and forecasting cycle (1900–0600 UTC, daily) so that the impacts throughout the evolution of convection from initiation to large upscale growth can be assessed. Overall, assimilating satellite data improves forecasts relative to radar-only assimilation experiments. The retrieval method with clear-sky radiances performs best overall, but assimilating all-sky radiances does have very positive impacts in certain conditions. In particular, all-sky radiance assimilation improved convective initiation forecast of severe storms in several instances. This work represents an initial attempt at assimilating all-sky radiances into the WoFS and additional research is ongoing to further improve forecast skill.&lt;/p&gt;&lt;/section&gt;","container-title":"Monthly Weather Review","DOI":"10.1175/MWR-D-19-0379.1","ISSN":"1520-0493, 0027-0644","issue":"5","language":"EN","note":"publisher: American Meteorological Society\nsection: Monthly Weather Review","page":"1829-1859","source":"journals.ametsoc.org","title":"Assimilation of GOES-16 Radiances and Retrievals into the Warn-on-Forecast System","volume":"148","author":[{"family":"Jones","given":"Thomas A."},{"family":"Skinner","given":"Patrick"},{"family":"Yussouf","given":"Nusrat"},{"family":"Knopfmeier","given":"Kent"},{"family":"Reinhart","given":"Anthony"},{"family":"Wang","given":"Xuguang"},{"family":"Bedka","given":"Kristopher"},{"family":"Smith","given":"William"},{"family":"Palikonda","given":"Rabindra"}],"issued":{"date-parts":[["2020",5,1]]},"citation-key":"jonesAssimilationGOES16Radiances2020"}}],"schema":"https://github.com/citation-style-language/schema/raw/master/csl-citation.json"} </w:instrText>
      </w:r>
      <w:r w:rsidRPr="00506D3C">
        <w:rPr>
          <w:rFonts w:eastAsia="Times New Roman" w:cs="Times New Roman"/>
          <w:szCs w:val="24"/>
        </w:rPr>
        <w:fldChar w:fldCharType="separate"/>
      </w:r>
      <w:r w:rsidRPr="00506D3C">
        <w:rPr>
          <w:rFonts w:eastAsia="Times New Roman" w:cs="Times New Roman"/>
          <w:noProof/>
          <w:szCs w:val="24"/>
        </w:rPr>
        <w:t>(2020)</w:t>
      </w:r>
      <w:r w:rsidRPr="00506D3C">
        <w:rPr>
          <w:rFonts w:eastAsia="Times New Roman" w:cs="Times New Roman"/>
          <w:szCs w:val="24"/>
        </w:rPr>
        <w:fldChar w:fldCharType="end"/>
      </w:r>
      <w:r w:rsidRPr="00506D3C">
        <w:rPr>
          <w:rFonts w:eastAsia="Times New Roman" w:cs="Times New Roman"/>
          <w:szCs w:val="24"/>
        </w:rPr>
        <w:t xml:space="preserve">. Some very encouraging results have been obtained using the WoFS for convective-scale radar and satellite </w:t>
      </w:r>
      <w:r w:rsidR="003F0051">
        <w:rPr>
          <w:rFonts w:eastAsia="Times New Roman" w:cs="Times New Roman"/>
          <w:szCs w:val="24"/>
        </w:rPr>
        <w:t>DA</w:t>
      </w:r>
      <w:r w:rsidRPr="00506D3C">
        <w:rPr>
          <w:rFonts w:eastAsia="Times New Roman" w:cs="Times New Roman"/>
          <w:szCs w:val="24"/>
        </w:rPr>
        <w:t xml:space="preserve"> in short-term forecasts in real-time operations</w:t>
      </w:r>
      <w:r w:rsidRPr="00506D3C">
        <w:rPr>
          <w:rFonts w:eastAsia="Times New Roman" w:cs="Times New Roman"/>
          <w:szCs w:val="24"/>
        </w:rPr>
        <w:fldChar w:fldCharType="begin"/>
      </w:r>
      <w:r w:rsidRPr="00506D3C">
        <w:rPr>
          <w:rFonts w:eastAsia="Times New Roman" w:cs="Times New Roman"/>
          <w:szCs w:val="24"/>
        </w:rPr>
        <w:instrText xml:space="preserve"> ADDIN ZOTERO_ITEM CSL_CITATION {"citationID":"Crp0Q0b7","properties":{"formattedCitation":"(Guerra et al. 2022)","plainCitation":"(Guerra et al. 2022)","noteIndex":0},"citationItems":[{"id":470,"uris":["http://zotero.org/users/local/6VSApgKp/items/DMI2HM67"],"itemData":{"id":470,"type":"article-journal","abstract":"Abstract The National Severe Storm Laboratory’s Warn-on-Forecast System (WoFS) is a convection-allowing ensemble with rapidly cycled data assimilation (DA) of various satellite and radar datasets designed for prediction at 0–6-h lead time of hazardous weather. With the focus on short lead times, WoFS predictive accuracy is strongly dependent on its ability to accurately initialize and depict the evolution of ongoing storms. Since it takes multiple DA cycles to fully “spin up” ongoing storms, predictive skill is likely a function of storm age at the time of model initialization, meaning that older storms that have been through several DA cycles will be forecast with greater accuracy than newer storms that initiate just before model initialization or at any point after. To quantify this relationship, we apply an object-based spatial tracking and verification approach to map differences in the probability of detection (POD), in space–time, of predicted storm objects from WoFS with respect to Multi-Radar Multi-Sensor (MRMS) reflectivity objects. Object-tracking/matching statistics are computed for all suitable and available WoFS cases from 2017 to 2021. Our results indicate sharply increasing POD with increasing storm age for lead times within 3 h. PODs were about 0.3 for storm objects that emerge 2–3 h after model initialization, while for storm objects that were at least an hour old at the time of model initialization by DA, PODs ranged from around 0.7 to 0.9 depending on the lead time. These results should aid in forecaster interpretation of WoFS, as well as guide WoFS developers on improving the model and DA system. Significance Statement The Warn-on-Forecast System (WoFS) is a collection of weather models designed to predict individual thunderstorms. Before the models can predict storms, they must ingest radar and satellite observations to put existing storms into the models. Because storms develop at different times, more observations will exist for some storms in the model domain than others, which results in WoFS forecasts with different accuracy for different storms. This paper estimates the differences in accuracy for storms that have existed for a long time and those that have not by tracking observed and predicted storms. We find that the likelihood of WoFS accurately predicting a thunderstorm nearly doubles if the storm has existed for over an hour prior to the forecast. Understanding this relationship between storm age and forecast accuracy will help forecasters better use WoFS predictions and guide future research to improve WoFS forecasts.","container-title":"Weather and Forecasting","DOI":"10.1175/WAF-D-22-0043.1","ISSN":"1520-0434, 0882-8156","issue":"11","language":"EN","note":"publisher: American Meteorological Society\nsection: Weather and Forecasting","page":"1973-1983","source":"journals.ametsoc.org","title":"Quantification of NSSL Warn-on-Forecast System Accuracy by Storm Age Using Object-Based Verification","volume":"37","author":[{"family":"Guerra","given":"Jorge E."},{"family":"Skinner","given":"Patrick S."},{"family":"Clark","given":"Adam"},{"family":"Flora","given":"Montgomery"},{"family":"Matilla","given":"Brian"},{"family":"Knopfmeier","given":"Kent"},{"family":"Reinhart","given":"Anthony E."}],"issued":{"date-parts":[["2022",10,28]]},"citation-key":"guerraQuantificationNSSLWarnonForecast2022"}}],"schema":"https://github.com/citation-style-language/schema/raw/master/csl-citation.json"} </w:instrText>
      </w:r>
      <w:r w:rsidRPr="00506D3C">
        <w:rPr>
          <w:rFonts w:eastAsia="Times New Roman" w:cs="Times New Roman"/>
          <w:szCs w:val="24"/>
        </w:rPr>
        <w:fldChar w:fldCharType="separate"/>
      </w:r>
      <w:r w:rsidRPr="00506D3C">
        <w:rPr>
          <w:rFonts w:eastAsia="Times New Roman" w:cs="Times New Roman"/>
          <w:noProof/>
          <w:szCs w:val="24"/>
        </w:rPr>
        <w:t>(Guerra et al. 2022)</w:t>
      </w:r>
      <w:r w:rsidRPr="00506D3C">
        <w:rPr>
          <w:rFonts w:eastAsia="Times New Roman" w:cs="Times New Roman"/>
          <w:szCs w:val="24"/>
        </w:rPr>
        <w:fldChar w:fldCharType="end"/>
      </w:r>
      <w:r w:rsidRPr="00506D3C">
        <w:rPr>
          <w:rFonts w:eastAsia="Times New Roman" w:cs="Times New Roman"/>
          <w:szCs w:val="24"/>
        </w:rPr>
        <w:t>.</w:t>
      </w:r>
    </w:p>
    <w:p w14:paraId="4351D4B7" w14:textId="77777777" w:rsidR="00506D3C" w:rsidRPr="00506D3C" w:rsidRDefault="00506D3C" w:rsidP="00506D3C">
      <w:pPr>
        <w:pStyle w:val="NoSpacing"/>
        <w:rPr>
          <w:szCs w:val="24"/>
        </w:rPr>
      </w:pPr>
    </w:p>
    <w:p w14:paraId="784E92F7" w14:textId="715ED12F" w:rsidR="00AD13C1" w:rsidRDefault="00AD13C1" w:rsidP="0017673D">
      <w:pPr>
        <w:pStyle w:val="Heading2"/>
      </w:pPr>
      <w:bookmarkStart w:id="22" w:name="_Toc130995432"/>
      <w:bookmarkStart w:id="23" w:name="_Toc131018297"/>
      <w:r w:rsidRPr="0017673D">
        <w:t xml:space="preserve">Overview of </w:t>
      </w:r>
      <w:r w:rsidR="00276B7F" w:rsidRPr="0017673D">
        <w:t xml:space="preserve">Radar </w:t>
      </w:r>
      <w:r w:rsidRPr="0017673D">
        <w:t>Observation</w:t>
      </w:r>
      <w:r w:rsidR="00276B7F" w:rsidRPr="0017673D">
        <w:t xml:space="preserve"> Forward Operators</w:t>
      </w:r>
      <w:r w:rsidR="00A370AE" w:rsidRPr="0017673D">
        <w:t xml:space="preserve"> and GLM derived Water Vapor Used</w:t>
      </w:r>
      <w:r w:rsidRPr="0017673D">
        <w:t xml:space="preserve"> in </w:t>
      </w:r>
      <w:r w:rsidR="00D92996" w:rsidRPr="0017673D">
        <w:t>the</w:t>
      </w:r>
      <w:r w:rsidR="00276B7F" w:rsidRPr="0017673D">
        <w:t xml:space="preserve"> Early Version of </w:t>
      </w:r>
      <w:r w:rsidRPr="0017673D">
        <w:t>WoF-Hybrid</w:t>
      </w:r>
      <w:bookmarkEnd w:id="22"/>
      <w:bookmarkEnd w:id="23"/>
    </w:p>
    <w:p w14:paraId="5D8BF9A0" w14:textId="4777EC82" w:rsidR="0017673D" w:rsidRPr="0017673D" w:rsidRDefault="0017673D" w:rsidP="0017673D">
      <w:pPr>
        <w:pStyle w:val="Heading3"/>
      </w:pPr>
      <w:bookmarkStart w:id="24" w:name="_Toc130995433"/>
      <w:bookmarkStart w:id="25" w:name="_Toc131018298"/>
      <w:r w:rsidRPr="0017673D">
        <w:t>Radar and conventional observation</w:t>
      </w:r>
      <w:bookmarkEnd w:id="24"/>
      <w:bookmarkEnd w:id="25"/>
    </w:p>
    <w:p w14:paraId="5AA58680" w14:textId="3CF5C283" w:rsidR="00AD13C1" w:rsidRPr="00506D3C" w:rsidRDefault="00AD13C1" w:rsidP="00506D3C">
      <w:pPr>
        <w:rPr>
          <w:szCs w:val="24"/>
        </w:rPr>
      </w:pPr>
      <w:r w:rsidRPr="00506D3C">
        <w:rPr>
          <w:szCs w:val="24"/>
        </w:rPr>
        <w:t xml:space="preserve">Radial velocity and reflectivity observations are synthesized by using level II data from the NEXRAD WSR-88D radars </w:t>
      </w:r>
      <w:r w:rsidRPr="00506D3C">
        <w:rPr>
          <w:rFonts w:hint="eastAsia"/>
          <w:szCs w:val="24"/>
        </w:rPr>
        <w:t>within</w:t>
      </w:r>
      <w:r w:rsidRPr="00506D3C">
        <w:rPr>
          <w:szCs w:val="24"/>
        </w:rPr>
        <w:t xml:space="preserve"> and surrounding the selected domain for each event, and then are interpolated onto the model grids. Radar quality control procedures (such as buddy checking, dealiasing, and anomalous returns removal) are applied before they are assimilated </w:t>
      </w:r>
      <w:r w:rsidRPr="00506D3C">
        <w:rPr>
          <w:szCs w:val="24"/>
        </w:rPr>
        <w:fldChar w:fldCharType="begin"/>
      </w:r>
      <w:r w:rsidRPr="00506D3C">
        <w:rPr>
          <w:szCs w:val="24"/>
        </w:rPr>
        <w:instrText xml:space="preserve"> ADDIN ZOTERO_ITEM CSL_CITATION {"citationID":"2ZXrVh6T","properties":{"formattedCitation":"(Gao et al. 2013)","plainCitation":"(Gao et al. 2013)","noteIndex":0},"citationItems":[{"id":359,"uris":["http://zotero.org/users/local/6VSApgKp/items/5X8IN2IW"],"itemData":{"id":359,"type":"article-journal","abstract":"Abstract A real-time, weather-adaptive three-dimensional variational data assimilation (3DVAR) system has been adapted for the NOAA Warn-on-Forecast (WoF) project to incorporate all available radar observations within a moveable analysis domain. The key features of the system include 1) incorporating radar observations from multiple Weather Surveillance Radars-1988 Doppler (WSR-88Ds) with NCEP forecast products as a background state, 2) the ability to automatically detect and analyze severe local hazardous weather events at 1-km horizontal resolution every 5 min in real time based on the current weather situation, and 3) the identification of strong circulation patterns embedded in thunderstorms. Although still in the early development stage, the system performed very well within the NOAA's Hazardous Weather Testbed (HWT) Experimental Warning Program during preliminary testing in spring 2010 when many severe weather events were successfully detected and analyzed. This study represents a first step in the assessment of this type of 3DVAR analysis for use in severe weather warnings. The eventual goal of this real-time 3DVAR system is to help meteorologists better track severe weather events and eventually provide better warning information to the public, ultimately saving lives and reducing property damage.","container-title":"Weather and Forecasting","DOI":"10.1175/WAF-D-12-00093.1","ISSN":"1520-0434, 0882-8156","issue":"3","language":"EN","note":"publisher: American Meteorological Society\nsection: Weather and Forecasting","page":"727-745","source":"journals.ametsoc.org","title":"A Real-Time Weather-Adaptive 3DVAR Analysis System for Severe Weather Detections and Warnings","volume":"28","author":[{"family":"Gao","given":"Jidong"},{"family":"Smith","given":"Travis M."},{"family":"Stensrud","given":"David J."},{"family":"Fu","given":"Chenghao"},{"family":"Calhoun","given":"Kristin"},{"family":"Manross","given":"Kevin L."},{"family":"Brogden","given":"Jeffrey"},{"family":"Lakshmanan","given":"Valliappa"},{"family":"Wang","given":"Yunheng"},{"family":"Thomas","given":"Kevin W."},{"family":"Brewster","given":"Keith"},{"family":"Xue","given":"Ming"}],"issued":{"date-parts":[["2013",6,1]]},"citation-key":"gaoRealTimeWeatherAdaptive3DVAR2013"}}],"schema":"https://github.com/citation-style-language/schema/raw/master/csl-citation.json"} </w:instrText>
      </w:r>
      <w:r w:rsidRPr="00506D3C">
        <w:rPr>
          <w:szCs w:val="24"/>
        </w:rPr>
        <w:fldChar w:fldCharType="separate"/>
      </w:r>
      <w:r w:rsidRPr="00506D3C">
        <w:rPr>
          <w:noProof/>
          <w:szCs w:val="24"/>
        </w:rPr>
        <w:t>(Gao et al. 2013)</w:t>
      </w:r>
      <w:r w:rsidRPr="00506D3C">
        <w:rPr>
          <w:szCs w:val="24"/>
        </w:rPr>
        <w:fldChar w:fldCharType="end"/>
      </w:r>
      <w:r w:rsidRPr="00506D3C">
        <w:rPr>
          <w:szCs w:val="24"/>
        </w:rPr>
        <w:t xml:space="preserve">. The forward operator for radial velocity is same as that used in </w:t>
      </w:r>
      <w:r w:rsidRPr="00506D3C">
        <w:rPr>
          <w:szCs w:val="24"/>
        </w:rPr>
        <w:fldChar w:fldCharType="begin"/>
      </w:r>
      <w:r w:rsidR="006E4F25">
        <w:rPr>
          <w:szCs w:val="24"/>
        </w:rPr>
        <w:instrText xml:space="preserve"> ADDIN ZOTERO_ITEM CSL_CITATION {"citationID":"oeK3r8st","properties":{"formattedCitation":"(Gao and Stensrud 2012)","plainCitation":"(Gao and Stensrud 2012)","dontUpdate":true,"noteIndex":0},"citationItems":[{"id":461,"uris":["http://zotero.org/users/local/6VSApgKp/items/EIUDWW5C"],"itemData":{"id":461,"type":"article-journal","abstract":"Abstract The impact of assimilating radar reflectivity and radial velocity data with an intermittent, cycled three-dimensional variational assimilation (3DVAR) system is explored using an idealized thunderstorm case and a real data case on 8 May 2003. A new forward operator for radar reflectivity is developed that uses a background temperature field provided by a numerical weather prediction model for automatic hydrometeor classification. Three types of experiments are performed on both the idealized and real data cases. The first experiment uses radial velocity data only, the second experiment uses both radial velocity and reflectivity data without hydrometeor classification, and the final experiment uses both radial velocity and reflectivity data with hydrometeor classification. All experiments advance the analysis state to the next observation time using a numerical model prediction, which is then used as the background for the next analysis. Results from both the idealized and real data cases show that, assimilating only radial velocity data, the model can reconstruct the supercell thunderstorm after several cycles, but the development of precipitation is delayed because of the well-known spinup problem. The spinup problem is reduced dramatically when assimilating reflectivity without hydrometeor classification. The analyses are further improved using the new reflectivity formulation with hydrometeor classification. This study represents a successful first effort in variational convective-scale data assimilation to partition hydrometeors using a background temperature field from a numerical weather prediction model.","container-title":"Journal of the Atmospheric Sciences","DOI":"10.1175/JAS-D-11-0162.1","ISSN":"0022-4928, 1520-0469","issue":"3","language":"EN","note":"publisher: American Meteorological Society\nsection: Journal of the Atmospheric Sciences","page":"1054-1065","source":"journals.ametsoc.org","title":"Assimilation of Reflectivity Data in a Convective-Scale, Cycled 3DVAR Framework with Hydrometeor Classification","volume":"69","author":[{"family":"Gao","given":"Jidong"},{"family":"Stensrud","given":"David J."}],"issued":{"date-parts":[["2012",3,1]]},"citation-key":"gaoAssimilationReflectivityData2012"}}],"schema":"https://github.com/citation-style-language/schema/raw/master/csl-citation.json"} </w:instrText>
      </w:r>
      <w:r w:rsidRPr="00506D3C">
        <w:rPr>
          <w:szCs w:val="24"/>
        </w:rPr>
        <w:fldChar w:fldCharType="separate"/>
      </w:r>
      <w:r w:rsidRPr="00506D3C">
        <w:rPr>
          <w:noProof/>
          <w:szCs w:val="24"/>
        </w:rPr>
        <w:t>Gao and Stensrud (2012)</w:t>
      </w:r>
      <w:r w:rsidRPr="00506D3C">
        <w:rPr>
          <w:szCs w:val="24"/>
        </w:rPr>
        <w:fldChar w:fldCharType="end"/>
      </w:r>
      <w:r w:rsidRPr="00506D3C">
        <w:rPr>
          <w:szCs w:val="24"/>
        </w:rPr>
        <w:t>:</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35"/>
        <w:gridCol w:w="715"/>
      </w:tblGrid>
      <w:tr w:rsidR="00506D3C" w:rsidRPr="00506D3C" w14:paraId="206B69B8" w14:textId="77777777" w:rsidTr="006E4F25">
        <w:tc>
          <w:tcPr>
            <w:tcW w:w="8635" w:type="dxa"/>
            <w:vAlign w:val="center"/>
          </w:tcPr>
          <w:p w14:paraId="22F29FB7" w14:textId="21796EC4" w:rsidR="00506D3C" w:rsidRPr="00506D3C" w:rsidRDefault="007B297F" w:rsidP="00B45862">
            <w:pPr>
              <w:ind w:firstLine="0"/>
              <w:jc w:val="center"/>
              <w:rPr>
                <w:iCs/>
                <w:sz w:val="24"/>
                <w:szCs w:val="24"/>
              </w:rPr>
            </w:pPr>
            <m:oMath>
              <m:sSub>
                <m:sSubPr>
                  <m:ctrlPr>
                    <w:rPr>
                      <w:rFonts w:ascii="Cambria Math" w:eastAsia="Times New Roman" w:hAnsi="Cambria Math" w:cs="Times New Roman"/>
                      <w:bCs/>
                      <w:i/>
                      <w:iCs/>
                      <w:sz w:val="24"/>
                      <w:szCs w:val="24"/>
                    </w:rPr>
                  </m:ctrlPr>
                </m:sSubPr>
                <m:e>
                  <m:r>
                    <w:rPr>
                      <w:rFonts w:ascii="Cambria Math" w:eastAsia="Times New Roman" w:hAnsi="Cambria Math" w:cs="Times New Roman"/>
                      <w:sz w:val="24"/>
                      <w:szCs w:val="24"/>
                    </w:rPr>
                    <m:t>V</m:t>
                  </m:r>
                </m:e>
                <m:sub>
                  <m:r>
                    <w:rPr>
                      <w:rFonts w:ascii="Cambria Math" w:eastAsia="Times New Roman" w:hAnsi="Cambria Math" w:cs="Times New Roman"/>
                      <w:sz w:val="24"/>
                      <w:szCs w:val="24"/>
                    </w:rPr>
                    <m:t>r</m:t>
                  </m:r>
                </m:sub>
              </m:sSub>
              <m:r>
                <w:rPr>
                  <w:rFonts w:ascii="Cambria Math" w:eastAsia="Times New Roman" w:hAnsi="Cambria Math" w:cs="Times New Roman"/>
                  <w:sz w:val="24"/>
                  <w:szCs w:val="24"/>
                </w:rPr>
                <m:t>=u</m:t>
              </m:r>
              <m:func>
                <m:funcPr>
                  <m:ctrlPr>
                    <w:rPr>
                      <w:rFonts w:ascii="Cambria Math" w:eastAsia="Times New Roman" w:hAnsi="Cambria Math" w:cs="Times New Roman"/>
                      <w:bCs/>
                      <w:i/>
                      <w:iCs/>
                      <w:sz w:val="24"/>
                      <w:szCs w:val="24"/>
                    </w:rPr>
                  </m:ctrlPr>
                </m:funcPr>
                <m:fName>
                  <m:r>
                    <m:rPr>
                      <m:sty m:val="p"/>
                    </m:rPr>
                    <w:rPr>
                      <w:rFonts w:ascii="Cambria Math" w:eastAsia="Times New Roman" w:hAnsi="Cambria Math" w:cs="Times New Roman"/>
                      <w:sz w:val="24"/>
                      <w:szCs w:val="24"/>
                    </w:rPr>
                    <m:t>sin</m:t>
                  </m:r>
                </m:fName>
                <m:e>
                  <m:r>
                    <w:rPr>
                      <w:rFonts w:ascii="Cambria Math" w:eastAsia="Times New Roman" w:hAnsi="Cambria Math" w:cs="Times New Roman"/>
                      <w:sz w:val="24"/>
                      <w:szCs w:val="24"/>
                    </w:rPr>
                    <m:t>ϕ</m:t>
                  </m:r>
                </m:e>
              </m:func>
              <m:func>
                <m:funcPr>
                  <m:ctrlPr>
                    <w:rPr>
                      <w:rFonts w:ascii="Cambria Math" w:eastAsia="Times New Roman" w:hAnsi="Cambria Math" w:cs="Times New Roman"/>
                      <w:bCs/>
                      <w:i/>
                      <w:iCs/>
                      <w:sz w:val="24"/>
                      <w:szCs w:val="24"/>
                    </w:rPr>
                  </m:ctrlPr>
                </m:funcPr>
                <m:fName>
                  <m:r>
                    <m:rPr>
                      <m:sty m:val="p"/>
                    </m:rPr>
                    <w:rPr>
                      <w:rFonts w:ascii="Cambria Math" w:eastAsia="Times New Roman" w:hAnsi="Cambria Math" w:cs="Times New Roman"/>
                      <w:sz w:val="24"/>
                      <w:szCs w:val="24"/>
                    </w:rPr>
                    <m:t>cos</m:t>
                  </m:r>
                </m:fName>
                <m:e>
                  <m:r>
                    <w:rPr>
                      <w:rFonts w:ascii="Cambria Math" w:eastAsia="Times New Roman" w:hAnsi="Cambria Math" w:cs="Times New Roman"/>
                      <w:sz w:val="24"/>
                      <w:szCs w:val="24"/>
                    </w:rPr>
                    <m:t>μ</m:t>
                  </m:r>
                </m:e>
              </m:func>
              <m:r>
                <w:rPr>
                  <w:rFonts w:ascii="Cambria Math" w:eastAsia="Times New Roman" w:hAnsi="Cambria Math" w:cs="Times New Roman"/>
                  <w:sz w:val="24"/>
                  <w:szCs w:val="24"/>
                </w:rPr>
                <m:t>+v</m:t>
              </m:r>
              <m:func>
                <m:funcPr>
                  <m:ctrlPr>
                    <w:rPr>
                      <w:rFonts w:ascii="Cambria Math" w:eastAsia="Times New Roman" w:hAnsi="Cambria Math" w:cs="Times New Roman"/>
                      <w:bCs/>
                      <w:i/>
                      <w:iCs/>
                      <w:sz w:val="24"/>
                      <w:szCs w:val="24"/>
                    </w:rPr>
                  </m:ctrlPr>
                </m:funcPr>
                <m:fName>
                  <m:r>
                    <m:rPr>
                      <m:sty m:val="p"/>
                    </m:rPr>
                    <w:rPr>
                      <w:rFonts w:ascii="Cambria Math" w:eastAsia="Times New Roman" w:hAnsi="Cambria Math" w:cs="Times New Roman"/>
                      <w:sz w:val="24"/>
                      <w:szCs w:val="24"/>
                    </w:rPr>
                    <m:t>cos</m:t>
                  </m:r>
                </m:fName>
                <m:e>
                  <m:r>
                    <w:rPr>
                      <w:rFonts w:ascii="Cambria Math" w:eastAsia="Times New Roman" w:hAnsi="Cambria Math" w:cs="Times New Roman"/>
                      <w:sz w:val="24"/>
                      <w:szCs w:val="24"/>
                    </w:rPr>
                    <m:t>ϕ</m:t>
                  </m:r>
                </m:e>
              </m:func>
              <m:func>
                <m:funcPr>
                  <m:ctrlPr>
                    <w:rPr>
                      <w:rFonts w:ascii="Cambria Math" w:eastAsia="Times New Roman" w:hAnsi="Cambria Math" w:cs="Times New Roman"/>
                      <w:bCs/>
                      <w:i/>
                      <w:iCs/>
                      <w:sz w:val="24"/>
                      <w:szCs w:val="24"/>
                    </w:rPr>
                  </m:ctrlPr>
                </m:funcPr>
                <m:fName>
                  <m:r>
                    <m:rPr>
                      <m:sty m:val="p"/>
                    </m:rPr>
                    <w:rPr>
                      <w:rFonts w:ascii="Cambria Math" w:eastAsia="Times New Roman" w:hAnsi="Cambria Math" w:cs="Times New Roman"/>
                      <w:sz w:val="24"/>
                      <w:szCs w:val="24"/>
                    </w:rPr>
                    <m:t>cos</m:t>
                  </m:r>
                </m:fName>
                <m:e>
                  <m:r>
                    <w:rPr>
                      <w:rFonts w:ascii="Cambria Math" w:eastAsia="Times New Roman" w:hAnsi="Cambria Math" w:cs="Times New Roman"/>
                      <w:sz w:val="24"/>
                      <w:szCs w:val="24"/>
                    </w:rPr>
                    <m:t>μ</m:t>
                  </m:r>
                </m:e>
              </m:func>
              <m:r>
                <w:rPr>
                  <w:rFonts w:ascii="Cambria Math" w:eastAsia="Times New Roman" w:hAnsi="Cambria Math" w:cs="Times New Roman"/>
                  <w:sz w:val="24"/>
                  <w:szCs w:val="24"/>
                </w:rPr>
                <m:t>+w</m:t>
              </m:r>
              <m:func>
                <m:funcPr>
                  <m:ctrlPr>
                    <w:rPr>
                      <w:rFonts w:ascii="Cambria Math" w:eastAsia="Times New Roman" w:hAnsi="Cambria Math" w:cs="Times New Roman"/>
                      <w:bCs/>
                      <w:i/>
                      <w:iCs/>
                      <w:sz w:val="24"/>
                      <w:szCs w:val="24"/>
                    </w:rPr>
                  </m:ctrlPr>
                </m:funcPr>
                <m:fName>
                  <m:r>
                    <m:rPr>
                      <m:sty m:val="p"/>
                    </m:rPr>
                    <w:rPr>
                      <w:rFonts w:ascii="Cambria Math" w:eastAsia="Times New Roman" w:hAnsi="Cambria Math" w:cs="Times New Roman"/>
                      <w:sz w:val="24"/>
                      <w:szCs w:val="24"/>
                    </w:rPr>
                    <m:t>sin</m:t>
                  </m:r>
                </m:fName>
                <m:e>
                  <m:r>
                    <w:rPr>
                      <w:rFonts w:ascii="Cambria Math" w:eastAsia="Times New Roman" w:hAnsi="Cambria Math" w:cs="Times New Roman"/>
                      <w:sz w:val="24"/>
                      <w:szCs w:val="24"/>
                    </w:rPr>
                    <m:t>μ</m:t>
                  </m:r>
                </m:e>
              </m:func>
            </m:oMath>
            <w:r w:rsidR="00506D3C" w:rsidRPr="00506D3C">
              <w:rPr>
                <w:bCs/>
                <w:iCs/>
                <w:sz w:val="24"/>
                <w:szCs w:val="24"/>
              </w:rPr>
              <w:t>,</w:t>
            </w:r>
          </w:p>
        </w:tc>
        <w:tc>
          <w:tcPr>
            <w:tcW w:w="715" w:type="dxa"/>
            <w:vAlign w:val="center"/>
          </w:tcPr>
          <w:p w14:paraId="50E5F16B" w14:textId="628AA064" w:rsidR="00506D3C" w:rsidRPr="00506D3C" w:rsidRDefault="00506D3C" w:rsidP="00B45862">
            <w:pPr>
              <w:ind w:firstLine="0"/>
              <w:jc w:val="center"/>
              <w:rPr>
                <w:iCs/>
                <w:sz w:val="24"/>
                <w:szCs w:val="24"/>
              </w:rPr>
            </w:pPr>
            <w:r w:rsidRPr="00506D3C">
              <w:rPr>
                <w:sz w:val="24"/>
                <w:szCs w:val="24"/>
              </w:rPr>
              <w:t>(2.8)</w:t>
            </w:r>
          </w:p>
        </w:tc>
      </w:tr>
    </w:tbl>
    <w:p w14:paraId="6235023F" w14:textId="009C890C" w:rsidR="00AD13C1" w:rsidRPr="00506D3C" w:rsidRDefault="00AD13C1" w:rsidP="00506D3C">
      <w:pPr>
        <w:ind w:firstLine="0"/>
        <w:rPr>
          <w:szCs w:val="24"/>
        </w:rPr>
      </w:pPr>
      <w:r w:rsidRPr="00506D3C">
        <w:rPr>
          <w:szCs w:val="24"/>
        </w:rPr>
        <w:t xml:space="preserve">where </w:t>
      </w:r>
      <m:oMath>
        <m:r>
          <w:rPr>
            <w:rFonts w:ascii="Cambria Math" w:hAnsi="Cambria Math"/>
            <w:szCs w:val="24"/>
          </w:rPr>
          <m:t>(u,v,w)</m:t>
        </m:r>
      </m:oMath>
      <w:r w:rsidRPr="00506D3C">
        <w:rPr>
          <w:szCs w:val="24"/>
        </w:rPr>
        <w:t xml:space="preserve"> are the wind components from the model forecast on staggered grids, </w:t>
      </w:r>
      <m:oMath>
        <m:r>
          <w:rPr>
            <w:rFonts w:ascii="Cambria Math" w:hAnsi="Cambria Math"/>
            <w:szCs w:val="24"/>
          </w:rPr>
          <m:t>μ</m:t>
        </m:r>
      </m:oMath>
      <w:r w:rsidRPr="00506D3C">
        <w:rPr>
          <w:bCs/>
          <w:iCs/>
          <w:szCs w:val="24"/>
        </w:rPr>
        <w:t xml:space="preserve"> is the elevation angle, and </w:t>
      </w:r>
      <m:oMath>
        <m:r>
          <w:rPr>
            <w:rFonts w:ascii="Cambria Math" w:hAnsi="Cambria Math"/>
            <w:szCs w:val="24"/>
          </w:rPr>
          <m:t>ϕ</m:t>
        </m:r>
      </m:oMath>
      <w:r w:rsidRPr="00506D3C">
        <w:rPr>
          <w:bCs/>
          <w:iCs/>
          <w:szCs w:val="24"/>
        </w:rPr>
        <w:t xml:space="preserve"> is the azimuthal angle of radar beam.</w:t>
      </w:r>
      <w:r w:rsidRPr="00506D3C">
        <w:rPr>
          <w:szCs w:val="24"/>
        </w:rPr>
        <w:t xml:space="preserve"> Because we omit precipitation terminal velocity from the observed radial velocity prior to the analysis, only the preconditioned control variables </w:t>
      </w:r>
      <m:oMath>
        <m:d>
          <m:dPr>
            <m:ctrlPr>
              <w:rPr>
                <w:rFonts w:ascii="Cambria Math" w:hAnsi="Cambria Math"/>
                <w:szCs w:val="24"/>
              </w:rPr>
            </m:ctrlPr>
          </m:dPr>
          <m:e>
            <m:r>
              <w:rPr>
                <w:rFonts w:ascii="Cambria Math" w:hAnsi="Cambria Math"/>
                <w:szCs w:val="24"/>
              </w:rPr>
              <m:t>u, v, w</m:t>
            </m:r>
          </m:e>
        </m:d>
      </m:oMath>
      <w:r w:rsidRPr="00506D3C">
        <w:rPr>
          <w:szCs w:val="24"/>
        </w:rPr>
        <w:t xml:space="preserve"> for wind are required to calculate model-derived radial velocity. For radar reflectivity, the forward operator is also same as that used in </w:t>
      </w:r>
      <w:r w:rsidRPr="00506D3C">
        <w:rPr>
          <w:szCs w:val="24"/>
        </w:rPr>
        <w:fldChar w:fldCharType="begin"/>
      </w:r>
      <w:r w:rsidR="006E4F25">
        <w:rPr>
          <w:szCs w:val="24"/>
        </w:rPr>
        <w:instrText xml:space="preserve"> ADDIN ZOTERO_ITEM CSL_CITATION {"citationID":"79yxYnWX","properties":{"formattedCitation":"(Gao and Stensrud 2012)","plainCitation":"(Gao and Stensrud 2012)","dontUpdate":true,"noteIndex":0},"citationItems":[{"id":461,"uris":["http://zotero.org/users/local/6VSApgKp/items/EIUDWW5C"],"itemData":{"id":461,"type":"article-journal","abstract":"Abstract The impact of assimilating radar reflectivity and radial velocity data with an intermittent, cycled three-dimensional variational assimilation (3DVAR) system is explored using an idealized thunderstorm case and a real data case on 8 May 2003. A new forward operator for radar reflectivity is developed that uses a background temperature field provided by a numerical weather prediction model for automatic hydrometeor classification. Three types of experiments are performed on both the idealized and real data cases. The first experiment uses radial velocity data only, the second experiment uses both radial velocity and reflectivity data without hydrometeor classification, and the final experiment uses both radial velocity and reflectivity data with hydrometeor classification. All experiments advance the analysis state to the next observation time using a numerical model prediction, which is then used as the background for the next analysis. Results from both the idealized and real data cases show that, assimilating only radial velocity data, the model can reconstruct the supercell thunderstorm after several cycles, but the development of precipitation is delayed because of the well-known spinup problem. The spinup problem is reduced dramatically when assimilating reflectivity without hydrometeor classification. The analyses are further improved using the new reflectivity formulation with hydrometeor classification. This study represents a successful first effort in variational convective-scale data assimilation to partition hydrometeors using a background temperature field from a numerical weather prediction model.","container-title":"Journal of the Atmospheric Sciences","DOI":"10.1175/JAS-D-11-0162.1","ISSN":"0022-4928, 1520-0469","issue":"3","language":"EN","note":"publisher: American Meteorological Society\nsection: Journal of the Atmospheric Sciences","page":"1054-1065","source":"journals.ametsoc.org","title":"Assimilation of Reflectivity Data in a Convective-Scale, Cycled 3DVAR Framework with Hydrometeor Classification","volume":"69","author":[{"family":"Gao","given":"Jidong"},{"family":"Stensrud","given":"David J."}],"issued":{"date-parts":[["2012",3,1]]},"citation-key":"gaoAssimilationReflectivityData2012"}}],"schema":"https://github.com/citation-style-language/schema/raw/master/csl-citation.json"} </w:instrText>
      </w:r>
      <w:r w:rsidRPr="00506D3C">
        <w:rPr>
          <w:szCs w:val="24"/>
        </w:rPr>
        <w:fldChar w:fldCharType="separate"/>
      </w:r>
      <w:r w:rsidRPr="00506D3C">
        <w:rPr>
          <w:noProof/>
          <w:szCs w:val="24"/>
        </w:rPr>
        <w:t>Gao and Stensrud (2012)</w:t>
      </w:r>
      <w:r w:rsidRPr="00506D3C">
        <w:rPr>
          <w:szCs w:val="24"/>
        </w:rPr>
        <w:fldChar w:fldCharType="end"/>
      </w:r>
      <w:r w:rsidRPr="00506D3C">
        <w:rPr>
          <w:szCs w:val="24"/>
        </w:rPr>
        <w:t>:</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64"/>
        <w:gridCol w:w="796"/>
      </w:tblGrid>
      <w:tr w:rsidR="00506D3C" w:rsidRPr="00506D3C" w14:paraId="75E8E3A9" w14:textId="77777777" w:rsidTr="006E4F25">
        <w:tc>
          <w:tcPr>
            <w:tcW w:w="8635" w:type="dxa"/>
            <w:vAlign w:val="center"/>
          </w:tcPr>
          <w:p w14:paraId="1ACE3124" w14:textId="6F798D69" w:rsidR="00506D3C" w:rsidRPr="00506D3C" w:rsidRDefault="007B297F" w:rsidP="00B45862">
            <w:pPr>
              <w:ind w:firstLine="0"/>
              <w:jc w:val="center"/>
              <w:rPr>
                <w:iCs/>
                <w:sz w:val="24"/>
                <w:szCs w:val="24"/>
              </w:rPr>
            </w:pPr>
            <m:oMath>
              <m:sSub>
                <m:sSubPr>
                  <m:ctrlPr>
                    <w:rPr>
                      <w:rFonts w:ascii="Cambria Math" w:eastAsia="Times New Roman" w:hAnsi="Cambria Math" w:cs="Times New Roman"/>
                      <w:bCs/>
                      <w:i/>
                      <w:iCs/>
                      <w:sz w:val="24"/>
                      <w:szCs w:val="24"/>
                    </w:rPr>
                  </m:ctrlPr>
                </m:sSubPr>
                <m:e>
                  <m:r>
                    <w:rPr>
                      <w:rFonts w:ascii="Cambria Math" w:eastAsia="Times New Roman" w:hAnsi="Cambria Math" w:cs="Times New Roman"/>
                      <w:sz w:val="24"/>
                      <w:szCs w:val="24"/>
                    </w:rPr>
                    <m:t>Z</m:t>
                  </m:r>
                </m:e>
                <m:sub>
                  <m:r>
                    <w:rPr>
                      <w:rFonts w:ascii="Cambria Math" w:eastAsia="Times New Roman" w:hAnsi="Cambria Math" w:cs="Times New Roman"/>
                      <w:sz w:val="24"/>
                      <w:szCs w:val="24"/>
                    </w:rPr>
                    <m:t>e</m:t>
                  </m:r>
                </m:sub>
              </m:sSub>
              <m:r>
                <w:rPr>
                  <w:rFonts w:ascii="Cambria Math" w:eastAsia="Times New Roman" w:hAnsi="Cambria Math" w:cs="Times New Roman"/>
                  <w:sz w:val="24"/>
                  <w:szCs w:val="24"/>
                </w:rPr>
                <m:t>=f</m:t>
              </m:r>
              <m:d>
                <m:dPr>
                  <m:ctrlPr>
                    <w:rPr>
                      <w:rFonts w:ascii="Cambria Math" w:eastAsia="Times New Roman" w:hAnsi="Cambria Math" w:cs="Times New Roman"/>
                      <w:bCs/>
                      <w:i/>
                      <w:iCs/>
                      <w:sz w:val="24"/>
                      <w:szCs w:val="24"/>
                    </w:rPr>
                  </m:ctrlPr>
                </m:dPr>
                <m:e>
                  <m:r>
                    <w:rPr>
                      <w:rFonts w:ascii="Cambria Math" w:eastAsia="Times New Roman" w:hAnsi="Cambria Math" w:cs="Times New Roman"/>
                      <w:sz w:val="24"/>
                      <w:szCs w:val="24"/>
                    </w:rPr>
                    <m:t>x</m:t>
                  </m:r>
                </m:e>
              </m:d>
              <m:r>
                <w:rPr>
                  <w:rFonts w:ascii="Cambria Math" w:eastAsia="Times New Roman" w:hAnsi="Cambria Math" w:cs="Times New Roman"/>
                  <w:sz w:val="24"/>
                  <w:szCs w:val="24"/>
                </w:rPr>
                <m:t>=</m:t>
              </m:r>
              <m:d>
                <m:dPr>
                  <m:begChr m:val="{"/>
                  <m:endChr m:val=""/>
                  <m:ctrlPr>
                    <w:rPr>
                      <w:rFonts w:ascii="Cambria Math" w:eastAsia="Times New Roman" w:hAnsi="Cambria Math" w:cs="Times New Roman"/>
                      <w:bCs/>
                      <w:i/>
                      <w:iCs/>
                      <w:sz w:val="24"/>
                      <w:szCs w:val="24"/>
                    </w:rPr>
                  </m:ctrlPr>
                </m:dPr>
                <m:e>
                  <m:eqArr>
                    <m:eqArrPr>
                      <m:ctrlPr>
                        <w:rPr>
                          <w:rFonts w:ascii="Cambria Math" w:eastAsia="Times New Roman" w:hAnsi="Cambria Math" w:cs="Times New Roman"/>
                          <w:bCs/>
                          <w:i/>
                          <w:iCs/>
                          <w:sz w:val="24"/>
                          <w:szCs w:val="24"/>
                        </w:rPr>
                      </m:ctrlPr>
                    </m:eqArrPr>
                    <m:e>
                      <m:r>
                        <w:rPr>
                          <w:rFonts w:ascii="Cambria Math" w:eastAsia="Times New Roman" w:hAnsi="Cambria Math" w:cs="Times New Roman"/>
                          <w:sz w:val="24"/>
                          <w:szCs w:val="24"/>
                        </w:rPr>
                        <m:t>Z(</m:t>
                      </m:r>
                      <m:sSub>
                        <m:sSubPr>
                          <m:ctrlPr>
                            <w:rPr>
                              <w:rFonts w:ascii="Cambria Math" w:eastAsia="Times New Roman" w:hAnsi="Cambria Math" w:cs="Times New Roman"/>
                              <w:bCs/>
                              <w:i/>
                              <w:iCs/>
                              <w:sz w:val="24"/>
                              <w:szCs w:val="24"/>
                            </w:rPr>
                          </m:ctrlPr>
                        </m:sSubPr>
                        <m:e>
                          <m:r>
                            <w:rPr>
                              <w:rFonts w:ascii="Cambria Math" w:eastAsia="Times New Roman" w:hAnsi="Cambria Math" w:cs="Times New Roman"/>
                              <w:sz w:val="24"/>
                              <w:szCs w:val="24"/>
                            </w:rPr>
                            <m:t>q</m:t>
                          </m:r>
                        </m:e>
                        <m:sub>
                          <m:r>
                            <w:rPr>
                              <w:rFonts w:ascii="Cambria Math" w:eastAsia="Times New Roman" w:hAnsi="Cambria Math" w:cs="Times New Roman"/>
                              <w:sz w:val="24"/>
                              <w:szCs w:val="24"/>
                            </w:rPr>
                            <m:t>r</m:t>
                          </m:r>
                        </m:sub>
                      </m:sSub>
                      <m:r>
                        <w:rPr>
                          <w:rFonts w:ascii="Cambria Math" w:eastAsia="Times New Roman" w:hAnsi="Cambria Math" w:cs="Times New Roman"/>
                          <w:sz w:val="24"/>
                          <w:szCs w:val="24"/>
                        </w:rPr>
                        <m:t>),  &amp;</m:t>
                      </m:r>
                      <m:sSub>
                        <m:sSubPr>
                          <m:ctrlPr>
                            <w:rPr>
                              <w:rFonts w:ascii="Cambria Math" w:eastAsia="Times New Roman" w:hAnsi="Cambria Math" w:cs="Times New Roman"/>
                              <w:bCs/>
                              <w:i/>
                              <w:iCs/>
                              <w:sz w:val="24"/>
                              <w:szCs w:val="24"/>
                            </w:rPr>
                          </m:ctrlPr>
                        </m:sSubPr>
                        <m:e>
                          <m:r>
                            <w:rPr>
                              <w:rFonts w:ascii="Cambria Math" w:eastAsia="Times New Roman" w:hAnsi="Cambria Math" w:cs="Times New Roman"/>
                              <w:sz w:val="24"/>
                              <w:szCs w:val="24"/>
                            </w:rPr>
                            <m:t>T</m:t>
                          </m:r>
                        </m:e>
                        <m:sub>
                          <m:r>
                            <w:rPr>
                              <w:rFonts w:ascii="Cambria Math" w:eastAsia="Times New Roman" w:hAnsi="Cambria Math" w:cs="Times New Roman"/>
                              <w:sz w:val="24"/>
                              <w:szCs w:val="24"/>
                            </w:rPr>
                            <m:t>b</m:t>
                          </m:r>
                        </m:sub>
                      </m:sSub>
                      <m:r>
                        <w:rPr>
                          <w:rFonts w:ascii="Cambria Math" w:eastAsia="Times New Roman" w:hAnsi="Cambria Math" w:cs="Times New Roman"/>
                          <w:sz w:val="24"/>
                          <w:szCs w:val="24"/>
                        </w:rPr>
                        <m:t>&gt;5℃</m:t>
                      </m:r>
                    </m:e>
                    <m:e>
                      <m:r>
                        <w:rPr>
                          <w:rFonts w:ascii="Cambria Math" w:eastAsia="Times New Roman" w:hAnsi="Cambria Math" w:cs="Times New Roman"/>
                          <w:sz w:val="24"/>
                          <w:szCs w:val="24"/>
                        </w:rPr>
                        <m:t>Z(</m:t>
                      </m:r>
                      <m:sSub>
                        <m:sSubPr>
                          <m:ctrlPr>
                            <w:rPr>
                              <w:rFonts w:ascii="Cambria Math" w:eastAsia="Times New Roman" w:hAnsi="Cambria Math" w:cs="Times New Roman"/>
                              <w:bCs/>
                              <w:i/>
                              <w:iCs/>
                              <w:sz w:val="24"/>
                              <w:szCs w:val="24"/>
                            </w:rPr>
                          </m:ctrlPr>
                        </m:sSubPr>
                        <m:e>
                          <m:r>
                            <w:rPr>
                              <w:rFonts w:ascii="Cambria Math" w:eastAsia="Times New Roman" w:hAnsi="Cambria Math" w:cs="Times New Roman"/>
                              <w:sz w:val="24"/>
                              <w:szCs w:val="24"/>
                            </w:rPr>
                            <m:t>q</m:t>
                          </m:r>
                        </m:e>
                        <m:sub>
                          <m:r>
                            <w:rPr>
                              <w:rFonts w:ascii="Cambria Math" w:eastAsia="Times New Roman" w:hAnsi="Cambria Math" w:cs="Times New Roman"/>
                              <w:sz w:val="24"/>
                              <w:szCs w:val="24"/>
                            </w:rPr>
                            <m:t>s</m:t>
                          </m:r>
                        </m:sub>
                      </m:sSub>
                      <m:r>
                        <w:rPr>
                          <w:rFonts w:ascii="Cambria Math" w:eastAsia="Times New Roman" w:hAnsi="Cambria Math" w:cs="Times New Roman"/>
                          <w:sz w:val="24"/>
                          <w:szCs w:val="24"/>
                        </w:rPr>
                        <m:t>)+Z(</m:t>
                      </m:r>
                      <m:sSub>
                        <m:sSubPr>
                          <m:ctrlPr>
                            <w:rPr>
                              <w:rFonts w:ascii="Cambria Math" w:eastAsia="Times New Roman" w:hAnsi="Cambria Math" w:cs="Times New Roman"/>
                              <w:bCs/>
                              <w:i/>
                              <w:iCs/>
                              <w:sz w:val="24"/>
                              <w:szCs w:val="24"/>
                            </w:rPr>
                          </m:ctrlPr>
                        </m:sSubPr>
                        <m:e>
                          <m:r>
                            <w:rPr>
                              <w:rFonts w:ascii="Cambria Math" w:eastAsia="Times New Roman" w:hAnsi="Cambria Math" w:cs="Times New Roman"/>
                              <w:sz w:val="24"/>
                              <w:szCs w:val="24"/>
                            </w:rPr>
                            <m:t>q</m:t>
                          </m:r>
                        </m:e>
                        <m:sub>
                          <m:r>
                            <w:rPr>
                              <w:rFonts w:ascii="Cambria Math" w:eastAsia="Times New Roman" w:hAnsi="Cambria Math" w:cs="Times New Roman"/>
                              <w:sz w:val="24"/>
                              <w:szCs w:val="24"/>
                            </w:rPr>
                            <m:t>g</m:t>
                          </m:r>
                        </m:sub>
                      </m:sSub>
                      <m:r>
                        <w:rPr>
                          <w:rFonts w:ascii="Cambria Math" w:eastAsia="Times New Roman" w:hAnsi="Cambria Math" w:cs="Times New Roman"/>
                          <w:sz w:val="24"/>
                          <w:szCs w:val="24"/>
                        </w:rPr>
                        <m:t>)+Z(</m:t>
                      </m:r>
                      <m:sSub>
                        <m:sSubPr>
                          <m:ctrlPr>
                            <w:rPr>
                              <w:rFonts w:ascii="Cambria Math" w:eastAsia="Times New Roman" w:hAnsi="Cambria Math" w:cs="Times New Roman"/>
                              <w:bCs/>
                              <w:i/>
                              <w:iCs/>
                              <w:sz w:val="24"/>
                              <w:szCs w:val="24"/>
                            </w:rPr>
                          </m:ctrlPr>
                        </m:sSubPr>
                        <m:e>
                          <m:r>
                            <w:rPr>
                              <w:rFonts w:ascii="Cambria Math" w:eastAsia="Times New Roman" w:hAnsi="Cambria Math" w:cs="Times New Roman"/>
                              <w:sz w:val="24"/>
                              <w:szCs w:val="24"/>
                            </w:rPr>
                            <m:t>q</m:t>
                          </m:r>
                        </m:e>
                        <m:sub>
                          <m:r>
                            <w:rPr>
                              <w:rFonts w:ascii="Cambria Math" w:eastAsia="Times New Roman" w:hAnsi="Cambria Math" w:cs="Times New Roman"/>
                              <w:sz w:val="24"/>
                              <w:szCs w:val="24"/>
                            </w:rPr>
                            <m:t>h</m:t>
                          </m:r>
                        </m:sub>
                      </m:sSub>
                      <m:r>
                        <w:rPr>
                          <w:rFonts w:ascii="Cambria Math" w:eastAsia="Times New Roman" w:hAnsi="Cambria Math" w:cs="Times New Roman"/>
                          <w:sz w:val="24"/>
                          <w:szCs w:val="24"/>
                        </w:rPr>
                        <m:t>),  &amp;</m:t>
                      </m:r>
                      <m:sSub>
                        <m:sSubPr>
                          <m:ctrlPr>
                            <w:rPr>
                              <w:rFonts w:ascii="Cambria Math" w:eastAsia="Times New Roman" w:hAnsi="Cambria Math" w:cs="Times New Roman"/>
                              <w:bCs/>
                              <w:i/>
                              <w:iCs/>
                              <w:sz w:val="24"/>
                              <w:szCs w:val="24"/>
                            </w:rPr>
                          </m:ctrlPr>
                        </m:sSubPr>
                        <m:e>
                          <m:r>
                            <w:rPr>
                              <w:rFonts w:ascii="Cambria Math" w:eastAsia="Times New Roman" w:hAnsi="Cambria Math" w:cs="Times New Roman"/>
                              <w:sz w:val="24"/>
                              <w:szCs w:val="24"/>
                            </w:rPr>
                            <m:t>T</m:t>
                          </m:r>
                        </m:e>
                        <m:sub>
                          <m:r>
                            <w:rPr>
                              <w:rFonts w:ascii="Cambria Math" w:eastAsia="Times New Roman" w:hAnsi="Cambria Math" w:cs="Times New Roman"/>
                              <w:sz w:val="24"/>
                              <w:szCs w:val="24"/>
                            </w:rPr>
                            <m:t>b</m:t>
                          </m:r>
                        </m:sub>
                      </m:sSub>
                      <m:r>
                        <w:rPr>
                          <w:rFonts w:ascii="Cambria Math" w:eastAsia="Times New Roman" w:hAnsi="Cambria Math" w:cs="Times New Roman"/>
                          <w:sz w:val="24"/>
                          <w:szCs w:val="24"/>
                        </w:rPr>
                        <m:t>&lt;-5℃</m:t>
                      </m:r>
                      <m:ctrlPr>
                        <w:rPr>
                          <w:rFonts w:ascii="Cambria Math" w:eastAsia="Cambria Math" w:hAnsi="Cambria Math" w:cs="Cambria Math"/>
                          <w:bCs/>
                          <w:i/>
                          <w:iCs/>
                          <w:sz w:val="24"/>
                          <w:szCs w:val="24"/>
                        </w:rPr>
                      </m:ctrlPr>
                    </m:e>
                    <m:e>
                      <m:r>
                        <w:rPr>
                          <w:rFonts w:ascii="Cambria Math" w:eastAsia="Cambria Math" w:hAnsi="Cambria Math" w:cs="Cambria Math"/>
                          <w:sz w:val="24"/>
                          <w:szCs w:val="24"/>
                        </w:rPr>
                        <m:t>α</m:t>
                      </m:r>
                      <m:r>
                        <w:rPr>
                          <w:rFonts w:ascii="Cambria Math" w:eastAsia="Times New Roman" w:hAnsi="Cambria Math" w:cs="Times New Roman"/>
                          <w:sz w:val="24"/>
                          <w:szCs w:val="24"/>
                        </w:rPr>
                        <m:t>Z(</m:t>
                      </m:r>
                      <m:sSub>
                        <m:sSubPr>
                          <m:ctrlPr>
                            <w:rPr>
                              <w:rFonts w:ascii="Cambria Math" w:eastAsia="Times New Roman" w:hAnsi="Cambria Math" w:cs="Times New Roman"/>
                              <w:bCs/>
                              <w:i/>
                              <w:iCs/>
                              <w:sz w:val="24"/>
                              <w:szCs w:val="24"/>
                            </w:rPr>
                          </m:ctrlPr>
                        </m:sSubPr>
                        <m:e>
                          <m:r>
                            <w:rPr>
                              <w:rFonts w:ascii="Cambria Math" w:eastAsia="Times New Roman" w:hAnsi="Cambria Math" w:cs="Times New Roman"/>
                              <w:sz w:val="24"/>
                              <w:szCs w:val="24"/>
                            </w:rPr>
                            <m:t>q</m:t>
                          </m:r>
                        </m:e>
                        <m:sub>
                          <m:r>
                            <w:rPr>
                              <w:rFonts w:ascii="Cambria Math" w:eastAsia="Times New Roman" w:hAnsi="Cambria Math" w:cs="Times New Roman"/>
                              <w:sz w:val="24"/>
                              <w:szCs w:val="24"/>
                            </w:rPr>
                            <m:t>r</m:t>
                          </m:r>
                        </m:sub>
                      </m:sSub>
                      <m:r>
                        <w:rPr>
                          <w:rFonts w:ascii="Cambria Math" w:eastAsia="Times New Roman" w:hAnsi="Cambria Math" w:cs="Times New Roman"/>
                          <w:sz w:val="24"/>
                          <w:szCs w:val="24"/>
                        </w:rPr>
                        <m:t>)+(1-α)[Z(</m:t>
                      </m:r>
                      <m:sSub>
                        <m:sSubPr>
                          <m:ctrlPr>
                            <w:rPr>
                              <w:rFonts w:ascii="Cambria Math" w:eastAsia="Times New Roman" w:hAnsi="Cambria Math" w:cs="Times New Roman"/>
                              <w:bCs/>
                              <w:i/>
                              <w:iCs/>
                              <w:sz w:val="24"/>
                              <w:szCs w:val="24"/>
                            </w:rPr>
                          </m:ctrlPr>
                        </m:sSubPr>
                        <m:e>
                          <m:r>
                            <w:rPr>
                              <w:rFonts w:ascii="Cambria Math" w:eastAsia="Times New Roman" w:hAnsi="Cambria Math" w:cs="Times New Roman"/>
                              <w:sz w:val="24"/>
                              <w:szCs w:val="24"/>
                            </w:rPr>
                            <m:t>q</m:t>
                          </m:r>
                        </m:e>
                        <m:sub>
                          <m:r>
                            <w:rPr>
                              <w:rFonts w:ascii="Cambria Math" w:eastAsia="Times New Roman" w:hAnsi="Cambria Math" w:cs="Times New Roman"/>
                              <w:sz w:val="24"/>
                              <w:szCs w:val="24"/>
                            </w:rPr>
                            <m:t>s</m:t>
                          </m:r>
                        </m:sub>
                      </m:sSub>
                      <m:r>
                        <w:rPr>
                          <w:rFonts w:ascii="Cambria Math" w:eastAsia="Times New Roman" w:hAnsi="Cambria Math" w:cs="Times New Roman"/>
                          <w:sz w:val="24"/>
                          <w:szCs w:val="24"/>
                        </w:rPr>
                        <m:t>)+Z(</m:t>
                      </m:r>
                      <m:sSub>
                        <m:sSubPr>
                          <m:ctrlPr>
                            <w:rPr>
                              <w:rFonts w:ascii="Cambria Math" w:eastAsia="Times New Roman" w:hAnsi="Cambria Math" w:cs="Times New Roman"/>
                              <w:bCs/>
                              <w:i/>
                              <w:iCs/>
                              <w:sz w:val="24"/>
                              <w:szCs w:val="24"/>
                            </w:rPr>
                          </m:ctrlPr>
                        </m:sSubPr>
                        <m:e>
                          <m:r>
                            <w:rPr>
                              <w:rFonts w:ascii="Cambria Math" w:eastAsia="Times New Roman" w:hAnsi="Cambria Math" w:cs="Times New Roman"/>
                              <w:sz w:val="24"/>
                              <w:szCs w:val="24"/>
                            </w:rPr>
                            <m:t>q</m:t>
                          </m:r>
                        </m:e>
                        <m:sub>
                          <m:r>
                            <w:rPr>
                              <w:rFonts w:ascii="Cambria Math" w:eastAsia="Times New Roman" w:hAnsi="Cambria Math" w:cs="Times New Roman"/>
                              <w:sz w:val="24"/>
                              <w:szCs w:val="24"/>
                            </w:rPr>
                            <m:t>g</m:t>
                          </m:r>
                        </m:sub>
                      </m:sSub>
                      <m:r>
                        <w:rPr>
                          <w:rFonts w:ascii="Cambria Math" w:eastAsia="Times New Roman" w:hAnsi="Cambria Math" w:cs="Times New Roman"/>
                          <w:sz w:val="24"/>
                          <w:szCs w:val="24"/>
                        </w:rPr>
                        <m:t>)+Z(</m:t>
                      </m:r>
                      <m:sSub>
                        <m:sSubPr>
                          <m:ctrlPr>
                            <w:rPr>
                              <w:rFonts w:ascii="Cambria Math" w:eastAsia="Times New Roman" w:hAnsi="Cambria Math" w:cs="Times New Roman"/>
                              <w:bCs/>
                              <w:i/>
                              <w:iCs/>
                              <w:sz w:val="24"/>
                              <w:szCs w:val="24"/>
                            </w:rPr>
                          </m:ctrlPr>
                        </m:sSubPr>
                        <m:e>
                          <m:r>
                            <w:rPr>
                              <w:rFonts w:ascii="Cambria Math" w:eastAsia="Times New Roman" w:hAnsi="Cambria Math" w:cs="Times New Roman"/>
                              <w:sz w:val="24"/>
                              <w:szCs w:val="24"/>
                            </w:rPr>
                            <m:t>q</m:t>
                          </m:r>
                        </m:e>
                        <m:sub>
                          <m:r>
                            <w:rPr>
                              <w:rFonts w:ascii="Cambria Math" w:eastAsia="Times New Roman" w:hAnsi="Cambria Math" w:cs="Times New Roman"/>
                              <w:sz w:val="24"/>
                              <w:szCs w:val="24"/>
                            </w:rPr>
                            <m:t>h</m:t>
                          </m:r>
                        </m:sub>
                      </m:sSub>
                      <m:r>
                        <w:rPr>
                          <w:rFonts w:ascii="Cambria Math" w:eastAsia="Times New Roman" w:hAnsi="Cambria Math" w:cs="Times New Roman"/>
                          <w:sz w:val="24"/>
                          <w:szCs w:val="24"/>
                        </w:rPr>
                        <m:t>)],  &amp;</m:t>
                      </m:r>
                      <m:sSub>
                        <m:sSubPr>
                          <m:ctrlPr>
                            <w:rPr>
                              <w:rFonts w:ascii="Cambria Math" w:eastAsia="Times New Roman" w:hAnsi="Cambria Math" w:cs="Times New Roman"/>
                              <w:bCs/>
                              <w:i/>
                              <w:iCs/>
                              <w:sz w:val="24"/>
                              <w:szCs w:val="24"/>
                            </w:rPr>
                          </m:ctrlPr>
                        </m:sSubPr>
                        <m:e>
                          <m:r>
                            <w:rPr>
                              <w:rFonts w:ascii="Cambria Math" w:eastAsia="Times New Roman" w:hAnsi="Cambria Math" w:cs="Times New Roman"/>
                              <w:sz w:val="24"/>
                              <w:szCs w:val="24"/>
                            </w:rPr>
                            <m:t>-5℃&lt;T</m:t>
                          </m:r>
                        </m:e>
                        <m:sub>
                          <m:r>
                            <w:rPr>
                              <w:rFonts w:ascii="Cambria Math" w:eastAsia="Times New Roman" w:hAnsi="Cambria Math" w:cs="Times New Roman"/>
                              <w:sz w:val="24"/>
                              <w:szCs w:val="24"/>
                            </w:rPr>
                            <m:t>b</m:t>
                          </m:r>
                        </m:sub>
                      </m:sSub>
                      <m:r>
                        <w:rPr>
                          <w:rFonts w:ascii="Cambria Math" w:eastAsia="Times New Roman" w:hAnsi="Cambria Math" w:cs="Times New Roman"/>
                          <w:sz w:val="24"/>
                          <w:szCs w:val="24"/>
                        </w:rPr>
                        <m:t>&lt;5℃</m:t>
                      </m:r>
                    </m:e>
                  </m:eqArr>
                </m:e>
              </m:d>
            </m:oMath>
            <w:r w:rsidR="00506D3C" w:rsidRPr="00506D3C">
              <w:rPr>
                <w:bCs/>
                <w:iCs/>
                <w:sz w:val="24"/>
                <w:szCs w:val="24"/>
              </w:rPr>
              <w:t>,</w:t>
            </w:r>
          </w:p>
        </w:tc>
        <w:tc>
          <w:tcPr>
            <w:tcW w:w="715" w:type="dxa"/>
            <w:vAlign w:val="center"/>
          </w:tcPr>
          <w:p w14:paraId="733FE95F" w14:textId="75EF0B35" w:rsidR="00506D3C" w:rsidRPr="00506D3C" w:rsidRDefault="00506D3C" w:rsidP="00B45862">
            <w:pPr>
              <w:ind w:firstLine="0"/>
              <w:jc w:val="center"/>
              <w:rPr>
                <w:iCs/>
                <w:sz w:val="24"/>
                <w:szCs w:val="24"/>
              </w:rPr>
            </w:pPr>
            <w:r w:rsidRPr="00506D3C">
              <w:rPr>
                <w:rFonts w:eastAsia="Times New Roman" w:cs="Times New Roman"/>
                <w:sz w:val="24"/>
                <w:szCs w:val="24"/>
              </w:rPr>
              <w:t>(2.9)</w:t>
            </w:r>
          </w:p>
        </w:tc>
      </w:tr>
      <w:tr w:rsidR="00C37BF8" w:rsidRPr="00506D3C" w14:paraId="51557E53" w14:textId="77777777" w:rsidTr="006E4F25">
        <w:tc>
          <w:tcPr>
            <w:tcW w:w="8635" w:type="dxa"/>
            <w:vAlign w:val="center"/>
          </w:tcPr>
          <w:p w14:paraId="75379242" w14:textId="28339D8E" w:rsidR="00C37BF8" w:rsidRPr="00506D3C" w:rsidRDefault="007B297F" w:rsidP="00B45862">
            <w:pPr>
              <w:ind w:firstLine="0"/>
              <w:jc w:val="center"/>
              <w:rPr>
                <w:rFonts w:eastAsia="等线" w:cs="Times New Roman"/>
                <w:bCs/>
                <w:iCs/>
                <w:szCs w:val="24"/>
              </w:rPr>
            </w:pPr>
            <m:oMath>
              <m:sSub>
                <m:sSubPr>
                  <m:ctrlPr>
                    <w:rPr>
                      <w:rFonts w:ascii="Cambria Math" w:eastAsia="Times New Roman" w:hAnsi="Cambria Math" w:cs="Times New Roman"/>
                      <w:bCs/>
                      <w:i/>
                      <w:iCs/>
                      <w:sz w:val="24"/>
                      <w:szCs w:val="24"/>
                    </w:rPr>
                  </m:ctrlPr>
                </m:sSubPr>
                <m:e>
                  <m:r>
                    <w:rPr>
                      <w:rFonts w:ascii="Cambria Math" w:eastAsia="Times New Roman" w:hAnsi="Cambria Math" w:cs="Times New Roman"/>
                      <w:sz w:val="24"/>
                      <w:szCs w:val="24"/>
                    </w:rPr>
                    <m:t>Z</m:t>
                  </m:r>
                </m:e>
                <m:sub>
                  <m:r>
                    <w:rPr>
                      <w:rFonts w:ascii="Cambria Math" w:eastAsia="Times New Roman" w:hAnsi="Cambria Math" w:cs="Times New Roman"/>
                      <w:sz w:val="24"/>
                      <w:szCs w:val="24"/>
                    </w:rPr>
                    <m:t>dB</m:t>
                  </m:r>
                </m:sub>
              </m:sSub>
              <m:r>
                <w:rPr>
                  <w:rFonts w:ascii="Cambria Math" w:eastAsia="Times New Roman" w:hAnsi="Cambria Math" w:cs="Times New Roman"/>
                  <w:sz w:val="24"/>
                  <w:szCs w:val="24"/>
                </w:rPr>
                <m:t>=10</m:t>
              </m:r>
              <m:func>
                <m:funcPr>
                  <m:ctrlPr>
                    <w:rPr>
                      <w:rFonts w:ascii="Cambria Math" w:eastAsia="Times New Roman" w:hAnsi="Cambria Math" w:cs="Times New Roman"/>
                      <w:bCs/>
                      <w:i/>
                      <w:iCs/>
                      <w:sz w:val="24"/>
                      <w:szCs w:val="24"/>
                    </w:rPr>
                  </m:ctrlPr>
                </m:funcPr>
                <m:fName>
                  <m:sSub>
                    <m:sSubPr>
                      <m:ctrlPr>
                        <w:rPr>
                          <w:rFonts w:ascii="Cambria Math" w:eastAsia="Times New Roman" w:hAnsi="Cambria Math" w:cs="Times New Roman"/>
                          <w:bCs/>
                          <w:i/>
                          <w:iCs/>
                          <w:sz w:val="24"/>
                          <w:szCs w:val="24"/>
                        </w:rPr>
                      </m:ctrlPr>
                    </m:sSubPr>
                    <m:e>
                      <m:r>
                        <m:rPr>
                          <m:sty m:val="p"/>
                        </m:rPr>
                        <w:rPr>
                          <w:rFonts w:ascii="Cambria Math" w:eastAsia="Times New Roman" w:hAnsi="Cambria Math" w:cs="Times New Roman"/>
                          <w:sz w:val="24"/>
                          <w:szCs w:val="24"/>
                        </w:rPr>
                        <m:t>log</m:t>
                      </m:r>
                    </m:e>
                    <m:sub>
                      <m:r>
                        <w:rPr>
                          <w:rFonts w:ascii="Cambria Math" w:eastAsia="Times New Roman" w:hAnsi="Cambria Math" w:cs="Times New Roman"/>
                          <w:sz w:val="24"/>
                          <w:szCs w:val="24"/>
                        </w:rPr>
                        <m:t>10</m:t>
                      </m:r>
                    </m:sub>
                  </m:sSub>
                </m:fName>
                <m:e>
                  <m:sSub>
                    <m:sSubPr>
                      <m:ctrlPr>
                        <w:rPr>
                          <w:rFonts w:ascii="Cambria Math" w:eastAsia="Times New Roman" w:hAnsi="Cambria Math" w:cs="Times New Roman"/>
                          <w:bCs/>
                          <w:i/>
                          <w:iCs/>
                          <w:sz w:val="24"/>
                          <w:szCs w:val="24"/>
                        </w:rPr>
                      </m:ctrlPr>
                    </m:sSubPr>
                    <m:e>
                      <m:r>
                        <w:rPr>
                          <w:rFonts w:ascii="Cambria Math" w:eastAsia="Times New Roman" w:hAnsi="Cambria Math" w:cs="Times New Roman"/>
                          <w:sz w:val="24"/>
                          <w:szCs w:val="24"/>
                        </w:rPr>
                        <m:t>Z</m:t>
                      </m:r>
                    </m:e>
                    <m:sub>
                      <m:r>
                        <w:rPr>
                          <w:rFonts w:ascii="Cambria Math" w:eastAsia="Times New Roman" w:hAnsi="Cambria Math" w:cs="Times New Roman"/>
                          <w:sz w:val="24"/>
                          <w:szCs w:val="24"/>
                        </w:rPr>
                        <m:t>e</m:t>
                      </m:r>
                    </m:sub>
                  </m:sSub>
                </m:e>
              </m:func>
            </m:oMath>
            <w:r w:rsidR="00C37BF8">
              <w:rPr>
                <w:rFonts w:eastAsia="等线" w:cs="Times New Roman"/>
                <w:bCs/>
                <w:iCs/>
                <w:sz w:val="24"/>
                <w:szCs w:val="24"/>
              </w:rPr>
              <w:t>,</w:t>
            </w:r>
          </w:p>
        </w:tc>
        <w:tc>
          <w:tcPr>
            <w:tcW w:w="715" w:type="dxa"/>
            <w:vAlign w:val="center"/>
          </w:tcPr>
          <w:p w14:paraId="6FF2D154" w14:textId="1C45E131" w:rsidR="00C37BF8" w:rsidRPr="00506D3C" w:rsidRDefault="00C37BF8" w:rsidP="00B45862">
            <w:pPr>
              <w:ind w:firstLine="0"/>
              <w:jc w:val="center"/>
              <w:rPr>
                <w:rFonts w:eastAsia="Times New Roman" w:cs="Times New Roman"/>
                <w:szCs w:val="24"/>
              </w:rPr>
            </w:pPr>
            <w:r w:rsidRPr="00506D3C">
              <w:rPr>
                <w:rFonts w:eastAsia="Times New Roman" w:cs="Times New Roman"/>
                <w:sz w:val="24"/>
                <w:szCs w:val="24"/>
              </w:rPr>
              <w:t>(2.10)</w:t>
            </w:r>
          </w:p>
        </w:tc>
      </w:tr>
    </w:tbl>
    <w:p w14:paraId="11E48B86" w14:textId="595965E2" w:rsidR="00AD13C1" w:rsidRPr="00506D3C" w:rsidRDefault="00AD13C1" w:rsidP="00C37BF8">
      <w:pPr>
        <w:ind w:firstLine="0"/>
        <w:rPr>
          <w:rFonts w:eastAsia="Times New Roman" w:cs="Times New Roman"/>
          <w:szCs w:val="24"/>
        </w:rPr>
      </w:pPr>
      <w:r w:rsidRPr="00506D3C">
        <w:rPr>
          <w:rFonts w:eastAsia="Times New Roman" w:cs="Times New Roman"/>
          <w:szCs w:val="24"/>
        </w:rPr>
        <w:t xml:space="preserve">where </w:t>
      </w:r>
      <m:oMath>
        <m:r>
          <w:rPr>
            <w:rFonts w:ascii="Cambria Math" w:eastAsia="Cambria Math" w:hAnsi="Cambria Math" w:cs="Cambria Math"/>
            <w:szCs w:val="24"/>
          </w:rPr>
          <m:t>α</m:t>
        </m:r>
      </m:oMath>
      <w:r w:rsidRPr="00506D3C">
        <w:rPr>
          <w:rFonts w:eastAsia="Times New Roman" w:cs="Times New Roman"/>
          <w:szCs w:val="24"/>
        </w:rPr>
        <w:t xml:space="preserve"> varies linearly between 0 when temperature in background </w:t>
      </w:r>
      <m:oMath>
        <m:sSub>
          <m:sSubPr>
            <m:ctrlPr>
              <w:rPr>
                <w:rFonts w:ascii="Cambria Math" w:eastAsia="Times New Roman" w:hAnsi="Cambria Math" w:cs="Times New Roman"/>
                <w:bCs/>
                <w:i/>
                <w:iCs/>
                <w:szCs w:val="24"/>
              </w:rPr>
            </m:ctrlPr>
          </m:sSubPr>
          <m:e>
            <m:r>
              <w:rPr>
                <w:rFonts w:ascii="Cambria Math" w:eastAsia="Times New Roman" w:hAnsi="Cambria Math" w:cs="Times New Roman"/>
                <w:szCs w:val="24"/>
              </w:rPr>
              <m:t>T</m:t>
            </m:r>
          </m:e>
          <m:sub>
            <m:r>
              <w:rPr>
                <w:rFonts w:ascii="Cambria Math" w:eastAsia="Times New Roman" w:hAnsi="Cambria Math" w:cs="Times New Roman"/>
                <w:szCs w:val="24"/>
              </w:rPr>
              <m:t>b</m:t>
            </m:r>
          </m:sub>
        </m:sSub>
        <m:r>
          <w:rPr>
            <w:rFonts w:ascii="Cambria Math" w:eastAsia="Times New Roman" w:hAnsi="Cambria Math" w:cs="Times New Roman"/>
            <w:szCs w:val="24"/>
          </w:rPr>
          <m:t>=-5℃</m:t>
        </m:r>
      </m:oMath>
      <w:r w:rsidRPr="00506D3C">
        <w:rPr>
          <w:rFonts w:eastAsia="Times New Roman" w:cs="Times New Roman"/>
          <w:bCs/>
          <w:iCs/>
          <w:szCs w:val="24"/>
        </w:rPr>
        <w:t xml:space="preserve"> and 1 when </w:t>
      </w:r>
      <m:oMath>
        <m:sSub>
          <m:sSubPr>
            <m:ctrlPr>
              <w:rPr>
                <w:rFonts w:ascii="Cambria Math" w:eastAsia="Times New Roman" w:hAnsi="Cambria Math" w:cs="Times New Roman"/>
                <w:bCs/>
                <w:i/>
                <w:iCs/>
                <w:szCs w:val="24"/>
              </w:rPr>
            </m:ctrlPr>
          </m:sSubPr>
          <m:e>
            <m:r>
              <w:rPr>
                <w:rFonts w:ascii="Cambria Math" w:eastAsia="Times New Roman" w:hAnsi="Cambria Math" w:cs="Times New Roman"/>
                <w:szCs w:val="24"/>
              </w:rPr>
              <m:t>T</m:t>
            </m:r>
          </m:e>
          <m:sub>
            <m:r>
              <w:rPr>
                <w:rFonts w:ascii="Cambria Math" w:eastAsia="Times New Roman" w:hAnsi="Cambria Math" w:cs="Times New Roman"/>
                <w:szCs w:val="24"/>
              </w:rPr>
              <m:t>b</m:t>
            </m:r>
          </m:sub>
        </m:sSub>
        <m:r>
          <w:rPr>
            <w:rFonts w:ascii="Cambria Math" w:eastAsia="Times New Roman" w:hAnsi="Cambria Math" w:cs="Times New Roman"/>
            <w:szCs w:val="24"/>
          </w:rPr>
          <m:t>=5℃</m:t>
        </m:r>
      </m:oMath>
      <w:r w:rsidRPr="00506D3C">
        <w:rPr>
          <w:rFonts w:eastAsia="Times New Roman" w:cs="Times New Roman"/>
          <w:bCs/>
          <w:iCs/>
          <w:szCs w:val="24"/>
        </w:rPr>
        <w:t>. By applying</w:t>
      </w:r>
      <w:r w:rsidR="00506D3C" w:rsidRPr="00506D3C">
        <w:rPr>
          <w:rFonts w:eastAsia="Times New Roman" w:cs="Times New Roman"/>
          <w:bCs/>
          <w:iCs/>
          <w:szCs w:val="24"/>
        </w:rPr>
        <w:t xml:space="preserve"> Eq. 2.9</w:t>
      </w:r>
      <w:r w:rsidRPr="00506D3C">
        <w:rPr>
          <w:rFonts w:eastAsia="Times New Roman" w:cs="Times New Roman"/>
          <w:bCs/>
          <w:iCs/>
          <w:szCs w:val="24"/>
        </w:rPr>
        <w:t xml:space="preserve">, it allows the system to split the hydrometeor variables and correct the weight of rain water content relative to the snow, graupel and hail content contributed to the simulated reflectivity. </w:t>
      </w:r>
      <w:r w:rsidRPr="00506D3C">
        <w:rPr>
          <w:rFonts w:eastAsia="Times New Roman" w:cs="Times New Roman"/>
          <w:szCs w:val="24"/>
        </w:rPr>
        <w:t xml:space="preserve">Conventional observations, such as wind, pressure, temperature and specific humidity may be collected from NCEP Meteorological Assimilation Data Ingest System (MADIS), PREPBUFR, or Oklahoma </w:t>
      </w:r>
      <w:r w:rsidR="00506D3C" w:rsidRPr="00506D3C">
        <w:rPr>
          <w:rFonts w:eastAsia="Times New Roman" w:cs="Times New Roman"/>
          <w:szCs w:val="24"/>
        </w:rPr>
        <w:t>Mesonet</w:t>
      </w:r>
      <w:r w:rsidR="006E4F25">
        <w:rPr>
          <w:rFonts w:eastAsia="Times New Roman" w:cs="Times New Roman"/>
          <w:szCs w:val="24"/>
        </w:rPr>
        <w:t xml:space="preserve"> </w:t>
      </w:r>
      <w:r w:rsidR="006E4F25">
        <w:rPr>
          <w:rFonts w:eastAsia="Times New Roman" w:cs="Times New Roman"/>
          <w:szCs w:val="24"/>
        </w:rPr>
        <w:fldChar w:fldCharType="begin"/>
      </w:r>
      <w:r w:rsidR="00633314">
        <w:rPr>
          <w:rFonts w:eastAsia="Times New Roman" w:cs="Times New Roman"/>
          <w:szCs w:val="24"/>
        </w:rPr>
        <w:instrText xml:space="preserve"> ADDIN ZOTERO_ITEM CSL_CITATION {"citationID":"Dyq4gWsm","properties":{"formattedCitation":"(Brock et al. 1995; McPherson et al. 2007)","plainCitation":"(Brock et al. 1995; McPherson et al. 2007)","noteIndex":0},"citationItems":[{"id":216,"uris":["http://zotero.org/users/local/6VSApgKp/items/WVVM3R8J"],"itemData":{"id":216,"type":"article-journal","abstract":"Abstract The Oklahoma mesonet is a joint project of Oklahoma State University and the University of Oklahoma. It is an automated network of 108 stations covering the state of Oklahoma. Each station measures air temperature, humidity, barometric pressure, wind speed and direction, rainfall, solar radiation, and soil temperatures. Each station transmits a data message every 15 min via a radio link to the nearest terminal of the Oklahoma Law Enforcement Telecommunications System that relays it to a central site in Norman, Oklahoma. The data message comprises three 5-min averages of most data (and one 15-min average of soil temperatures). The central site ingests the data, runs some quality assurance tests, archives the data, and disseminates it in real time to a broad community of users, primarily through a computerized bulletin board system. This manuscript provides a technical description of the Oklahoma mesonet including a complete description of the instrumentation. Sensor inaccuracy, resolution, height with respect to ground level, and method of exposure are discussed.","container-title":"Journal of Atmospheric and Oceanic Technology","DOI":"10.1175/1520-0426(1995)012&lt;0005:TOMATO&gt;2.0.CO;2","ISSN":"0739-0572, 1520-0426","issue":"1","language":"EN","note":"publisher: American Meteorological Society\nsection: Journal of Atmospheric and Oceanic Technology","page":"5-19","source":"journals.ametsoc.org","title":"The Oklahoma Mesonet: A Technical Overview","title-short":"The Oklahoma Mesonet","volume":"12","author":[{"family":"Brock","given":"Fred V."},{"family":"Crawford","given":"Kenneth C."},{"family":"Elliott","given":"Ronald L."},{"family":"Cuperus","given":"Gerrit W."},{"family":"Stadler","given":"Steven J."},{"family":"Johnson","given":"Howard L."},{"family":"Eilts","given":"Michael D."}],"issued":{"date-parts":[["1995",2,1]]},"citation-key":"brockOklahomaMesonetTechnical1995"}},{"id":238,"uris":["http://zotero.org/users/local/6VSApgKp/items/9UGKQFHW"],"itemData":{"id":238,"type":"article-journal","abstract":"Abstract Established as a multipurpose network, the Oklahoma Mesonet operates more than 110 surface observing stations that send data every 5 min to an operations center for data quality assurance, product generation, and dissemination. Quality-assured data are available within 5 min of the observation time. Since 1994, the Oklahoma Mesonet has collected 3.5 billion weather and soil observations and produced millions of decision-making products for its customers.","container-title":"Journal of Atmospheric and Oceanic Technology","DOI":"10.1175/JTECH1976.1","ISSN":"0739-0572, 1520-0426","issue":"3","language":"EN","note":"publisher: American Meteorological Society\nsection: Journal of Atmospheric and Oceanic Technology","page":"301-321","source":"journals.ametsoc.org","title":"Statewide Monitoring of the Mesoscale Environment: A Technical Update on the Oklahoma Mesonet","title-short":"Statewide Monitoring of the Mesoscale Environment","volume":"24","author":[{"family":"McPherson","given":"Renee A."},{"family":"Fiebrich","given":"Christopher A."},{"family":"Crawford","given":"Kenneth C."},{"family":"Kilby","given":"James R."},{"family":"Grimsley","given":"David L."},{"family":"Martinez","given":"Janet E."},{"family":"Basara","given":"Jeffrey B."},{"family":"Illston","given":"Bradley G."},{"family":"Morris","given":"Dale A."},{"family":"Kloesel","given":"Kevin A."},{"family":"Melvin","given":"Andrea D."},{"family":"Shrivastava","given":"Himanshu"},{"family":"Wolfinbarger","given":"J. Michael"},{"family":"Bostic","given":"Jared P."},{"family":"Demko","given":"David B."},{"family":"Elliott","given":"Ronald L."},{"family":"Stadler","given":"Stephen J."},{"family":"Carlson","given":"J. D."},{"family":"Sutherland","given":"Albert J."}],"issued":{"date-parts":[["2007",3,1]]},"citation-key":"mcphersonStatewideMonitoringMesoscale2007"}}],"schema":"https://github.com/citation-style-language/schema/raw/master/csl-citation.json"} </w:instrText>
      </w:r>
      <w:r w:rsidR="006E4F25">
        <w:rPr>
          <w:rFonts w:eastAsia="Times New Roman" w:cs="Times New Roman"/>
          <w:szCs w:val="24"/>
        </w:rPr>
        <w:fldChar w:fldCharType="separate"/>
      </w:r>
      <w:r w:rsidR="00633314">
        <w:rPr>
          <w:rFonts w:eastAsia="Times New Roman" w:cs="Times New Roman"/>
          <w:noProof/>
          <w:szCs w:val="24"/>
        </w:rPr>
        <w:t>(Brock et al. 1995; McPherson et al. 2007)</w:t>
      </w:r>
      <w:r w:rsidR="006E4F25">
        <w:rPr>
          <w:rFonts w:eastAsia="Times New Roman" w:cs="Times New Roman"/>
          <w:szCs w:val="24"/>
        </w:rPr>
        <w:fldChar w:fldCharType="end"/>
      </w:r>
      <w:r w:rsidRPr="00506D3C">
        <w:rPr>
          <w:rFonts w:eastAsia="Times New Roman" w:cs="Times New Roman"/>
          <w:szCs w:val="24"/>
        </w:rPr>
        <w:t>.</w:t>
      </w:r>
    </w:p>
    <w:p w14:paraId="2F7A033E" w14:textId="645BB281" w:rsidR="00AD13C1" w:rsidRPr="006E4F25" w:rsidRDefault="00AD13C1">
      <w:pPr>
        <w:pStyle w:val="Heading3"/>
      </w:pPr>
      <w:bookmarkStart w:id="26" w:name="_Toc130995434"/>
      <w:bookmarkStart w:id="27" w:name="_Toc131018299"/>
      <w:r w:rsidRPr="006E4F25">
        <w:t>Geostationary Lightning Mapper (GLM) derived water vapor</w:t>
      </w:r>
      <w:bookmarkEnd w:id="26"/>
      <w:bookmarkEnd w:id="27"/>
    </w:p>
    <w:p w14:paraId="4FA8AB64" w14:textId="190E13D7" w:rsidR="00AD13C1" w:rsidRPr="00506D3C" w:rsidRDefault="00AD13C1" w:rsidP="00AD13C1">
      <w:pPr>
        <w:rPr>
          <w:rFonts w:eastAsia="Times New Roman" w:cs="Times New Roman"/>
          <w:szCs w:val="24"/>
        </w:rPr>
      </w:pPr>
      <w:r w:rsidRPr="00506D3C">
        <w:rPr>
          <w:rFonts w:eastAsia="Times New Roman" w:cs="Times New Roman"/>
          <w:szCs w:val="24"/>
        </w:rPr>
        <w:t xml:space="preserve">The method of utilizing GLM derived water vapor in the WoF-Var system has been described in </w:t>
      </w:r>
      <w:r w:rsidRPr="00506D3C">
        <w:rPr>
          <w:rFonts w:eastAsia="Times New Roman" w:cs="Times New Roman"/>
          <w:szCs w:val="24"/>
        </w:rPr>
        <w:fldChar w:fldCharType="begin"/>
      </w:r>
      <w:r w:rsidR="006E4F25">
        <w:rPr>
          <w:rFonts w:eastAsia="Times New Roman" w:cs="Times New Roman"/>
          <w:szCs w:val="24"/>
        </w:rPr>
        <w:instrText xml:space="preserve"> ADDIN ZOTERO_ITEM CSL_CITATION {"citationID":"2QwtyKNZ","properties":{"formattedCitation":"(Fierro et al. 2019)","plainCitation":"(Fierro et al. 2019)","dontUpdate":true,"noteIndex":0},"citationItems":[{"id":10,"uris":["http://zotero.org/users/local/6VSApgKp/items/77NV63LL"],"itemData":{"id":10,"type":"article-journal","abstract":"&lt;section class=\"abstract\"&gt;&lt;h2 class=\"abstractTitle text-title my-1\" id=\"d146998611e97\"&gt;Abstract&lt;/h2&gt;&lt;p&gt;The assimilation of water vapor mass mixing ratio derived from total lightning data from the Geostationary Lightning Mapper (GLM) within a three-dimensional variational (3DVAR) system is evaluated for the analysis and short-term forecast (≤6 h) of a high-impact convective event over the northern Great Plains in the United States. Building on recent work, the lightning data assimilation (LDA) method adjusts water vapor mass mixing ratio within a fixed layer depth above the lifted condensation level by assuming nearly water-saturated conditions at observed lightning locations. In this algorithm, the total water vapor mass added by the LDA is balanced by an equal removal outside observed lightning locations. Additional refinements were also devised to partially alleviate the seasonal and geographical dependence of the original scheme. To gauge the added value of lightning, radar data (radial velocity and reflectivity) were also assimilated with or without lightning. Although the method was evaluated in quasi–real time for several high-impact weather events throughout 2018, this work will focus on one specific, illustrative severe weather case wherein the control simulation—which did not assimilate any data—was eventually able to initiate and forecast the majority of the observed storms. Given a relatively reasonable forecast in the control experiment, the GLM and radar assimilation experiments were still able to improve the short-term forecast of accumulated rainfall and composite radar reflectivity further, as measured by neighborhood-based metrics. These results held whether the simulations made use of one single 3DVAR analysis or high-frequency (10 min) successive cycling over a 1-h period.&lt;/p&gt;&lt;/section&gt;","container-title":"Monthly Weather Review","DOI":"10.1175/MWR-D-18-0421.1","ISSN":"1520-0493, 0027-0644","issue":"11","language":"EN","note":"publisher: American Meteorological Society\nsection: Monthly Weather Review","page":"4045-4069","source":"journals.ametsoc.org","title":"Variational Assimilation of Radar Data and GLM Lightning-Derived Water Vapor for the Short-Term Forecasts of High-Impact Convective Events","volume":"147","author":[{"family":"Fierro","given":"Alexandre O."},{"family":"Wang","given":"Yunheng"},{"family":"Gao","given":"Jidong"},{"family":"Mansell","given":"Edward R."}],"issued":{"date-parts":[["2019",11,1]]},"citation-key":"fierroVariationalAssimilationRadar2019"}}],"schema":"https://github.com/citation-style-language/schema/raw/master/csl-citation.json"} </w:instrText>
      </w:r>
      <w:r w:rsidRPr="00506D3C">
        <w:rPr>
          <w:rFonts w:eastAsia="Times New Roman" w:cs="Times New Roman"/>
          <w:szCs w:val="24"/>
        </w:rPr>
        <w:fldChar w:fldCharType="separate"/>
      </w:r>
      <w:r w:rsidRPr="00506D3C">
        <w:rPr>
          <w:rFonts w:eastAsia="Times New Roman" w:cs="Times New Roman"/>
          <w:noProof/>
          <w:szCs w:val="24"/>
        </w:rPr>
        <w:t>Fierro et al. (2019)</w:t>
      </w:r>
      <w:r w:rsidRPr="00506D3C">
        <w:rPr>
          <w:rFonts w:eastAsia="Times New Roman" w:cs="Times New Roman"/>
          <w:szCs w:val="24"/>
        </w:rPr>
        <w:fldChar w:fldCharType="end"/>
      </w:r>
      <w:r w:rsidRPr="00506D3C">
        <w:rPr>
          <w:rFonts w:eastAsia="Times New Roman" w:cs="Times New Roman"/>
          <w:szCs w:val="24"/>
        </w:rPr>
        <w:t>. The raw 20-s GLM data is first accumulated into a 1</w:t>
      </w:r>
      <w:r w:rsidR="006E4F25">
        <w:rPr>
          <w:rFonts w:eastAsia="Times New Roman" w:cs="Times New Roman"/>
          <w:szCs w:val="24"/>
        </w:rPr>
        <w:t>-h</w:t>
      </w:r>
      <w:r w:rsidRPr="00506D3C">
        <w:rPr>
          <w:rFonts w:eastAsia="Times New Roman" w:cs="Times New Roman"/>
          <w:szCs w:val="24"/>
        </w:rPr>
        <w:t xml:space="preserve">our interval and converted into gridded flash density rates. After that, the flash density observations are projected onto the NWP model grid. Pseudo observations are created for water vapor content at each grid point where the gridded flash density rate exceeds zero by adjusting the background water vapor content within a fixed depth of 3 km above the lifted condensation level. The pseudo water vapor observation is adjusted to a near-saturation value, i.e., 95% of saturated water vapor content for a given pressure and temperature at the specific grid point, if the background water vapor content does not already exceed that value. Once created, these </w:t>
      </w:r>
      <w:r w:rsidR="000C65EE" w:rsidRPr="00506D3C">
        <w:rPr>
          <w:rFonts w:eastAsia="Times New Roman" w:cs="Times New Roman"/>
          <w:szCs w:val="24"/>
        </w:rPr>
        <w:t>pseudo-observations</w:t>
      </w:r>
      <w:r w:rsidRPr="00506D3C">
        <w:rPr>
          <w:rFonts w:eastAsia="Times New Roman" w:cs="Times New Roman"/>
          <w:szCs w:val="24"/>
        </w:rPr>
        <w:t xml:space="preserve"> are assimilated through the WoF-Var system, which uses observation and background errors to adjust the </w:t>
      </w:r>
      <w:r w:rsidR="00DF5C5A">
        <w:rPr>
          <w:rFonts w:eastAsia="Times New Roman" w:cs="Times New Roman"/>
          <w:szCs w:val="24"/>
        </w:rPr>
        <w:t>background</w:t>
      </w:r>
      <w:r w:rsidRPr="00506D3C">
        <w:rPr>
          <w:rFonts w:eastAsia="Times New Roman" w:cs="Times New Roman"/>
          <w:szCs w:val="24"/>
        </w:rPr>
        <w:t xml:space="preserve"> field</w:t>
      </w:r>
      <w:r w:rsidR="00DF5C5A">
        <w:rPr>
          <w:rFonts w:eastAsia="Times New Roman" w:cs="Times New Roman"/>
          <w:szCs w:val="24"/>
        </w:rPr>
        <w:t>s</w:t>
      </w:r>
      <w:r w:rsidRPr="00506D3C">
        <w:rPr>
          <w:rFonts w:eastAsia="Times New Roman" w:cs="Times New Roman"/>
          <w:szCs w:val="24"/>
        </w:rPr>
        <w:t>. The observation error for water vapor content is set to 3 × 10</w:t>
      </w:r>
      <w:r w:rsidRPr="00506D3C">
        <w:rPr>
          <w:rFonts w:eastAsia="Times New Roman" w:cs="Times New Roman"/>
          <w:szCs w:val="24"/>
          <w:vertAlign w:val="superscript"/>
        </w:rPr>
        <w:t>−3</w:t>
      </w:r>
      <w:r w:rsidRPr="00506D3C">
        <w:rPr>
          <w:rFonts w:eastAsia="Times New Roman" w:cs="Times New Roman"/>
          <w:szCs w:val="24"/>
        </w:rPr>
        <w:t xml:space="preserve"> kg kg</w:t>
      </w:r>
      <w:r w:rsidRPr="00506D3C">
        <w:rPr>
          <w:rFonts w:eastAsia="Times New Roman" w:cs="Times New Roman"/>
          <w:szCs w:val="24"/>
          <w:vertAlign w:val="superscript"/>
        </w:rPr>
        <w:t>−1</w:t>
      </w:r>
      <w:r w:rsidRPr="00506D3C">
        <w:rPr>
          <w:rFonts w:eastAsia="Times New Roman" w:cs="Times New Roman"/>
          <w:szCs w:val="24"/>
        </w:rPr>
        <w:t xml:space="preserve"> and the background error for water vapor content is set to 10 × 10</w:t>
      </w:r>
      <w:r w:rsidRPr="00506D3C">
        <w:rPr>
          <w:rFonts w:eastAsia="Times New Roman" w:cs="Times New Roman"/>
          <w:szCs w:val="24"/>
          <w:vertAlign w:val="superscript"/>
        </w:rPr>
        <w:t>−3</w:t>
      </w:r>
      <w:r w:rsidRPr="00506D3C">
        <w:rPr>
          <w:rFonts w:eastAsia="Times New Roman" w:cs="Times New Roman"/>
          <w:szCs w:val="24"/>
        </w:rPr>
        <w:t xml:space="preserve"> kg kg</w:t>
      </w:r>
      <w:r w:rsidRPr="00506D3C">
        <w:rPr>
          <w:rFonts w:eastAsia="Times New Roman" w:cs="Times New Roman"/>
          <w:szCs w:val="24"/>
          <w:vertAlign w:val="superscript"/>
        </w:rPr>
        <w:t>−1</w:t>
      </w:r>
      <w:r w:rsidRPr="00506D3C">
        <w:rPr>
          <w:rFonts w:eastAsia="Times New Roman" w:cs="Times New Roman"/>
          <w:szCs w:val="24"/>
        </w:rPr>
        <w:t xml:space="preserve">. The assimilation of the </w:t>
      </w:r>
      <w:r w:rsidRPr="00506D3C">
        <w:rPr>
          <w:rFonts w:eastAsia="Times New Roman" w:cs="Times New Roman"/>
          <w:szCs w:val="24"/>
        </w:rPr>
        <w:lastRenderedPageBreak/>
        <w:t>pseudo</w:t>
      </w:r>
      <w:r w:rsidR="000C65EE">
        <w:rPr>
          <w:rFonts w:eastAsia="Times New Roman" w:cs="Times New Roman"/>
          <w:szCs w:val="24"/>
        </w:rPr>
        <w:t>-</w:t>
      </w:r>
      <w:r w:rsidRPr="00506D3C">
        <w:rPr>
          <w:rFonts w:eastAsia="Times New Roman" w:cs="Times New Roman"/>
          <w:szCs w:val="24"/>
        </w:rPr>
        <w:t xml:space="preserve">observations uses the same decorrelation length scales as the assimilation of the radar reflectivity. </w:t>
      </w:r>
    </w:p>
    <w:p w14:paraId="372BF204" w14:textId="23145FC9" w:rsidR="006C690B" w:rsidRPr="00723DA9" w:rsidRDefault="006C690B" w:rsidP="00DC333A">
      <w:pPr>
        <w:ind w:firstLine="0"/>
        <w:rPr>
          <w:rFonts w:eastAsiaTheme="majorEastAsia" w:cs="Times New Roman"/>
          <w:b/>
          <w:szCs w:val="24"/>
        </w:rPr>
      </w:pPr>
      <w:r w:rsidRPr="00723DA9">
        <w:rPr>
          <w:rFonts w:cs="Times New Roman"/>
          <w:b/>
          <w:szCs w:val="24"/>
        </w:rPr>
        <w:br w:type="page"/>
      </w:r>
    </w:p>
    <w:p w14:paraId="2BF05EF1" w14:textId="2000441F" w:rsidR="006C690B" w:rsidRPr="00AB57EE" w:rsidRDefault="00AD13C1">
      <w:pPr>
        <w:pStyle w:val="Heading1"/>
      </w:pPr>
      <w:bookmarkStart w:id="28" w:name="_Toc130995435"/>
      <w:bookmarkStart w:id="29" w:name="_Toc131018300"/>
      <w:r w:rsidRPr="00AB57EE">
        <w:lastRenderedPageBreak/>
        <w:t>The Impact of Assimilating Satellite-derived Layered Precipitable Water, Cloud Water Path and Radar Data on Short-Range Thunderstorm Forecasts</w:t>
      </w:r>
      <w:bookmarkEnd w:id="28"/>
      <w:bookmarkEnd w:id="29"/>
    </w:p>
    <w:p w14:paraId="3F771513" w14:textId="10A71D82" w:rsidR="006C690B" w:rsidRDefault="006C690B">
      <w:pPr>
        <w:pStyle w:val="Heading2"/>
      </w:pPr>
      <w:bookmarkStart w:id="30" w:name="_Toc130995436"/>
      <w:bookmarkStart w:id="31" w:name="_Toc131018301"/>
      <w:r w:rsidRPr="00723DA9">
        <w:t>Introduction</w:t>
      </w:r>
      <w:bookmarkEnd w:id="30"/>
      <w:bookmarkEnd w:id="31"/>
    </w:p>
    <w:p w14:paraId="7623CB41" w14:textId="17B45D6F" w:rsidR="00AD13C1" w:rsidRDefault="00AD13C1" w:rsidP="005E6E5D">
      <w:r w:rsidRPr="00AD13C1">
        <w:t>With the launch of GOES-</w:t>
      </w:r>
      <w:r>
        <w:t>R series,</w:t>
      </w:r>
      <w:r w:rsidRPr="00AD13C1">
        <w:t xml:space="preserve"> assimilating satellite observations, or derived products </w:t>
      </w:r>
      <w:r w:rsidR="00DC333A">
        <w:t>to improve</w:t>
      </w:r>
      <w:r w:rsidR="00DC333A" w:rsidRPr="00AD13C1">
        <w:t xml:space="preserve"> </w:t>
      </w:r>
      <w:r w:rsidR="002C1860">
        <w:t>convective-scale</w:t>
      </w:r>
      <w:r w:rsidRPr="00AD13C1">
        <w:t xml:space="preserve"> NWP has become more attractive. Some studies suggested that additional satellite observations can partially compensate </w:t>
      </w:r>
      <w:r w:rsidR="005B70D7">
        <w:t xml:space="preserve">for </w:t>
      </w:r>
      <w:r w:rsidRPr="00AD13C1">
        <w:t>the limitation of assimilating only radar observations</w:t>
      </w:r>
      <w:r>
        <w:t xml:space="preserve"> </w:t>
      </w:r>
      <w:r>
        <w:fldChar w:fldCharType="begin"/>
      </w:r>
      <w:r w:rsidR="002C0CFC">
        <w:instrText xml:space="preserve"> ADDIN ZOTERO_ITEM CSL_CITATION {"citationID":"Mq0Xfgpr","properties":{"formattedCitation":"(Jones et al. 2013, 2016, 2018, 2020; Fierro et al. 2016, 2019; Zhang et al. 2019b; Hu et al. 2020)","plainCitation":"(Jones et al. 2013, 2016, 2018, 2020; Fierro et al. 2016, 2019; Zhang et al. 2019b; Hu et al. 2020)","noteIndex":0},"citationItems":[{"id":154,"uris":["http://zotero.org/users/local/6VSApgKp/items/KJMF4TDV"],"itemData":{"id":154,"type":"article-journal","abstract":"&lt;section class=\"abstract\"&gt;&lt;h2 class=\"abstractTitle text-title my-1\" id=\"d125074771e80\"&gt;Abstract&lt;/h2&gt;&lt;p&gt;An observing system simulation experiment is used to examine the impact of assimilating water vapor–sensitive satellite infrared brightness temperatures and Doppler radar reflectivity and radial velocity observations on the analysis accuracy of a cool season extratropical cyclone. Assimilation experiments are performed for four different combinations of satellite, radar, and conventional observations using an ensemble Kalman filter assimilation system. Comparison with the high-resolution “truth” simulation indicates that the joint assimilation of satellite and radar observations reduces errors in cloud properties compared to the case in which only conventional observations are assimilated. The satellite observations provide the most impact in the mid- to upper troposphere, whereas the radar data also improve the cloud analysis near the surface and aloft as a result of their greater vertical resolution and larger overall sample size. Errors in the wind field are also significantly reduced when radar radial velocity observations were assimilated. Overall, assimilating both satellite and radar data creates the most accurate model analysis, which indicates that both observation types provide independent and complimentary information and illustrates the potential for these datasets for improving mesoscale model analyses and ensuing forecasts.&lt;/p&gt;&lt;/section&gt;","container-title":"Monthly Weather Review","DOI":"10.1175/MWR-D-12-00267.1","ISSN":"1520-0493, 0027-0644","issue":"10","language":"EN","note":"publisher: American Meteorological Society\nsection: Monthly Weather Review","page":"3273-3299","source":"journals.ametsoc.org","title":"Assimilation of Satellite Infrared Radiances and Doppler Radar Observations during a Cool Season Observing System Simulation Experiment","volume":"141","author":[{"family":"Jones","given":"Thomas A."},{"family":"Otkin","given":"Jason A."},{"family":"Stensrud","given":"David J."},{"family":"Knopfmeier","given":"Kent"}],"issued":{"date-parts":[["2013",10,1]]},"citation-key":"jonesAssimilationSatelliteInfrared2013"}},{"id":94,"uris":["http://zotero.org/users/local/6VSApgKp/items/R7ACBQF9"],"itemData":{"id":94,"type":"article-journal","abstract":"&lt;section class=\"abstract\"&gt;&lt;h2 class=\"abstractTitle text-title my-1\" id=\"d4105766e88\"&gt;Abstract&lt;/h2&gt;&lt;p&gt;This research represents the second part of a two-part series describing the development of a prototype ensemble data assimilation system for the Warn-on-Forecast (WoF) project known as the NSSL Experimental WoF System for ensembles (NEWS-e). Part I describes the NEWS-e design and results from radar reflectivity and radial velocity data assimilation for six severe weather events occurring during 2013 and 2014. Part II describes the impact of assimilating satellite liquid and ice water path (LWP and IWP, respectively) retrievals from the GOES Imager along with the radar observations. Assimilating LWP and IWP observations may improve thermodynamic conditions at the surface over the storm-scale domain through better analysis of cloud coverage in the model compared to radar-only experiments. These improvements sometimes corresponded to an improved analysis of supercell storms leading to better forecasts of low-level vorticity. This positive impact was most evident for events where convection is not ongoing at the beginning of the radar and satellite data assimilation period. For more complex cases containing significant amounts of ongoing convection, only assimilating clear-sky satellite retrievals in place of clear-air reflectivity resulted in spurious regions of light precipitation compared to the radar-only experiments. The analyzed tornadic storms in these experiments are sometimes too weak and quickly diminished in intensity in the forecasts. The lessons learned as part of these experiments should lead to improved iterations of the NEWS-e system, building on the modestly successful results described here.&lt;/p&gt;&lt;/section&gt;","container-title":"Weather and Forecasting","DOI":"10.1175/WAF-D-15-0107.1","ISSN":"1520-0434, 0882-8156","issue":"1","language":"EN","note":"publisher: American Meteorological Society\nsection: Weather and Forecasting","page":"297-327","source":"journals.ametsoc.org","title":"Storm-Scale Data Assimilation and Ensemble Forecasting with the NSSL Experimental Warn-on-Forecast System. Part II: Combined Radar and Satellite Data Experiments","title-short":"Storm-Scale Data Assimilation and Ensemble Forecasting with the NSSL Experimental Warn-on-Forecast System. Part II","volume":"31","author":[{"family":"Jones","given":"Thomas A."},{"family":"Knopfmeier","given":"Kent"},{"family":"Wheatley","given":"Dustan"},{"family":"Creager","given":"Gerald"},{"family":"Minnis","given":"Patrick"},{"family":"Palikonda","given":"Rabindra"}],"issued":{"date-parts":[["2016",2,1]]},"citation-key":"jonesStormScaleDataAssimilation2016"}},{"id":159,"uris":["http://zotero.org/users/local/6VSApgKp/items/DFGHCEPE"],"itemData":{"id":159,"type":"article-journal","abstract":"&lt;section class=\"abstract\"&gt;&lt;h2 class=\"abstractTitle text-title my-1\" id=\"d145953427e115\"&gt;Abstract&lt;/h2&gt;&lt;p&gt;A prototype convection-allowing system using the Advanced Research version of the Weather Research and Forecasting (WRF-ARW) Model and employing an ensemble Kalman filter (EnKF) data assimilation technique has been developed and used during the spring 2016 and 2017 Hazardous Weather Testbeds. This system assimilates WSR-88D reflectivity and radial velocity, geostationary satellite cloud water path (CWP) retrievals, and available surface observations over a regional domain with a 3-km horizontal resolution at 15-min intervals, with 3-km initial conditions provided by an experimental High-Resolution Rapid Refresh ensemble (HRRR-e). However, no information on upper-level thermodynamic conditions in cloud-free regions is currently assimilated, as few timely observations exist. One potential solution is to also assimilate clear-sky satellite radiances, which provide information on mid- and upper-tropospheric temperature and moisture conditions. This research assimilates &lt;em&gt;GOES-13&lt;/em&gt; imager water vapor band (6.5 &lt;em&gt;μ&lt;/em&gt;m) radiances using the GSI-EnKF system to take advantage of the Community Radiative Transfer Model (CRTM) integration. Results using four cases from May 2016 showed that assimilating radiances generally had a neutral-to-positive impact on the model analysis, reducing humidity bias and/or errors at the appropriate model levels where verification observations were present. The effects on high-impact weather forecasts, as verified against forecast reflectivity and updraft helicity, were mixed. Three cases (9, 22, and 24 May) showed some improvement in skill, while the other (25 May) performed worse, despite the improved environment. This research represents the first step in designing a high-resolution ensemble data assimilation system to use &lt;em&gt;GOES-16&lt;/em&gt; Advanced Baseline Imager data, which provides additional water vapor bands and increased spatial and temporal resolution.&lt;/p&gt;&lt;/section&gt;","container-title":"Monthly Weather Review","DOI":"10.1175/MWR-D-17-0280.1","ISSN":"1520-0493, 0027-0644","issue":"4","language":"EN","note":"publisher: American Meteorological Society\nsection: Monthly Weather Review","page":"1077-1107","source":"journals.ametsoc.org","title":"Assimilation of GOES-13 Imager Clear-Sky Water Vapor (6.5 μm) Radiances into a Warn-on-Forecast System","volume":"146","author":[{"family":"Jones","given":"Thomas A."},{"family":"Wang","given":"Xuguang"},{"family":"Skinner","given":"Patrick"},{"family":"Johnson","given":"Aaron"},{"family":"Wang","given":"Yongming"}],"issued":{"date-parts":[["2018",4,1]]},"citation-key":"jonesAssimilationGOES13Imager2018"}},{"id":110,"uris":["http://zotero.org/users/local/6VSApgKp/items/9DW6JJW2"],"itemData":{"id":110,"type":"article-journal","abstract":"&lt;section class=\"abstract\"&gt;&lt;h2 class=\"abstractTitle text-title my-1\" id=\"d45130806e150\"&gt;Abstract&lt;/h2&gt;&lt;p&gt;The increasing maturity of the Warn-on-Forecast System (WoFS) coupled with the now operational &lt;em&gt;GOES-16&lt;/em&gt; satellite allows for the first time a comprehensive analysis of the relative impacts of assimilating &lt;em&gt;GOES-16&lt;/em&gt; all-sky 6.2-, 6.9-, and 7.3-&lt;em&gt;μ&lt;/em&gt;m channel radiances compared to other radar and satellite observations. The WoFS relies on cloud property retrievals such as cloud water path, which have been proven to increase forecast skill compared to only assimilating radar data and other conventional observations. The impacts of assimilating clear-sky radiances have also been explored and shown to provide useful information on midtropospheric moisture content in the near-storm environment. Assimilation of all-sky radiances adds a layer of complexity and is tested to determine its effectiveness across four events occurring in the spring and summer of 2019. Qualitative and object-based verification of severe weather and the near-storm environment are used to assess the impact of assimilating all-sky radiances compared to the current model configuration. We focus our study through the entire WoFS analysis and forecasting cycle (1900–0600 UTC, daily) so that the impacts throughout the evolution of convection from initiation to large upscale growth can be assessed. Overall, assimilating satellite data improves forecasts relative to radar-only assimilation experiments. The retrieval method with clear-sky radiances performs best overall, but assimilating all-sky radiances does have very positive impacts in certain conditions. In particular, all-sky radiance assimilation improved convective initiation forecast of severe storms in several instances. This work represents an initial attempt at assimilating all-sky radiances into the WoFS and additional research is ongoing to further improve forecast skill.&lt;/p&gt;&lt;/section&gt;","container-title":"Monthly Weather Review","DOI":"10.1175/MWR-D-19-0379.1","ISSN":"1520-0493, 0027-0644","issue":"5","language":"EN","note":"publisher: American Meteorological Society\nsection: Monthly Weather Review","page":"1829-1859","source":"journals.ametsoc.org","title":"Assimilation of GOES-16 Radiances and Retrievals into the Warn-on-Forecast System","volume":"148","author":[{"family":"Jones","given":"Thomas A."},{"family":"Skinner","given":"Patrick"},{"family":"Yussouf","given":"Nusrat"},{"family":"Knopfmeier","given":"Kent"},{"family":"Reinhart","given":"Anthony"},{"family":"Wang","given":"Xuguang"},{"family":"Bedka","given":"Kristopher"},{"family":"Smith","given":"William"},{"family":"Palikonda","given":"Rabindra"}],"issued":{"date-parts":[["2020",5,1]]},"citation-key":"jonesAssimilationGOES16Radiances2020"}},{"id":36,"uris":["http://zotero.org/users/local/6VSApgKp/items/8K8EJCVF"],"itemData":{"id":36,"type":"article-journal","abstract":"&lt;section class=\"abstract\"&gt;&lt;h2 class=\"abstractTitle text-title my-1\" id=\"d137406800e102\"&gt;Abstract&lt;/h2&gt;&lt;p&gt;This work evaluates the performance of the assimilation of total lightning data within a three-dimensional variational (3DVAR) framework for the analysis and short-term forecast of the 24 May 2011 tornado outbreak using the Weather Research and Forecasting (WRF) Model at convection-allowing scales. Between the lifted condensation level and a fixed upper height, pseudo-observations for water vapor mass first are created based on either the flash extent densities derived from Oklahoma Lightning Mapping Array data or the lightning source densities derived from the Earth Networks pulse data, and then assimilated by the 3DVAR system. Assimilation of radar data with 3DVAR and a cloud analysis algorithm (RAD) also are performed as a baseline for comparison and in tandem with lightning to evaluate the added value of this lightning data assimilation (LDA) method.&lt;/p&gt;&lt;p&gt;Given a scenario wherein the control experiment without radar or lightning data assimilation fails to accurately initiate and forecast the observed storms, the LDA and RAD yield comparable short-term forecast improvements. The RAD alone produces storms of similar strength to the observations during the first 30 min of forecast more rapidly than the LDA alone; however, the LDA is able to better depict individual supercellular features at 1-h forecast. When both the lightning and radar data are assimilated, the 30-min forecast showed noteworthy improvements over RAD in terms of the model’s ability to better resolve individual supercell structures and still maintained a 1-h forecast similar to that from the LDA. The results chiefly illustrate the potential value of assimilating total lightning data along with radar data.&lt;/p&gt;&lt;/section&gt;","container-title":"Monthly Weather Review","DOI":"10.1175/MWR-D-16-0053.1","ISSN":"1520-0493, 0027-0644","issue":"11","language":"EN","note":"publisher: American Meteorological Society\nsection: Monthly Weather Review","page":"4373-4393","source":"journals.ametsoc.org","title":"Assimilation of Flash Extent Data in the Variational Framework at Convection-Allowing Scales: Proof-of-Concept and Evaluation for the Short-Term Forecast of the 24 May 2011 Tornado Outbreak","title-short":"Assimilation of Flash Extent Data in the Variational Framework at Convection-Allowing Scales","volume":"144","author":[{"family":"Fierro","given":"Alexandre O."},{"family":"Gao","given":"Jidong"},{"family":"Ziegler","given":"Conrad L."},{"family":"Calhoun","given":"Kristin M."},{"family":"Mansell","given":"Edward R."},{"family":"MacGorman","given":"Donald R."}],"issued":{"date-parts":[["2016",11,1]]},"citation-key":"fierroAssimilationFlashExtent2016"}},{"id":10,"uris":["http://zotero.org/users/local/6VSApgKp/items/77NV63LL"],"itemData":{"id":10,"type":"article-journal","abstract":"&lt;section class=\"abstract\"&gt;&lt;h2 class=\"abstractTitle text-title my-1\" id=\"d146998611e97\"&gt;Abstract&lt;/h2&gt;&lt;p&gt;The assimilation of water vapor mass mixing ratio derived from total lightning data from the Geostationary Lightning </w:instrText>
      </w:r>
      <w:r w:rsidR="002C0CFC">
        <w:rPr>
          <w:rFonts w:hint="eastAsia"/>
        </w:rPr>
        <w:instrText>Mapper (GLM) within a three-dimensional variational (3DVAR) system is evaluated for the analysis and short-term forecast (</w:instrText>
      </w:r>
      <w:r w:rsidR="002C0CFC">
        <w:rPr>
          <w:rFonts w:hint="eastAsia"/>
        </w:rPr>
        <w:instrText>≤</w:instrText>
      </w:r>
      <w:r w:rsidR="002C0CFC">
        <w:rPr>
          <w:rFonts w:hint="eastAsia"/>
        </w:rPr>
        <w:instrText>6 h) of a high-impact convective event over the northern Great Plains in the United States. Building on recent work, the lightning d</w:instrText>
      </w:r>
      <w:r w:rsidR="002C0CFC">
        <w:instrText>ata assimilation (LDA) method adjusts water vapor mass mixing ratio within a fixed layer depth above the lifted condensation level by assuming nearly water-saturated conditions at observed lightning locations. In this algorithm, the total water vapor mass added by the LDA is balanced by an equal removal outside observed lightning locations. Additional refinements were also devised to partially alleviate the seasonal and geographical dependence of the original scheme. To gauge the added value of lightning, radar data (radial velocity and reflectivity) were also assimilated with or without lightning. Although the method was evaluated in quasi–real time for several high-impact weather events throughout 2018, this work will focus on one specific, illustrative severe weather case wherein the control simulation—which did not assimilate any data—was eventually able to initiate and forecast the majority of the observed storms. Given a relatively reasonable forecast in the control experiment, the GLM and radar assimilation experiments were still able to improve the short-term forecast of accumulated rainfall and composite radar reflectivity further, as measured by neighborhood-based metrics. These results held whether the simulations made use of one single 3DVAR analysis or high-frequency (10 min) successive cycling over a 1-h period.&lt;/p&gt;&lt;/section&gt;","container-title":"Monthly Weather Review","DOI":"10.1175/MWR-D-18-0421.1","ISSN":"1520-0493, 0027-0644","issue":"11","language":"EN","note":"publisher: American Meteorological Society\nsection: Monthly Weather Review","page":"4045-4069","source":"journals.ametsoc.org","title":"Variational Assimilation of Radar Data and GLM Lightning-Derived Water Vapor for the Short-Term Forecasts of High-Impact Convective Events","volume":"147","author":[{"family":"Fierro","given":"Alexandre O."},{"family":"Wang","given":"Yunheng"},{"family":"Gao","given":"Jidong"},{"family":"Mansell","given":"Edward R."}],"issued":{"date-parts":[["2019",11,1]]},"citation-key":"fierroVariationalAssimilationRadar2019"}},{"id":107,"uris":["http://zotero.org/users/local/6VSApgKp/items/KILQXW5G"],"itemData":{"id":107,"type":"article-journal","abstract":"&lt;section class=\"abstract\"&gt;&lt;h2 class=\"abstractTitle text-title my-1\" id=\"d147148672e88\"&gt;Abstract&lt;/h2&gt;&lt;p&gt;This study explores the benefits of assimilating infrared (IR) brightness temperature (BT) observations from geostationary satellites jointly with radial velocity (Vr) and reflectivity (&lt;em&gt;Z&lt;/em&gt;) observations from Doppler weather radars within an ensemble Kalman filter (EnKF) data assimilation system to the convection-allowing ensemble analysis and prediction of a tornadic supercell thunderstorm event on 12 June 2017 across Wyoming and Nebraska. While radar observations sample the three-dimensional storm structures with high fidelity, BT observations provide information about clouds prior to the formation of precipitation particles when in-storm radar observations are not yet available and also provide information on the environment outside the thunderstorms. To better understand the strengths and limitations of each observation type, the satellite and Doppler radar observations are assimilated separately and jointly, and the ensemble analyses and forecasts are compared with available observations. Results show that assimilating BT observations has the potential to increase the forecast and warning lead times of severe weather events compared with radar observations and may also potentially complement the sparse surface observations in some regions as revealed by the probabilistic prediction of mesocyclone tracks initialized from EnKF analyses as various times. Additionally, the assimilation of both BT and Vr observations yields the best ensemble forecasts, providing higher confidence, improved accuracy, and longer lead times on the probabilistic prediction of midlevel mesocyclones.&lt;/p&gt;&lt;/section&gt;","container-title":"Monthly Weather Review","DOI":"10.1175/MWR-D-19-0163.1","ISSN":"1520-0493, 0027-0644","issue":"12","language":"EN","note":"publisher: American Meteorological Society\nsection: Monthly Weather Review","page":"4389-4409","source":"journals.ametsoc.org","title":"Simultaneous Assimilation of Radar and All-Sky Satellite Infrared Radiance Observations for Convection-Allowing Ensemble Analysis and Prediction of Severe Thunderstorms","volume":"147","author":[{"family":"Zhang","given":"Yunji"},{"family":"Stensrud","given":"David J."},{"family":"Zhang","given":"Fuqing"}],"issued":{"date-parts":[["2019",12,1]]},"citation-key":"zhangSimultaneousAssimilationRadar2019"}},{"id":214,"uris":["http://zotero.org/users/local/6VSApgKp/items/BZ9XKKYT"],"itemData":{"id":214,"type":"article-journal","abstract":"Abstract The recent successful deployment of the Geostationary Lightning Mapper (GLM) on board the Geostationary Operational Environmental Satellite R series (GOES-16/17) provides nearly uniform spatiotemporal measurements of total lightning (intracloud plus cloud to ground) over the Americas and adjacent vast oceanic regions. This study evaluates the</w:instrText>
      </w:r>
      <w:r w:rsidR="002C0CFC">
        <w:rPr>
          <w:rFonts w:hint="eastAsia"/>
        </w:rPr>
        <w:instrText xml:space="preserve"> potential value of assimilating GLM-derived water vapor mixing ratio on short-term (</w:instrText>
      </w:r>
      <w:r w:rsidR="002C0CFC">
        <w:rPr>
          <w:rFonts w:hint="eastAsia"/>
        </w:rPr>
        <w:instrText>≤</w:instrText>
      </w:r>
      <w:r w:rsidR="002C0CFC">
        <w:rPr>
          <w:rFonts w:hint="eastAsia"/>
        </w:rPr>
        <w:instrText>6 h), cloud-scale (dx = 1.5 km) forecasts of five severe weather events over the Great Plains of the United States using a three-dimensional variational (3DVAR) data ass</w:instrText>
      </w:r>
      <w:r w:rsidR="002C0CFC">
        <w:instrText>imilation (DA) system. Toward a more systematic assimilation of real GLM data, this study conducted sensitivity tests aimed at evaluating the impact of the horizontal decorrelation length scale, DA cycling frequency, and the time window size for accumulating GLM lightning observations prior to the DA. Forecast statistics aggregated over all five cases suggested that an optimal forecast performance is obtained when lightning measurements are accumulated over a 10-min interval and GLM-derived water vapor mixing ratio values are assimilated every 15 min with a horizontal decorrelation length scale of 3 km. This suggested configuration for the GLM DA together with companion experiments (i) not assimilating any data, (ii) assimilating radar data only, and (iii) assimilating both GLM and radar data were evaluated for the same five cases. Overall, GLM data have shown potential to help improve the short-term (&lt;3 h) forecast skill of composite reflectivity fields and individual storm tracks. While this result also</w:instrText>
      </w:r>
      <w:r w:rsidR="002C0CFC">
        <w:rPr>
          <w:rFonts w:hint="eastAsia"/>
        </w:rPr>
        <w:instrText xml:space="preserve"> held for accumulated rainfall, longer-term (</w:instrText>
      </w:r>
      <w:r w:rsidR="002C0CFC">
        <w:rPr>
          <w:rFonts w:hint="eastAsia"/>
        </w:rPr>
        <w:instrText>≥</w:instrText>
      </w:r>
      <w:r w:rsidR="002C0CFC">
        <w:rPr>
          <w:rFonts w:hint="eastAsia"/>
        </w:rPr>
        <w:instrText>3 h) forecasts were generally characterized by noteworthy wet biases.","container-title":"Monthly Weather Review","DOI":"10.1175/MWR-D-19-0198.1","ISSN":"1520-0493, 0027-0644","issue":"3","language":"EN","note</w:instrText>
      </w:r>
      <w:r w:rsidR="002C0CFC">
        <w:instrText xml:space="preserve">":"publisher: American Meteorological Society\nsection: Monthly Weather Review","page":"1005-1028","source":"journals.ametsoc.org","title":"Exploring the Assimilation of GLM-Derived Water Vapor Mass in a Cycled 3DVAR Framework for the Short-Term Forecasts of High-Impact Convective Events","volume":"148","author":[{"family":"Hu","given":"Junjun"},{"family":"Fierro","given":"Alexandre O."},{"family":"Wang","given":"Yunheng"},{"family":"Gao","given":"Jidong"},{"family":"Mansell","given":"Edward R."}],"issued":{"date-parts":[["2020",2,1]]},"citation-key":"huExploringAssimilationGLMDerived2020"}}],"schema":"https://github.com/citation-style-language/schema/raw/master/csl-citation.json"} </w:instrText>
      </w:r>
      <w:r>
        <w:fldChar w:fldCharType="separate"/>
      </w:r>
      <w:r w:rsidR="002C0CFC">
        <w:rPr>
          <w:noProof/>
        </w:rPr>
        <w:t>(Jones et al. 2013, 2016, 2018, 2020; Fierro et al. 2016, 2019; Zhang et al. 2019b; Hu et al. 2020)</w:t>
      </w:r>
      <w:r>
        <w:fldChar w:fldCharType="end"/>
      </w:r>
      <w:r>
        <w:t>.</w:t>
      </w:r>
      <w:r w:rsidRPr="00AD13C1">
        <w:t xml:space="preserve"> One of the applications of assimilating satellite-derived products in </w:t>
      </w:r>
      <w:r w:rsidR="002C1860">
        <w:t>convective-scale</w:t>
      </w:r>
      <w:r w:rsidRPr="00AD13C1">
        <w:t xml:space="preserve"> NWP has been studied by</w:t>
      </w:r>
      <w:r>
        <w:t xml:space="preserve"> </w:t>
      </w:r>
      <w:r>
        <w:fldChar w:fldCharType="begin"/>
      </w:r>
      <w:r w:rsidR="006E4F25">
        <w:instrText xml:space="preserve"> ADDIN ZOTERO_ITEM CSL_CITATION {"citationID":"sfHTNJUc","properties":{"formattedCitation":"(Jones et al. 2013)","plainCitation":"(Jones et al. 2013)","dontUpdate":true,"noteIndex":0},"citationItems":[{"id":154,"uris":["http://zotero.org/users/local/6VSApgKp/items/KJMF4TDV"],"itemData":{"id":154,"type":"article-journal","abstract":"&lt;section class=\"abstract\"&gt;&lt;h2 class=\"abstractTitle text-title my-1\" id=\"d125074771e80\"&gt;Abstract&lt;/h2&gt;&lt;p&gt;An observing system simulation experiment is used to examine the impact of assimilating water vapor–sensitive satellite infrared brightness temperatures and Doppler radar reflectivity and radial velocity observations on the analysis accuracy of a cool season extratropical cyclone. Assimilation experiments are performed for four different combinations of satellite, radar, and conventional observations using an ensemble Kalman filter assimilation system. Comparison with the high-resolution “truth” simulation indicates that the joint assimilation of satellite and radar observations reduces errors in cloud properties compared to the case in which only conventional observations are assimilated. The satellite observations provide the most impact in the mid- to upper troposphere, whereas the radar data also improve the cloud analysis near the surface and aloft as a result of their greater vertical resolution and larger overall sample size. Errors in the wind field are also significantly reduced when radar radial velocity observations were assimilated. Overall, assimilating both satellite and radar data creates the most accurate model analysis, which indicates that both observation types provide independent and complimentary information and illustrates the potential for these datasets for improving mesoscale model analyses and ensuing forecasts.&lt;/p&gt;&lt;/section&gt;","container-title":"Monthly Weather Review","DOI":"10.1175/MWR-D-12-00267.1","ISSN":"1520-0493, 0027-0644","issue":"10","language":"EN","note":"publisher: American Meteorological Society\nsection: Monthly Weather Review","page":"3273-3299","source":"journals.ametsoc.org","title":"Assimilation of Satellite Infrared Radiances and Doppler Radar Observations during a Cool Season Observing System Simulation Experiment","volume":"141","author":[{"family":"Jones","given":"Thomas A."},{"family":"Otkin","given":"Jason A."},{"family":"Stensrud","given":"David J."},{"family":"Knopfmeier","given":"Kent"}],"issued":{"date-parts":[["2013",10,1]]},"citation-key":"jonesAssimilationSatelliteInfrared2013"}}],"schema":"https://github.com/citation-style-language/schema/raw/master/csl-citation.json"} </w:instrText>
      </w:r>
      <w:r>
        <w:fldChar w:fldCharType="separate"/>
      </w:r>
      <w:r>
        <w:rPr>
          <w:noProof/>
        </w:rPr>
        <w:t>Jones et al. (2013)</w:t>
      </w:r>
      <w:r>
        <w:fldChar w:fldCharType="end"/>
      </w:r>
      <w:r w:rsidRPr="00AD13C1">
        <w:t xml:space="preserve">. In their </w:t>
      </w:r>
      <w:r>
        <w:t>study</w:t>
      </w:r>
      <w:r w:rsidRPr="00AD13C1">
        <w:t xml:space="preserve">, both radar observations and satellite product </w:t>
      </w:r>
      <w:r w:rsidR="00BA19F9">
        <w:t>CWP</w:t>
      </w:r>
      <w:r w:rsidRPr="00AD13C1">
        <w:t xml:space="preserve"> were assimilated into the three-dimensional compressible nonhydrostatic </w:t>
      </w:r>
      <w:r>
        <w:t>WRF-ARW</w:t>
      </w:r>
      <w:r w:rsidRPr="00AD13C1">
        <w:t xml:space="preserve"> for predicting a </w:t>
      </w:r>
      <w:r w:rsidRPr="00AD13C1">
        <w:rPr>
          <w:rFonts w:hint="eastAsia"/>
        </w:rPr>
        <w:t>s</w:t>
      </w:r>
      <w:r w:rsidRPr="00AD13C1">
        <w:t>evere weather event that occurred on 10 May 2010. Their experiments showed that t</w:t>
      </w:r>
      <w:r w:rsidRPr="00AD13C1">
        <w:rPr>
          <w:rFonts w:hint="eastAsia"/>
        </w:rPr>
        <w:t>h</w:t>
      </w:r>
      <w:r w:rsidRPr="00AD13C1">
        <w:t>e assimilation of CWP resulted in improvements in cloud properties and more accurate shortwave radiation flux at the surface by comparing to the experiments without CWP assimilation. Although this positive impact decreases with increasing lead time, the benefits were still maintained 90 min into the model simulation.</w:t>
      </w:r>
    </w:p>
    <w:p w14:paraId="10DCBA4A" w14:textId="33A9DE55" w:rsidR="00AD13C1" w:rsidRDefault="00AD13C1" w:rsidP="005E6E5D">
      <w:r>
        <w:fldChar w:fldCharType="begin"/>
      </w:r>
      <w:r w:rsidR="006E4F25">
        <w:instrText xml:space="preserve"> ADDIN ZOTERO_ITEM CSL_CITATION {"citationID":"8aq7mVFp","properties":{"formattedCitation":"(Pan et al. 2018)","plainCitation":"(Pan et al. 2018)","dontUpdate":true,"noteIndex":0},"citationItems":[{"id":444,"uris":["http://zotero.org/users/local/6VSApgKp/items/JS8F3LH5"],"itemData":{"id":444,"type":"article-journal","abstract":"Abstract In this study, the ensemble of three-dimensional variational data assimilation (En3DVar) method for convective-scale weather is adopted and evaluated using an idealized supercell storm simulated by the Weather Research and Forecasting (WRF) Model. Synthetic radar radial velocity, reflectivity, satellite-derived cloud water path (CWP), and total precipitable water (TPW) data are produced from the simulated supercell storm and then these data are assimilated into another WRF Model run that starts with no convection. Two types of experiments are performed. The first assimilates radar and satellite CWP data using a perfect storm environment. The second assimilates additional TPW data using a storm environment with dry bias. The first set of experiments indicates that incorporating CWP and radar data into the assimilation leads to a much faster initiation of supercell storms than found using radar data alone. Assimilating CWP data primarily improves the analyses of nonprecipitating hydrometeor variables. The results from the second set of experiments demonstrate the critical importance of the storm environment. When using the biased storm environment, assimilation of CWP and radar data enhances the analyses, but the forecast skill rapidly decreases over the subsequent 1-h forecast. Further experiments show that assimilating the TPW data has a large impact on storm environment that is essential to the accuracy of the storm forecasts. In general, the combination of radar data and satellite data within the En3DVar results in better analyses and forecasts than when only radar data are used, especially for an imperfect storm environment.","container-title":"Journal of Atmospheric and Oceanic Technology","DOI":"10.1175/JTECH-D-17-0081.1","ISSN":"0739-0572, 1520-0426","issue":"1","language":"EN","note":"publisher: American Meteorological Society\nsection: Journal of Atmospheric and Oceanic Technology","page":"67-89","source":"journals.ametsoc.org","title":"Assimilation of Radar Radial Velocity and Reflectivity, Satellite Cloud Water Path, and Total Precipitable Water for Convective-Scale NWP in OSSEs","volume":"35","author":[{"family":"Pan","given":"Sijie"},{"family":"Gao","given":"Jidong"},{"family":"Stensrud","given":"David J."},{"family":"Wang","given":"Xuguang"},{"family":"Jones","given":"Thomas A."}],"issued":{"date-parts":[["2018",1,1]]},"citation-key":"panAssimilationRadarRadial2018"}}],"schema":"https://github.com/citation-style-language/schema/raw/master/csl-citation.json"} </w:instrText>
      </w:r>
      <w:r>
        <w:fldChar w:fldCharType="separate"/>
      </w:r>
      <w:r>
        <w:rPr>
          <w:noProof/>
        </w:rPr>
        <w:t>Pan et al. (2018)</w:t>
      </w:r>
      <w:r>
        <w:fldChar w:fldCharType="end"/>
      </w:r>
      <w:r>
        <w:t xml:space="preserve"> </w:t>
      </w:r>
      <w:r w:rsidRPr="00AD13C1">
        <w:t xml:space="preserve">explored the benefit of assimilating another </w:t>
      </w:r>
      <w:r w:rsidRPr="00AD13C1">
        <w:rPr>
          <w:rFonts w:hint="eastAsia"/>
        </w:rPr>
        <w:t>s</w:t>
      </w:r>
      <w:r w:rsidRPr="00AD13C1">
        <w:t>atellite product, total precipitable water, in addition to CWP and radar data, in an idealized case study using a three-dimensional ensemble-variational system</w:t>
      </w:r>
      <w:r>
        <w:t xml:space="preserve"> </w:t>
      </w:r>
      <w:r>
        <w:fldChar w:fldCharType="begin"/>
      </w:r>
      <w:r w:rsidR="00186B73">
        <w:instrText xml:space="preserve"> ADDIN ZOTERO_ITEM CSL_CITATION {"citationID":"GY3D6BEF","properties":{"formattedCitation":"(Gao et al. 2016)","plainCitation":"(Gao et al. 2016)","dontUpdate":true,"noteIndex":0},"citationItems":[{"id":465,"uris":["http://zotero.org/users/local/6VSApgKp/items/R93AHVXK"],"itemData":{"id":465,"type":"article-journal","abstract":"Abstract An ensemble of the three-dimensional variational data assimilation (En3DA) method for convective-scale weather has been developed. It consists of an ensemble of three-dimensional variational data assimilations and forecasts in which member differences are introduced by perturbing initial conditions and/or observations, and it uses flow-dependent error covariances generated by the ensemble forecasts. The method is applied to the assimilation of simulated radar data for a supercell storm. Results indicate that the flow-dependent ensemble covariances are effective in enabling convective-scale analyses, as the most important features of the simulated storm, including the low-level cold pool and midlevel mesocyclone, are well analyzed. Several groups of sensitivity experiments are conducted to test the robustness of the method. The first group demonstrates that incorporating a mass continuity equation as a weak constraint into the En3DA algorithm can improve the quality of the analyses when radial velocity observations contain large errors. In the second group of experiments, the sensitivity of analyses to the microphysical parameterization scheme is explored. Results indicate that the En3DA analyses are quite sensitive to differences in the microphysics scheme, suggesting that ensemble forecasts with multiple microphysics schemes could reduce uncertainty related to model physics errors. Experiments also show that assimilating reflectivity observations can reduce spinup time and that it has a small positive impact on the quality of the wind field analysis. Of the threshold values tested for assimilating reflectivity observations, 15 dBZ provides the best analysis. The final group of experiments demonstrates that it is not necessary to perturb radial velocity observations for every ensemble number in order to improve the quality of the analysis.","container-title":"Journal of the Atmospheric Sciences","DOI":"10.1175/JAS-D-15-0311.1","ISSN":"0022-4928, 1520-0469","issue":"6","language":"EN","note":"publisher: American Meteorological Society\nsection: Journal of the Atmospheric Sciences","page":"2403-2426","source":"journals.ametsoc.org","title":"OSSEs for an Ensemble 3DVAR Data Assimilation System with Radar Observations of Convective Storms","volume":"73","author":[{"family":"Gao","given":"Jidong"},{"family":"Fu","given":"Chenghao"},{"family":"Stensrud","given":"David J."},{"family":"Kain","given":"John S."}],"issued":{"date-parts":[["2016",6,1]]},"citation-key":"gaoOSSEsEnsemble3DVAR2016"}}],"schema":"https://github.com/citation-style-language/schema/raw/master/csl-citation.json"} </w:instrText>
      </w:r>
      <w:r>
        <w:fldChar w:fldCharType="separate"/>
      </w:r>
      <w:r>
        <w:rPr>
          <w:noProof/>
        </w:rPr>
        <w:t>(</w:t>
      </w:r>
      <w:r w:rsidR="00BA19F9" w:rsidRPr="00AD13C1">
        <w:t>3DEn</w:t>
      </w:r>
      <w:r w:rsidR="00BA19F9">
        <w:t>VAR;</w:t>
      </w:r>
      <w:r w:rsidR="00BA19F9">
        <w:rPr>
          <w:noProof/>
        </w:rPr>
        <w:t xml:space="preserve"> </w:t>
      </w:r>
      <w:r>
        <w:rPr>
          <w:noProof/>
        </w:rPr>
        <w:t>Gao et al. 2016)</w:t>
      </w:r>
      <w:r>
        <w:fldChar w:fldCharType="end"/>
      </w:r>
      <w:r w:rsidRPr="00AD13C1">
        <w:t xml:space="preserve">. In this idealized case study, the forecasts that assimilated total precipitable water in addition to radar data were more accurate than those that assimilated only radar observations. </w:t>
      </w:r>
      <w:r>
        <w:fldChar w:fldCharType="begin"/>
      </w:r>
      <w:r w:rsidR="006E4F25">
        <w:instrText xml:space="preserve"> ADDIN ZOTERO_ITEM CSL_CITATION {"citationID":"S7P7rLiw","properties":{"formattedCitation":"(Wang et al. 2018)","plainCitation":"(Wang et al. 2018)","dontUpdate":true,"noteIndex":0},"citationItems":[{"id":499,"uris":["http://zotero.org/users/local/6VSApgKp/items/9ENNIZX5"],"itemData":{"id":499,"type":"article-journal","abstract":"Information about moisture distribution and transportation in the preconvection environment is very important for nowcasting and forecasting severe weather events. The Advanced Himawari Imager (AHI) onboard the Japanese Himawari-8/-9 provides high temporal and spatial resolution moisture information useful for weather monitoring and forecasting. Algorithms have been developed for three-layered precipitable water (LPW: surface to 0.9, 0.9–0.7, and 0.7–0.3 in sigma vertical coordinate) retrievals from AHI infrared band radiances using a Geostationary Operational Environmental Satellite-R series algorithm working group algorithm. The LPW products from AHI have been validated with in situ measurements. An important application of the AHI LPW product is to improve local severe storm forecasts through assimilating high temporal and spatial resolution moisture information into regional- and storm-scale numerical weather prediction (NWP) models. Assimilation techniques and approaches have been developed; the impact on precipitation forecasts for local severe storm over land from the assimilation of LPWs from AHI shows improvement on heavy precipitation forecasts over those from the assimilation of conventional data. Comparisons between AHI infrared band radiance assimilation and LPW assimilation show overall similar or comparable impact on precipitation forecast. The approaches for assimilating LPW can be applied to the assimilation of data from other advanced imagers such as the Advanced Baseline Imager onboard the U.S. next generation of Geostationary Operational Environmental Satellites-R series, the Advanced Geosynchronous Radiation Imager onboard the Chinese FengYun-4 series, and the Flexible Combined Imager onboard the upcoming European Meteosat Third Generation.","container-title":"Journal of Geophysical Research: Atmospheres","DOI":"10.1029/2017JD028012","ISSN":"2169-8996","issue":"11","language":"en","note":"_eprint: https://onlinelibrary.wiley.com/doi/pdf/10.1029/2017JD028012","page":"6022-6038","source":"Wiley Online Library","title":"Impact of Moisture Information From Advanced Himawari Imager Measurements on Heavy Precipitation Forecasts in a Regional NWP Model","volume":"123","author":[{"family":"Wang","given":"Pei"},{"family":"Li","given":"Jun"},{"family":"Lu","given":"Bing"},{"family":"Schmit","given":"Timothy J."},{"family":"Lu","given":"Jiazhen"},{"family":"Lee","given":"Yong-Keun"},{"family":"Li","given":"Jinlong"},{"family":"Liu","given":"Zhiquan"}],"issued":{"date-parts":[["2018"]]},"citation-key":"wangImpactMoistureInformation2018"}}],"schema":"https://github.com/citation-style-language/schema/raw/master/csl-citation.json"} </w:instrText>
      </w:r>
      <w:r>
        <w:fldChar w:fldCharType="separate"/>
      </w:r>
      <w:r>
        <w:rPr>
          <w:noProof/>
        </w:rPr>
        <w:t>Wang et al. (2018)</w:t>
      </w:r>
      <w:r>
        <w:fldChar w:fldCharType="end"/>
      </w:r>
      <w:r>
        <w:t xml:space="preserve"> </w:t>
      </w:r>
      <w:r w:rsidRPr="00AD13C1">
        <w:t>also found that the assimilation of the three-layer precipitable water product derived from the Advanced Himawari Imager in regional NWP improved heavy precipitation forecasts</w:t>
      </w:r>
      <w:r w:rsidRPr="00AD13C1">
        <w:rPr>
          <w:rFonts w:hint="eastAsia"/>
        </w:rPr>
        <w:t>,</w:t>
      </w:r>
      <w:r w:rsidRPr="00AD13C1">
        <w:t xml:space="preserve"> especially when the assimilation was combined with appropriate cumulus and microphysical schemes</w:t>
      </w:r>
      <w:r>
        <w:t xml:space="preserve"> </w:t>
      </w:r>
      <w:r>
        <w:fldChar w:fldCharType="begin"/>
      </w:r>
      <w:r>
        <w:instrText xml:space="preserve"> ADDIN ZOTERO_ITEM CSL_CITATION {"citationID":"YAaaswHA","properties":{"formattedCitation":"(Lu et al. 2019)","plainCitation":"(Lu et al. 2019)","noteIndex":0},"citationItems":[{"id":501,"uris":["http://zotero.org/users/local/6VSApgKp/items/UXT7WCPX"],"itemData":{"id":501,"type":"article-journal","abstract":"Understanding moisture information ahead of tropical cyclone (TC) convection is very important for predicting TC track, intensity, and precipitation. The advanced Himawari imager onboard the Japanese Himawari-8/-9 satellite can provide high spatial and temporal resolution moisture information. Three-layered precipitable water (LPW) with its three water vapor absorption infrared bands can be assimilated to generate better understanding and prediction of TC evolution. The impacts of LPW assimilation in the Weather Research and Forecasting model with nine combinations of physical parameterization schemes, including three cumulus parameterization (CP) and three microphysics parameterization (MP) schemes on TC prediction, have been comprehensively analyzed using Typhoon Hato as a case study. The results indicate that LPW assimilation reduces the average track error and speed up TC movement by better adjustment of the atmospheric circulation fields via changing the vertical structure of moisture and thermal profile. The track forecasts retain sensitivity to CP schemes after LPW assimilation. Also, LPW assimilation improves TC intensity prediction because the latent heat release process is accurately adjusted. It has been revealed that LPW assimilation can weaken the intensity sensitivity to MP schemes more than to CP schemes. Skill scores were used to evaluate precipitation forecasts after Hato's landfall. The results indicate that heavy precipitation forecasts are more sensitive to the choice of MP schemes. After LPW assimilation, the equitable threat scores among different results become similar and all forecast skills are increased. In addition, group statistic results with different initial time show the same conclusions.","container-title":"Journal of Geophysical Research: Atmospheres","DOI":"10.1029/2018JD029364","ISSN":"2169-8996","issue":"6","language":"en","note":"_eprint: https://onlinelibrary.wiley.com/doi/pdf/10.1029/2018JD029364","page":"3050-3071","source":"Wiley Online Library","title":"Impact of Assimilating Himawari-8-Derived Layered Precipitable Water With Varying Cumulus and Microphysics Parameterization Schemes on the Simulation of Typhoon Hato","volume":"124","author":[{"family":"Lu","given":"Jiazheng"},{"family":"Feng","given":"Tao"},{"family":"Li","given":"Jun"},{"family":"Cai","given":"Zelin"},{"family":"Xu","given":"Xunjian"},{"family":"Li","given":"Li"},{"family":"Li","given":"Jinlong"}],"issued":{"date-parts":[["2019"]]},"citation-key":"luImpactAssimilatingHimawari8Derived2019"}}],"schema":"https://github.com/citation-style-language/schema/raw/master/csl-citation.json"} </w:instrText>
      </w:r>
      <w:r>
        <w:fldChar w:fldCharType="separate"/>
      </w:r>
      <w:r>
        <w:rPr>
          <w:noProof/>
        </w:rPr>
        <w:t>(Lu et al. 2019)</w:t>
      </w:r>
      <w:r>
        <w:fldChar w:fldCharType="end"/>
      </w:r>
      <w:r w:rsidRPr="00AD13C1">
        <w:t xml:space="preserve">. Based on </w:t>
      </w:r>
      <w:r w:rsidRPr="00AD13C1">
        <w:lastRenderedPageBreak/>
        <w:t xml:space="preserve">these findings, we believe that the assimilation of satellite derived water related products has the potential to improve </w:t>
      </w:r>
      <w:r w:rsidR="002C1860">
        <w:t>convective-scale</w:t>
      </w:r>
      <w:r w:rsidRPr="00AD13C1">
        <w:t xml:space="preserve"> NWP by providing more accurate model initial conditions especially for moisture and thermodynamic variables.</w:t>
      </w:r>
    </w:p>
    <w:p w14:paraId="0872D95A" w14:textId="7A2C32B5" w:rsidR="00AD13C1" w:rsidRPr="00AD13C1" w:rsidRDefault="00AD13C1" w:rsidP="005E6E5D">
      <w:r w:rsidRPr="00AD13C1">
        <w:t xml:space="preserve">The </w:t>
      </w:r>
      <w:r w:rsidR="00BA19F9">
        <w:t>LPW</w:t>
      </w:r>
      <w:r w:rsidRPr="00AD13C1">
        <w:t xml:space="preserve"> is one of the products of the newly launched GOES-16/17 satellites, and its usefulness to convective-scale NWP has not been </w:t>
      </w:r>
      <w:r w:rsidR="00DC333A">
        <w:t xml:space="preserve">extensively </w:t>
      </w:r>
      <w:r w:rsidRPr="00AD13C1">
        <w:t xml:space="preserve">studied to our knowledge. </w:t>
      </w:r>
      <w:r w:rsidR="00946AF9" w:rsidRPr="00AD13C1">
        <w:t>So,</w:t>
      </w:r>
      <w:r w:rsidRPr="00AD13C1">
        <w:t xml:space="preserve"> in this </w:t>
      </w:r>
      <w:r>
        <w:t>chapter</w:t>
      </w:r>
      <w:r w:rsidRPr="00AD13C1">
        <w:t xml:space="preserve">, we evaluate the added value of assimilating LPW and CWP products on short-term </w:t>
      </w:r>
      <w:r w:rsidR="002C1860">
        <w:t>convective-scale</w:t>
      </w:r>
      <w:r w:rsidRPr="00AD13C1">
        <w:t xml:space="preserve"> NWP using </w:t>
      </w:r>
      <w:r>
        <w:t>the WoF-Hybrid</w:t>
      </w:r>
      <w:r w:rsidRPr="00AD13C1">
        <w:t xml:space="preserve"> system. Three </w:t>
      </w:r>
      <w:r>
        <w:t>high</w:t>
      </w:r>
      <w:r w:rsidR="00101AEA">
        <w:t>-</w:t>
      </w:r>
      <w:r>
        <w:t>impact w</w:t>
      </w:r>
      <w:r w:rsidRPr="00AD13C1">
        <w:t xml:space="preserve">eather events occurring in May 2017 are assessed (Table </w:t>
      </w:r>
      <w:r>
        <w:t>3.</w:t>
      </w:r>
      <w:r w:rsidRPr="00AD13C1">
        <w:t xml:space="preserve">1) by comparing analyses and short-term forecasts from three sensitivity experiments. The first experiment does not assimilate any observations. The second experiment uses only </w:t>
      </w:r>
      <w:r w:rsidR="00946AF9" w:rsidRPr="00AD13C1">
        <w:t xml:space="preserve">radar observations from WSR-88D network </w:t>
      </w:r>
      <w:r w:rsidRPr="00AD13C1">
        <w:t xml:space="preserve">and surface observations. The last group of experiments use </w:t>
      </w:r>
      <w:r w:rsidR="00B54B9C" w:rsidRPr="00AD13C1">
        <w:t>satellite derived</w:t>
      </w:r>
      <w:r w:rsidRPr="00AD13C1">
        <w:t xml:space="preserve"> CWP and LPW products together with radar and surface observations. The added value for the assimilation of additional satellite observations can be easily assessed by comparing the above experiments. These three events represent different weather regimes, allowing to test the </w:t>
      </w:r>
      <w:r w:rsidRPr="00AD13C1">
        <w:rPr>
          <w:rFonts w:hint="eastAsia"/>
        </w:rPr>
        <w:t>applicability</w:t>
      </w:r>
      <w:r w:rsidRPr="00AD13C1">
        <w:t xml:space="preserve"> and effectiveness of the satellite-derived products in different weather scenarios. </w:t>
      </w:r>
    </w:p>
    <w:p w14:paraId="7F9EA93C" w14:textId="076CC82C" w:rsidR="00AD13C1" w:rsidRPr="00946AF9" w:rsidRDefault="00AD13C1" w:rsidP="00946AF9">
      <w:pPr>
        <w:pStyle w:val="NoSpacing"/>
      </w:pPr>
    </w:p>
    <w:p w14:paraId="7347EBBD" w14:textId="7340DFF0" w:rsidR="00AB57EE" w:rsidRPr="00D60A80" w:rsidRDefault="00AB57EE" w:rsidP="00AB57EE">
      <w:pPr>
        <w:pStyle w:val="Captions"/>
        <w:rPr>
          <w:szCs w:val="24"/>
        </w:rPr>
      </w:pPr>
      <w:bookmarkStart w:id="32" w:name="_Hlk53599120"/>
      <w:bookmarkStart w:id="33" w:name="_Toc134695257"/>
      <w:r w:rsidRPr="00D60A80">
        <w:rPr>
          <w:szCs w:val="24"/>
        </w:rPr>
        <w:t xml:space="preserve">Table </w:t>
      </w:r>
      <w:r w:rsidR="00C96E3B" w:rsidRPr="00D60A80">
        <w:rPr>
          <w:szCs w:val="24"/>
        </w:rPr>
        <w:fldChar w:fldCharType="begin"/>
      </w:r>
      <w:r w:rsidR="00C96E3B" w:rsidRPr="00D60A80">
        <w:rPr>
          <w:szCs w:val="24"/>
        </w:rPr>
        <w:instrText xml:space="preserve"> STYLEREF 1 \s </w:instrText>
      </w:r>
      <w:r w:rsidR="00C96E3B" w:rsidRPr="00D60A80">
        <w:rPr>
          <w:szCs w:val="24"/>
        </w:rPr>
        <w:fldChar w:fldCharType="separate"/>
      </w:r>
      <w:r w:rsidR="00EF6098" w:rsidRPr="00D60A80">
        <w:rPr>
          <w:noProof/>
          <w:szCs w:val="24"/>
        </w:rPr>
        <w:t>3</w:t>
      </w:r>
      <w:r w:rsidR="00C96E3B" w:rsidRPr="00D60A80">
        <w:rPr>
          <w:noProof/>
          <w:szCs w:val="24"/>
        </w:rPr>
        <w:fldChar w:fldCharType="end"/>
      </w:r>
      <w:r w:rsidR="00EF6098" w:rsidRPr="00D60A80">
        <w:rPr>
          <w:szCs w:val="24"/>
        </w:rPr>
        <w:t>.</w:t>
      </w:r>
      <w:r w:rsidR="00C96E3B" w:rsidRPr="00D60A80">
        <w:rPr>
          <w:szCs w:val="24"/>
        </w:rPr>
        <w:fldChar w:fldCharType="begin"/>
      </w:r>
      <w:r w:rsidR="00C96E3B" w:rsidRPr="00D60A80">
        <w:rPr>
          <w:szCs w:val="24"/>
        </w:rPr>
        <w:instrText xml:space="preserve"> SEQ Table \* ARABIC \s 1 </w:instrText>
      </w:r>
      <w:r w:rsidR="00C96E3B" w:rsidRPr="00D60A80">
        <w:rPr>
          <w:szCs w:val="24"/>
        </w:rPr>
        <w:fldChar w:fldCharType="separate"/>
      </w:r>
      <w:r w:rsidR="00EF6098" w:rsidRPr="00D60A80">
        <w:rPr>
          <w:noProof/>
          <w:szCs w:val="24"/>
        </w:rPr>
        <w:t>1</w:t>
      </w:r>
      <w:r w:rsidR="00C96E3B" w:rsidRPr="00D60A80">
        <w:rPr>
          <w:noProof/>
          <w:szCs w:val="24"/>
        </w:rPr>
        <w:fldChar w:fldCharType="end"/>
      </w:r>
      <w:r w:rsidRPr="00D60A80">
        <w:rPr>
          <w:szCs w:val="24"/>
        </w:rPr>
        <w:t xml:space="preserve"> List of three high</w:t>
      </w:r>
      <w:r w:rsidR="00101AEA" w:rsidRPr="00D60A80">
        <w:rPr>
          <w:szCs w:val="24"/>
        </w:rPr>
        <w:t>-</w:t>
      </w:r>
      <w:r w:rsidRPr="00D60A80">
        <w:rPr>
          <w:szCs w:val="24"/>
        </w:rPr>
        <w:t>impact weather events for assessing the impact of assimilating GOES-13/16 retrieval observations in convective-scale NWP.</w:t>
      </w:r>
      <w:bookmarkEnd w:id="32"/>
      <w:r w:rsidRPr="00D60A80">
        <w:rPr>
          <w:szCs w:val="24"/>
        </w:rPr>
        <w:t xml:space="preserve"> 3- to 6-hour forecasts are launched at 1-hour intervals from 2000 to 2300 UTC.</w:t>
      </w:r>
      <w:bookmarkEnd w:id="33"/>
    </w:p>
    <w:tbl>
      <w:tblPr>
        <w:tblStyle w:val="TableGrid5"/>
        <w:tblW w:w="9360" w:type="dxa"/>
        <w:tblLook w:val="04A0" w:firstRow="1" w:lastRow="0" w:firstColumn="1" w:lastColumn="0" w:noHBand="0" w:noVBand="1"/>
      </w:tblPr>
      <w:tblGrid>
        <w:gridCol w:w="2160"/>
        <w:gridCol w:w="4608"/>
        <w:gridCol w:w="2592"/>
      </w:tblGrid>
      <w:tr w:rsidR="00AD13C1" w:rsidRPr="00AD13C1" w14:paraId="313478E1" w14:textId="77777777" w:rsidTr="00472D88">
        <w:tc>
          <w:tcPr>
            <w:tcW w:w="2160" w:type="dxa"/>
            <w:vAlign w:val="center"/>
          </w:tcPr>
          <w:p w14:paraId="04CF4CF9" w14:textId="77777777" w:rsidR="00AD13C1" w:rsidRPr="00AD13C1" w:rsidRDefault="00AD13C1" w:rsidP="00472D88">
            <w:pPr>
              <w:spacing w:line="240" w:lineRule="auto"/>
              <w:ind w:firstLine="0"/>
              <w:jc w:val="center"/>
              <w:rPr>
                <w:rFonts w:eastAsia="Times New Roman" w:cs="Times New Roman"/>
                <w:szCs w:val="24"/>
              </w:rPr>
            </w:pPr>
            <w:r w:rsidRPr="00AD13C1">
              <w:rPr>
                <w:rFonts w:eastAsia="Times New Roman" w:cs="Times New Roman"/>
                <w:szCs w:val="24"/>
              </w:rPr>
              <w:t>Event</w:t>
            </w:r>
          </w:p>
        </w:tc>
        <w:tc>
          <w:tcPr>
            <w:tcW w:w="4608" w:type="dxa"/>
            <w:vAlign w:val="center"/>
          </w:tcPr>
          <w:p w14:paraId="1FC8AEC5" w14:textId="77777777" w:rsidR="00AD13C1" w:rsidRPr="00AD13C1" w:rsidRDefault="00AD13C1" w:rsidP="00472D88">
            <w:pPr>
              <w:spacing w:line="240" w:lineRule="auto"/>
              <w:ind w:firstLine="0"/>
              <w:jc w:val="center"/>
              <w:rPr>
                <w:rFonts w:eastAsia="Times New Roman" w:cs="Times New Roman"/>
                <w:szCs w:val="24"/>
              </w:rPr>
            </w:pPr>
            <w:r w:rsidRPr="00AD13C1">
              <w:rPr>
                <w:rFonts w:eastAsia="Times New Roman" w:cs="Times New Roman"/>
                <w:szCs w:val="24"/>
              </w:rPr>
              <w:t>Region</w:t>
            </w:r>
          </w:p>
        </w:tc>
        <w:tc>
          <w:tcPr>
            <w:tcW w:w="2592" w:type="dxa"/>
            <w:vAlign w:val="center"/>
          </w:tcPr>
          <w:p w14:paraId="70E58BE3" w14:textId="77777777" w:rsidR="00AD13C1" w:rsidRPr="00AD13C1" w:rsidRDefault="00AD13C1" w:rsidP="00472D88">
            <w:pPr>
              <w:spacing w:line="240" w:lineRule="auto"/>
              <w:ind w:firstLine="0"/>
              <w:jc w:val="center"/>
              <w:rPr>
                <w:rFonts w:eastAsia="Times New Roman" w:cs="Times New Roman"/>
                <w:szCs w:val="24"/>
              </w:rPr>
            </w:pPr>
            <w:r w:rsidRPr="00AD13C1">
              <w:rPr>
                <w:rFonts w:eastAsia="Times New Roman" w:cs="Times New Roman"/>
                <w:szCs w:val="24"/>
              </w:rPr>
              <w:t>Period</w:t>
            </w:r>
          </w:p>
        </w:tc>
      </w:tr>
      <w:tr w:rsidR="00AD13C1" w:rsidRPr="00AD13C1" w14:paraId="08E0C560" w14:textId="77777777" w:rsidTr="00472D88">
        <w:tc>
          <w:tcPr>
            <w:tcW w:w="2160" w:type="dxa"/>
            <w:vAlign w:val="center"/>
          </w:tcPr>
          <w:p w14:paraId="450E1B7E" w14:textId="77777777" w:rsidR="00AD13C1" w:rsidRPr="00AD13C1" w:rsidRDefault="00AD13C1" w:rsidP="00472D88">
            <w:pPr>
              <w:spacing w:line="240" w:lineRule="auto"/>
              <w:ind w:firstLine="0"/>
              <w:jc w:val="center"/>
              <w:rPr>
                <w:rFonts w:eastAsia="Times New Roman" w:cs="Times New Roman"/>
                <w:szCs w:val="24"/>
              </w:rPr>
            </w:pPr>
            <w:r w:rsidRPr="00AD13C1">
              <w:rPr>
                <w:rFonts w:eastAsia="Times New Roman" w:cs="Times New Roman"/>
                <w:szCs w:val="24"/>
              </w:rPr>
              <w:t>10 May 2017</w:t>
            </w:r>
          </w:p>
        </w:tc>
        <w:tc>
          <w:tcPr>
            <w:tcW w:w="4608" w:type="dxa"/>
            <w:vAlign w:val="center"/>
          </w:tcPr>
          <w:p w14:paraId="49417CC0" w14:textId="77777777" w:rsidR="00AD13C1" w:rsidRPr="00AD13C1" w:rsidRDefault="00AD13C1" w:rsidP="00472D88">
            <w:pPr>
              <w:spacing w:line="240" w:lineRule="auto"/>
              <w:ind w:firstLine="0"/>
              <w:jc w:val="center"/>
              <w:rPr>
                <w:rFonts w:eastAsia="Times New Roman" w:cs="Times New Roman"/>
                <w:szCs w:val="24"/>
              </w:rPr>
            </w:pPr>
            <w:r w:rsidRPr="00AD13C1">
              <w:rPr>
                <w:rFonts w:eastAsia="Times New Roman" w:cs="Times New Roman"/>
                <w:szCs w:val="24"/>
              </w:rPr>
              <w:t>Northern TX/Southern OK</w:t>
            </w:r>
          </w:p>
        </w:tc>
        <w:tc>
          <w:tcPr>
            <w:tcW w:w="2592" w:type="dxa"/>
            <w:vAlign w:val="center"/>
          </w:tcPr>
          <w:p w14:paraId="705BB2A1" w14:textId="77777777" w:rsidR="00AD13C1" w:rsidRPr="00AD13C1" w:rsidRDefault="00AD13C1" w:rsidP="00472D88">
            <w:pPr>
              <w:spacing w:line="240" w:lineRule="auto"/>
              <w:ind w:firstLine="0"/>
              <w:jc w:val="center"/>
              <w:rPr>
                <w:rFonts w:eastAsia="Times New Roman" w:cs="Times New Roman"/>
                <w:szCs w:val="24"/>
              </w:rPr>
            </w:pPr>
            <w:r w:rsidRPr="00AD13C1">
              <w:rPr>
                <w:rFonts w:eastAsia="Times New Roman" w:cs="Times New Roman"/>
                <w:szCs w:val="24"/>
              </w:rPr>
              <w:t>2000 – 0200 UTC</w:t>
            </w:r>
          </w:p>
        </w:tc>
      </w:tr>
      <w:tr w:rsidR="00AD13C1" w:rsidRPr="00AD13C1" w14:paraId="416B4501" w14:textId="77777777" w:rsidTr="00472D88">
        <w:tc>
          <w:tcPr>
            <w:tcW w:w="2160" w:type="dxa"/>
            <w:vAlign w:val="center"/>
          </w:tcPr>
          <w:p w14:paraId="3200A328" w14:textId="77777777" w:rsidR="00AD13C1" w:rsidRPr="00AD13C1" w:rsidRDefault="00AD13C1" w:rsidP="00472D88">
            <w:pPr>
              <w:spacing w:line="240" w:lineRule="auto"/>
              <w:ind w:firstLine="0"/>
              <w:jc w:val="center"/>
              <w:rPr>
                <w:rFonts w:eastAsia="Times New Roman" w:cs="Times New Roman"/>
                <w:szCs w:val="24"/>
              </w:rPr>
            </w:pPr>
            <w:r w:rsidRPr="00AD13C1">
              <w:rPr>
                <w:rFonts w:eastAsia="Times New Roman" w:cs="Times New Roman"/>
                <w:szCs w:val="24"/>
              </w:rPr>
              <w:t>16 May 2017</w:t>
            </w:r>
          </w:p>
        </w:tc>
        <w:tc>
          <w:tcPr>
            <w:tcW w:w="4608" w:type="dxa"/>
            <w:vAlign w:val="center"/>
          </w:tcPr>
          <w:p w14:paraId="5D80009C" w14:textId="77777777" w:rsidR="00AD13C1" w:rsidRPr="00AD13C1" w:rsidRDefault="00AD13C1" w:rsidP="00472D88">
            <w:pPr>
              <w:spacing w:line="240" w:lineRule="auto"/>
              <w:ind w:firstLine="0"/>
              <w:jc w:val="center"/>
              <w:rPr>
                <w:rFonts w:eastAsia="Times New Roman" w:cs="Times New Roman"/>
                <w:szCs w:val="24"/>
              </w:rPr>
            </w:pPr>
            <w:r w:rsidRPr="00AD13C1">
              <w:rPr>
                <w:rFonts w:eastAsia="Times New Roman" w:cs="Times New Roman"/>
                <w:szCs w:val="24"/>
              </w:rPr>
              <w:t>TX Panhandle/Southwestern OK</w:t>
            </w:r>
          </w:p>
        </w:tc>
        <w:tc>
          <w:tcPr>
            <w:tcW w:w="2592" w:type="dxa"/>
            <w:vAlign w:val="center"/>
          </w:tcPr>
          <w:p w14:paraId="12A43AAA" w14:textId="77777777" w:rsidR="00AD13C1" w:rsidRPr="00AD13C1" w:rsidRDefault="00AD13C1" w:rsidP="00472D88">
            <w:pPr>
              <w:spacing w:line="240" w:lineRule="auto"/>
              <w:ind w:firstLine="0"/>
              <w:jc w:val="center"/>
              <w:rPr>
                <w:rFonts w:eastAsia="Times New Roman" w:cs="Times New Roman"/>
                <w:szCs w:val="24"/>
              </w:rPr>
            </w:pPr>
            <w:r w:rsidRPr="00AD13C1">
              <w:rPr>
                <w:rFonts w:eastAsia="Times New Roman" w:cs="Times New Roman"/>
                <w:szCs w:val="24"/>
              </w:rPr>
              <w:t>2000 – 0100 UTC</w:t>
            </w:r>
          </w:p>
        </w:tc>
      </w:tr>
      <w:tr w:rsidR="00AD13C1" w:rsidRPr="00AD13C1" w14:paraId="5334DA18" w14:textId="77777777" w:rsidTr="00472D88">
        <w:tc>
          <w:tcPr>
            <w:tcW w:w="2160" w:type="dxa"/>
            <w:vAlign w:val="center"/>
          </w:tcPr>
          <w:p w14:paraId="4B430883" w14:textId="77777777" w:rsidR="00AD13C1" w:rsidRPr="00AD13C1" w:rsidRDefault="00AD13C1" w:rsidP="00472D88">
            <w:pPr>
              <w:spacing w:line="240" w:lineRule="auto"/>
              <w:ind w:firstLine="0"/>
              <w:jc w:val="center"/>
              <w:rPr>
                <w:rFonts w:eastAsia="Times New Roman" w:cs="Times New Roman"/>
                <w:szCs w:val="24"/>
              </w:rPr>
            </w:pPr>
            <w:r w:rsidRPr="00AD13C1">
              <w:rPr>
                <w:rFonts w:eastAsia="Times New Roman" w:cs="Times New Roman"/>
                <w:szCs w:val="24"/>
              </w:rPr>
              <w:t>26 May 2017</w:t>
            </w:r>
          </w:p>
        </w:tc>
        <w:tc>
          <w:tcPr>
            <w:tcW w:w="4608" w:type="dxa"/>
            <w:vAlign w:val="center"/>
          </w:tcPr>
          <w:p w14:paraId="65AA5890" w14:textId="77777777" w:rsidR="00AD13C1" w:rsidRPr="00AD13C1" w:rsidRDefault="00AD13C1" w:rsidP="00472D88">
            <w:pPr>
              <w:spacing w:line="240" w:lineRule="auto"/>
              <w:ind w:firstLine="0"/>
              <w:jc w:val="center"/>
              <w:rPr>
                <w:rFonts w:eastAsia="Times New Roman" w:cs="Times New Roman"/>
                <w:szCs w:val="24"/>
              </w:rPr>
            </w:pPr>
            <w:r w:rsidRPr="00AD13C1">
              <w:rPr>
                <w:rFonts w:eastAsia="Times New Roman" w:cs="Times New Roman"/>
                <w:szCs w:val="24"/>
              </w:rPr>
              <w:t>Eastern CO</w:t>
            </w:r>
          </w:p>
        </w:tc>
        <w:tc>
          <w:tcPr>
            <w:tcW w:w="2592" w:type="dxa"/>
            <w:vAlign w:val="center"/>
          </w:tcPr>
          <w:p w14:paraId="53147762" w14:textId="77777777" w:rsidR="00AD13C1" w:rsidRPr="00AD13C1" w:rsidRDefault="00AD13C1" w:rsidP="00472D88">
            <w:pPr>
              <w:spacing w:line="240" w:lineRule="auto"/>
              <w:ind w:firstLine="0"/>
              <w:jc w:val="center"/>
              <w:rPr>
                <w:rFonts w:eastAsia="Times New Roman" w:cs="Times New Roman"/>
                <w:szCs w:val="24"/>
              </w:rPr>
            </w:pPr>
            <w:r w:rsidRPr="00AD13C1">
              <w:rPr>
                <w:rFonts w:eastAsia="Times New Roman" w:cs="Times New Roman"/>
                <w:szCs w:val="24"/>
              </w:rPr>
              <w:t>2000 – 0100 UTC</w:t>
            </w:r>
          </w:p>
        </w:tc>
      </w:tr>
    </w:tbl>
    <w:p w14:paraId="469678A0" w14:textId="77777777" w:rsidR="00946AF9" w:rsidRDefault="00946AF9" w:rsidP="00946AF9">
      <w:pPr>
        <w:pStyle w:val="NoSpacing"/>
      </w:pPr>
    </w:p>
    <w:p w14:paraId="6634D2BB" w14:textId="28647815" w:rsidR="00843D4E" w:rsidRDefault="00946AF9" w:rsidP="00946AF9">
      <w:r w:rsidRPr="00AD13C1">
        <w:t xml:space="preserve">The remainder of this </w:t>
      </w:r>
      <w:r>
        <w:t>chapter</w:t>
      </w:r>
      <w:r w:rsidRPr="00AD13C1">
        <w:t xml:space="preserve"> is organized as follows. Section </w:t>
      </w:r>
      <w:r>
        <w:t>3.</w:t>
      </w:r>
      <w:r w:rsidRPr="00AD13C1">
        <w:t xml:space="preserve">2 describes </w:t>
      </w:r>
      <w:r>
        <w:t>newly implemented CWP and LPW forward operators in the WoF-Hybrid system</w:t>
      </w:r>
      <w:r w:rsidRPr="00AD13C1">
        <w:t>. The mode</w:t>
      </w:r>
      <w:r>
        <w:t>l</w:t>
      </w:r>
      <w:r w:rsidRPr="00AD13C1">
        <w:t xml:space="preserve"> configuration </w:t>
      </w:r>
      <w:r>
        <w:t xml:space="preserve">and experimental design </w:t>
      </w:r>
      <w:r w:rsidRPr="00AD13C1">
        <w:t xml:space="preserve">are briefly introduced in section </w:t>
      </w:r>
      <w:r>
        <w:t>3.</w:t>
      </w:r>
      <w:r w:rsidRPr="00AD13C1">
        <w:t xml:space="preserve">3. Section </w:t>
      </w:r>
      <w:r>
        <w:t>3.4</w:t>
      </w:r>
      <w:r w:rsidRPr="00AD13C1">
        <w:t xml:space="preserve"> presents a synthesis of the current work followed by concluding remarks </w:t>
      </w:r>
      <w:r>
        <w:t>in the final section</w:t>
      </w:r>
      <w:r w:rsidRPr="00AD13C1">
        <w:t>.</w:t>
      </w:r>
    </w:p>
    <w:p w14:paraId="315F92AC" w14:textId="77777777" w:rsidR="00946AF9" w:rsidRDefault="00946AF9" w:rsidP="00946AF9"/>
    <w:p w14:paraId="0018168C" w14:textId="21BB3A8F" w:rsidR="00AD13C1" w:rsidRPr="00946AF9" w:rsidRDefault="00D92996" w:rsidP="00946AF9">
      <w:pPr>
        <w:pStyle w:val="Heading2"/>
      </w:pPr>
      <w:bookmarkStart w:id="34" w:name="_Toc130995437"/>
      <w:bookmarkStart w:id="35" w:name="_Toc131018302"/>
      <w:r w:rsidRPr="00946AF9">
        <w:t>CWP and LPW Forward Operators</w:t>
      </w:r>
      <w:bookmarkEnd w:id="34"/>
      <w:bookmarkEnd w:id="35"/>
    </w:p>
    <w:p w14:paraId="79A6C2EE" w14:textId="412086B9" w:rsidR="00A370AE" w:rsidRPr="00946AF9" w:rsidRDefault="00D92996" w:rsidP="00946AF9">
      <w:pPr>
        <w:pStyle w:val="Heading3"/>
      </w:pPr>
      <w:bookmarkStart w:id="36" w:name="_Toc130995438"/>
      <w:bookmarkStart w:id="37" w:name="_Toc131018303"/>
      <w:r w:rsidRPr="00946AF9">
        <w:t>CWP</w:t>
      </w:r>
      <w:r w:rsidR="00A370AE" w:rsidRPr="00946AF9">
        <w:t xml:space="preserve"> from GOES-13 Imager measurements</w:t>
      </w:r>
      <w:bookmarkEnd w:id="36"/>
      <w:bookmarkEnd w:id="37"/>
    </w:p>
    <w:p w14:paraId="0D911BFA" w14:textId="77777777" w:rsidR="00A370AE" w:rsidRPr="00506D3C" w:rsidRDefault="00A370AE" w:rsidP="00A370AE">
      <w:pPr>
        <w:rPr>
          <w:rFonts w:eastAsia="Times New Roman" w:cs="Times New Roman"/>
          <w:szCs w:val="24"/>
        </w:rPr>
      </w:pPr>
      <w:r w:rsidRPr="00506D3C">
        <w:rPr>
          <w:rFonts w:eastAsia="Times New Roman" w:cs="Times New Roman"/>
          <w:szCs w:val="24"/>
        </w:rPr>
        <w:t xml:space="preserve">The GOES-M series imager allows sampling of visible and infrared radiation over the continental United States (CONUS) every 5 – 15 minutes on-demand basis. The CWP is retrieved from GOES-M imager radiances with a 4-km resolution for cloudy pixels using the Visible Infrared Solar-Infrared Split-Window Technique </w:t>
      </w:r>
      <w:r w:rsidRPr="00506D3C">
        <w:rPr>
          <w:rFonts w:eastAsia="Times New Roman" w:cs="Times New Roman"/>
          <w:szCs w:val="24"/>
        </w:rPr>
        <w:fldChar w:fldCharType="begin"/>
      </w:r>
      <w:r w:rsidRPr="00506D3C">
        <w:rPr>
          <w:rFonts w:eastAsia="Times New Roman" w:cs="Times New Roman"/>
          <w:szCs w:val="24"/>
        </w:rPr>
        <w:instrText xml:space="preserve"> ADDIN ZOTERO_ITEM CSL_CITATION {"citationID":"KqvZazvO","properties":{"formattedCitation":"(Minnis et al. 2011)","plainCitation":"(Minnis et al. 2011)","noteIndex":0},"citationItems":[{"id":479,"uris":["http://zotero.org/users/local/6VSApgKp/items/FVJUHE3Z"],"itemData":{"id":479,"type":"article-journal","abstract":"The National Aeronautics and Space Administration's Clouds and the Earth's Radiant Energy System (CERES) Project was designed to improve our understanding of the relationship between clouds and solar and longwave radiation. This is achieved using satellite broad-band instruments to map the top-of-atmosphere radiation fields with coincident data from satellite narrow-band imagers employed to retrieve the properties of clouds associated with those fields. This paper documents the CERES Edition-2 cloud property retrieval system used to analyze data from the Tropical Rainfall Measuring Mission Visible and Infrared Scanner and by the MODerate-resolution Imaging Spectrometer instruments on board the Terra and Aqua satellites covering the period 1998 through 2007. Two daytime retrieval methods are explained: the Visible Infrared Shortwave-infrared Split-window Technique for snow-free surfaces and the Shortwave-infrared Infrared Near-infrared Technique for snow or ice-covered surfaces. The Shortwave-infrared Infrared Split-window Technique is used for all surfaces at night. These methods, along with the ancillary data and empirical parameterizations of cloud thickness, are used to derive cloud boundaries, phase, optical depth, effective particle size, and condensed/frozen water path at both pixel and CERES footprint levels. Additional information is presented, detailing the potential effects of satellite calibration differences, highlighting methods to compensate for spectral differences and correct for atmospheric absorption and emissivity, and discussing known errors in the code. Because a consistent set of algorithms, auxiliary input, and calibrations across platforms are used, instrument and algorithm-induced changes in the data record are minimized. This facilitates the use of the CERES data products for studying climate-scale trends.","container-title":"IEEE Transactions on Geoscience and Remote Sensing","DOI":"10.1109/TGRS.2011.2144601","ISSN":"1558-0644","issue":"11","note":"event-title: IEEE Transactions on Geoscience and Remote Sensing","page":"4374-4400","source":"IEEE Xplore","title":"CERES Edition-2 Cloud Property Retrievals Using TRMM VIRS and Terra and Aqua MODIS Data—Part I: Algorithms","title-short":"CERES Edition-2 Cloud Property Retrievals Using TRMM VIRS and Terra and Aqua MODIS Data—Part I","volume":"49","author":[{"family":"Minnis","given":"Patrick"},{"family":"Sun-Mack","given":"Szedung"},{"family":"Young","given":"David F."},{"family":"Heck","given":"Patrick W."},{"family":"Garber","given":"Donald P."},{"family":"Chen","given":"Yan"},{"family":"Spangenberg","given":"Douglas A."},{"family":"Arduini","given":"Robert F."},{"family":"Trepte","given":"Qing Z."},{"family":"Smith","given":"William L."},{"family":"Ayers","given":"J. Kirk"},{"family":"Gibson","given":"Sharon C."},{"family":"Miller","given":"Walter F."},{"family":"Hong","given":"Gang"},{"family":"Chakrapani","given":"Venkatesan"},{"family":"Takano","given":"Yoshihide"},{"family":"Liou","given":"Kuo-Nan"},{"family":"Xie","given":"Yu"},{"family":"Yang","given":"Ping"}],"issued":{"date-parts":[["2011",11]]},"citation-key":"minnisCERESEdition2Cloud2011"}}],"schema":"https://github.com/citation-style-language/schema/raw/master/csl-citation.json"} </w:instrText>
      </w:r>
      <w:r w:rsidRPr="00506D3C">
        <w:rPr>
          <w:rFonts w:eastAsia="Times New Roman" w:cs="Times New Roman"/>
          <w:szCs w:val="24"/>
        </w:rPr>
        <w:fldChar w:fldCharType="separate"/>
      </w:r>
      <w:r w:rsidRPr="00506D3C">
        <w:rPr>
          <w:rFonts w:eastAsia="Times New Roman" w:cs="Times New Roman"/>
          <w:noProof/>
          <w:szCs w:val="24"/>
        </w:rPr>
        <w:t>(Minnis et al. 2011)</w:t>
      </w:r>
      <w:r w:rsidRPr="00506D3C">
        <w:rPr>
          <w:rFonts w:eastAsia="Times New Roman" w:cs="Times New Roman"/>
          <w:szCs w:val="24"/>
        </w:rPr>
        <w:fldChar w:fldCharType="end"/>
      </w:r>
      <w:r w:rsidRPr="00506D3C">
        <w:rPr>
          <w:rFonts w:eastAsia="Times New Roman" w:cs="Times New Roman"/>
          <w:szCs w:val="24"/>
        </w:rPr>
        <w:t>. The impact of assimilating these products in an ensemble, convection-allowing NWP system</w:t>
      </w:r>
      <w:r w:rsidRPr="00506D3C">
        <w:rPr>
          <w:rFonts w:eastAsia="Times New Roman" w:cs="Times New Roman" w:hint="eastAsia"/>
          <w:szCs w:val="24"/>
        </w:rPr>
        <w:t xml:space="preserve"> </w:t>
      </w:r>
      <w:r w:rsidRPr="00506D3C">
        <w:rPr>
          <w:rFonts w:eastAsia="Times New Roman" w:cs="Times New Roman"/>
          <w:szCs w:val="24"/>
        </w:rPr>
        <w:t xml:space="preserve">using the ensemble square root filter </w:t>
      </w:r>
      <w:r w:rsidRPr="00506D3C">
        <w:rPr>
          <w:rFonts w:eastAsia="Times New Roman" w:cs="Times New Roman"/>
          <w:szCs w:val="24"/>
        </w:rPr>
        <w:fldChar w:fldCharType="begin"/>
      </w:r>
      <w:r>
        <w:rPr>
          <w:rFonts w:eastAsia="Times New Roman" w:cs="Times New Roman"/>
          <w:szCs w:val="24"/>
        </w:rPr>
        <w:instrText xml:space="preserve"> ADDIN ZOTERO_ITEM CSL_CITATION {"citationID":"DtpJ0hkQ","properties":{"formattedCitation":"(Whitaker and Hamill 2002)","plainCitation":"(Whitaker and Hamill 2002)","dontUpdate":true,"noteIndex":0},"citationItems":[{"id":209,"uris":["http://zotero.org/users/local/6VSApgKp/items/KID4Q25X"],"itemData":{"id":209,"type":"article-journal","abstract":"Abstract The ensemble Kalman filter (EnKF) is a data assimilation scheme based on the traditional Kalman filter update equation. An ensemble of forecasts are used to estimate the background-error covariances needed to compute the Kalman gain. It is known that if the same observations and the same gain are used to update each member of the ensemble, the ensemble will systematically underestimate analysis-error covariances. This will cause a degradation of subsequent analyses and may lead to filter divergence. For large ensembles, it is known that this problem can be alleviated by treating the observations as random variables, adding random perturbations to them with the correct statistics. Two important consequences of sampling error in the estimate of analysis-error covariances in the EnKF are discussed here. The first results from the analysis-error covariance being a nonlinear function of the background-error covariance in the Kalman filter. Due to this nonlinearity, analysis-error covariance estimates may be negatively biased, even if the ensemble background-error covariance estimates are unbiased. This problem must be dealt with in any Kalman filter–based ensemble data assimilation scheme. A second consequence of sampling error is particular to schemes like the EnKF that use perturbed observations. While this procedure gives asymptotically correct analysis-error covariance estimates for large ensembles, the addition of perturbed observations adds an additional source of sampling error related to the estimation of the observation-error covariances. In addition to reducing the accuracy of the analysis-error covariance estimate, this extra source of sampling error increases the probability that the analysis-error covariance will be underestimated. Because of this, ensemble data assimilation methods that use perturbed observations are expected to be less accurate than those which do not. Several ensemble filter formulations have recently been proposed that do not require perturbed observations. This study examines a particularly simple implementation called the ensemble square root filter, or EnSRF. The EnSRF uses the traditional Kalman gain for updating the ensemble mean but uses a “reduced” Kalman gain to update deviations from the ensemble mean. There is no additional computational cost incurred by the EnSRF relative to the EnKF when the observations have independent errors and are processed one at a time. Using a hierarchy of perfect model assimilation experiments, it is demonstrated that the elimination of the sampling error associated with the perturbed observations makes the EnSRF more accurate than the EnKF for the same ensemble size.","container-title":"Monthly Weather Review","DOI":"10.1175/1520-0493(2002)130&lt;1913:EDAWPO&gt;2.0.CO;2","ISSN":"1520-0493, 0027-0644","issue":"7","language":"EN","note":"publisher: American Meteorological Society\nsection: Monthly Weather Review","page":"1913-1924","source":"journals.ametsoc.org","title":"Ensemble Data Assimilation without Perturbed Observations","volume":"130","author":[{"family":"Whitaker","given":"Jeffrey S."},{"family":"Hamill","given":"Thomas M."}],"issued":{"date-parts":[["2002",7,1]]},"citation-key":"whitakerEnsembleDataAssimilation2002"}}],"schema":"https://github.com/citation-style-language/schema/raw/master/csl-citation.json"} </w:instrText>
      </w:r>
      <w:r w:rsidRPr="00506D3C">
        <w:rPr>
          <w:rFonts w:eastAsia="Times New Roman" w:cs="Times New Roman"/>
          <w:szCs w:val="24"/>
        </w:rPr>
        <w:fldChar w:fldCharType="separate"/>
      </w:r>
      <w:r w:rsidRPr="00506D3C">
        <w:rPr>
          <w:rFonts w:eastAsia="Times New Roman" w:cs="Times New Roman"/>
          <w:noProof/>
          <w:szCs w:val="24"/>
        </w:rPr>
        <w:t>(</w:t>
      </w:r>
      <w:r w:rsidRPr="00506D3C">
        <w:rPr>
          <w:rFonts w:eastAsia="Times New Roman" w:cs="Times New Roman"/>
          <w:szCs w:val="24"/>
        </w:rPr>
        <w:t xml:space="preserve">EnSRF, </w:t>
      </w:r>
      <w:r w:rsidRPr="00506D3C">
        <w:rPr>
          <w:rFonts w:eastAsia="Times New Roman" w:cs="Times New Roman"/>
          <w:noProof/>
          <w:szCs w:val="24"/>
        </w:rPr>
        <w:t>Whitaker and Hamill 2002)</w:t>
      </w:r>
      <w:r w:rsidRPr="00506D3C">
        <w:rPr>
          <w:rFonts w:eastAsia="Times New Roman" w:cs="Times New Roman"/>
          <w:szCs w:val="24"/>
        </w:rPr>
        <w:fldChar w:fldCharType="end"/>
      </w:r>
      <w:r w:rsidRPr="00506D3C">
        <w:rPr>
          <w:rFonts w:eastAsia="Times New Roman" w:cs="Times New Roman"/>
          <w:szCs w:val="24"/>
        </w:rPr>
        <w:t xml:space="preserve"> assimilation method are described in detail by </w:t>
      </w:r>
      <w:r w:rsidRPr="00506D3C">
        <w:rPr>
          <w:rFonts w:eastAsia="Times New Roman" w:cs="Times New Roman"/>
          <w:szCs w:val="24"/>
        </w:rPr>
        <w:fldChar w:fldCharType="begin"/>
      </w:r>
      <w:r>
        <w:rPr>
          <w:rFonts w:eastAsia="Times New Roman" w:cs="Times New Roman"/>
          <w:szCs w:val="24"/>
        </w:rPr>
        <w:instrText xml:space="preserve"> ADDIN ZOTERO_ITEM CSL_CITATION {"citationID":"fu8NxG9m","properties":{"formattedCitation":"(Jones et al. 2013, 2015, 2016)","plainCitation":"(Jones et al. 2013, 2015, 2016)","dontUpdate":true,"noteIndex":0},"citationItems":[{"id":154,"uris":["http://zotero.org/users/local/6VSApgKp/items/KJMF4TDV"],"itemData":{"id":154,"type":"article-journal","abstract":"&lt;section class=\"abstract\"&gt;&lt;h2 class=\"abstractTitle text-title my-1\" id=\"d125074771e80\"&gt;Abstract&lt;/h2&gt;&lt;p&gt;An observing system simulation experiment is used to examine the impact of assimilating water vapor–sensitive satellite infrared brightness temperatures and Doppler radar reflectivity and radial velocity observations on the analysis accuracy of a cool season extratropical cyclone. Assimilation experiments are performed for four different combinations of satellite, radar, and conventional observations using an ensemble Kalman filter assimilation system. Comparison with the high-resolution “truth” simulation indicates that the joint assimilation of satellite and radar observations reduces errors in cloud properties compared to the case in which only conventional observations are assimilated. The satellite observations provide the most impact in the mid- to upper troposphere, whereas the radar data also improve the cloud analysis near the surface and aloft as a result of their greater vertical resolution and larger overall sample size. Errors in the wind field are also significantly reduced when radar radial velocity observations were assimilated. Overall, assimilating both satellite and radar data creates the most accurate model analysis, which indicates that both observation types provide independent and complimentary information and illustrates the potential for these datasets for improving mesoscale model analyses and ensuing forecasts.&lt;/p&gt;&lt;/section&gt;","container-title":"Monthly Weather Review","DOI":"10.1175/MWR-D-12-00267.1","ISSN":"1520-0493, 0027-0644","issue":"10","language":"EN","note":"publisher: American Meteorological Society\nsection: Monthly Weather Review","page":"3273-3299","source":"journals.ametsoc.org","title":"Assimilation of Satellite Infrared Radiances and Doppler Radar Observations during a Cool Season Observing System Simulation Experiment","volume":"141","author":[{"family":"Jones","given":"Thomas A."},{"family":"Otkin","given":"Jason A."},{"family":"Stensrud","given":"David J."},{"family":"Knopfmeier","given":"Kent"}],"issued":{"date-parts":[["2013",10,1]]},"citation-key":"jonesAssimilationSatelliteInfrared2013"}},{"id":93,"uris":["http://zotero.org/users/local/6VSApgKp/items/24V472WG"],"itemData":{"id":93,"type":"article-journal","abstract":"&lt;section class=\"abstract\"&gt;&lt;h2 class=\"abstractTitle text-title my-1\" id=\"d130734342e92\"&gt;Abstract&lt;/h2&gt;&lt;p&gt;Assimilating high-resolution radar reflectivity and radial velocity into convection-permitting numerical weather prediction models has proven to be an important tool for improving forecast skill of convection. The use of satellite data for the application is much less well understood, only recently receiving significant attention. Since both radar and satellite data provide independent information, combing these two sources of data in a robust manner potentially represents the future of high-resolution data assimilation. This research combines &lt;em&gt;Geostationary Operational Environmental Satellite 13&lt;/em&gt; (&lt;em&gt;GOES-13&lt;/em&gt;) cloud water path (CWP) retrievals with Weather Surveillance Radar-1988 Doppler (WSR-88D) reflectivity and radial velocity to examine the impacts of assimilating each for a severe weather event occurring in Oklahoma on 24 May 2011. Data are assimilated into a 3-km model using an ensemble adjustment Kalman filter approach with 36 members over a 2-h assimilation window between 1800 and 2000 UTC. Forecasts are then generated for 90 min at 5-min intervals starting at 1930 and 2000 UTC. Results show that both satellite and radar data are able to initiate convection, but that assimilating both spins up a storm much faster. Assimilating CWP also performs well at suppressing spurious precipitation and cloud cover in the model as well as capturing the anvil characteristics of developed storms. Radar data are most effective at resolving the 3D characteristics of the core convection. Assimilating both satellite and radar data generally resulted in the best model analysis and most skillful forecast for this event.&lt;/p&gt;&lt;/section&gt;","container-title":"Monthly Weather Review","DOI":"10.1175/MWR-D-14-00180.1","ISSN":"1520-0493, 0027-0644","issue":"1","language":"EN","note":"publisher: American Meteorological Society\nsection: Monthly Weather Review","page":"165-194","source":"journals.ametsoc.org","title":"Simultaneous Radar and Satellite Data Storm-Scale Assimilation Using an Ensemble Kalman Filter Approach for 24 May 2011","volume":"143","author":[{"family":"Jones","given":"Thomas A."},{"family":"Stensrud","given":"David"},{"family":"Wicker","given":"Louis"},{"family":"Minnis","given":"Patrick"},{"family":"Palikonda","given":"Rabindra"}],"issued":{"date-parts":[["2015",1,1]]},"citation-key":"jonesSimultaneousRadarSatellite2015"}},{"id":94,"uris":["http://zotero.org/users/local/6VSApgKp/items/R7ACBQF9"],"itemData":{"id":94,"type":"article-journal","abstract":"&lt;section class=\"abstract\"&gt;&lt;h2 class=\"abstractTitle text-title my-1\" id=\"d4105766e88\"&gt;Abstract&lt;/h2&gt;&lt;p&gt;This research represents the second part of a two-part series describing the development of a prototype ensemble data assimilation system for the Warn-on-Forecast (WoF) project known as the NSSL Experimental WoF System for ensembles (NEWS-e). Part I describes the NEWS-e design and results from radar reflectivity and radial velocity data assimilation for six severe weather events occurring during 2013 and 2014. Part II describes the impact of assimilating satellite liquid and ice water path (LWP and IWP, respectively) retrievals from the GOES Imager along with the radar observations. Assimilating LWP and IWP observations may improve thermodynamic conditions at the surface over the storm-scale domain through better analysis of cloud coverage in the model compared to radar-only experiments. These improvements sometimes corresponded to an improved analysis of supercell storms leading to better forecasts of low-level vorticity. This positive impact was most evident for events where convection is not ongoing at the beginning of the radar and satellite data assimilation period. For more complex cases containing significant amounts of ongoing convection, only assimilating clear-sky satellite retrievals in place of clear-air reflectivity resulted in spurious regions of light precipitation compared to the radar-only experiments. The analyzed tornadic storms in these experiments are sometimes too weak and quickly diminished in intensity in the forecasts. The lessons learned as part of these experiments should lead to improved iterations of the NEWS-e system, building on the modestly successful results described here.&lt;/p&gt;&lt;/section&gt;","container-title":"Weather and Forecasting","DOI":"10.1175/WAF-D-15-0107.1","ISSN":"1520-0434, 0882-8156","issue":"1","language":"EN","note":"publisher: American Meteorological Society\nsection: Weather and Forecasting","page":"297-327","source":"journals.ametsoc.org","title":"Storm-Scale Data Assimilation and Ensemble Forecasting with the NSSL Experimental Warn-on-Forecast System. Part II: Combined Radar and Satellite Data Experiments","title-short":"Storm-Scale Data Assimilation and Ensemble Forecasting with the NSSL Experimental Warn-on-Forecast System. Part II","volume":"31","author":[{"family":"Jones","given":"Thomas A."},{"family":"Knopfmeier","given":"Kent"},{"family":"Wheatley","given":"Dustan"},{"family":"Creager","given":"Gerald"},{"family":"Minnis","given":"Patrick"},{"family":"Palikonda","given":"Rabindra"}],"issued":{"date-parts":[["2016",2,1]]},"citation-key":"jonesStormScaleDataAssimilation2016"}}],"schema":"https://github.com/citation-style-language/schema/raw/master/csl-citation.json"} </w:instrText>
      </w:r>
      <w:r w:rsidRPr="00506D3C">
        <w:rPr>
          <w:rFonts w:eastAsia="Times New Roman" w:cs="Times New Roman"/>
          <w:szCs w:val="24"/>
        </w:rPr>
        <w:fldChar w:fldCharType="separate"/>
      </w:r>
      <w:r w:rsidRPr="00506D3C">
        <w:rPr>
          <w:rFonts w:eastAsia="Times New Roman" w:cs="Times New Roman"/>
          <w:noProof/>
          <w:szCs w:val="24"/>
        </w:rPr>
        <w:t>Jones et al. (2013, 2015, 2016)</w:t>
      </w:r>
      <w:r w:rsidRPr="00506D3C">
        <w:rPr>
          <w:rFonts w:eastAsia="Times New Roman" w:cs="Times New Roman"/>
          <w:szCs w:val="24"/>
        </w:rPr>
        <w:fldChar w:fldCharType="end"/>
      </w:r>
      <w:r w:rsidRPr="00506D3C">
        <w:rPr>
          <w:rFonts w:eastAsia="Times New Roman" w:cs="Times New Roman"/>
          <w:szCs w:val="24"/>
        </w:rPr>
        <w:t>. P</w:t>
      </w:r>
      <w:r w:rsidRPr="00506D3C">
        <w:rPr>
          <w:rFonts w:eastAsia="Times New Roman" w:cs="Times New Roman" w:hint="eastAsia"/>
          <w:szCs w:val="24"/>
        </w:rPr>
        <w:t>arallax</w:t>
      </w:r>
      <w:r w:rsidRPr="00506D3C">
        <w:rPr>
          <w:rFonts w:eastAsia="Times New Roman" w:cs="Times New Roman"/>
          <w:szCs w:val="24"/>
        </w:rPr>
        <w:t xml:space="preserve"> correction is performed before the assimilation process so that the locations of clouds are adjusted to their ground-relative coordinates </w:t>
      </w:r>
      <w:r w:rsidRPr="00506D3C">
        <w:rPr>
          <w:rFonts w:eastAsia="Times New Roman" w:cs="Times New Roman"/>
          <w:szCs w:val="24"/>
        </w:rPr>
        <w:fldChar w:fldCharType="begin"/>
      </w:r>
      <w:r w:rsidRPr="00506D3C">
        <w:rPr>
          <w:rFonts w:eastAsia="Times New Roman" w:cs="Times New Roman"/>
          <w:szCs w:val="24"/>
        </w:rPr>
        <w:instrText xml:space="preserve"> ADDIN ZOTERO_ITEM CSL_CITATION {"citationID":"APMXXBu1","properties":{"formattedCitation":"(Jones et al. 2018)","plainCitation":"(Jones et al. 2018)","noteIndex":0},"citationItems":[{"id":159,"uris":["http://zotero.org/users/local/6VSApgKp/items/DFGHCEPE"],"itemData":{"id":159,"type":"article-journal","abstract":"&lt;section class=\"abstract\"&gt;&lt;h2 class=\"abstractTitle text-title my-1\" id=\"d145953427e115\"&gt;Abstract&lt;/h2&gt;&lt;p&gt;A prototype convection-allowing system using the Advanced Research version of the Weather Research and Forecasting (WRF-ARW) Model and employing an ensemble Kalman filter (EnKF) data assimilation technique has been developed and used during the spring 2016 and 2017 Hazardous Weather Testbeds. This system assimilates WSR-88D reflectivity and radial velocity, geostationary satellite cloud water path (CWP) retrievals, and available surface observations over a regional domain with a 3-km horizontal resolution at 15-min intervals, with 3-km initial conditions provided by an experimental High-Resolution Rapid Refresh ensemble (HRRR-e). However, no information on upper-level thermodynamic conditions in cloud-free regions is currently assimilated, as few timely observations exist. One potential solution is to also assimilate clear-sky satellite radiances, which provide information on mid- and upper-tropospheric temperature and moisture conditions. This research assimilates &lt;em&gt;GOES-13&lt;/em&gt; imager water vapor band (6.5 &lt;em&gt;μ&lt;/em&gt;m) radiances using the GSI-EnKF system to take advantage of the Community Radiative Transfer Model (CRTM) integration. Results using four cases from May 2016 showed that assimilating radiances generally had a neutral-to-positive impact on the model analysis, reducing humidity bias and/or errors at the appropriate model levels where verification observations were present. The effects on high-impact weather forecasts, as verified against forecast reflectivity and updraft helicity, were mixed. Three cases (9, 22, and 24 May) showed some improvement in skill, while the other (25 May) performed worse, despite the improved environment. This research represents the first step in designing a high-resolution ensemble data assimilation system to use &lt;em&gt;GOES-16&lt;/em&gt; Advanced Baseline Imager data, which provides additional water vapor bands and increased spatial and temporal resolution.&lt;/p&gt;&lt;/section&gt;","container-title":"Monthly Weather Review","DOI":"10.1175/MWR-D-17-0280.1","ISSN":"1520-0493, 0027-0644","issue":"4","language":"EN","note":"publisher: American Meteorological Society\nsection: Monthly Weather Review","page":"1077-1107","source":"journals.ametsoc.org","title":"Assimilation of GOES-13 Imager Clear-Sky Water Vapor (6.5 μm) Radiances into a Warn-on-Forecast System","volume":"146","author":[{"family":"Jones","given":"Thomas A."},{"family":"Wang","given":"Xuguang"},{"family":"Skinner","given":"Patrick"},{"family":"Johnson","given":"Aaron"},{"family":"Wang","given":"Yongming"}],"issued":{"date-parts":[["2018",4,1]]},"citation-key":"jonesAssimilationGOES13Imager2018"}}],"schema":"https://github.com/citation-style-language/schema/raw/master/csl-citation.json"} </w:instrText>
      </w:r>
      <w:r w:rsidRPr="00506D3C">
        <w:rPr>
          <w:rFonts w:eastAsia="Times New Roman" w:cs="Times New Roman"/>
          <w:szCs w:val="24"/>
        </w:rPr>
        <w:fldChar w:fldCharType="separate"/>
      </w:r>
      <w:r w:rsidRPr="00506D3C">
        <w:rPr>
          <w:rFonts w:eastAsia="Times New Roman" w:cs="Times New Roman"/>
          <w:noProof/>
          <w:szCs w:val="24"/>
        </w:rPr>
        <w:t>(Jones et al. 2018)</w:t>
      </w:r>
      <w:r w:rsidRPr="00506D3C">
        <w:rPr>
          <w:rFonts w:eastAsia="Times New Roman" w:cs="Times New Roman"/>
          <w:szCs w:val="24"/>
        </w:rPr>
        <w:fldChar w:fldCharType="end"/>
      </w:r>
      <w:r w:rsidRPr="00506D3C">
        <w:rPr>
          <w:rFonts w:eastAsia="Times New Roman" w:cs="Times New Roman"/>
          <w:szCs w:val="24"/>
        </w:rPr>
        <w:t>.</w:t>
      </w:r>
    </w:p>
    <w:p w14:paraId="12EAEE82" w14:textId="77777777" w:rsidR="00A370AE" w:rsidRDefault="00A370AE" w:rsidP="00A370AE">
      <w:pPr>
        <w:rPr>
          <w:rFonts w:eastAsia="Times New Roman" w:cs="Times New Roman"/>
          <w:szCs w:val="24"/>
        </w:rPr>
      </w:pPr>
      <w:r w:rsidRPr="00506D3C">
        <w:rPr>
          <w:rFonts w:eastAsia="Times New Roman" w:cs="Times New Roman"/>
          <w:szCs w:val="24"/>
        </w:rPr>
        <w:t xml:space="preserve">The forward operator for satellite CWP retrievals is defined by </w:t>
      </w:r>
      <w:r w:rsidRPr="00506D3C">
        <w:rPr>
          <w:rFonts w:eastAsia="Times New Roman" w:cs="Times New Roman"/>
          <w:szCs w:val="24"/>
        </w:rPr>
        <w:fldChar w:fldCharType="begin"/>
      </w:r>
      <w:r>
        <w:rPr>
          <w:rFonts w:eastAsia="Times New Roman" w:cs="Times New Roman"/>
          <w:szCs w:val="24"/>
        </w:rPr>
        <w:instrText xml:space="preserve"> ADDIN ZOTERO_ITEM CSL_CITATION {"citationID":"suvgQnEz","properties":{"formattedCitation":"(Jones et al. 2015)","plainCitation":"(Jones et al. 2015)","dontUpdate":true,"noteIndex":0},"citationItems":[{"id":93,"uris":["http://zotero.org/users/local/6VSApgKp/items/24V472WG"],"itemData":{"id":93,"type":"article-journal","abstract":"&lt;section class=\"abstract\"&gt;&lt;h2 class=\"abstractTitle text-title my-1\" id=\"d130734342e92\"&gt;Abstract&lt;/h2&gt;&lt;p&gt;Assimilating high-resolution radar reflectivity and radial velocity into convection-permitting numerical weather prediction models has proven to be an important tool for improving forecast skill of convection. The use of satellite data for the application is much less well understood, only recently receiving significant attention. Since both radar and satellite data provide independent information, combing these two sources of data in a robust manner potentially represents the future of high-resolution data assimilation. This research combines &lt;em&gt;Geostationary Operational Environmental Satellite 13&lt;/em&gt; (&lt;em&gt;GOES-13&lt;/em&gt;) cloud water path (CWP) retrievals with Weather Surveillance Radar-1988 Doppler (WSR-88D) reflectivity and radial velocity to examine the impacts of assimilating each for a severe weather event occurring in Oklahoma on 24 May 2011. Data are assimilated into a 3-km model using an ensemble adjustment Kalman filter approach with 36 members over a 2-h assimilation window between 1800 and 2000 UTC. Forecasts are then generated for 90 min at 5-min intervals starting at 1930 and 2000 UTC. Results show that both satellite and radar data are able to initiate convection, but that assimilating both spins up a storm much faster. Assimilating CWP also performs well at suppressing spurious precipitation and cloud cover in the model as well as capturing the anvil characteristics of developed storms. Radar data are most effective at resolving the 3D characteristics of the core convection. Assimilating both satellite and radar data generally resulted in the best model analysis and most skillful forecast for this event.&lt;/p&gt;&lt;/section&gt;","container-title":"Monthly Weather Review","DOI":"10.1175/MWR-D-14-00180.1","ISSN":"1520-0493, 0027-0644","issue":"1","language":"EN","note":"publisher: American Meteorological Society\nsection: Monthly Weather Review","page":"165-194","source":"journals.ametsoc.org","title":"Simultaneous Radar and Satellite Data Storm-Scale Assimilation Using an Ensemble Kalman Filter Approach for 24 May 2011","volume":"143","author":[{"family":"Jones","given":"Thomas A."},{"family":"Stensrud","given":"David"},{"family":"Wicker","given":"Louis"},{"family":"Minnis","given":"Patrick"},{"family":"Palikonda","given":"Rabindra"}],"issued":{"date-parts":[["2015",1,1]]},"citation-key":"jonesSimultaneousRadarSatellite2015"}}],"schema":"https://github.com/citation-style-language/schema/raw/master/csl-citation.json"} </w:instrText>
      </w:r>
      <w:r w:rsidRPr="00506D3C">
        <w:rPr>
          <w:rFonts w:eastAsia="Times New Roman" w:cs="Times New Roman"/>
          <w:szCs w:val="24"/>
        </w:rPr>
        <w:fldChar w:fldCharType="separate"/>
      </w:r>
      <w:r w:rsidRPr="00506D3C">
        <w:rPr>
          <w:rFonts w:eastAsia="Times New Roman" w:cs="Times New Roman"/>
          <w:noProof/>
          <w:szCs w:val="24"/>
        </w:rPr>
        <w:t>Jones et al. (2015)</w:t>
      </w:r>
      <w:r w:rsidRPr="00506D3C">
        <w:rPr>
          <w:rFonts w:eastAsia="Times New Roman" w:cs="Times New Roman"/>
          <w:szCs w:val="24"/>
        </w:rPr>
        <w:fldChar w:fldCharType="end"/>
      </w:r>
      <w:r w:rsidRPr="00506D3C">
        <w:rPr>
          <w:rFonts w:eastAsia="Times New Roman" w:cs="Times New Roman"/>
          <w:szCs w:val="24"/>
        </w:rPr>
        <w:t>.The model equivalent CWP is calculated by integrating total cloud water mixing ratio over the atmospheric column from observed cloud base to cloud top:</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64"/>
        <w:gridCol w:w="796"/>
      </w:tblGrid>
      <w:tr w:rsidR="00A370AE" w:rsidRPr="00506D3C" w14:paraId="763E5CE2" w14:textId="77777777" w:rsidTr="002C3192">
        <w:tc>
          <w:tcPr>
            <w:tcW w:w="8635" w:type="dxa"/>
            <w:vAlign w:val="center"/>
          </w:tcPr>
          <w:p w14:paraId="59CCBCE7" w14:textId="77777777" w:rsidR="00A370AE" w:rsidRPr="00506D3C" w:rsidRDefault="00A370AE" w:rsidP="002C3192">
            <w:pPr>
              <w:ind w:firstLine="0"/>
              <w:jc w:val="center"/>
              <w:rPr>
                <w:iCs/>
                <w:sz w:val="24"/>
                <w:szCs w:val="24"/>
              </w:rPr>
            </w:pPr>
            <m:oMath>
              <m:r>
                <w:rPr>
                  <w:rFonts w:ascii="Cambria Math" w:eastAsia="Times New Roman" w:hAnsi="Cambria Math" w:cs="Times New Roman"/>
                  <w:sz w:val="24"/>
                  <w:szCs w:val="24"/>
                </w:rPr>
                <m:t>CWP</m:t>
              </m:r>
              <m:r>
                <m:rPr>
                  <m:sty m:val="p"/>
                </m:rPr>
                <w:rPr>
                  <w:rFonts w:ascii="Cambria Math" w:eastAsia="Times New Roman" w:hAnsi="Cambria Math" w:cs="Times New Roman"/>
                  <w:sz w:val="24"/>
                  <w:szCs w:val="24"/>
                </w:rPr>
                <m:t>=-</m:t>
              </m:r>
              <m:f>
                <m:fPr>
                  <m:ctrlPr>
                    <w:rPr>
                      <w:rFonts w:ascii="Cambria Math" w:eastAsia="Times New Roman" w:hAnsi="Cambria Math" w:cs="Times New Roman"/>
                      <w:sz w:val="24"/>
                      <w:szCs w:val="24"/>
                    </w:rPr>
                  </m:ctrlPr>
                </m:fPr>
                <m:num>
                  <m:r>
                    <m:rPr>
                      <m:sty m:val="p"/>
                    </m:rPr>
                    <w:rPr>
                      <w:rFonts w:ascii="Cambria Math" w:eastAsia="Times New Roman" w:hAnsi="Cambria Math" w:cs="Times New Roman"/>
                      <w:sz w:val="24"/>
                      <w:szCs w:val="24"/>
                    </w:rPr>
                    <m:t>1</m:t>
                  </m:r>
                </m:num>
                <m:den>
                  <m:r>
                    <w:rPr>
                      <w:rFonts w:ascii="Cambria Math" w:eastAsia="Times New Roman" w:hAnsi="Cambria Math" w:cs="Times New Roman"/>
                      <w:sz w:val="24"/>
                      <w:szCs w:val="24"/>
                    </w:rPr>
                    <m:t>g</m:t>
                  </m:r>
                </m:den>
              </m:f>
              <m:nary>
                <m:naryPr>
                  <m:limLoc m:val="subSup"/>
                  <m:ctrlPr>
                    <w:rPr>
                      <w:rFonts w:ascii="Cambria Math" w:eastAsia="Times New Roman" w:hAnsi="Cambria Math" w:cs="Times New Roman"/>
                      <w:sz w:val="24"/>
                      <w:szCs w:val="24"/>
                    </w:rPr>
                  </m:ctrlPr>
                </m:naryPr>
                <m:sub>
                  <m:r>
                    <w:rPr>
                      <w:rFonts w:ascii="Cambria Math" w:eastAsia="Times New Roman" w:hAnsi="Cambria Math" w:cs="Times New Roman"/>
                      <w:sz w:val="24"/>
                      <w:szCs w:val="24"/>
                    </w:rPr>
                    <m:t>CBP</m:t>
                  </m:r>
                </m:sub>
                <m:sup>
                  <m:r>
                    <w:rPr>
                      <w:rFonts w:ascii="Cambria Math" w:eastAsia="Times New Roman" w:hAnsi="Cambria Math" w:cs="Times New Roman"/>
                      <w:sz w:val="24"/>
                      <w:szCs w:val="24"/>
                    </w:rPr>
                    <m:t>CTP</m:t>
                  </m:r>
                </m:sup>
                <m:e>
                  <m:nary>
                    <m:naryPr>
                      <m:chr m:val="∑"/>
                      <m:limLoc m:val="undOvr"/>
                      <m:ctrlPr>
                        <w:rPr>
                          <w:rFonts w:ascii="Cambria Math" w:eastAsia="Times New Roman" w:hAnsi="Cambria Math" w:cs="Times New Roman"/>
                          <w:sz w:val="24"/>
                          <w:szCs w:val="24"/>
                        </w:rPr>
                      </m:ctrlPr>
                    </m:naryPr>
                    <m:sub>
                      <m:r>
                        <w:rPr>
                          <w:rFonts w:ascii="Cambria Math" w:eastAsia="Times New Roman" w:hAnsi="Cambria Math" w:cs="Times New Roman"/>
                          <w:sz w:val="24"/>
                          <w:szCs w:val="24"/>
                        </w:rPr>
                        <m:t>x</m:t>
                      </m:r>
                      <m:r>
                        <m:rPr>
                          <m:sty m:val="p"/>
                        </m:rPr>
                        <w:rPr>
                          <w:rFonts w:ascii="Cambria Math" w:eastAsia="Times New Roman" w:hAnsi="Cambria Math" w:cs="Times New Roman"/>
                          <w:sz w:val="24"/>
                          <w:szCs w:val="24"/>
                        </w:rPr>
                        <m:t>=1</m:t>
                      </m:r>
                    </m:sub>
                    <m:sup>
                      <m:r>
                        <w:rPr>
                          <w:rFonts w:ascii="Cambria Math" w:eastAsia="Times New Roman" w:hAnsi="Cambria Math" w:cs="Times New Roman"/>
                          <w:sz w:val="24"/>
                          <w:szCs w:val="24"/>
                        </w:rPr>
                        <m:t>n</m:t>
                      </m:r>
                    </m:sup>
                    <m:e>
                      <m:sSub>
                        <m:sSubPr>
                          <m:ctrlPr>
                            <w:rPr>
                              <w:rFonts w:ascii="Cambria Math" w:eastAsia="Times New Roman" w:hAnsi="Cambria Math" w:cs="Times New Roman"/>
                              <w:sz w:val="24"/>
                              <w:szCs w:val="24"/>
                            </w:rPr>
                          </m:ctrlPr>
                        </m:sSubPr>
                        <m:e>
                          <m:r>
                            <w:rPr>
                              <w:rFonts w:ascii="Cambria Math" w:eastAsia="Times New Roman" w:hAnsi="Cambria Math" w:cs="Times New Roman"/>
                              <w:sz w:val="24"/>
                              <w:szCs w:val="24"/>
                            </w:rPr>
                            <m:t>q</m:t>
                          </m:r>
                        </m:e>
                        <m:sub>
                          <m:r>
                            <w:rPr>
                              <w:rFonts w:ascii="Cambria Math" w:eastAsia="Times New Roman" w:hAnsi="Cambria Math" w:cs="Times New Roman"/>
                              <w:sz w:val="24"/>
                              <w:szCs w:val="24"/>
                            </w:rPr>
                            <m:t>x</m:t>
                          </m:r>
                        </m:sub>
                      </m:sSub>
                      <m:r>
                        <m:rPr>
                          <m:sty m:val="p"/>
                        </m:rPr>
                        <w:rPr>
                          <w:rFonts w:ascii="Cambria Math" w:eastAsia="Times New Roman" w:hAnsi="Cambria Math" w:cs="Times New Roman"/>
                          <w:sz w:val="24"/>
                          <w:szCs w:val="24"/>
                        </w:rPr>
                        <m:t>(</m:t>
                      </m:r>
                      <m:r>
                        <w:rPr>
                          <w:rFonts w:ascii="Cambria Math" w:eastAsia="Times New Roman" w:hAnsi="Cambria Math" w:cs="Times New Roman"/>
                          <w:sz w:val="24"/>
                          <w:szCs w:val="24"/>
                        </w:rPr>
                        <m:t>p</m:t>
                      </m:r>
                      <m:r>
                        <m:rPr>
                          <m:sty m:val="p"/>
                        </m:rPr>
                        <w:rPr>
                          <w:rFonts w:ascii="Cambria Math" w:eastAsia="Times New Roman" w:hAnsi="Cambria Math" w:cs="Times New Roman"/>
                          <w:sz w:val="24"/>
                          <w:szCs w:val="24"/>
                        </w:rPr>
                        <m:t>)</m:t>
                      </m:r>
                    </m:e>
                  </m:nary>
                </m:e>
              </m:nary>
              <m:r>
                <w:rPr>
                  <w:rFonts w:ascii="Cambria Math" w:eastAsia="Times New Roman" w:hAnsi="Cambria Math" w:cs="Times New Roman"/>
                  <w:sz w:val="24"/>
                  <w:szCs w:val="24"/>
                </w:rPr>
                <m:t>dp</m:t>
              </m:r>
            </m:oMath>
            <w:r>
              <w:rPr>
                <w:bCs/>
                <w:iCs/>
                <w:sz w:val="24"/>
                <w:szCs w:val="24"/>
              </w:rPr>
              <w:t>.</w:t>
            </w:r>
          </w:p>
        </w:tc>
        <w:tc>
          <w:tcPr>
            <w:tcW w:w="715" w:type="dxa"/>
            <w:vAlign w:val="center"/>
          </w:tcPr>
          <w:p w14:paraId="1E77D54B" w14:textId="77777777" w:rsidR="00A370AE" w:rsidRPr="00506D3C" w:rsidRDefault="00A370AE" w:rsidP="002C3192">
            <w:pPr>
              <w:ind w:firstLine="0"/>
              <w:jc w:val="center"/>
              <w:rPr>
                <w:iCs/>
                <w:sz w:val="24"/>
                <w:szCs w:val="24"/>
              </w:rPr>
            </w:pPr>
            <w:r w:rsidRPr="00506D3C">
              <w:rPr>
                <w:sz w:val="24"/>
                <w:szCs w:val="24"/>
              </w:rPr>
              <w:t>(2.</w:t>
            </w:r>
            <w:r>
              <w:rPr>
                <w:sz w:val="24"/>
                <w:szCs w:val="24"/>
              </w:rPr>
              <w:t>11</w:t>
            </w:r>
            <w:r w:rsidRPr="00506D3C">
              <w:rPr>
                <w:sz w:val="24"/>
                <w:szCs w:val="24"/>
              </w:rPr>
              <w:t>)</w:t>
            </w:r>
          </w:p>
        </w:tc>
      </w:tr>
    </w:tbl>
    <w:p w14:paraId="517E449C" w14:textId="225B4FC3" w:rsidR="00A370AE" w:rsidRPr="00506D3C" w:rsidRDefault="00A370AE" w:rsidP="00A370AE">
      <w:pPr>
        <w:ind w:firstLine="0"/>
        <w:rPr>
          <w:rFonts w:eastAsia="Times New Roman" w:cs="Times New Roman"/>
          <w:szCs w:val="24"/>
        </w:rPr>
      </w:pPr>
      <w:r w:rsidRPr="00506D3C">
        <w:rPr>
          <w:rFonts w:eastAsia="Times New Roman" w:cs="Times New Roman"/>
          <w:szCs w:val="24"/>
        </w:rPr>
        <w:t xml:space="preserve">As shown in Eq. </w:t>
      </w:r>
      <w:r>
        <w:rPr>
          <w:rFonts w:eastAsia="Times New Roman" w:cs="Times New Roman"/>
          <w:szCs w:val="24"/>
        </w:rPr>
        <w:t>2.</w:t>
      </w:r>
      <w:r w:rsidRPr="00506D3C">
        <w:rPr>
          <w:rFonts w:eastAsia="Times New Roman" w:cs="Times New Roman"/>
          <w:szCs w:val="24"/>
        </w:rPr>
        <w:t>11, CBP represents the pressure of the cloud base which is determined by the optical depth and cloud top properties, CTP represents the pressure of the cloud top,</w:t>
      </w:r>
      <m:oMath>
        <m:r>
          <w:rPr>
            <w:rFonts w:ascii="Cambria Math" w:eastAsia="Times New Roman" w:hAnsi="Cambria Math" w:cs="Times New Roman"/>
            <w:szCs w:val="24"/>
          </w:rPr>
          <m:t xml:space="preserve"> p</m:t>
        </m:r>
      </m:oMath>
      <w:r w:rsidRPr="00506D3C">
        <w:rPr>
          <w:rFonts w:eastAsia="Times New Roman" w:cs="Times New Roman"/>
          <w:szCs w:val="24"/>
        </w:rPr>
        <w:t xml:space="preserve"> is the atmospheric pressure, </w:t>
      </w:r>
      <m:oMath>
        <m:sSub>
          <m:sSubPr>
            <m:ctrlPr>
              <w:rPr>
                <w:rFonts w:ascii="Cambria Math" w:eastAsia="Times New Roman" w:hAnsi="Cambria Math" w:cs="Times New Roman"/>
                <w:szCs w:val="24"/>
              </w:rPr>
            </m:ctrlPr>
          </m:sSubPr>
          <m:e>
            <m:r>
              <w:rPr>
                <w:rFonts w:ascii="Cambria Math" w:eastAsia="Times New Roman" w:hAnsi="Cambria Math" w:cs="Times New Roman"/>
                <w:szCs w:val="24"/>
              </w:rPr>
              <m:t>q</m:t>
            </m:r>
          </m:e>
          <m:sub>
            <m:r>
              <w:rPr>
                <w:rFonts w:ascii="Cambria Math" w:eastAsia="Times New Roman" w:hAnsi="Cambria Math" w:cs="Times New Roman"/>
                <w:szCs w:val="24"/>
              </w:rPr>
              <m:t>x</m:t>
            </m:r>
          </m:sub>
        </m:sSub>
      </m:oMath>
      <w:r w:rsidRPr="00506D3C">
        <w:rPr>
          <w:rFonts w:eastAsia="Times New Roman" w:cs="Times New Roman"/>
          <w:szCs w:val="24"/>
        </w:rPr>
        <w:t xml:space="preserve"> is hydrometeor mixing ratio for a specific species (</w:t>
      </w:r>
      <m:oMath>
        <m:r>
          <w:rPr>
            <w:rFonts w:ascii="Cambria Math" w:eastAsia="Times New Roman" w:hAnsi="Cambria Math" w:cs="Times New Roman"/>
            <w:szCs w:val="24"/>
          </w:rPr>
          <m:t>x</m:t>
        </m:r>
      </m:oMath>
      <w:r w:rsidRPr="00506D3C">
        <w:rPr>
          <w:rFonts w:eastAsia="Times New Roman" w:cs="Times New Roman"/>
          <w:szCs w:val="24"/>
        </w:rPr>
        <w:t xml:space="preserve">), and </w:t>
      </w:r>
      <m:oMath>
        <m:r>
          <w:rPr>
            <w:rFonts w:ascii="Cambria Math" w:eastAsia="Times New Roman" w:hAnsi="Cambria Math" w:cs="Times New Roman"/>
            <w:szCs w:val="24"/>
          </w:rPr>
          <m:t>n</m:t>
        </m:r>
      </m:oMath>
      <w:r w:rsidRPr="00506D3C">
        <w:rPr>
          <w:rFonts w:eastAsia="Times New Roman" w:cs="Times New Roman"/>
          <w:iCs/>
          <w:szCs w:val="24"/>
        </w:rPr>
        <w:t xml:space="preserve"> indicates the number of hydrometeor species based on the </w:t>
      </w:r>
      <w:r w:rsidRPr="006E4F25">
        <w:t>microphysics scheme and observed cloud phase. For example, to create a total cloud water mixing ratio</w:t>
      </w:r>
      <w:r w:rsidRPr="00506D3C">
        <w:rPr>
          <w:rFonts w:eastAsia="Times New Roman" w:cs="Times New Roman"/>
          <w:szCs w:val="24"/>
        </w:rPr>
        <w:t xml:space="preserve"> </w:t>
      </w:r>
      <m:oMath>
        <m:nary>
          <m:naryPr>
            <m:chr m:val="∑"/>
            <m:limLoc m:val="undOvr"/>
            <m:ctrlPr>
              <w:rPr>
                <w:rFonts w:ascii="Cambria Math" w:eastAsia="Times New Roman" w:hAnsi="Cambria Math" w:cs="Times New Roman"/>
                <w:szCs w:val="24"/>
              </w:rPr>
            </m:ctrlPr>
          </m:naryPr>
          <m:sub>
            <m:r>
              <w:rPr>
                <w:rFonts w:ascii="Cambria Math" w:eastAsia="Times New Roman" w:hAnsi="Cambria Math" w:cs="Times New Roman"/>
                <w:szCs w:val="24"/>
              </w:rPr>
              <m:t>x</m:t>
            </m:r>
            <m:r>
              <m:rPr>
                <m:sty m:val="p"/>
              </m:rPr>
              <w:rPr>
                <w:rFonts w:ascii="Cambria Math" w:eastAsia="Times New Roman" w:hAnsi="Cambria Math" w:cs="Times New Roman"/>
                <w:szCs w:val="24"/>
              </w:rPr>
              <m:t>=1</m:t>
            </m:r>
          </m:sub>
          <m:sup>
            <m:r>
              <w:rPr>
                <w:rFonts w:ascii="Cambria Math" w:eastAsia="Times New Roman" w:hAnsi="Cambria Math" w:cs="Times New Roman"/>
                <w:szCs w:val="24"/>
              </w:rPr>
              <m:t>n</m:t>
            </m:r>
          </m:sup>
          <m:e>
            <m:sSub>
              <m:sSubPr>
                <m:ctrlPr>
                  <w:rPr>
                    <w:rFonts w:ascii="Cambria Math" w:eastAsia="Times New Roman" w:hAnsi="Cambria Math" w:cs="Times New Roman"/>
                    <w:szCs w:val="24"/>
                  </w:rPr>
                </m:ctrlPr>
              </m:sSubPr>
              <m:e>
                <m:r>
                  <w:rPr>
                    <w:rFonts w:ascii="Cambria Math" w:eastAsia="Times New Roman" w:hAnsi="Cambria Math" w:cs="Times New Roman"/>
                    <w:szCs w:val="24"/>
                  </w:rPr>
                  <m:t>q</m:t>
                </m:r>
              </m:e>
              <m:sub>
                <m:r>
                  <w:rPr>
                    <w:rFonts w:ascii="Cambria Math" w:eastAsia="Times New Roman" w:hAnsi="Cambria Math" w:cs="Times New Roman"/>
                    <w:szCs w:val="24"/>
                  </w:rPr>
                  <m:t>x</m:t>
                </m:r>
              </m:sub>
            </m:sSub>
            <m:r>
              <m:rPr>
                <m:sty m:val="p"/>
              </m:rPr>
              <w:rPr>
                <w:rFonts w:ascii="Cambria Math" w:eastAsia="Times New Roman" w:hAnsi="Cambria Math" w:cs="Times New Roman"/>
                <w:szCs w:val="24"/>
              </w:rPr>
              <m:t>(</m:t>
            </m:r>
            <m:r>
              <w:rPr>
                <w:rFonts w:ascii="Cambria Math" w:eastAsia="Times New Roman" w:hAnsi="Cambria Math" w:cs="Times New Roman"/>
                <w:szCs w:val="24"/>
              </w:rPr>
              <m:t>p</m:t>
            </m:r>
            <m:r>
              <m:rPr>
                <m:sty m:val="p"/>
              </m:rPr>
              <w:rPr>
                <w:rFonts w:ascii="Cambria Math" w:eastAsia="Times New Roman" w:hAnsi="Cambria Math" w:cs="Times New Roman"/>
                <w:szCs w:val="24"/>
              </w:rPr>
              <m:t>)</m:t>
            </m:r>
          </m:e>
        </m:nary>
      </m:oMath>
      <w:r w:rsidRPr="00506D3C">
        <w:rPr>
          <w:rFonts w:eastAsia="Times New Roman" w:cs="Times New Roman"/>
          <w:szCs w:val="24"/>
        </w:rPr>
        <w:t xml:space="preserve"> at a specific model grid point, the mass mixing ratios of the five hydrometeor variables (</w:t>
      </w:r>
      <m:oMath>
        <m:sSub>
          <m:sSubPr>
            <m:ctrlPr>
              <w:rPr>
                <w:rFonts w:ascii="Cambria Math" w:eastAsia="Times New Roman" w:hAnsi="Cambria Math" w:cs="Times New Roman"/>
                <w:i/>
                <w:szCs w:val="24"/>
              </w:rPr>
            </m:ctrlPr>
          </m:sSubPr>
          <m:e>
            <m:r>
              <w:rPr>
                <w:rFonts w:ascii="Cambria Math" w:eastAsia="Times New Roman" w:hAnsi="Cambria Math" w:cs="Times New Roman"/>
                <w:szCs w:val="24"/>
              </w:rPr>
              <m:t>q</m:t>
            </m:r>
          </m:e>
          <m:sub>
            <m:r>
              <w:rPr>
                <w:rFonts w:ascii="Cambria Math" w:eastAsia="Times New Roman" w:hAnsi="Cambria Math" w:cs="Times New Roman"/>
                <w:szCs w:val="24"/>
              </w:rPr>
              <m:t>c</m:t>
            </m:r>
          </m:sub>
        </m:sSub>
        <m:r>
          <w:rPr>
            <w:rFonts w:ascii="Cambria Math" w:eastAsia="Times New Roman" w:hAnsi="Cambria Math" w:cs="Times New Roman"/>
            <w:szCs w:val="24"/>
          </w:rPr>
          <m:t xml:space="preserve">, </m:t>
        </m:r>
        <m:sSub>
          <m:sSubPr>
            <m:ctrlPr>
              <w:rPr>
                <w:rFonts w:ascii="Cambria Math" w:eastAsia="Times New Roman" w:hAnsi="Cambria Math" w:cs="Times New Roman"/>
                <w:i/>
                <w:szCs w:val="24"/>
              </w:rPr>
            </m:ctrlPr>
          </m:sSubPr>
          <m:e>
            <m:r>
              <w:rPr>
                <w:rFonts w:ascii="Cambria Math" w:eastAsia="Times New Roman" w:hAnsi="Cambria Math" w:cs="Times New Roman"/>
                <w:szCs w:val="24"/>
              </w:rPr>
              <m:t>q</m:t>
            </m:r>
          </m:e>
          <m:sub>
            <m:r>
              <w:rPr>
                <w:rFonts w:ascii="Cambria Math" w:eastAsia="Times New Roman" w:hAnsi="Cambria Math" w:cs="Times New Roman"/>
                <w:szCs w:val="24"/>
              </w:rPr>
              <m:t>r</m:t>
            </m:r>
          </m:sub>
        </m:sSub>
        <m:r>
          <w:rPr>
            <w:rFonts w:ascii="Cambria Math" w:eastAsia="Times New Roman" w:hAnsi="Cambria Math" w:cs="Times New Roman"/>
            <w:szCs w:val="24"/>
          </w:rPr>
          <m:t xml:space="preserve">, </m:t>
        </m:r>
        <m:sSub>
          <m:sSubPr>
            <m:ctrlPr>
              <w:rPr>
                <w:rFonts w:ascii="Cambria Math" w:eastAsia="Times New Roman" w:hAnsi="Cambria Math" w:cs="Times New Roman"/>
                <w:i/>
                <w:szCs w:val="24"/>
              </w:rPr>
            </m:ctrlPr>
          </m:sSubPr>
          <m:e>
            <m:r>
              <w:rPr>
                <w:rFonts w:ascii="Cambria Math" w:eastAsia="Times New Roman" w:hAnsi="Cambria Math" w:cs="Times New Roman"/>
                <w:szCs w:val="24"/>
              </w:rPr>
              <m:t>q</m:t>
            </m:r>
          </m:e>
          <m:sub>
            <m:r>
              <w:rPr>
                <w:rFonts w:ascii="Cambria Math" w:eastAsia="Times New Roman" w:hAnsi="Cambria Math" w:cs="Times New Roman"/>
                <w:szCs w:val="24"/>
              </w:rPr>
              <m:t>i</m:t>
            </m:r>
          </m:sub>
        </m:sSub>
        <m:r>
          <w:rPr>
            <w:rFonts w:ascii="Cambria Math" w:eastAsia="Times New Roman" w:hAnsi="Cambria Math" w:cs="Times New Roman"/>
            <w:szCs w:val="24"/>
          </w:rPr>
          <m:t xml:space="preserve">, </m:t>
        </m:r>
        <m:sSub>
          <m:sSubPr>
            <m:ctrlPr>
              <w:rPr>
                <w:rFonts w:ascii="Cambria Math" w:eastAsia="Times New Roman" w:hAnsi="Cambria Math" w:cs="Times New Roman"/>
                <w:i/>
                <w:szCs w:val="24"/>
              </w:rPr>
            </m:ctrlPr>
          </m:sSubPr>
          <m:e>
            <m:r>
              <w:rPr>
                <w:rFonts w:ascii="Cambria Math" w:eastAsia="Times New Roman" w:hAnsi="Cambria Math" w:cs="Times New Roman"/>
                <w:szCs w:val="24"/>
              </w:rPr>
              <m:t>q</m:t>
            </m:r>
          </m:e>
          <m:sub>
            <m:r>
              <w:rPr>
                <w:rFonts w:ascii="Cambria Math" w:eastAsia="Times New Roman" w:hAnsi="Cambria Math" w:cs="Times New Roman"/>
                <w:szCs w:val="24"/>
              </w:rPr>
              <m:t>s</m:t>
            </m:r>
          </m:sub>
        </m:sSub>
        <m:r>
          <w:rPr>
            <w:rFonts w:ascii="Cambria Math" w:eastAsia="Times New Roman" w:hAnsi="Cambria Math" w:cs="Times New Roman"/>
            <w:szCs w:val="24"/>
          </w:rPr>
          <m:t xml:space="preserve">, </m:t>
        </m:r>
        <m:sSub>
          <m:sSubPr>
            <m:ctrlPr>
              <w:rPr>
                <w:rFonts w:ascii="Cambria Math" w:eastAsia="Times New Roman" w:hAnsi="Cambria Math" w:cs="Times New Roman"/>
                <w:i/>
                <w:szCs w:val="24"/>
              </w:rPr>
            </m:ctrlPr>
          </m:sSubPr>
          <m:e>
            <m:r>
              <w:rPr>
                <w:rFonts w:ascii="Cambria Math" w:eastAsia="Times New Roman" w:hAnsi="Cambria Math" w:cs="Times New Roman"/>
                <w:szCs w:val="24"/>
              </w:rPr>
              <m:t>q</m:t>
            </m:r>
          </m:e>
          <m:sub>
            <m:r>
              <w:rPr>
                <w:rFonts w:ascii="Cambria Math" w:eastAsia="Times New Roman" w:hAnsi="Cambria Math" w:cs="Times New Roman"/>
                <w:szCs w:val="24"/>
              </w:rPr>
              <m:t>g</m:t>
            </m:r>
          </m:sub>
        </m:sSub>
      </m:oMath>
      <w:r w:rsidRPr="00506D3C">
        <w:rPr>
          <w:rFonts w:eastAsia="Times New Roman" w:cs="Times New Roman"/>
          <w:szCs w:val="24"/>
        </w:rPr>
        <w:t xml:space="preserve">) are used when the Thompson 1.5-moment microphysics scheme </w:t>
      </w:r>
      <w:r w:rsidRPr="00506D3C">
        <w:rPr>
          <w:rFonts w:eastAsia="Times New Roman" w:cs="Times New Roman"/>
          <w:szCs w:val="24"/>
        </w:rPr>
        <w:fldChar w:fldCharType="begin"/>
      </w:r>
      <w:r w:rsidRPr="00506D3C">
        <w:rPr>
          <w:rFonts w:eastAsia="Times New Roman" w:cs="Times New Roman"/>
          <w:szCs w:val="24"/>
        </w:rPr>
        <w:instrText xml:space="preserve"> ADDIN ZOTERO_ITEM CSL_CITATION {"citationID":"1cF3Kss3","properties":{"formattedCitation":"(Thompson et al. 2008)","plainCitation":"(Thompson et al. 2008)","noteIndex":0},"citationItems":[{"id":493,"uris":["http://zotero.org/users/local/6VSApgKp/items/HUUAXW6U"],"itemData":{"id":493,"type":"article-journal","abstract":"Abstract A new bulk microphysical parameterization (BMP) has been developed for use with the Weather Research and Forecasting (WRF) Model or other mesoscale models. As compared with earlier single-moment BMPs, the new scheme incorporates a large number of improvements to both physical processes and computer coding, and it employs many techniques found in far more sophisticated spectral/bin schemes using lookup tables. Unlike any other BMP, the assumed snow size distribution depends on both ice water content and temperature and is represented as a sum of exponential and gamma distributions. Furthermore, snow assumes a nonspherical shape with a bulk density that varies inversely with diameter as found in observations and in contrast to nearly all other BMPs that assume spherical snow with constant density. The new scheme’s snow category was readily modified to match previous research in sensitivity experiments designed to test the sphericity and distribution shape characteristics. From analysis of four idealized sensitivity experiments, it was determined that the sphericity and constant density assumptions play a major role in producing supercooled liquid water whereas the assumed distribution shape plays a lesser, but nonnegligible, role. Further testing using numerous case studies and comparing model results with in situ and other observations confirmed the results of the idealized experiments and are briefly mentioned herein, but more detailed, microphysical comparisons with observations are found in a companion paper in this series (Part III, forthcoming).","container-title":"Monthly Weather Review","DOI":"10.1175/2008MWR2387.1","ISSN":"1520-0493, 0027-0644","issue":"12","language":"EN","note":"publisher: American Meteorological Society\nsection: Monthly Weather Review","page":"5095-5115","source":"journals.ametsoc.org","title":"Explicit Forecasts of Winter Precipitation Using an Improved Bulk Microphysics Scheme. Part II: Implementation of a New Snow Parameterization","title-short":"Explicit Forecasts of Winter Precipitation Using an Improved Bulk Microphysics Scheme. Part II","volume":"136","author":[{"family":"Thompson","given":"Gregory"},{"family":"Field","given":"Paul R."},{"family":"Rasmussen","given":"Roy M."},{"family":"Hall","given":"William D."}],"issued":{"date-parts":[["2008",12,1]]},"citation-key":"thompsonExplicitForecastsWinter2008"}}],"schema":"https://github.com/citation-style-language/schema/raw/master/csl-citation.json"} </w:instrText>
      </w:r>
      <w:r w:rsidRPr="00506D3C">
        <w:rPr>
          <w:rFonts w:eastAsia="Times New Roman" w:cs="Times New Roman"/>
          <w:szCs w:val="24"/>
        </w:rPr>
        <w:fldChar w:fldCharType="separate"/>
      </w:r>
      <w:r w:rsidRPr="00506D3C">
        <w:rPr>
          <w:rFonts w:eastAsia="Times New Roman" w:cs="Times New Roman"/>
          <w:noProof/>
          <w:szCs w:val="24"/>
        </w:rPr>
        <w:t>(Thompson et al. 2008)</w:t>
      </w:r>
      <w:r w:rsidRPr="00506D3C">
        <w:rPr>
          <w:rFonts w:eastAsia="Times New Roman" w:cs="Times New Roman"/>
          <w:szCs w:val="24"/>
        </w:rPr>
        <w:fldChar w:fldCharType="end"/>
      </w:r>
      <w:r w:rsidRPr="00506D3C">
        <w:rPr>
          <w:rFonts w:eastAsia="Times New Roman" w:cs="Times New Roman"/>
          <w:szCs w:val="24"/>
        </w:rPr>
        <w:t xml:space="preserve"> is adopted, whereas the mass mixing ratios of the six hydrometeor variables (</w:t>
      </w:r>
      <m:oMath>
        <m:sSub>
          <m:sSubPr>
            <m:ctrlPr>
              <w:rPr>
                <w:rFonts w:ascii="Cambria Math" w:eastAsia="Times New Roman" w:hAnsi="Cambria Math" w:cs="Times New Roman"/>
                <w:i/>
                <w:szCs w:val="24"/>
              </w:rPr>
            </m:ctrlPr>
          </m:sSubPr>
          <m:e>
            <m:r>
              <w:rPr>
                <w:rFonts w:ascii="Cambria Math" w:eastAsia="Times New Roman" w:hAnsi="Cambria Math" w:cs="Times New Roman"/>
                <w:szCs w:val="24"/>
              </w:rPr>
              <m:t>q</m:t>
            </m:r>
          </m:e>
          <m:sub>
            <m:r>
              <w:rPr>
                <w:rFonts w:ascii="Cambria Math" w:eastAsia="Times New Roman" w:hAnsi="Cambria Math" w:cs="Times New Roman"/>
                <w:szCs w:val="24"/>
              </w:rPr>
              <m:t>c</m:t>
            </m:r>
          </m:sub>
        </m:sSub>
        <m:r>
          <w:rPr>
            <w:rFonts w:ascii="Cambria Math" w:eastAsia="Times New Roman" w:hAnsi="Cambria Math" w:cs="Times New Roman"/>
            <w:szCs w:val="24"/>
          </w:rPr>
          <m:t xml:space="preserve">, </m:t>
        </m:r>
        <m:sSub>
          <m:sSubPr>
            <m:ctrlPr>
              <w:rPr>
                <w:rFonts w:ascii="Cambria Math" w:eastAsia="Times New Roman" w:hAnsi="Cambria Math" w:cs="Times New Roman"/>
                <w:i/>
                <w:szCs w:val="24"/>
              </w:rPr>
            </m:ctrlPr>
          </m:sSubPr>
          <m:e>
            <m:r>
              <w:rPr>
                <w:rFonts w:ascii="Cambria Math" w:eastAsia="Times New Roman" w:hAnsi="Cambria Math" w:cs="Times New Roman"/>
                <w:szCs w:val="24"/>
              </w:rPr>
              <m:t>q</m:t>
            </m:r>
          </m:e>
          <m:sub>
            <m:r>
              <w:rPr>
                <w:rFonts w:ascii="Cambria Math" w:eastAsia="Times New Roman" w:hAnsi="Cambria Math" w:cs="Times New Roman"/>
                <w:szCs w:val="24"/>
              </w:rPr>
              <m:t>r</m:t>
            </m:r>
          </m:sub>
        </m:sSub>
        <m:r>
          <w:rPr>
            <w:rFonts w:ascii="Cambria Math" w:eastAsia="Times New Roman" w:hAnsi="Cambria Math" w:cs="Times New Roman"/>
            <w:szCs w:val="24"/>
          </w:rPr>
          <m:t xml:space="preserve">, </m:t>
        </m:r>
        <m:sSub>
          <m:sSubPr>
            <m:ctrlPr>
              <w:rPr>
                <w:rFonts w:ascii="Cambria Math" w:eastAsia="Times New Roman" w:hAnsi="Cambria Math" w:cs="Times New Roman"/>
                <w:i/>
                <w:szCs w:val="24"/>
              </w:rPr>
            </m:ctrlPr>
          </m:sSubPr>
          <m:e>
            <m:r>
              <w:rPr>
                <w:rFonts w:ascii="Cambria Math" w:eastAsia="Times New Roman" w:hAnsi="Cambria Math" w:cs="Times New Roman"/>
                <w:szCs w:val="24"/>
              </w:rPr>
              <m:t>q</m:t>
            </m:r>
          </m:e>
          <m:sub>
            <m:r>
              <w:rPr>
                <w:rFonts w:ascii="Cambria Math" w:eastAsia="Times New Roman" w:hAnsi="Cambria Math" w:cs="Times New Roman"/>
                <w:szCs w:val="24"/>
              </w:rPr>
              <m:t>i</m:t>
            </m:r>
          </m:sub>
        </m:sSub>
        <m:r>
          <w:rPr>
            <w:rFonts w:ascii="Cambria Math" w:eastAsia="Times New Roman" w:hAnsi="Cambria Math" w:cs="Times New Roman"/>
            <w:szCs w:val="24"/>
          </w:rPr>
          <m:t xml:space="preserve">, </m:t>
        </m:r>
        <m:sSub>
          <m:sSubPr>
            <m:ctrlPr>
              <w:rPr>
                <w:rFonts w:ascii="Cambria Math" w:eastAsia="Times New Roman" w:hAnsi="Cambria Math" w:cs="Times New Roman"/>
                <w:i/>
                <w:szCs w:val="24"/>
              </w:rPr>
            </m:ctrlPr>
          </m:sSubPr>
          <m:e>
            <m:r>
              <w:rPr>
                <w:rFonts w:ascii="Cambria Math" w:eastAsia="Times New Roman" w:hAnsi="Cambria Math" w:cs="Times New Roman"/>
                <w:szCs w:val="24"/>
              </w:rPr>
              <m:t>q</m:t>
            </m:r>
          </m:e>
          <m:sub>
            <m:r>
              <w:rPr>
                <w:rFonts w:ascii="Cambria Math" w:eastAsia="Times New Roman" w:hAnsi="Cambria Math" w:cs="Times New Roman"/>
                <w:szCs w:val="24"/>
              </w:rPr>
              <m:t>s</m:t>
            </m:r>
          </m:sub>
        </m:sSub>
        <m:r>
          <w:rPr>
            <w:rFonts w:ascii="Cambria Math" w:eastAsia="Times New Roman" w:hAnsi="Cambria Math" w:cs="Times New Roman"/>
            <w:szCs w:val="24"/>
          </w:rPr>
          <m:t xml:space="preserve">, </m:t>
        </m:r>
        <m:sSub>
          <m:sSubPr>
            <m:ctrlPr>
              <w:rPr>
                <w:rFonts w:ascii="Cambria Math" w:eastAsia="Times New Roman" w:hAnsi="Cambria Math" w:cs="Times New Roman"/>
                <w:i/>
                <w:szCs w:val="24"/>
              </w:rPr>
            </m:ctrlPr>
          </m:sSubPr>
          <m:e>
            <m:r>
              <w:rPr>
                <w:rFonts w:ascii="Cambria Math" w:eastAsia="Times New Roman" w:hAnsi="Cambria Math" w:cs="Times New Roman"/>
                <w:szCs w:val="24"/>
              </w:rPr>
              <m:t>q</m:t>
            </m:r>
          </m:e>
          <m:sub>
            <m:r>
              <w:rPr>
                <w:rFonts w:ascii="Cambria Math" w:eastAsia="Times New Roman" w:hAnsi="Cambria Math" w:cs="Times New Roman"/>
                <w:szCs w:val="24"/>
              </w:rPr>
              <m:t>g</m:t>
            </m:r>
          </m:sub>
        </m:sSub>
        <m:r>
          <w:rPr>
            <w:rFonts w:ascii="Cambria Math" w:eastAsia="Times New Roman" w:hAnsi="Cambria Math" w:cs="Times New Roman"/>
            <w:szCs w:val="24"/>
          </w:rPr>
          <m:t>,</m:t>
        </m:r>
        <m:sSub>
          <m:sSubPr>
            <m:ctrlPr>
              <w:rPr>
                <w:rFonts w:ascii="Cambria Math" w:eastAsia="Times New Roman" w:hAnsi="Cambria Math" w:cs="Times New Roman"/>
                <w:i/>
                <w:szCs w:val="24"/>
              </w:rPr>
            </m:ctrlPr>
          </m:sSubPr>
          <m:e>
            <m:r>
              <w:rPr>
                <w:rFonts w:ascii="Cambria Math" w:eastAsia="Times New Roman" w:hAnsi="Cambria Math" w:cs="Times New Roman"/>
                <w:szCs w:val="24"/>
              </w:rPr>
              <m:t>q</m:t>
            </m:r>
          </m:e>
          <m:sub>
            <m:r>
              <w:rPr>
                <w:rFonts w:ascii="Cambria Math" w:eastAsia="Times New Roman" w:hAnsi="Cambria Math" w:cs="Times New Roman"/>
                <w:szCs w:val="24"/>
              </w:rPr>
              <m:t>h</m:t>
            </m:r>
          </m:sub>
        </m:sSub>
      </m:oMath>
      <w:r w:rsidRPr="00506D3C">
        <w:rPr>
          <w:rFonts w:eastAsia="Times New Roman" w:cs="Times New Roman"/>
          <w:szCs w:val="24"/>
        </w:rPr>
        <w:t>) are used when the NSSL 2-</w:t>
      </w:r>
      <w:r w:rsidRPr="00506D3C">
        <w:rPr>
          <w:rFonts w:eastAsia="Times New Roman" w:cs="Times New Roman"/>
          <w:szCs w:val="24"/>
        </w:rPr>
        <w:lastRenderedPageBreak/>
        <w:t xml:space="preserve">moment with CCN prediction microphysics scheme </w:t>
      </w:r>
      <w:r w:rsidRPr="00506D3C">
        <w:rPr>
          <w:rFonts w:eastAsia="Times New Roman" w:cs="Times New Roman"/>
          <w:szCs w:val="24"/>
        </w:rPr>
        <w:fldChar w:fldCharType="begin"/>
      </w:r>
      <w:r w:rsidRPr="00506D3C">
        <w:rPr>
          <w:rFonts w:eastAsia="Times New Roman" w:cs="Times New Roman"/>
          <w:szCs w:val="24"/>
        </w:rPr>
        <w:instrText xml:space="preserve"> ADDIN ZOTERO_ITEM CSL_CITATION {"citationID":"1ME4IUER","properties":{"formattedCitation":"(Mansell et al. 2010)","plainCitation":"(Mansell et al. 2010)","noteIndex":0},"citationItems":[{"id":161,"uris":["http://zotero.org/users/local/6VSApgKp/items/3EP5K4KA"],"itemData":{"id":161,"type":"article-journal","abstract":"&lt;section class=\"abstract\"&gt;&lt;h2 class=\"abstractTitle text-title my-1\" id=\"d132267571e75\"&gt;Abstract&lt;/h2&gt;&lt;p&gt;Electrification and lightning are simulated for a small continental multicell storm. The results are consistent with observations and thus provide additional understanding of the charging processes and evolution of this storm. The first six observed lightning flashes were all negative cloud-to-ground (CG) flashes, after which intracloud (IC) flashes also occurred between middle and upper levels of the storm. The model simulation reproduces the basic evolution of lightning from low and middle levels to upper levels. The observed lightning indicated an initial charge structure of at least an inverted dipole (negative charge above positive). The simulations show that noninductive charge separation higher in the storm can enhance the main negative charge sufficiently to produce negative CG flashes before upper-level IC flashes commence. The result is a “bottom-heavy” tripole charge structure with midlevel negative charge and a lower positive charge region that is more significant than the upper positive region, in contrast to the traditional tripole structure that has a less significant lower positive charge region. Additionally, the occurrence of cloud-to-ground lightning is not necessarily a result of excess net charge carried by the storm, but it is primarily caused by the local potential imbalance between the lowest charge regions.&lt;/p&gt;&lt;p&gt;The two-moment microphysics scheme used for this study predicted mass mixing ratio and number concentration of cloud droplets, rain, ice crystals, snow, and graupel. Bulk particle density of graupel was also predicted, which allows a single category to represent a greater range of particle characteristics. (An additional hail category is available but was not needed for the present study.) The prediction of hydrometeor number concentration is particularly critical for charge separation at higher temperatures (−5° &amp;lt; &lt;em&gt;T&lt;/em&gt; &amp;lt; −20°C) in the mixed phase region, where ice crystals are produced by rime fracturing (Hallett–Mossop process) and by splintering of freezing drops. Cloud droplet concentration prediction also affected the rates of inductive charge separation between graupel and droplets.&lt;/p&gt;&lt;/section&gt;","container-title":"Journal of the Atmospheric Sciences","DOI":"10.1175/2009JAS2965.1","ISSN":"0022-4928, 1520-0469","issue":"1","language":"EN","note":"publisher: American Meteorological Society\nsection: Journal of the Atmospheric Sciences","page":"171-194","source":"journals.ametsoc.org","title":"Simulated Electrification of a Small Thunderstorm with Two-Moment Bulk Microphysics","volume":"67","author":[{"family":"Mansell","given":"Edward R."},{"family":"Ziegler","given":"Conrad L."},{"family":"Bruning","given":"Eric C."}],"issued":{"date-parts":[["2010",1,1]]},"citation-key":"mansellSimulatedElectrificationSmall2010"}}],"schema":"https://github.com/citation-style-language/schema/raw/master/csl-citation.json"} </w:instrText>
      </w:r>
      <w:r w:rsidRPr="00506D3C">
        <w:rPr>
          <w:rFonts w:eastAsia="Times New Roman" w:cs="Times New Roman"/>
          <w:szCs w:val="24"/>
        </w:rPr>
        <w:fldChar w:fldCharType="separate"/>
      </w:r>
      <w:r w:rsidRPr="00506D3C">
        <w:rPr>
          <w:rFonts w:eastAsia="Times New Roman" w:cs="Times New Roman"/>
          <w:noProof/>
          <w:szCs w:val="24"/>
        </w:rPr>
        <w:t>(Mansell et al. 2010)</w:t>
      </w:r>
      <w:r w:rsidRPr="00506D3C">
        <w:rPr>
          <w:rFonts w:eastAsia="Times New Roman" w:cs="Times New Roman"/>
          <w:szCs w:val="24"/>
        </w:rPr>
        <w:fldChar w:fldCharType="end"/>
      </w:r>
      <w:r w:rsidRPr="00506D3C">
        <w:rPr>
          <w:rFonts w:eastAsia="Times New Roman" w:cs="Times New Roman"/>
          <w:szCs w:val="24"/>
        </w:rPr>
        <w:t xml:space="preserve"> is adopted. As described in </w:t>
      </w:r>
      <w:r w:rsidRPr="00506D3C">
        <w:rPr>
          <w:rFonts w:eastAsia="Times New Roman" w:cs="Times New Roman"/>
          <w:szCs w:val="24"/>
        </w:rPr>
        <w:fldChar w:fldCharType="begin"/>
      </w:r>
      <w:r w:rsidR="00186B73">
        <w:rPr>
          <w:rFonts w:eastAsia="Times New Roman" w:cs="Times New Roman"/>
          <w:szCs w:val="24"/>
        </w:rPr>
        <w:instrText xml:space="preserve"> ADDIN ZOTERO_ITEM CSL_CITATION {"citationID":"vn3AOjgD","properties":{"formattedCitation":"(Jones et al. 2015)","plainCitation":"(Jones et al. 2015)","dontUpdate":true,"noteIndex":0},"citationItems":[{"id":93,"uris":["http://zotero.org/users/local/6VSApgKp/items/24V472WG"],"itemData":{"id":93,"type":"article-journal","abstract":"&lt;section class=\"abstract\"&gt;&lt;h2 class=\"abstractTitle text-title my-1\" id=\"d130734342e92\"&gt;Abstract&lt;/h2&gt;&lt;p&gt;Assimilating high-resolution radar reflectivity and radial velocity into convection-permitting numerical weather prediction models has proven to be an important tool for improving forecast skill of convection. The use of satellite data for the application is much less well understood, only recently receiving significant attention. Since both radar and satellite data provide independent information, combing these two sources of data in a robust manner potentially represents the future of high-resolution data assimilation. This research combines &lt;em&gt;Geostationary Operational Environmental Satellite 13&lt;/em&gt; (&lt;em&gt;GOES-13&lt;/em&gt;) cloud water path (CWP) retrievals with Weather Surveillance Radar-1988 Doppler (WSR-88D) reflectivity and radial velocity to examine the impacts of assimilating each for a severe weather event occurring in Oklahoma on 24 May 2011. Data are assimilated into a 3-km model using an ensemble adjustment Kalman filter approach with 36 members over a 2-h assimilation window between 1800 and 2000 UTC. Forecasts are then generated for 90 min at 5-min intervals starting at 1930 and 2000 UTC. Results show that both satellite and radar data are able to initiate convection, but that assimilating both spins up a storm much faster. Assimilating CWP also performs well at suppressing spurious precipitation and cloud cover in the model as well as capturing the anvil characteristics of developed storms. Radar data are most effective at resolving the 3D characteristics of the core convection. Assimilating both satellite and radar data generally resulted in the best model analysis and most skillful forecast for this event.&lt;/p&gt;&lt;/section&gt;","container-title":"Monthly Weather Review","DOI":"10.1175/MWR-D-14-00180.1","ISSN":"1520-0493, 0027-0644","issue":"1","language":"EN","note":"publisher: American Meteorological Society\nsection: Monthly Weather Review","page":"165-194","source":"journals.ametsoc.org","title":"Simultaneous Radar and Satellite Data Storm-Scale Assimilation Using an Ensemble Kalman Filter Approach for 24 May 2011","volume":"143","author":[{"family":"Jones","given":"Thomas A."},{"family":"Stensrud","given":"David"},{"family":"Wicker","given":"Louis"},{"family":"Minnis","given":"Patrick"},{"family":"Palikonda","given":"Rabindra"}],"issued":{"date-parts":[["2015",1,1]]},"citation-key":"jonesSimultaneousRadarSatellite2015"}}],"schema":"https://github.com/citation-style-language/schema/raw/master/csl-citation.json"} </w:instrText>
      </w:r>
      <w:r w:rsidRPr="00506D3C">
        <w:rPr>
          <w:rFonts w:eastAsia="Times New Roman" w:cs="Times New Roman"/>
          <w:szCs w:val="24"/>
        </w:rPr>
        <w:fldChar w:fldCharType="separate"/>
      </w:r>
      <w:r w:rsidRPr="00506D3C">
        <w:rPr>
          <w:rFonts w:eastAsia="Times New Roman" w:cs="Times New Roman"/>
          <w:noProof/>
          <w:szCs w:val="24"/>
        </w:rPr>
        <w:t xml:space="preserve">Jones et al. </w:t>
      </w:r>
      <w:r w:rsidR="00587ECC">
        <w:rPr>
          <w:rFonts w:eastAsia="Times New Roman" w:cs="Times New Roman"/>
          <w:noProof/>
          <w:szCs w:val="24"/>
        </w:rPr>
        <w:t>(</w:t>
      </w:r>
      <w:r w:rsidRPr="00506D3C">
        <w:rPr>
          <w:rFonts w:eastAsia="Times New Roman" w:cs="Times New Roman"/>
          <w:noProof/>
          <w:szCs w:val="24"/>
        </w:rPr>
        <w:t>2015)</w:t>
      </w:r>
      <w:r w:rsidRPr="00506D3C">
        <w:rPr>
          <w:rFonts w:eastAsia="Times New Roman" w:cs="Times New Roman"/>
          <w:szCs w:val="24"/>
        </w:rPr>
        <w:fldChar w:fldCharType="end"/>
      </w:r>
      <w:r w:rsidRPr="00506D3C">
        <w:rPr>
          <w:rFonts w:eastAsia="Times New Roman" w:cs="Times New Roman"/>
          <w:szCs w:val="24"/>
        </w:rPr>
        <w:t xml:space="preserve">, cloud phase at each pixel can be classified as either “liquid” or “ice” based on the cloud temperature and cloud effective particle size information. In the forward operator, CWP represents the column integration of liquid cloud and rain hydrometeors for observed liquid cloud </w:t>
      </w:r>
      <w:r>
        <w:rPr>
          <w:rFonts w:eastAsia="Times New Roman" w:cs="Times New Roman"/>
          <w:szCs w:val="24"/>
        </w:rPr>
        <w:t>pixels</w:t>
      </w:r>
      <w:r w:rsidRPr="00506D3C">
        <w:rPr>
          <w:rFonts w:eastAsia="Times New Roman" w:cs="Times New Roman"/>
          <w:szCs w:val="24"/>
        </w:rPr>
        <w:t xml:space="preserve">. An “ice” pixel represents the column integration of both liquid and frozen hydrometeors (such as snow, ice, graupel and hail) because the current algorithm for retrieving CWP is unable to separately identify mixed-phase clouds such as deep convective clouds that may contain both liquid and ice phase hydrometeors. The CWP product is generally used to discern cloudy and clear-sky areas in the domain. To partially address the production of spurious clouds and convection in the model domain, our </w:t>
      </w:r>
      <w:r>
        <w:rPr>
          <w:rFonts w:eastAsia="Times New Roman" w:cs="Times New Roman"/>
          <w:szCs w:val="24"/>
        </w:rPr>
        <w:t>DA</w:t>
      </w:r>
      <w:r w:rsidRPr="00506D3C">
        <w:rPr>
          <w:rFonts w:eastAsia="Times New Roman" w:cs="Times New Roman"/>
          <w:szCs w:val="24"/>
        </w:rPr>
        <w:t xml:space="preserve"> procedure also considers the assimilation of zero CWP observations.</w:t>
      </w:r>
    </w:p>
    <w:p w14:paraId="37BAD589" w14:textId="66A5171A" w:rsidR="00D92996" w:rsidRPr="00587ECC" w:rsidRDefault="00D92996" w:rsidP="00587ECC">
      <w:pPr>
        <w:pStyle w:val="Heading3"/>
      </w:pPr>
      <w:bookmarkStart w:id="38" w:name="_Toc130995439"/>
      <w:bookmarkStart w:id="39" w:name="_Toc131018304"/>
      <w:r w:rsidRPr="00587ECC">
        <w:t>LPW derived from ABI</w:t>
      </w:r>
      <w:bookmarkEnd w:id="38"/>
      <w:bookmarkEnd w:id="39"/>
    </w:p>
    <w:p w14:paraId="44A67A47" w14:textId="5FCE8792" w:rsidR="00A370AE" w:rsidRPr="00506D3C" w:rsidRDefault="00A370AE" w:rsidP="00A370AE">
      <w:pPr>
        <w:rPr>
          <w:rFonts w:eastAsia="Times New Roman" w:cs="Times New Roman"/>
          <w:szCs w:val="24"/>
        </w:rPr>
      </w:pPr>
      <w:r w:rsidRPr="00506D3C">
        <w:rPr>
          <w:rFonts w:eastAsia="Times New Roman" w:cs="Times New Roman"/>
          <w:szCs w:val="24"/>
        </w:rPr>
        <w:t xml:space="preserve">The advanced Baseline Imager (ABI) is designed for the GOES-R series that has been </w:t>
      </w:r>
      <w:r w:rsidR="00EE45D9">
        <w:rPr>
          <w:rFonts w:eastAsia="Times New Roman" w:cs="Times New Roman"/>
          <w:szCs w:val="24"/>
        </w:rPr>
        <w:t>operational</w:t>
      </w:r>
      <w:r w:rsidRPr="00506D3C">
        <w:rPr>
          <w:rFonts w:eastAsia="Times New Roman" w:cs="Times New Roman"/>
          <w:szCs w:val="24"/>
        </w:rPr>
        <w:t xml:space="preserve"> since</w:t>
      </w:r>
      <w:r w:rsidR="00EE45D9">
        <w:rPr>
          <w:rFonts w:eastAsia="Times New Roman" w:cs="Times New Roman"/>
          <w:szCs w:val="24"/>
        </w:rPr>
        <w:t xml:space="preserve"> late</w:t>
      </w:r>
      <w:r w:rsidRPr="00506D3C">
        <w:rPr>
          <w:rFonts w:eastAsia="Times New Roman" w:cs="Times New Roman"/>
          <w:szCs w:val="24"/>
        </w:rPr>
        <w:t xml:space="preserve"> 2016. Differing from the GOES Imager carried on </w:t>
      </w:r>
      <w:r>
        <w:rPr>
          <w:rFonts w:eastAsia="Times New Roman" w:cs="Times New Roman"/>
          <w:szCs w:val="24"/>
        </w:rPr>
        <w:t xml:space="preserve">the </w:t>
      </w:r>
      <w:r w:rsidRPr="00506D3C">
        <w:rPr>
          <w:rFonts w:eastAsia="Times New Roman" w:cs="Times New Roman"/>
          <w:szCs w:val="24"/>
        </w:rPr>
        <w:t>GOES-M series,</w:t>
      </w:r>
      <w:r w:rsidRPr="00506D3C">
        <w:rPr>
          <w:rFonts w:eastAsia="Times New Roman" w:cs="Times New Roman" w:hint="eastAsia"/>
          <w:szCs w:val="24"/>
        </w:rPr>
        <w:t xml:space="preserve"> </w:t>
      </w:r>
      <w:r w:rsidRPr="00506D3C">
        <w:rPr>
          <w:rFonts w:eastAsia="Times New Roman" w:cs="Times New Roman"/>
          <w:szCs w:val="24"/>
        </w:rPr>
        <w:t xml:space="preserve">ABI implements more spectral bands as well as higher temporal and spatial sampling capabilities </w:t>
      </w:r>
      <w:r w:rsidRPr="00506D3C">
        <w:rPr>
          <w:rFonts w:eastAsia="Times New Roman" w:cs="Times New Roman"/>
          <w:szCs w:val="24"/>
        </w:rPr>
        <w:fldChar w:fldCharType="begin"/>
      </w:r>
      <w:r w:rsidRPr="00506D3C">
        <w:rPr>
          <w:rFonts w:eastAsia="Times New Roman" w:cs="Times New Roman"/>
          <w:szCs w:val="24"/>
        </w:rPr>
        <w:instrText xml:space="preserve"> ADDIN ZOTERO_ITEM CSL_CITATION {"citationID":"PtD8Ps51","properties":{"formattedCitation":"(Schmit et al. 2005, 2017)","plainCitation":"(Schmit et al. 2005, 2017)","noteIndex":0},"citationItems":[{"id":495,"uris":["http://zotero.org/users/local/6VSApgKp/items/S7555IDL"],"itemData":{"id":495,"type":"article-journal","abstract":"The Advanced Baseline Imager (ABI), designated to be one of the instruments on a future Geostationary Operational Environmental Satellite (GOES) series, will introduce a new era for U.S. geostationary environmental remote sensing. ABI is slated to be launched on GOES-R in 2012 and will be used for a wide range of weather, oceanographic, climate, and environmental applications. ABI will have more spectral bands (16), faster imaging (enabling more geographical areas to be scanned), and higher spatial resolution (2 km in the infrared and 1–0.5 km in the visible) than the current GOES Imager. The purposes of the selected spectral bands are summarized in this paper. There will also be improved performance with regard to radiometrics and image navigation/registration. ABI will improve all current GOES Imager products and introduce a host of new products. New capabilities will include detecting upper-level SO2 plumes, monitoring plant health on a diurnal time scale, inferring cloud-top phase and particle size and other microphysical properties, and quantifying air quality with improved aerosol and smoke detection. ABI will be operating in concert with the GOES-R high spectral resolution sounder, part of the Hyperspectral Environmental Suite (HES); several products will be improved through the combination of high spatial resolution imager data with collocated high spectral resolution measurements. This paper introduces the proposed ABI spectral bands, discusses the rationale for their selection, and presents simulated ABI examples gleaned from current airborne and satellite instrument data.","container-title":"Bulletin of the American Meteorological Society","DOI":"10.1175/BAMS-86-8-1079","ISSN":"0003-0007, 1520-0477","issue":"8","language":"en","note":"publisher: American Meteorological Society\nsection: Bulletin of the American Meteorological Society","page":"1079-1096","source":"journals.ametsoc.org","title":"INTRODUCING THE NEXT-GENERATION ADVANCED BASELINE IMAGER ON GOES-R","volume":"86","author":[{"family":"Schmit","given":"Timothy J."},{"family":"Gunshor","given":"Mathew M."},{"family":"Menzel","given":"W. Paul"},{"family":"Gurka","given":"James J."},{"family":"Li","given":"Jun"},{"family":"Bachmeier","given":"A. Scott"}],"issued":{"date-parts":[["2005",8,1]]},"citation-key":"schmitINTRODUCINGNEXTGENERATIONADVANCED2005"}},{"id":72,"uris":["http://zotero.org/users/local/6VSApgKp/items/CH559LRL"],"itemData":{"id":72,"type":"article-journal","abstract":"&lt;section class=\"abstract\"&gt;&lt;h2 class=\"abstractTitle text-title my-1\" id=\"d119320546e119\"&gt;Abstract&lt;/h2&gt;&lt;p&gt;The Advanced Baseline Imager (ABI) on board the Geostationary Operational Environmental Satellite-R (GOES-R) is America’s next-generation geostationary advanced imager. GOES-R launched on 19 November 2016. The ABI is a state-of-the-art 16-band radiometer, with spectral bands covering the visible, near-infrared, and infrared portions of the electromagnetic spectrum. Many attributes of the ABI—such as spectral, spatial, and temporal resolution; radiometrics; and image navigation/registration—are much improved from the current series of GOES imagers. This paper highlights and discusses the expected improvements of each of these attributes. From ABI data many higher-level-derived products can be generated and used in a large number of environmental applications. The ABI’s design allows rapid-scan and contiguous U.S. imaging automatically interleaved with full-disk scanning. In this paper the expected instrument attributes are covered, as they relate to signal-to-noise ratio, image navigation and registration, the various ABI scan modes, and other parameters. There will be several methods for users to acquire GOES-R imagery and products depending on their needs. These include direct reception of the imagery via the satellite downlink and an online-accessible archive. The information from the ABI on the GOES-R series will be used for many applications related to severe weather, tropical cyclones and hurricanes, aviation, natural hazards, the atmosphere, the ocean, and the cryosphere.&lt;/p&gt;&lt;p&gt;The ABI on the GOES-R series is America’s next-generation geostationary advanced imager and will dramatically improve the monitoring of many phenomena at finer time and space scales.&lt;/p&gt;&lt;/section&gt;","container-title":"Bulletin of the American Meteorological Society","DOI":"10.1175/BAMS-D-15-00230.1","ISSN":"0003-0007, 1520-0477","issue":"4","language":"EN","note":"publisher: American Meteorological Society\nsection: Bulletin of the American Meteorological Society","page":"681-698","source":"journals.ametsoc.org","title":"A Closer Look at the ABI on the GOES-R Series","volume":"98","author":[{"family":"Schmit","given":"Timothy J."},{"family":"Griffith","given":"Paul"},{"family":"Gunshor","given":"Mathew M."},{"family":"Daniels","given":"Jaime M."},{"family":"Goodman","given":"Steven J."},{"family":"Lebair","given":"William J."}],"issued":{"date-parts":[["2017",4,1]]},"citation-key":"schmitCloserLookABI2017"}}],"schema":"https://github.com/citation-style-language/schema/raw/master/csl-citation.json"} </w:instrText>
      </w:r>
      <w:r w:rsidRPr="00506D3C">
        <w:rPr>
          <w:rFonts w:eastAsia="Times New Roman" w:cs="Times New Roman"/>
          <w:szCs w:val="24"/>
        </w:rPr>
        <w:fldChar w:fldCharType="separate"/>
      </w:r>
      <w:r w:rsidRPr="00506D3C">
        <w:rPr>
          <w:rFonts w:eastAsia="Times New Roman" w:cs="Times New Roman"/>
          <w:noProof/>
          <w:szCs w:val="24"/>
        </w:rPr>
        <w:t>(Schmit et al. 2005, 2017)</w:t>
      </w:r>
      <w:r w:rsidRPr="00506D3C">
        <w:rPr>
          <w:rFonts w:eastAsia="Times New Roman" w:cs="Times New Roman"/>
          <w:szCs w:val="24"/>
        </w:rPr>
        <w:fldChar w:fldCharType="end"/>
      </w:r>
      <w:r w:rsidRPr="00506D3C">
        <w:rPr>
          <w:rFonts w:eastAsia="Times New Roman" w:cs="Times New Roman"/>
          <w:szCs w:val="24"/>
        </w:rPr>
        <w:t xml:space="preserve">. A new retrieval product, LPW, is experimentally available by taking advantage of </w:t>
      </w:r>
      <w:r w:rsidR="00EE45D9" w:rsidRPr="00506D3C">
        <w:rPr>
          <w:rFonts w:eastAsia="Times New Roman" w:cs="Times New Roman"/>
          <w:szCs w:val="24"/>
        </w:rPr>
        <w:t xml:space="preserve">the </w:t>
      </w:r>
      <w:r w:rsidRPr="00506D3C">
        <w:rPr>
          <w:rFonts w:eastAsia="Times New Roman" w:cs="Times New Roman"/>
          <w:szCs w:val="24"/>
        </w:rPr>
        <w:t xml:space="preserve">extra spectral bands. The retrieval algorithm was developed for deriving legacy atmospheric temperature and moisture profiles from radiance measurements from ABI. It uses the general least squares regression as a first guess followed by a one-dimensional variational approach and retrieves atmospheric temperature and moisture profiles and the derived products, including TPW and LPW from the clear sky infrared radiances </w:t>
      </w:r>
      <w:r w:rsidRPr="00506D3C">
        <w:rPr>
          <w:rFonts w:eastAsia="Times New Roman" w:cs="Times New Roman"/>
          <w:szCs w:val="24"/>
        </w:rPr>
        <w:fldChar w:fldCharType="begin"/>
      </w:r>
      <w:r w:rsidRPr="00506D3C">
        <w:rPr>
          <w:rFonts w:eastAsia="Times New Roman" w:cs="Times New Roman"/>
          <w:szCs w:val="24"/>
        </w:rPr>
        <w:instrText xml:space="preserve"> ADDIN ZOTERO_ITEM CSL_CITATION {"citationID":"g2TmAqYh","properties":{"formattedCitation":"(Schmit et al. 2019)","plainCitation":"(Schmit et al. 2019)","noteIndex":0},"citationItems":[{"id":497,"uris":["http://zotero.org/users/local/6VSApgKp/items/XBAR2PBI"],"itemData":{"id":497,"type":"article-journal","abstract":"The Geostationary Operational Environmental Satellite-R (GOES-R) series started a new era for the U.S. geostationary satellite observing system. The Advanced Baseline Imager (ABI) onboard the GOES-R series has fine temporal (30 s to 10 min) and spatial resolutions (0.5–2 km), and 16 spectral bands. However, due to the lack of an infrared sounder, the ABI is used to continue the legacy atmospheric profile (LAP) products that the previous GOES Sounder has, including the legacy atmospheric moisture profile, legacy atmospheric temperature profile, total precipitable water, layered precipitable water, and derived atmospheric stability indices. The ABI LAP retrieval algorithms have been developed under the GOES-R series Algorithm Working Group (AWG) program funded by the GOES-R Program Office. The LAP products from GOES-16 have been operational and validated with a series of reference data sets including radiosonde observations, the Global Positioning System from SuomiNet, the Advanced Microwave Scanning Radiometer 2 total precipitable water measurements, as well as global operational analysis from National Oceanic and Atmospheric Administration and European Centre for Medium-Range Weather Forecasts models, for almost a year (from 2017 to 2018) to assure the data quality for applications. In addition, the LAP products have been successfully demonstrated at the Hazardous Weather Testbed experiments in the summer of 2017 and the spring of 2018. Both validation results and Hazardous Weather Testbed demonstrations indicate that the GOES-R series LAP products meet the product requirements and provide added value over NWP short-range forecasts, especially for middle-upper tropospheric moisture, in situation awareness and nowcasting.","container-title":"Earth and Space Science","DOI":"10.1029/2019EA000729","ISSN":"2333-5084","issue":"9","language":"en","note":"_eprint: https://onlinelibrary.wiley.com/doi/pdf/10.1029/2019EA000729","page":"1730-1748","source":"Wiley Online Library","title":"Legacy Atmospheric Profiles and Derived Products From GOES-16: Validation and Applications","title-short":"Legacy Atmospheric Profiles and Derived Products From GOES-16","volume":"6","author":[{"family":"Schmit","given":"Timothy J."},{"family":"Li","given":"Jun"},{"family":"Lee","given":"Su Jeong"},{"family":"Li","given":"Zhenglong"},{"family":"Dworak","given":"Richard"},{"family":"Lee","given":"Yong-Keun"},{"family":"Bowlan","given":"Michael"},{"family":"Gerth","given":"Jordan"},{"family":"Martin","given":"Graeme D."},{"family":"Straka","given":"William"},{"family":"Baggett","given":"Kevin C."},{"family":"Cronce","given":"Lee"}],"issued":{"date-parts":[["2019"]]},"citation-key":"schmitLegacyAtmosphericProfiles2019"}}],"schema":"https://github.com/citation-style-language/schema/raw/master/csl-citation.json"} </w:instrText>
      </w:r>
      <w:r w:rsidRPr="00506D3C">
        <w:rPr>
          <w:rFonts w:eastAsia="Times New Roman" w:cs="Times New Roman"/>
          <w:szCs w:val="24"/>
        </w:rPr>
        <w:fldChar w:fldCharType="separate"/>
      </w:r>
      <w:r w:rsidRPr="00506D3C">
        <w:rPr>
          <w:rFonts w:eastAsia="Times New Roman" w:cs="Times New Roman"/>
          <w:noProof/>
          <w:szCs w:val="24"/>
        </w:rPr>
        <w:t>(Schmit et al. 2019)</w:t>
      </w:r>
      <w:r w:rsidRPr="00506D3C">
        <w:rPr>
          <w:rFonts w:eastAsia="Times New Roman" w:cs="Times New Roman"/>
          <w:szCs w:val="24"/>
        </w:rPr>
        <w:fldChar w:fldCharType="end"/>
      </w:r>
      <w:r w:rsidRPr="00506D3C">
        <w:rPr>
          <w:rFonts w:eastAsia="Times New Roman" w:cs="Times New Roman"/>
          <w:szCs w:val="24"/>
        </w:rPr>
        <w:t xml:space="preserve">. The LPW retrieval algorithm mostly depends on the 6.2 μm, 6.9 μm and 7.3 μm infrared bands, which represent the water vapor distribution in upper-, mid- and lower mid-troposphere, respectively. It </w:t>
      </w:r>
      <w:r w:rsidRPr="00506D3C">
        <w:rPr>
          <w:rFonts w:eastAsia="Times New Roman" w:cs="Times New Roman"/>
          <w:szCs w:val="24"/>
        </w:rPr>
        <w:lastRenderedPageBreak/>
        <w:t xml:space="preserve">also requires other infrared longwave bands such as 10.3 μm, 11.2 μm, 12.3 μm, and 13.3 μm bands for cloud clearing purposes. The LPW product is </w:t>
      </w:r>
      <w:r w:rsidR="00587ECC">
        <w:rPr>
          <w:rFonts w:eastAsia="Times New Roman" w:cs="Times New Roman"/>
          <w:szCs w:val="24"/>
        </w:rPr>
        <w:t xml:space="preserve">currently </w:t>
      </w:r>
      <w:r w:rsidRPr="00506D3C">
        <w:rPr>
          <w:rFonts w:eastAsia="Times New Roman" w:cs="Times New Roman"/>
          <w:szCs w:val="24"/>
        </w:rPr>
        <w:t>only available over clear-sky areas.</w:t>
      </w:r>
    </w:p>
    <w:p w14:paraId="41ADD5A0" w14:textId="77777777" w:rsidR="00A370AE" w:rsidRDefault="00A370AE" w:rsidP="00A370AE">
      <w:pPr>
        <w:rPr>
          <w:rFonts w:eastAsia="Times New Roman" w:cs="Times New Roman"/>
          <w:szCs w:val="24"/>
        </w:rPr>
      </w:pPr>
      <w:r w:rsidRPr="00506D3C">
        <w:rPr>
          <w:rFonts w:eastAsia="Times New Roman" w:cs="Times New Roman"/>
          <w:szCs w:val="24"/>
        </w:rPr>
        <w:t xml:space="preserve">The LPW (in cm) accumulates water vapor contained in a vertical column over a unit cross-section area between two specific </w:t>
      </w:r>
      <w:r w:rsidRPr="00506D3C">
        <w:rPr>
          <w:rFonts w:eastAsia="Times New Roman" w:cs="Times New Roman" w:hint="eastAsia"/>
          <w:szCs w:val="24"/>
        </w:rPr>
        <w:t>levels</w:t>
      </w:r>
      <w:r w:rsidRPr="00506D3C">
        <w:rPr>
          <w:rFonts w:eastAsia="Times New Roman" w:cs="Times New Roman"/>
          <w:szCs w:val="24"/>
        </w:rPr>
        <w:t xml:space="preserve">. The forward operator used in our hybrid </w:t>
      </w:r>
      <w:r>
        <w:rPr>
          <w:rFonts w:eastAsia="Times New Roman" w:cs="Times New Roman"/>
          <w:szCs w:val="24"/>
        </w:rPr>
        <w:t>DA</w:t>
      </w:r>
      <w:r w:rsidRPr="00506D3C">
        <w:rPr>
          <w:rFonts w:eastAsia="Times New Roman" w:cs="Times New Roman"/>
          <w:szCs w:val="24"/>
        </w:rPr>
        <w:t xml:space="preserve"> system can be written as:</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64"/>
        <w:gridCol w:w="796"/>
      </w:tblGrid>
      <w:tr w:rsidR="00A370AE" w:rsidRPr="00506D3C" w14:paraId="2B27E9FD" w14:textId="77777777" w:rsidTr="002C3192">
        <w:tc>
          <w:tcPr>
            <w:tcW w:w="8635" w:type="dxa"/>
            <w:vAlign w:val="center"/>
          </w:tcPr>
          <w:p w14:paraId="44E9412D" w14:textId="77777777" w:rsidR="00A370AE" w:rsidRPr="00506D3C" w:rsidRDefault="00A370AE" w:rsidP="002C3192">
            <w:pPr>
              <w:ind w:firstLine="0"/>
              <w:jc w:val="center"/>
              <w:rPr>
                <w:iCs/>
                <w:sz w:val="24"/>
                <w:szCs w:val="24"/>
              </w:rPr>
            </w:pPr>
            <m:oMath>
              <m:r>
                <w:rPr>
                  <w:rFonts w:ascii="Cambria Math" w:eastAsia="Times New Roman" w:hAnsi="Cambria Math" w:cs="Times New Roman"/>
                  <w:sz w:val="24"/>
                  <w:szCs w:val="24"/>
                </w:rPr>
                <m:t>LPW</m:t>
              </m:r>
              <m:r>
                <m:rPr>
                  <m:sty m:val="p"/>
                </m:rPr>
                <w:rPr>
                  <w:rFonts w:ascii="Cambria Math" w:eastAsia="Times New Roman" w:hAnsi="Cambria Math" w:cs="Times New Roman"/>
                  <w:sz w:val="24"/>
                  <w:szCs w:val="24"/>
                </w:rPr>
                <m:t>=-</m:t>
              </m:r>
              <m:f>
                <m:fPr>
                  <m:ctrlPr>
                    <w:rPr>
                      <w:rFonts w:ascii="Cambria Math" w:eastAsia="Times New Roman" w:hAnsi="Cambria Math" w:cs="Times New Roman"/>
                      <w:sz w:val="24"/>
                      <w:szCs w:val="24"/>
                    </w:rPr>
                  </m:ctrlPr>
                </m:fPr>
                <m:num>
                  <m:r>
                    <m:rPr>
                      <m:sty m:val="p"/>
                    </m:rPr>
                    <w:rPr>
                      <w:rFonts w:ascii="Cambria Math" w:eastAsia="Times New Roman" w:hAnsi="Cambria Math" w:cs="Times New Roman"/>
                      <w:sz w:val="24"/>
                      <w:szCs w:val="24"/>
                    </w:rPr>
                    <m:t>100</m:t>
                  </m:r>
                </m:num>
                <m:den>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ρ</m:t>
                      </m:r>
                    </m:e>
                    <m:sub>
                      <m:r>
                        <w:rPr>
                          <w:rFonts w:ascii="Cambria Math" w:eastAsia="Times New Roman" w:hAnsi="Cambria Math" w:cs="Times New Roman"/>
                          <w:sz w:val="24"/>
                          <w:szCs w:val="24"/>
                        </w:rPr>
                        <m:t>w</m:t>
                      </m:r>
                    </m:sub>
                  </m:sSub>
                  <m:r>
                    <w:rPr>
                      <w:rFonts w:ascii="Cambria Math" w:eastAsia="Times New Roman" w:hAnsi="Cambria Math" w:cs="Times New Roman"/>
                      <w:sz w:val="24"/>
                      <w:szCs w:val="24"/>
                    </w:rPr>
                    <m:t>g</m:t>
                  </m:r>
                </m:den>
              </m:f>
              <m:nary>
                <m:naryPr>
                  <m:limLoc m:val="subSup"/>
                  <m:ctrlPr>
                    <w:rPr>
                      <w:rFonts w:ascii="Cambria Math" w:eastAsia="Times New Roman" w:hAnsi="Cambria Math" w:cs="Times New Roman"/>
                      <w:sz w:val="24"/>
                      <w:szCs w:val="24"/>
                    </w:rPr>
                  </m:ctrlPr>
                </m:naryPr>
                <m:sub>
                  <m:r>
                    <w:rPr>
                      <w:rFonts w:ascii="Cambria Math" w:eastAsia="Times New Roman" w:hAnsi="Cambria Math" w:cs="Times New Roman"/>
                      <w:sz w:val="24"/>
                      <w:szCs w:val="24"/>
                    </w:rPr>
                    <m:t>low-level</m:t>
                  </m:r>
                </m:sub>
                <m:sup>
                  <m:r>
                    <w:rPr>
                      <w:rFonts w:ascii="Cambria Math" w:eastAsia="Times New Roman" w:hAnsi="Cambria Math" w:cs="Times New Roman"/>
                      <w:sz w:val="24"/>
                      <w:szCs w:val="24"/>
                    </w:rPr>
                    <m:t>high-level</m:t>
                  </m:r>
                </m:sup>
                <m:e>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q</m:t>
                      </m:r>
                    </m:e>
                    <m:sub>
                      <m:r>
                        <w:rPr>
                          <w:rFonts w:ascii="Cambria Math" w:eastAsia="Times New Roman" w:hAnsi="Cambria Math" w:cs="Times New Roman"/>
                          <w:sz w:val="24"/>
                          <w:szCs w:val="24"/>
                        </w:rPr>
                        <m:t>v</m:t>
                      </m:r>
                    </m:sub>
                  </m:sSub>
                  <m:r>
                    <w:rPr>
                      <w:rFonts w:ascii="Cambria Math" w:eastAsia="Times New Roman" w:hAnsi="Cambria Math" w:cs="Times New Roman"/>
                      <w:sz w:val="24"/>
                      <w:szCs w:val="24"/>
                    </w:rPr>
                    <m:t>(p)</m:t>
                  </m:r>
                </m:e>
              </m:nary>
              <m:r>
                <w:rPr>
                  <w:rFonts w:ascii="Cambria Math" w:eastAsia="Times New Roman" w:hAnsi="Cambria Math" w:cs="Times New Roman"/>
                  <w:sz w:val="24"/>
                  <w:szCs w:val="24"/>
                </w:rPr>
                <m:t>dp</m:t>
              </m:r>
            </m:oMath>
            <w:r w:rsidRPr="00506D3C">
              <w:rPr>
                <w:bCs/>
                <w:iCs/>
                <w:sz w:val="24"/>
                <w:szCs w:val="24"/>
              </w:rPr>
              <w:t>,</w:t>
            </w:r>
          </w:p>
        </w:tc>
        <w:tc>
          <w:tcPr>
            <w:tcW w:w="715" w:type="dxa"/>
            <w:vAlign w:val="center"/>
          </w:tcPr>
          <w:p w14:paraId="43764453" w14:textId="77777777" w:rsidR="00A370AE" w:rsidRPr="00506D3C" w:rsidRDefault="00A370AE" w:rsidP="002C3192">
            <w:pPr>
              <w:ind w:firstLine="0"/>
              <w:jc w:val="center"/>
              <w:rPr>
                <w:iCs/>
                <w:sz w:val="24"/>
                <w:szCs w:val="24"/>
              </w:rPr>
            </w:pPr>
            <w:r w:rsidRPr="00506D3C">
              <w:rPr>
                <w:sz w:val="24"/>
                <w:szCs w:val="24"/>
              </w:rPr>
              <w:t>(2.</w:t>
            </w:r>
            <w:r>
              <w:rPr>
                <w:sz w:val="24"/>
                <w:szCs w:val="24"/>
              </w:rPr>
              <w:t>12</w:t>
            </w:r>
            <w:r w:rsidRPr="00506D3C">
              <w:rPr>
                <w:sz w:val="24"/>
                <w:szCs w:val="24"/>
              </w:rPr>
              <w:t>)</w:t>
            </w:r>
          </w:p>
        </w:tc>
      </w:tr>
    </w:tbl>
    <w:p w14:paraId="35484D7A" w14:textId="77777777" w:rsidR="00A370AE" w:rsidRDefault="00A370AE" w:rsidP="00A370AE">
      <w:pPr>
        <w:ind w:firstLine="0"/>
        <w:rPr>
          <w:rFonts w:eastAsia="Times New Roman" w:cs="Times New Roman"/>
          <w:szCs w:val="24"/>
        </w:rPr>
      </w:pPr>
      <w:r w:rsidRPr="00506D3C">
        <w:rPr>
          <w:rFonts w:eastAsia="Times New Roman" w:cs="Times New Roman"/>
          <w:szCs w:val="24"/>
        </w:rPr>
        <w:t xml:space="preserve">where </w:t>
      </w:r>
      <m:oMath>
        <m:sSub>
          <m:sSubPr>
            <m:ctrlPr>
              <w:rPr>
                <w:rFonts w:ascii="Cambria Math" w:eastAsia="Times New Roman" w:hAnsi="Cambria Math" w:cs="Times New Roman"/>
                <w:i/>
                <w:szCs w:val="24"/>
              </w:rPr>
            </m:ctrlPr>
          </m:sSubPr>
          <m:e>
            <m:r>
              <w:rPr>
                <w:rFonts w:ascii="Cambria Math" w:eastAsia="Times New Roman" w:hAnsi="Cambria Math" w:cs="Times New Roman"/>
                <w:szCs w:val="24"/>
              </w:rPr>
              <m:t>ρ</m:t>
            </m:r>
          </m:e>
          <m:sub>
            <m:r>
              <w:rPr>
                <w:rFonts w:ascii="Cambria Math" w:eastAsia="Times New Roman" w:hAnsi="Cambria Math" w:cs="Times New Roman"/>
                <w:szCs w:val="24"/>
              </w:rPr>
              <m:t>w</m:t>
            </m:r>
          </m:sub>
        </m:sSub>
      </m:oMath>
      <w:r w:rsidRPr="00506D3C">
        <w:rPr>
          <w:rFonts w:eastAsia="Times New Roman" w:cs="Times New Roman"/>
          <w:szCs w:val="24"/>
        </w:rPr>
        <w:t xml:space="preserve"> is the water density, and </w:t>
      </w:r>
      <m:oMath>
        <m:sSub>
          <m:sSubPr>
            <m:ctrlPr>
              <w:rPr>
                <w:rFonts w:ascii="Cambria Math" w:eastAsia="Times New Roman" w:hAnsi="Cambria Math" w:cs="Times New Roman"/>
                <w:i/>
                <w:szCs w:val="24"/>
              </w:rPr>
            </m:ctrlPr>
          </m:sSubPr>
          <m:e>
            <m:r>
              <w:rPr>
                <w:rFonts w:ascii="Cambria Math" w:eastAsia="Times New Roman" w:hAnsi="Cambria Math" w:cs="Times New Roman"/>
                <w:szCs w:val="24"/>
              </w:rPr>
              <m:t>q</m:t>
            </m:r>
          </m:e>
          <m:sub>
            <m:r>
              <w:rPr>
                <w:rFonts w:ascii="Cambria Math" w:eastAsia="Times New Roman" w:hAnsi="Cambria Math" w:cs="Times New Roman"/>
                <w:szCs w:val="24"/>
              </w:rPr>
              <m:t>v</m:t>
            </m:r>
          </m:sub>
        </m:sSub>
      </m:oMath>
      <w:r w:rsidRPr="00506D3C">
        <w:rPr>
          <w:rFonts w:eastAsia="Times New Roman" w:cs="Times New Roman"/>
          <w:szCs w:val="24"/>
        </w:rPr>
        <w:t xml:space="preserve"> is the water vapor mixing ratio. The troposphere is classified into three different PW layers: Boundary Layer (BL, Sigma Level: 1.0 – 0.9), Middle Layer (ML, Sigma Level: 0.9 – 0.7), and High Layer (HL, Sigma Level: 0.7 – 0.3). Therefore, t</w:t>
      </w:r>
      <w:r w:rsidRPr="00506D3C">
        <w:rPr>
          <w:rFonts w:eastAsia="Times New Roman" w:cs="Times New Roman" w:hint="eastAsia"/>
          <w:szCs w:val="24"/>
        </w:rPr>
        <w:t>he</w:t>
      </w:r>
      <w:r w:rsidRPr="00506D3C">
        <w:rPr>
          <w:rFonts w:eastAsia="Times New Roman" w:cs="Times New Roman"/>
          <w:szCs w:val="24"/>
        </w:rPr>
        <w:t xml:space="preserve"> atmospheric pressure at a particular sigma level needs to be determined for the LPW calculation based on the following equation:</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64"/>
        <w:gridCol w:w="796"/>
      </w:tblGrid>
      <w:tr w:rsidR="00A370AE" w:rsidRPr="00506D3C" w14:paraId="182B3D8C" w14:textId="77777777" w:rsidTr="002C3192">
        <w:tc>
          <w:tcPr>
            <w:tcW w:w="8635" w:type="dxa"/>
            <w:vAlign w:val="center"/>
          </w:tcPr>
          <w:p w14:paraId="31D10E7F" w14:textId="77777777" w:rsidR="00A370AE" w:rsidRPr="00506D3C" w:rsidRDefault="007B297F" w:rsidP="002C3192">
            <w:pPr>
              <w:ind w:firstLine="0"/>
              <w:jc w:val="center"/>
              <w:rPr>
                <w:iCs/>
                <w:sz w:val="24"/>
                <w:szCs w:val="24"/>
              </w:rPr>
            </w:pP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P</m:t>
                  </m:r>
                </m:e>
                <m:sub>
                  <m:r>
                    <w:rPr>
                      <w:rFonts w:ascii="Cambria Math" w:eastAsia="Times New Roman" w:hAnsi="Cambria Math" w:cs="Times New Roman"/>
                      <w:sz w:val="24"/>
                      <w:szCs w:val="24"/>
                    </w:rPr>
                    <m:t>sig</m:t>
                  </m:r>
                </m:sub>
              </m:sSub>
              <m:r>
                <m:rPr>
                  <m:sty m:val="p"/>
                </m:rP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P</m:t>
                  </m:r>
                </m:e>
                <m:sub>
                  <m:r>
                    <w:rPr>
                      <w:rFonts w:ascii="Cambria Math" w:eastAsia="Times New Roman" w:hAnsi="Cambria Math" w:cs="Times New Roman"/>
                      <w:sz w:val="24"/>
                      <w:szCs w:val="24"/>
                    </w:rPr>
                    <m:t>top</m:t>
                  </m:r>
                </m:sub>
              </m:sSub>
              <m:r>
                <m:rPr>
                  <m:sty m:val="p"/>
                </m:rPr>
                <w:rPr>
                  <w:rFonts w:ascii="Cambria Math" w:eastAsia="Times New Roman" w:hAnsi="Cambria Math" w:cs="Times New Roman"/>
                  <w:sz w:val="24"/>
                  <w:szCs w:val="24"/>
                </w:rPr>
                <m:t>+</m:t>
              </m:r>
              <m:r>
                <w:rPr>
                  <w:rFonts w:ascii="Cambria Math" w:eastAsia="Times New Roman" w:hAnsi="Cambria Math" w:cs="Times New Roman"/>
                  <w:sz w:val="24"/>
                  <w:szCs w:val="24"/>
                </w:rPr>
                <m:t>sig_index×</m:t>
              </m:r>
              <m:d>
                <m:dPr>
                  <m:ctrlPr>
                    <w:rPr>
                      <w:rFonts w:ascii="Cambria Math" w:eastAsia="Times New Roman" w:hAnsi="Cambria Math" w:cs="Times New Roman"/>
                      <w:i/>
                      <w:sz w:val="24"/>
                      <w:szCs w:val="24"/>
                    </w:rPr>
                  </m:ctrlPr>
                </m:dPr>
                <m:e>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P</m:t>
                      </m:r>
                    </m:e>
                    <m:sub>
                      <m:r>
                        <w:rPr>
                          <w:rFonts w:ascii="Cambria Math" w:eastAsia="Times New Roman" w:hAnsi="Cambria Math" w:cs="Times New Roman"/>
                          <w:sz w:val="24"/>
                          <w:szCs w:val="24"/>
                        </w:rPr>
                        <m:t>sfc</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P</m:t>
                      </m:r>
                    </m:e>
                    <m:sub>
                      <m:r>
                        <w:rPr>
                          <w:rFonts w:ascii="Cambria Math" w:eastAsia="Times New Roman" w:hAnsi="Cambria Math" w:cs="Times New Roman"/>
                          <w:sz w:val="24"/>
                          <w:szCs w:val="24"/>
                        </w:rPr>
                        <m:t>top</m:t>
                      </m:r>
                    </m:sub>
                  </m:sSub>
                </m:e>
              </m:d>
            </m:oMath>
            <w:r w:rsidR="00A370AE" w:rsidRPr="00506D3C">
              <w:rPr>
                <w:bCs/>
                <w:iCs/>
                <w:sz w:val="24"/>
                <w:szCs w:val="24"/>
              </w:rPr>
              <w:t>,</w:t>
            </w:r>
          </w:p>
        </w:tc>
        <w:tc>
          <w:tcPr>
            <w:tcW w:w="715" w:type="dxa"/>
            <w:vAlign w:val="center"/>
          </w:tcPr>
          <w:p w14:paraId="3C25FB6C" w14:textId="77777777" w:rsidR="00A370AE" w:rsidRPr="00506D3C" w:rsidRDefault="00A370AE" w:rsidP="002C3192">
            <w:pPr>
              <w:ind w:firstLine="0"/>
              <w:jc w:val="center"/>
              <w:rPr>
                <w:iCs/>
                <w:sz w:val="24"/>
                <w:szCs w:val="24"/>
              </w:rPr>
            </w:pPr>
            <w:r w:rsidRPr="00506D3C">
              <w:rPr>
                <w:sz w:val="24"/>
                <w:szCs w:val="24"/>
              </w:rPr>
              <w:t>(2.</w:t>
            </w:r>
            <w:r>
              <w:rPr>
                <w:sz w:val="24"/>
                <w:szCs w:val="24"/>
              </w:rPr>
              <w:t>13</w:t>
            </w:r>
            <w:r w:rsidRPr="00506D3C">
              <w:rPr>
                <w:sz w:val="24"/>
                <w:szCs w:val="24"/>
              </w:rPr>
              <w:t>)</w:t>
            </w:r>
          </w:p>
        </w:tc>
      </w:tr>
    </w:tbl>
    <w:p w14:paraId="4DE4D922" w14:textId="62F3BE09" w:rsidR="00A370AE" w:rsidRDefault="00A370AE" w:rsidP="00A370AE">
      <w:pPr>
        <w:ind w:firstLine="0"/>
        <w:rPr>
          <w:rFonts w:eastAsia="Times New Roman" w:cs="Times New Roman"/>
          <w:szCs w:val="24"/>
        </w:rPr>
      </w:pPr>
      <w:r w:rsidRPr="00506D3C">
        <w:rPr>
          <w:rFonts w:eastAsia="Times New Roman" w:cs="Times New Roman"/>
          <w:szCs w:val="24"/>
        </w:rPr>
        <w:t xml:space="preserve">where </w:t>
      </w:r>
      <m:oMath>
        <m:sSub>
          <m:sSubPr>
            <m:ctrlPr>
              <w:rPr>
                <w:rFonts w:ascii="Cambria Math" w:eastAsia="Times New Roman" w:hAnsi="Cambria Math" w:cs="Times New Roman"/>
                <w:i/>
                <w:szCs w:val="24"/>
              </w:rPr>
            </m:ctrlPr>
          </m:sSubPr>
          <m:e>
            <m:r>
              <w:rPr>
                <w:rFonts w:ascii="Cambria Math" w:eastAsia="Times New Roman" w:hAnsi="Cambria Math" w:cs="Times New Roman"/>
                <w:szCs w:val="24"/>
              </w:rPr>
              <m:t>P</m:t>
            </m:r>
          </m:e>
          <m:sub>
            <m:r>
              <w:rPr>
                <w:rFonts w:ascii="Cambria Math" w:eastAsia="Times New Roman" w:hAnsi="Cambria Math" w:cs="Times New Roman"/>
                <w:szCs w:val="24"/>
              </w:rPr>
              <m:t>top</m:t>
            </m:r>
          </m:sub>
        </m:sSub>
      </m:oMath>
      <w:r w:rsidRPr="00506D3C">
        <w:rPr>
          <w:rFonts w:eastAsia="Times New Roman" w:cs="Times New Roman"/>
          <w:szCs w:val="24"/>
        </w:rPr>
        <w:t xml:space="preserve"> represents the model top pressure, </w:t>
      </w:r>
      <m:oMath>
        <m:sSub>
          <m:sSubPr>
            <m:ctrlPr>
              <w:rPr>
                <w:rFonts w:ascii="Cambria Math" w:eastAsia="Times New Roman" w:hAnsi="Cambria Math" w:cs="Times New Roman"/>
                <w:i/>
                <w:szCs w:val="24"/>
              </w:rPr>
            </m:ctrlPr>
          </m:sSubPr>
          <m:e>
            <m:r>
              <w:rPr>
                <w:rFonts w:ascii="Cambria Math" w:eastAsia="Times New Roman" w:hAnsi="Cambria Math" w:cs="Times New Roman"/>
                <w:szCs w:val="24"/>
              </w:rPr>
              <m:t>P</m:t>
            </m:r>
          </m:e>
          <m:sub>
            <m:r>
              <w:rPr>
                <w:rFonts w:ascii="Cambria Math" w:eastAsia="Times New Roman" w:hAnsi="Cambria Math" w:cs="Times New Roman"/>
                <w:szCs w:val="24"/>
              </w:rPr>
              <m:t>sfc</m:t>
            </m:r>
          </m:sub>
        </m:sSub>
      </m:oMath>
      <w:r w:rsidRPr="00506D3C">
        <w:rPr>
          <w:rFonts w:eastAsia="Times New Roman" w:cs="Times New Roman"/>
          <w:szCs w:val="24"/>
        </w:rPr>
        <w:t xml:space="preserve"> represents the surfa</w:t>
      </w:r>
      <w:r>
        <w:rPr>
          <w:rFonts w:eastAsia="Times New Roman" w:cs="Times New Roman"/>
          <w:szCs w:val="24"/>
        </w:rPr>
        <w:t xml:space="preserve">ce </w:t>
      </w:r>
      <w:r w:rsidRPr="00506D3C">
        <w:rPr>
          <w:rFonts w:eastAsia="Times New Roman" w:cs="Times New Roman"/>
          <w:szCs w:val="24"/>
        </w:rPr>
        <w:t xml:space="preserve">pressure and </w:t>
      </w:r>
      <m:oMath>
        <m:r>
          <w:rPr>
            <w:rFonts w:ascii="Cambria Math" w:eastAsia="Times New Roman" w:hAnsi="Cambria Math" w:cs="Times New Roman"/>
            <w:szCs w:val="24"/>
          </w:rPr>
          <m:t>sig_index</m:t>
        </m:r>
      </m:oMath>
      <w:r w:rsidRPr="00506D3C">
        <w:rPr>
          <w:rFonts w:cs="Times New Roman" w:hint="eastAsia"/>
          <w:szCs w:val="24"/>
        </w:rPr>
        <w:t xml:space="preserve"> </w:t>
      </w:r>
      <w:r w:rsidRPr="00506D3C">
        <w:rPr>
          <w:rFonts w:cs="Times New Roman"/>
          <w:szCs w:val="24"/>
        </w:rPr>
        <w:t>represents the sigma level in</w:t>
      </w:r>
      <w:r>
        <w:rPr>
          <w:rFonts w:cs="Times New Roman"/>
          <w:szCs w:val="24"/>
        </w:rPr>
        <w:t xml:space="preserve"> the</w:t>
      </w:r>
      <w:r w:rsidRPr="00506D3C">
        <w:rPr>
          <w:rFonts w:cs="Times New Roman"/>
          <w:szCs w:val="24"/>
        </w:rPr>
        <w:t xml:space="preserve"> model</w:t>
      </w:r>
      <w:r w:rsidRPr="00506D3C">
        <w:rPr>
          <w:rFonts w:eastAsia="Times New Roman" w:cs="Times New Roman"/>
          <w:szCs w:val="24"/>
        </w:rPr>
        <w:t xml:space="preserve">. Once the low-level and high-level pressures for a particular layer </w:t>
      </w:r>
      <w:r>
        <w:rPr>
          <w:rFonts w:eastAsia="Times New Roman" w:cs="Times New Roman"/>
          <w:szCs w:val="24"/>
        </w:rPr>
        <w:t>have</w:t>
      </w:r>
      <w:r w:rsidRPr="00506D3C">
        <w:rPr>
          <w:rFonts w:eastAsia="Times New Roman" w:cs="Times New Roman"/>
          <w:szCs w:val="24"/>
        </w:rPr>
        <w:t xml:space="preserve"> been determined by sigma level, then Eq. </w:t>
      </w:r>
      <w:r w:rsidR="00587ECC">
        <w:rPr>
          <w:rFonts w:eastAsia="Times New Roman" w:cs="Times New Roman"/>
          <w:szCs w:val="24"/>
        </w:rPr>
        <w:t>2.12</w:t>
      </w:r>
      <w:r w:rsidRPr="00506D3C">
        <w:rPr>
          <w:rFonts w:eastAsia="Times New Roman" w:cs="Times New Roman"/>
          <w:szCs w:val="24"/>
        </w:rPr>
        <w:t xml:space="preserve"> is applied to calculate LPW within this layer. Currently, only the BL and ML of the LPW product are utilized since some sensitivity experiments indicate that large forecast biases exist within several 2017 cases when HL precipitable water is involved</w:t>
      </w:r>
      <w:r w:rsidRPr="00506D3C">
        <w:rPr>
          <w:rFonts w:eastAsia="Times New Roman" w:cs="Times New Roman" w:hint="eastAsia"/>
          <w:szCs w:val="24"/>
        </w:rPr>
        <w:t>.</w:t>
      </w:r>
      <w:r w:rsidRPr="00506D3C">
        <w:rPr>
          <w:rFonts w:eastAsia="Times New Roman" w:cs="Times New Roman"/>
          <w:szCs w:val="24"/>
        </w:rPr>
        <w:t xml:space="preserve"> </w:t>
      </w:r>
    </w:p>
    <w:p w14:paraId="5775ACDB" w14:textId="77777777" w:rsidR="00946AF9" w:rsidRPr="00506D3C" w:rsidRDefault="00946AF9" w:rsidP="00A370AE">
      <w:pPr>
        <w:ind w:firstLine="0"/>
        <w:rPr>
          <w:rFonts w:eastAsia="Times New Roman" w:cs="Times New Roman"/>
          <w:szCs w:val="24"/>
        </w:rPr>
      </w:pPr>
    </w:p>
    <w:p w14:paraId="65B06366" w14:textId="40F043AE" w:rsidR="00A370AE" w:rsidRDefault="00CF43EE" w:rsidP="00946AF9">
      <w:pPr>
        <w:pStyle w:val="Heading2"/>
      </w:pPr>
      <w:bookmarkStart w:id="40" w:name="_Toc130995440"/>
      <w:bookmarkStart w:id="41" w:name="_Toc131018305"/>
      <w:r w:rsidRPr="00D92996">
        <w:lastRenderedPageBreak/>
        <w:t>Model Configuration</w:t>
      </w:r>
      <w:r w:rsidR="00E13C00">
        <w:t xml:space="preserve"> and Experimental Design</w:t>
      </w:r>
      <w:bookmarkEnd w:id="40"/>
      <w:bookmarkEnd w:id="41"/>
    </w:p>
    <w:p w14:paraId="5C6147A5" w14:textId="5D1F1E7E" w:rsidR="00E13C00" w:rsidRPr="00E13C00" w:rsidRDefault="00E13C00" w:rsidP="00E13C00">
      <w:pPr>
        <w:pStyle w:val="Heading3"/>
      </w:pPr>
      <w:bookmarkStart w:id="42" w:name="_Toc130995441"/>
      <w:bookmarkStart w:id="43" w:name="_Toc131018306"/>
      <w:r>
        <w:t>Model and DA configuration</w:t>
      </w:r>
      <w:bookmarkEnd w:id="42"/>
      <w:bookmarkEnd w:id="43"/>
    </w:p>
    <w:p w14:paraId="6AC9C0CB" w14:textId="6BB0615D" w:rsidR="00AD13C1" w:rsidRPr="00AD13C1" w:rsidRDefault="00C8368F" w:rsidP="005E6E5D">
      <w:r w:rsidRPr="00C8368F">
        <w:t xml:space="preserve">Due to the resolution used in this </w:t>
      </w:r>
      <w:r>
        <w:t xml:space="preserve">study </w:t>
      </w:r>
      <w:r w:rsidRPr="00C8368F">
        <w:t xml:space="preserve">not being consistent with either the real-time WoFS resolution or an integer multiple thereof, a completely new </w:t>
      </w:r>
      <w:r>
        <w:t>ensemble</w:t>
      </w:r>
      <w:r w:rsidRPr="00C8368F">
        <w:t xml:space="preserve"> </w:t>
      </w:r>
      <w:r>
        <w:t xml:space="preserve">of forecasts </w:t>
      </w:r>
      <w:r w:rsidRPr="00C8368F">
        <w:t xml:space="preserve">was generated in accordance with the real-time WoFS process </w:t>
      </w:r>
      <w:r>
        <w:t xml:space="preserve">but with slight modification </w:t>
      </w:r>
      <w:r w:rsidRPr="00C8368F">
        <w:t xml:space="preserve">in order to provide flow-dependent error </w:t>
      </w:r>
      <w:r w:rsidR="00F35DB8">
        <w:t>covariances</w:t>
      </w:r>
      <w:r w:rsidRPr="00C8368F">
        <w:t xml:space="preserve"> for </w:t>
      </w:r>
      <w:r>
        <w:t xml:space="preserve">the </w:t>
      </w:r>
      <w:r w:rsidRPr="00C8368F">
        <w:t>WoF-Hybrid.</w:t>
      </w:r>
      <w:r>
        <w:t xml:space="preserve"> </w:t>
      </w:r>
      <w:r w:rsidR="001C10F1" w:rsidRPr="001C10F1">
        <w:t>The storm events are modeled using the WRF-ARW, and</w:t>
      </w:r>
      <w:r w:rsidR="001C10F1">
        <w:t xml:space="preserve"> then</w:t>
      </w:r>
      <w:r w:rsidR="001C10F1" w:rsidRPr="001C10F1">
        <w:t xml:space="preserve"> a 36-member ensemble of storm-scale forecasts is created. </w:t>
      </w:r>
      <w:r w:rsidR="00AD13C1" w:rsidRPr="00AD13C1">
        <w:t>The initial and boundary conditions are initialized at 1200 UTC using the 1 degree 6</w:t>
      </w:r>
      <w:r w:rsidR="006E4F25">
        <w:t>-hour</w:t>
      </w:r>
      <w:r w:rsidR="00AD13C1" w:rsidRPr="00AD13C1">
        <w:t xml:space="preserve"> global ensemble forecast system</w:t>
      </w:r>
      <w:r>
        <w:t xml:space="preserve"> </w:t>
      </w:r>
      <w:r>
        <w:fldChar w:fldCharType="begin"/>
      </w:r>
      <w:r w:rsidR="00186B73">
        <w:instrText xml:space="preserve"> ADDIN ZOTERO_ITEM CSL_CITATION {"citationID":"dldt1v5p","properties":{"formattedCitation":"(Zhou et al. 2017)","plainCitation":"(Zhou et al. 2017)","dontUpdate":true,"noteIndex":0},"citationItems":[{"id":503,"uris":["http://zotero.org/users/local/6VSApgKp/items/QLTLUBAK"],"itemData":{"id":503,"type":"article-journal","abstract":"Abstract A new version of the Global Ensemble Forecast System (GEFS, v11) is tested and compared with the operational version (v10) in a 2-yr parallel run. The breeding-based scheme with ensemble transformation and rescaling (ETR) used in the operational GEFS is replaced by the ensemble Kalman filter (EnKF) to generate initial ensemble perturbations. The global medium-range forecast model and the Global Forecast System (GFS) analysis used as the initial conditions are upgraded to the GFS 2015 implementation version. The horizontal resolution of GEFS increases from Eulerian T254 (~52 km) for the first 8 days of the forecast and T190 (~70 km) for the second 8 days to semi-Lagrangian T574 (~34 km) and T382 (~52 km), respectively. The sigma pressure hybrid vertical layers increase from 42 to 64 levels. The verification of geopotential height, temperature, and wind fields at selected levels shows that the new GEFS significantly outperforms the operational GEFS up to days 8–10 except for an increased warm bias over land in the extratropics. It is also found that the parallel system has better reliability in the short-range probability forecasts of precipitation during warm seasons, but no clear improvement in cold seasons. There is a significant degradation of TC track forecasts at days 6–7 during the 2012–14 TC seasons over the Atlantic and eastern Pacific. This degradation is most likely a sampling issue from a low number of TCs during these three TC seasons. The results for an extended verification period (2011–14) and the recent two hurricane seasons (2015 and 2016) are generally positive. The new GEFS became operational at NCEP on 2 December 2015.","container-title":"Weather and Forecasting","DOI":"10.1175/WAF-D-17-0023.1","ISSN":"1520-0434, 0882-8156","issue":"5","language":"EN","note":"publisher: American Meteorological Society\nsection: Weather and Forecasting","page":"1989-2004","source":"journals.ametsoc.org","title":"Performance of the New NCEP Global Ensemble Forecast System in a Parallel Experiment","volume":"32","author":[{"family":"Zhou","given":"Xiaqiong"},{"family":"Zhu","given":"Yuejian"},{"family":"Hou","given":"Dingchen"},{"family":"Luo","given":"Yan"},{"family":"Peng","given":"Jiayi"},{"family":"Wobus","given":"Richard"}],"issued":{"date-parts":[["2017",10,1]]},"citation-key":"zhouPerformanceNewNCEP2017"}}],"schema":"https://github.com/citation-style-language/schema/raw/master/csl-citation.json"} </w:instrText>
      </w:r>
      <w:r>
        <w:fldChar w:fldCharType="separate"/>
      </w:r>
      <w:r>
        <w:rPr>
          <w:noProof/>
        </w:rPr>
        <w:t>(GEFS, Zhou et al. 2017)</w:t>
      </w:r>
      <w:r>
        <w:fldChar w:fldCharType="end"/>
      </w:r>
      <w:r w:rsidR="00AD13C1" w:rsidRPr="00AD13C1">
        <w:t xml:space="preserve"> forecasts, and then 6</w:t>
      </w:r>
      <w:r w:rsidR="006E4F25">
        <w:t>-hour</w:t>
      </w:r>
      <w:r w:rsidR="00AD13C1" w:rsidRPr="00AD13C1">
        <w:t xml:space="preserve"> forecasts are launched to</w:t>
      </w:r>
      <w:r w:rsidR="001C10F1">
        <w:t xml:space="preserve"> properly</w:t>
      </w:r>
      <w:r w:rsidR="00AD13C1" w:rsidRPr="00AD13C1">
        <w:t xml:space="preserve"> spin-up fine-scale structures in the </w:t>
      </w:r>
      <w:r w:rsidR="003F0051">
        <w:t>DA</w:t>
      </w:r>
      <w:r w:rsidR="00AD13C1" w:rsidRPr="00AD13C1">
        <w:t xml:space="preserve"> system. The simulations in our </w:t>
      </w:r>
      <w:r w:rsidR="003F0051">
        <w:t>DA</w:t>
      </w:r>
      <w:r w:rsidR="00AD13C1" w:rsidRPr="00AD13C1">
        <w:t xml:space="preserve"> experiments are </w:t>
      </w:r>
      <w:r w:rsidR="001C10F1">
        <w:t>carried out</w:t>
      </w:r>
      <w:r w:rsidR="00AD13C1" w:rsidRPr="00AD13C1">
        <w:t xml:space="preserve"> on a 2-km spaced grid of 480 × 360 horizontal points resulting in a 960 km × 720 km</w:t>
      </w:r>
      <w:r w:rsidR="001C10F1">
        <w:rPr>
          <w:vertAlign w:val="superscript"/>
        </w:rPr>
        <w:t>2</w:t>
      </w:r>
      <w:r w:rsidR="00AD13C1" w:rsidRPr="00AD13C1">
        <w:t xml:space="preserve"> domain, and 51 stretched vertical levels reaching up to 50-hPa with a 56m – 460m thickness between individual levels. The center of the domain for the relevant event is selected based on the storm reports provided by the </w:t>
      </w:r>
      <w:r w:rsidR="001C10F1">
        <w:t xml:space="preserve">National Weather Service (NWS) / </w:t>
      </w:r>
      <w:r w:rsidR="00DE73FF">
        <w:t>SPC</w:t>
      </w:r>
      <w:r w:rsidR="00AD13C1" w:rsidRPr="00AD13C1">
        <w:t xml:space="preserve"> </w:t>
      </w:r>
      <w:r w:rsidR="001C10F1">
        <w:t>to ensure that</w:t>
      </w:r>
      <w:r w:rsidR="00AD13C1" w:rsidRPr="00AD13C1">
        <w:t xml:space="preserve"> the principal </w:t>
      </w:r>
      <w:r w:rsidR="001C10F1">
        <w:t>high</w:t>
      </w:r>
      <w:r w:rsidR="00101AEA">
        <w:t>-</w:t>
      </w:r>
      <w:r w:rsidR="001C10F1">
        <w:t>impact events</w:t>
      </w:r>
      <w:r w:rsidR="00AD13C1" w:rsidRPr="00AD13C1">
        <w:t xml:space="preserve">, </w:t>
      </w:r>
      <w:r w:rsidR="001C10F1">
        <w:t>including</w:t>
      </w:r>
      <w:r w:rsidR="00AD13C1" w:rsidRPr="00AD13C1">
        <w:t xml:space="preserve"> tornadoes, large hail and high winds are within the </w:t>
      </w:r>
      <w:r w:rsidR="001C10F1">
        <w:t xml:space="preserve">computational </w:t>
      </w:r>
      <w:r w:rsidR="00AD13C1" w:rsidRPr="00AD13C1">
        <w:t>domain.</w:t>
      </w:r>
      <w:r w:rsidR="001C10F1">
        <w:t xml:space="preserve"> The</w:t>
      </w:r>
      <w:r w:rsidR="00AD13C1" w:rsidRPr="00AD13C1">
        <w:t xml:space="preserve"> </w:t>
      </w:r>
      <w:r w:rsidR="001C10F1">
        <w:t>i</w:t>
      </w:r>
      <w:r w:rsidR="00AD13C1" w:rsidRPr="00AD13C1">
        <w:t xml:space="preserve">nitial and boundary conditions are provided by the first 18 members of the 21-member GEFS. </w:t>
      </w:r>
      <w:r w:rsidR="001C10F1" w:rsidRPr="001C10F1">
        <w:t>To avoid under-dispersion between members, variations in boundary layer physics and radiation schemes are applied to create a set of ensemble member</w:t>
      </w:r>
      <w:r w:rsidR="001C10F1">
        <w:t xml:space="preserve"> with unique combination of microphysics scheme and initial / boundary condition</w:t>
      </w:r>
      <w:r w:rsidR="001C10F1" w:rsidRPr="001C10F1">
        <w:t>. This approach is consistent with previous studies</w:t>
      </w:r>
      <w:r w:rsidR="001C10F1">
        <w:t xml:space="preserve"> </w:t>
      </w:r>
      <w:r w:rsidR="001C10F1">
        <w:fldChar w:fldCharType="begin"/>
      </w:r>
      <w:r w:rsidR="00186B73">
        <w:instrText xml:space="preserve"> ADDIN ZOTERO_ITEM CSL_CITATION {"citationID":"wqMWuJFl","properties":{"formattedCitation":"(Stensrud et al. 2000)","plainCitation":"(Stensrud et al. 2000)","dontUpdate":true,"noteIndex":0},"citationItems":[{"id":196,"uris":["http://zotero.org/users/local/6VSApgKp/items/QIQG9GQY"],"itemData":{"id":196,"type":"article-journal","abstract":"Abstract Two separate numerical model ensembles are created by using model configurations with different model physical process parameterization schemes and identical initial conditions, and by using different model initial conditions from a Monte Carlo approach and the identical model configuration. Simulations from these two ensembles are investigated for two 48-h periods during which large, long-lived mesoscale convective systems develop. These two periods are chosen because, in some respects, they span the range of convective forecast problems routinely handled by operational forecasters. Calculations of the root-mean-square error, equitable threat score, and ranked probability score from both ensembles indicate that the model physics ensemble is more skillful than the initial-condition ensemble when the large-scale forcing for upward motion is weak. When the large-scale forcing for upward motion is strong, the initial-condition ensemble is more skillful than the model physics ensemble. This result is consistent with the expectation that model physics play a larger role in model simulations when the large-scale signal is weak and the assumptions used within the model parameterization schemes largely determine the evolution of the simulated weather events. The variance from the two ensembles is created at significantly different rates, with the variance in the physics ensemble being produced two to six times faster during the first 12 h than the variance in the initial-condition ensemble. Therefore, within a very brief time period, the variance from the physics ensemble often greatly exceeds that produced by the initial-condition ensemble. These results suggest that varying the model physics is a potentially powerful method to use in creating an ensemble. In essence, by using different model configurations, the systematic errors of the individual ensemble members are different and, hence, this may allow one to determine a probability density function from this ensemble that is more diffuse than can be accomplished using a single model configuration.","container-title":"Monthly Weather Review","DOI":"10.1175/1520-0493(2000)128&lt;2077:UICAMP&gt;2.0.CO;2","ISSN":"1520-0493, 0027-0644","issue":"7","language":"EN","note":"publisher: American Meteorological Society\nsection: Monthly Weather Review","page":"2077-2107","source":"journals.ametsoc.org","title":"Using Initial Condition and Model Physics Perturbations in Short-Range Ensemble Simulations of Mesoscale Convective Systems","volume":"128","author":[{"family":"Stensrud","given":"David J."},{"family":"Bao","given":"Jian-Wen"},{"family":"Warner","given":"Thomas T."}],"issued":{"date-parts":[["2000",7,1]]},"citation-key":"stensrudUsingInitialCondition2000"}}],"schema":"https://github.com/citation-style-language/schema/raw/master/csl-citation.json"} </w:instrText>
      </w:r>
      <w:r w:rsidR="001C10F1">
        <w:fldChar w:fldCharType="separate"/>
      </w:r>
      <w:r w:rsidR="001C10F1">
        <w:rPr>
          <w:noProof/>
        </w:rPr>
        <w:t>Stensrud et al. (2000)</w:t>
      </w:r>
      <w:r w:rsidR="001C10F1">
        <w:fldChar w:fldCharType="end"/>
      </w:r>
      <w:r w:rsidR="001C10F1">
        <w:t xml:space="preserve">, </w:t>
      </w:r>
      <w:r w:rsidR="001C10F1">
        <w:fldChar w:fldCharType="begin"/>
      </w:r>
      <w:r w:rsidR="00186B73">
        <w:instrText xml:space="preserve"> ADDIN ZOTERO_ITEM CSL_CITATION {"citationID":"4TkVqEIA","properties":{"formattedCitation":"(Fujita et al. 2007)","plainCitation":"(Fujita et al. 2007)","dontUpdate":true,"noteIndex":0},"citationItems":[{"id":507,"uris":["http://zotero.org/users/local/6VSApgKp/items/7VJFV4SP"],"itemData":{"id":507,"type":"article-journal","abstract":"Abstract The assimilation of surface observations using an ensemble Kalman filter (EnKF) approach is evaluated for the potential to improve short-range forecasting. Two severe weather cases are examined, in which the assimilation is performed over a 6-h period using hourly surface observations followed by an 18-h simulation period. Ensembles are created in three different ways—by using different initial and boundary conditions, by using different model physical process schemes, and by using both different initial and boundary conditions and different model physical process schemes. The ensembles are compared in order to investigate the role of uncertainties in the initial and boundary conditions and physical process schemes in EnKF data assimilation. In the initial condition ensemble, spread is associated largely with the displacement of atmospheric baroclinic systems. In the physics ensemble, spread comes from the differences in model physics, which results in larger spread in temperature and dewpoint temperature than the initial condition ensemble, and smaller spread in the wind fields. The combined initial condition and physics ensemble has properties from both of the previous two ensembles. It provides the largest spread and produces the best simulation for most of the variables, in terms of the rms difference between the ensemble mean and observations. Perhaps most importantly, this combined ensemble provides very good guidance on the mesoscale features important to the severe weather events of the day.","container-title":"Monthly Weather Review","DOI":"10.1175/MWR3391.1","ISSN":"1520-0493, 0027-0644","issue":"5","language":"EN","note":"publisher: American Meteorological Society\nsection: Monthly Weather Review","page":"1846-1868","source":"journals.ametsoc.org","title":"Surface Data Assimilation Using an Ensemble Kalman Filter Approach with Initial Condition and Model Physics Uncertainties","volume":"135","author":[{"family":"Fujita","given":"Tadashi"},{"family":"Stensrud","given":"David J."},{"family":"Dowell","given":"David C."}],"issued":{"date-parts":[["2007",5,1]]},"citation-key":"fujitaSurfaceDataAssimilation2007"}}],"schema":"https://github.com/citation-style-language/schema/raw/master/csl-citation.json"} </w:instrText>
      </w:r>
      <w:r w:rsidR="001C10F1">
        <w:fldChar w:fldCharType="separate"/>
      </w:r>
      <w:r w:rsidR="001C10F1">
        <w:rPr>
          <w:noProof/>
        </w:rPr>
        <w:t>Fujita et al. (2007)</w:t>
      </w:r>
      <w:r w:rsidR="001C10F1">
        <w:fldChar w:fldCharType="end"/>
      </w:r>
      <w:r w:rsidR="001C10F1">
        <w:t xml:space="preserve">, and </w:t>
      </w:r>
      <w:r w:rsidR="001C10F1">
        <w:fldChar w:fldCharType="begin"/>
      </w:r>
      <w:r w:rsidR="00186B73">
        <w:instrText xml:space="preserve"> ADDIN ZOTERO_ITEM CSL_CITATION {"citationID":"aXBd9Gl2","properties":{"formattedCitation":"(Wheatley et al. 2014)","plainCitation":"(Wheatley et al. 2014)","dontUpdate":true,"noteIndex":0},"citationItems":[{"id":509,"uris":["http://zotero.org/users/local/6VSApgKp/items/XYVE6AJA"],"itemData":{"id":509,"type":"article-journal","abstract":"Abstract A Weather Research and Forecasting Model (WRF)-based ensemble data assimilation system is used to produce storm-scale analyses and forecasts of the 4–5 July 2003 severe mesoscale convective system (MCS) over Indiana and Ohio, which produced numerous high wind reports across the two states. Single-Doppler observations are assimilated into a 36-member, storm-scale ensemble during the developing stage of the MCS with the ensemble Kalman filter (EnKF) approach encoded in the Data Assimilation Research Testbed (DART). The storm-scale ensemble is constructed from mesoscale EnKF analyses produced from the assimilation of routinely available observations from land and marine stations, rawinsondes, and aircraft, in an attempt to better represent the complex mesoscale environment for this event. Three EnKF simulations were performed using the National Severe Storms Laboratory (NSSL) one- and two-moment and Thompson microphysical schemes. All three experiments produce a linear convective segment at the final analysis time, similar to the observed system at 2300 UTC 4 July 2003. The higher-order schemes—in particular, the Thompson scheme—are better able to produce short-range forecasts of both the convective and stratiform components of the observed bowing MCS, and produce the smallest temperature errors when comparing surface observations and dropsonde data to corresponding model data. Only the higher-order microphysical schemes produce any appreciable rear-to-front flow in the stratiform precipitation region that trailed the simulated systems. Forecast performance by the three microphysics schemes is discussed in context of differences in microphysical composition produced in the stratiform precipitation regions of the rearward expanding MCSs.","container-title":"Monthly Weather Review","DOI":"10.1175/MWR-D-13-00260.1","ISSN":"1520-0493, 0027-0644","issue":"9","language":"EN","note":"publisher: American Meteorological Society\nsection: Monthly Weather Review","page":"3243-3263","source":"journals.ametsoc.org","title":"Ensemble Kalman Filter Analyses and Forecasts of a Severe Mesoscale Convective System Using Different Choices of Microphysics Schemes","volume":"142","author":[{"family":"Wheatley","given":"Dustan M."},{"family":"Yussouf","given":"Nusrat"},{"family":"Stensrud","given":"David J."}],"issued":{"date-parts":[["2014",9,1]]},"citation-key":"wheatleyEnsembleKalmanFilter2014"}}],"schema":"https://github.com/citation-style-language/schema/raw/master/csl-citation.json"} </w:instrText>
      </w:r>
      <w:r w:rsidR="001C10F1">
        <w:fldChar w:fldCharType="separate"/>
      </w:r>
      <w:r w:rsidR="001C10F1">
        <w:rPr>
          <w:noProof/>
        </w:rPr>
        <w:t>Wheatley et al. (2014)</w:t>
      </w:r>
      <w:r w:rsidR="001C10F1">
        <w:fldChar w:fldCharType="end"/>
      </w:r>
      <w:r w:rsidR="00AD13C1" w:rsidRPr="00AD13C1">
        <w:t>.</w:t>
      </w:r>
    </w:p>
    <w:p w14:paraId="05BE08FC" w14:textId="0F8D219E" w:rsidR="00ED0DFA" w:rsidRDefault="00AD13C1" w:rsidP="00ED0DFA">
      <w:pPr>
        <w:rPr>
          <w:rFonts w:eastAsia="Times New Roman" w:cs="Times New Roman"/>
          <w:szCs w:val="24"/>
        </w:rPr>
      </w:pPr>
      <w:r w:rsidRPr="00AD13C1">
        <w:t xml:space="preserve">The combinations of </w:t>
      </w:r>
      <w:r w:rsidR="005E6E5D" w:rsidRPr="005E6E5D">
        <w:t>Planetary Boundary Layer</w:t>
      </w:r>
      <w:r w:rsidR="005E6E5D">
        <w:t xml:space="preserve"> (PBL)</w:t>
      </w:r>
      <w:r w:rsidRPr="00AD13C1">
        <w:t xml:space="preserve"> and radiation schemes for the ensemble members are shown in Table </w:t>
      </w:r>
      <w:r w:rsidR="001C10F1">
        <w:t>3.</w:t>
      </w:r>
      <w:r w:rsidRPr="00AD13C1">
        <w:t xml:space="preserve">2, </w:t>
      </w:r>
      <w:r w:rsidRPr="00AD13C1">
        <w:rPr>
          <w:rFonts w:hint="eastAsia"/>
        </w:rPr>
        <w:t>similar</w:t>
      </w:r>
      <w:r w:rsidRPr="00AD13C1">
        <w:t xml:space="preserve"> to those described in</w:t>
      </w:r>
      <w:r w:rsidR="005E6E5D">
        <w:t xml:space="preserve"> </w:t>
      </w:r>
      <w:r w:rsidR="005E6E5D">
        <w:fldChar w:fldCharType="begin"/>
      </w:r>
      <w:r w:rsidR="00186B73">
        <w:instrText xml:space="preserve"> ADDIN ZOTERO_ITEM CSL_CITATION {"citationID":"mtUseM7n","properties":{"formattedCitation":"(Wheatley et al. 2015)","plainCitation":"(Wheatley et al. 2015)","dontUpdate":true,"noteIndex":0},"citationItems":[{"id":86,"uris":["http://zotero.org/users/local/6VSApgKp/items/4BQRKSFC"],"itemData":{"id":86,"type":"article-journal","abstract":"&lt;section class=\"abstract\"&gt;&lt;h2 class=\"abstractTitle text-title my-1\" id=\"d4223959e74\"&gt;Abstract&lt;/h2&gt;&lt;p&gt;This first part of a two-part study on storm-scale radar and satellite data assimilation provides an overview of a multicase study conducted as part of the NOAA Warn-on-Forecast (WoF) project. The NSSL Experimental WoF System for ensembles (NEWS-e) is used to produce storm-scale analyses and forecasts of six diverse severe weather events from spring 2013 and 2014. In this study, only Doppler reflectivity and radial velocity observations (and, when available, surface mesonet data) are assimilated into a 36-member, storm-scale ensemble using an ensemble Kalman filter (EnKF) approach. A series of 1-h ensemble forecasts are then initialized from storm-scale analyses during the 1-h period preceding the onset of storm reports. Of particular interest is the ability of these 0–1-h ensemble forecasts to reproduce the low-level rotational characteristics of supercell thunderstorms, as well as other convective hazards. For the tornado-producing thunderstorms considered in this study, ensemble probabilistic forecasts of low-level rotation generally indicated a rotating thunderstorm approximately 30 min before the time of first observed tornado. Displacement errors (often to the north of tornado-affected areas) associated with vorticity swaths were greatest in those forecasts launched 30–60 min before the time of first tornado. Similar forecasts were produced for a tornadic mesovortex along the leading edge of a bow echo and, again, highlighted a well-defined vorticity swath as much as 30 min prior to the first tornado.&lt;/p&gt;&lt;/section&gt;","container-title":"Weather and Forecasting","DOI":"10.1175/WAF-D-15-0043.1","ISSN":"1520-0434, 0882-8156","issue":"6","language":"EN","note":"publisher: American Meteorological Society\nsection: Weather and Forecasting","page":"1795-1817","source":"journals.ametsoc.org","title":"Storm-Scale Data Assimilation and Ensemble Forecasting with the NSSL Experimental Warn-on-Forecast System. Part I: Radar Data Experiments","title-short":"Storm-Scale Data Assimilation and Ensemble Forecasting with the NSSL Experimental Warn-on-Forecast System. Part I","volume":"30","author":[{"family":"Wheatley","given":"Dustan M."},{"family":"Knopfmeier","given":"Kent H."},{"family":"Jones","given":"Thomas A."},{"family":"Creager","given":"Gerald J."}],"issued":{"date-parts":[["2015",12,1]]},"citation-key":"wheatleyStormScaleDataAssimilation2015"}}],"schema":"https://github.com/citation-style-language/schema/raw/master/csl-citation.json"} </w:instrText>
      </w:r>
      <w:r w:rsidR="005E6E5D">
        <w:fldChar w:fldCharType="separate"/>
      </w:r>
      <w:r w:rsidR="005E6E5D">
        <w:rPr>
          <w:noProof/>
        </w:rPr>
        <w:t>Wheatley et al. (2015)</w:t>
      </w:r>
      <w:r w:rsidR="005E6E5D">
        <w:fldChar w:fldCharType="end"/>
      </w:r>
      <w:r w:rsidR="005E6E5D">
        <w:t xml:space="preserve"> and </w:t>
      </w:r>
      <w:r w:rsidR="005E6E5D">
        <w:fldChar w:fldCharType="begin"/>
      </w:r>
      <w:r w:rsidR="00186B73">
        <w:instrText xml:space="preserve"> ADDIN ZOTERO_ITEM CSL_CITATION {"citationID":"IfS7ERnv","properties":{"formattedCitation":"(Skinner et al. 2018)","plainCitation":"(Skinner et al. 2018)","dontUpdate":true,"noteIndex":0},"citationItems":[{"id":135,"uris":["http://zotero.org/users/local/6VSApgKp/items/7CQRI4D5"],"itemData":{"id":135,"type":"article-journal","abstract":"&lt;section class=\"abstract\"&gt;&lt;h2 class=\"abstractTitle text-title my-1\" id=\"d3629245e265\"&gt;Abstract&lt;/h2&gt;&lt;p&gt;An object-based verification methodology for the NSSL Experimental Warn-on-Forecast System for ensembles (NEWS-e) has been developed and applied to 32 cases between December 2015 and June 2017. NEWS-e forecast objects of composite reflectivity and 30-min updraft helicity swaths are matched to corresponding reflectivity and rotation track objects in Multi-Radar Multi-Sensor system data on space and time scales typical of a National Weather Service warning. Object matching allows contingency-table-based verification statistics to be used to establish baseline performance metrics for NEWS-e thunderstorm and mesocyclone forecasts. NEWS-e critical success index (CSI) scores of reflectivity (updraft helicity) forecasts decrease from approximately 0.7 (0.4) to 0.4 (0.2) over 3 h of forecast time. CSI scores decrease through the forecast period, indicating that errors do not saturate during the 3-h forecast. Lower verification scores for rotation track forecasts are primarily a result of a high-frequency bias. Comparison of different system configurations used in 2016 and 2017 shows an increase in skill for 2017 reflectivity forecasts, attributable mainly to improvements in the forecast initial conditions. A small decrease in skill in 2017 rotation track forecasts is likely a result of sample differences between 2016 and 2017. Although large case-to-case variation is present, evidence is found that NEWS-e forecast skill improves with increasing object size and intensity.&lt;/p&gt;&lt;/section&gt;","container-title":"Weather and Forecasting","DOI":"10.1175/WAF-D-18-0020.1","ISSN":"1520-0434, 0882-8156","issue":"5","language":"EN","note":"publisher: American Meteorological Society\nsection: Weather and Forecasting","page":"1225-1250","source":"journals.ametsoc.org","title":"Object-Based Verification of a Prototype Warn-on-Forecast System","volume":"33","author":[{"family":"Skinner","given":"Patrick S."},{"family":"Wheatley","given":"Dustan M."},{"family":"Knopfmeier","given":"Kent H."},{"family":"Reinhart","given":"Anthony E."},{"family":"Choate","given":"Jessica J."},{"family":"Jones","given":"Thomas A."},{"family":"Creager","given":"Gerald J."},{"family":"Dowell","given":"David C."},{"family":"Alexander","given":"Curtis R."},{"family":"Ladwig","given":"Therese T."},{"family":"Wicker","given":"Louis J."},{"family":"Heinselman","given":"Pamela L."},{"family":"Minnis","given":"Patrick"},{"family":"Palikonda","given":"Rabindra"}],"issued":{"date-parts":[["2018",10,1]]},"citation-key":"skinnerObjectBasedVerificationPrototype2018"}}],"schema":"https://github.com/citation-style-language/schema/raw/master/csl-citation.json"} </w:instrText>
      </w:r>
      <w:r w:rsidR="005E6E5D">
        <w:fldChar w:fldCharType="separate"/>
      </w:r>
      <w:r w:rsidR="005E6E5D">
        <w:rPr>
          <w:noProof/>
        </w:rPr>
        <w:t>Skinner et al. (2018)</w:t>
      </w:r>
      <w:r w:rsidR="005E6E5D">
        <w:fldChar w:fldCharType="end"/>
      </w:r>
      <w:r w:rsidRPr="00AD13C1">
        <w:t xml:space="preserve">. </w:t>
      </w:r>
      <w:r w:rsidR="005E6E5D" w:rsidRPr="005E6E5D">
        <w:t xml:space="preserve">To generate the remaining 18 members, the parameterization scheme </w:t>
      </w:r>
      <w:r w:rsidR="005E6E5D" w:rsidRPr="005E6E5D">
        <w:lastRenderedPageBreak/>
        <w:t>combinations are applied to the reverse order of downscaled GEFS members. For instance, the parameterization combination for member 1 is used to downscale GEFS member 18 to generate member 19. All members of the ensemble adopt the Thompson cloud microphysics scheme</w:t>
      </w:r>
      <w:r w:rsidR="005E6E5D">
        <w:t xml:space="preserve"> </w:t>
      </w:r>
      <w:r w:rsidR="005E6E5D">
        <w:fldChar w:fldCharType="begin"/>
      </w:r>
      <w:r w:rsidR="005E6E5D">
        <w:instrText xml:space="preserve"> ADDIN ZOTERO_ITEM CSL_CITATION {"citationID":"lAB3dS7k","properties":{"formattedCitation":"(Thompson et al. 2008)","plainCitation":"(Thompson et al. 2008)","noteIndex":0},"citationItems":[{"id":493,"uris":["http://zotero.org/users/local/6VSApgKp/items/HUUAXW6U"],"itemData":{"id":493,"type":"article-journal","abstract":"Abstract A new bulk microphysical parameterization (BMP) has been developed for use with the Weather Research and Forecasting (WRF) Model or other mesoscale models. As compared with earlier single-moment BMPs, the new scheme incorporates a large number of improvements to both physical processes and computer coding, and it employs many techniques found in far more sophisticated spectral/bin schemes using lookup tables. Unlike any other BMP, the assumed snow size distribution depends on both ice water content and temperature and is represented as a sum of exponential and gamma distributions. Furthermore, snow assumes a nonspherical shape with a bulk density that varies inversely with diameter as found in observations and in contrast to nearly all other BMPs that assume spherical snow with constant density. The new scheme’s snow category was readily modified to match previous research in sensitivity experiments designed to test the sphericity and distribution shape characteristics. From analysis of four idealized sensitivity experiments, it was determined that the sphericity and constant density assumptions play a major role in producing supercooled liquid water whereas the assumed distribution shape plays a lesser, but nonnegligible, role. Further testing using numerous case studies and comparing model results with in situ and other observations confirmed the results of the idealized experiments and are briefly mentioned herein, but more detailed, microphysical comparisons with observations are found in a companion paper in this series (Part III, forthcoming).","container-title":"Monthly Weather Review","DOI":"10.1175/2008MWR2387.1","ISSN":"1520-0493, 0027-0644","issue":"12","language":"EN","note":"publisher: American Meteorological Society\nsection: Monthly Weather Review","page":"5095-5115","source":"journals.ametsoc.org","title":"Explicit Forecasts of Winter Precipitation Using an Improved Bulk Microphysics Scheme. Part II: Implementation of a New Snow Parameterization","title-short":"Explicit Forecasts of Winter Precipitation Using an Improved Bulk Microphysics Scheme. Part II","volume":"136","author":[{"family":"Thompson","given":"Gregory"},{"family":"Field","given":"Paul R."},{"family":"Rasmussen","given":"Roy M."},{"family":"Hall","given":"William D."}],"issued":{"date-parts":[["2008",12,1]]},"citation-key":"thompsonExplicitForecastsWinter2008"}}],"schema":"https://github.com/citation-style-language/schema/raw/master/csl-citation.json"} </w:instrText>
      </w:r>
      <w:r w:rsidR="005E6E5D">
        <w:fldChar w:fldCharType="separate"/>
      </w:r>
      <w:r w:rsidR="005E6E5D">
        <w:rPr>
          <w:noProof/>
        </w:rPr>
        <w:t>(Thompson et al. 2008)</w:t>
      </w:r>
      <w:r w:rsidR="005E6E5D">
        <w:fldChar w:fldCharType="end"/>
      </w:r>
      <w:r w:rsidR="00ED0DFA">
        <w:t xml:space="preserve"> in this study</w:t>
      </w:r>
      <w:r w:rsidRPr="00AD13C1">
        <w:t xml:space="preserve">. Because the simulations are performed on a 2-km convection-allowing grid, no cumulus parameterization scheme is used. </w:t>
      </w:r>
      <w:r w:rsidR="005E6E5D" w:rsidRPr="005E6E5D">
        <w:t>While the multiplicative covariance inflation method is not applied to the system</w:t>
      </w:r>
      <w:r w:rsidR="005E6E5D">
        <w:t xml:space="preserve"> </w:t>
      </w:r>
      <w:r w:rsidR="005E6E5D">
        <w:fldChar w:fldCharType="begin"/>
      </w:r>
      <w:r w:rsidR="005E6E5D">
        <w:instrText xml:space="preserve"> ADDIN ZOTERO_ITEM CSL_CITATION {"citationID":"ZqfBluuM","properties":{"formattedCitation":"(Jones et al. 2018)","plainCitation":"(Jones et al. 2018)","noteIndex":0},"citationItems":[{"id":159,"uris":["http://zotero.org/users/local/6VSApgKp/items/DFGHCEPE"],"itemData":{"id":159,"type":"article-journal","abstract":"&lt;section class=\"abstract\"&gt;&lt;h2 class=\"abstractTitle text-title my-1\" id=\"d145953427e115\"&gt;Abstract&lt;/h2&gt;&lt;p&gt;A prototype convection-allowing system using the Advanced Research version of the Weather Research and Forecasting (WRF-ARW) Model and employing an ensemble Kalman filter (EnKF) data assimilation technique has been developed and used during the spring 2016 and 2017 Hazardous Weather Testbeds. This system assimilates WSR-88D reflectivity and radial velocity, geostationary satellite cloud water path (CWP) retrievals, and available surface observations over a regional domain with a 3-km horizontal resolution at 15-min intervals, with 3-km initial conditions provided by an experimental High-Resolution Rapid Refresh ensemble (HRRR-e). However, no information on upper-level thermodynamic conditions in cloud-free regions is currently assimilated, as few timely observations exist. One potential solution is to also assimilate clear-sky satellite radiances, which provide information on mid- and upper-tropospheric temperature and moisture conditions. This research assimilates &lt;em&gt;GOES-13&lt;/em&gt; imager water vapor band (6.5 &lt;em&gt;μ&lt;/em&gt;m) radiances using the GSI-EnKF system to take advantage of the Community Radiative Transfer Model (CRTM) integration. Results using four cases from May 2016 showed that assimilating radiances generally had a neutral-to-positive impact on the model analysis, reducing humidity bias and/or errors at the appropriate model levels where verification observations were present. The effects on high-impact weather forecasts, as verified against forecast reflectivity and updraft helicity, were mixed. Three cases (9, 22, and 24 May) showed some improvement in skill, while the other (25 May) performed worse, despite the improved environment. This research represents the first step in designing a high-resolution ensemble data assimilation system to use &lt;em&gt;GOES-16&lt;/em&gt; Advanced Baseline Imager data, which provides additional water vapor bands and increased spatial and temporal resolution.&lt;/p&gt;&lt;/section&gt;","container-title":"Monthly Weather Review","DOI":"10.1175/MWR-D-17-0280.1","ISSN":"1520-0493, 0027-0644","issue":"4","language":"EN","note":"publisher: American Meteorological Society\nsection: Monthly Weather Review","page":"1077-1107","source":"journals.ametsoc.org","title":"Assimilation of GOES-13 Imager Clear-Sky Water Vapor (6.5 μm) Radiances into a Warn-on-Forecast System","volume":"146","author":[{"family":"Jones","given":"Thomas A."},{"family":"Wang","given":"Xuguang"},{"family":"Skinner","given":"Patrick"},{"family":"Johnson","given":"Aaron"},{"family":"Wang","given":"Yongming"}],"issued":{"date-parts":[["2018",4,1]]},"citation-key":"jonesAssimilationGOES13Imager2018"}}],"schema":"https://github.com/citation-style-language/schema/raw/master/csl-citation.json"} </w:instrText>
      </w:r>
      <w:r w:rsidR="005E6E5D">
        <w:fldChar w:fldCharType="separate"/>
      </w:r>
      <w:r w:rsidR="005E6E5D">
        <w:rPr>
          <w:noProof/>
        </w:rPr>
        <w:t>(Jones et al. 2018)</w:t>
      </w:r>
      <w:r w:rsidR="005E6E5D">
        <w:fldChar w:fldCharType="end"/>
      </w:r>
      <w:r w:rsidR="005E6E5D">
        <w:t>,</w:t>
      </w:r>
      <w:r w:rsidRPr="00AD13C1">
        <w:t xml:space="preserve"> the additive noise technique described in </w:t>
      </w:r>
      <w:r w:rsidR="005E6E5D">
        <w:fldChar w:fldCharType="begin"/>
      </w:r>
      <w:r w:rsidR="005E6E5D">
        <w:instrText xml:space="preserve"> ADDIN ZOTERO_ITEM CSL_CITATION {"citationID":"sfK4lTR4","properties":{"formattedCitation":"(Dowell and Wicker 2009)","plainCitation":"(Dowell and Wicker 2009)","noteIndex":0},"citationItems":[{"id":167,"uris":["http://zotero.org/users/local/6VSApgKp/items/XQU2NT42"],"itemData":{"id":167,"type":"article-journal","abstract":"&lt;section class=\"abstract\"&gt;&lt;h2 class=\"abstractTitle text-title my-1\" id=\"d154927607e70\"&gt;Abstract&lt;/h2&gt;&lt;p&gt;An “&lt;span class=\"hi\"&gt;additive&lt;/span&gt; &lt;span class=\"hi\"&gt;noise&lt;/span&gt;” method for initializing ensemble forecasts of convective storms and maintaining ensemble spread during data assimilation is developed and tested for a simplified numerical cloud model (no radiation, terrain, or surface fluxes) and radar observations of the 8 May 2003 Oklahoma City supercell. Every 5 min during a 90-min data-assimilation window, local perturbations in the wind, temperature, and water-vapor fields are added to each ensemble member where the reflectivity observations indicate precipitation. These perturbations are random but have been smoothed so that they have correlation length scales of a few kilometers. An ensemble Kalman filter technique is used to assimilate Doppler velocity observations into the cloud model. The supercell and other nearby cells that develop in the model are qualitatively similar to those that were observed. Relative to previous storm-scale ensemble methods, the &lt;span class=\"hi\"&gt;additive-noise&lt;/span&gt; technique reduces the number of spurious cells and their negative consequences during the data assimilation. The &lt;span class=\"hi\"&gt;additive-noise&lt;/span&gt; method is designed to maintain ensemble spread within convective storms during long periods of data assimilation, and it adapts to changing storm configurations. It would be straightforward to use this method in a mesoscale model with explicit convection and inhomogeneous storm environments.&lt;/p&gt;&lt;/section&gt;","container-title":"Journal of Atmospheric and Oceanic Technology","DOI":"10.1175/2008JTECHA1156.1","ISSN":"0739-0572, 1520-0426","issue":"5","language":"EN","note":"publisher: American Meteorological Society\nsection: Journal of Atmospheric and Oceanic Technology","page":"911-927","source":"journals.ametsoc.org","title":"Additive Noise for Storm-Scale Ensemble Data Assimilation","volume":"26","author":[{"family":"Dowell","given":"David C."},{"family":"Wicker","given":"Louis J."}],"issued":{"date-parts":[["2009",5,1]]},"citation-key":"dowellAdditiveNoiseStormScale2009"}}],"schema":"https://github.com/citation-style-language/schema/raw/master/csl-citation.json"} </w:instrText>
      </w:r>
      <w:r w:rsidR="005E6E5D">
        <w:fldChar w:fldCharType="separate"/>
      </w:r>
      <w:r w:rsidR="005E6E5D">
        <w:rPr>
          <w:noProof/>
        </w:rPr>
        <w:t>(Dowell and Wicker 2009)</w:t>
      </w:r>
      <w:r w:rsidR="005E6E5D">
        <w:fldChar w:fldCharType="end"/>
      </w:r>
      <w:r w:rsidRPr="00AD13C1">
        <w:t xml:space="preserve"> is applied to maintain the spread between ensemble members. </w:t>
      </w:r>
      <w:r w:rsidR="005E6E5D" w:rsidRPr="005E6E5D">
        <w:t xml:space="preserve">For grid points where greater than 25 dBZ reflectivity is observed and the absolute innovation of the posterior ensemble mean reflectivity is less than 10 dBZ, local perturbations are added to temperature </w:t>
      </w:r>
      <w:r w:rsidR="005E6E5D">
        <w:t xml:space="preserve">with standard deviation of </w:t>
      </w:r>
      <w:r w:rsidR="005E6E5D" w:rsidRPr="005E6E5D">
        <w:t xml:space="preserve">0.5 K, dewpoint temperature </w:t>
      </w:r>
      <w:r w:rsidR="005E6E5D">
        <w:t>with standard deviation of</w:t>
      </w:r>
      <w:r w:rsidR="005E6E5D" w:rsidRPr="005E6E5D">
        <w:t xml:space="preserve"> 0.5 K, and wind </w:t>
      </w:r>
      <w:r w:rsidR="005E6E5D">
        <w:t xml:space="preserve">with standard deviation of </w:t>
      </w:r>
      <w:r w:rsidR="005E6E5D" w:rsidRPr="005E6E5D">
        <w:t>0.5 m s</w:t>
      </w:r>
      <w:r w:rsidR="005E6E5D" w:rsidRPr="005E6E5D">
        <w:rPr>
          <w:vertAlign w:val="superscript"/>
        </w:rPr>
        <w:t>-1</w:t>
      </w:r>
      <w:r w:rsidR="005E6E5D" w:rsidRPr="005E6E5D">
        <w:t>.</w:t>
      </w:r>
      <w:r w:rsidR="005E6E5D">
        <w:t xml:space="preserve"> </w:t>
      </w:r>
      <w:r w:rsidRPr="00AD13C1">
        <w:t>Zero reflectivities are assimilated to suppress spurious precipitation.</w:t>
      </w:r>
      <w:r w:rsidR="00ED0DFA" w:rsidRPr="00ED0DFA">
        <w:rPr>
          <w:rFonts w:eastAsia="Times New Roman" w:cs="Times New Roman"/>
          <w:szCs w:val="24"/>
        </w:rPr>
        <w:t xml:space="preserve"> </w:t>
      </w:r>
    </w:p>
    <w:p w14:paraId="179DB6BF" w14:textId="1B515A8B" w:rsidR="00ED0DFA" w:rsidRDefault="00ED0DFA" w:rsidP="00ED0DFA">
      <w:pPr>
        <w:rPr>
          <w:rFonts w:eastAsia="Times New Roman" w:cs="Times New Roman"/>
          <w:szCs w:val="24"/>
        </w:rPr>
      </w:pPr>
      <w:r w:rsidRPr="00A07C14">
        <w:rPr>
          <w:rFonts w:eastAsia="Times New Roman" w:cs="Times New Roman"/>
          <w:szCs w:val="24"/>
        </w:rPr>
        <w:t xml:space="preserve">In this preliminary investigation, the deterministic and ensemble components are one-way coupled, as illustrated in Figure </w:t>
      </w:r>
      <w:r>
        <w:rPr>
          <w:rFonts w:eastAsia="Times New Roman" w:cs="Times New Roman"/>
          <w:szCs w:val="24"/>
        </w:rPr>
        <w:t>3.</w:t>
      </w:r>
      <w:r w:rsidRPr="00A07C14">
        <w:rPr>
          <w:rFonts w:eastAsia="Times New Roman" w:cs="Times New Roman"/>
          <w:szCs w:val="24"/>
        </w:rPr>
        <w:t xml:space="preserve">1, with a consistent spatial resolution. The aim of this setup is to evaluate the skill of the analyses and forecasts of the deterministic component. </w:t>
      </w:r>
      <w:r w:rsidRPr="00AD13C1">
        <w:rPr>
          <w:rFonts w:eastAsia="Times New Roman" w:cs="Times New Roman"/>
          <w:szCs w:val="24"/>
        </w:rPr>
        <w:t>Initial and boundary conditions for the deterministic component are obtained by launching a 6</w:t>
      </w:r>
      <w:r>
        <w:rPr>
          <w:rFonts w:eastAsia="Times New Roman" w:cs="Times New Roman"/>
          <w:szCs w:val="24"/>
        </w:rPr>
        <w:t>-hour</w:t>
      </w:r>
      <w:r w:rsidRPr="00AD13C1">
        <w:rPr>
          <w:rFonts w:eastAsia="Times New Roman" w:cs="Times New Roman"/>
          <w:szCs w:val="24"/>
        </w:rPr>
        <w:t xml:space="preserve"> WRF forecast from a downscaled </w:t>
      </w:r>
      <w:r>
        <w:rPr>
          <w:rFonts w:eastAsia="Times New Roman" w:cs="Times New Roman"/>
          <w:szCs w:val="24"/>
        </w:rPr>
        <w:t>Global Forecast System (GFS)</w:t>
      </w:r>
      <w:r w:rsidRPr="00AD13C1">
        <w:rPr>
          <w:rFonts w:eastAsia="Times New Roman" w:cs="Times New Roman"/>
          <w:szCs w:val="24"/>
        </w:rPr>
        <w:t xml:space="preserve"> analysis valid at 1200 UTC. </w:t>
      </w:r>
      <w:r w:rsidRPr="00A07C14">
        <w:rPr>
          <w:rFonts w:eastAsia="Times New Roman" w:cs="Times New Roman"/>
          <w:szCs w:val="24"/>
        </w:rPr>
        <w:t>The domain used in the deterministic component exactly matches that used in the ensemble component.</w:t>
      </w:r>
      <w:r w:rsidRPr="00AD13C1">
        <w:rPr>
          <w:rFonts w:eastAsia="Times New Roman" w:cs="Times New Roman"/>
          <w:szCs w:val="24"/>
        </w:rPr>
        <w:t xml:space="preserve"> </w:t>
      </w:r>
      <w:r w:rsidRPr="00A07C14">
        <w:rPr>
          <w:rFonts w:eastAsia="Times New Roman" w:cs="Times New Roman"/>
          <w:szCs w:val="24"/>
        </w:rPr>
        <w:t>To maintain consistency with the High-Resolution Rapid Refresh configuration</w:t>
      </w:r>
      <w:r>
        <w:rPr>
          <w:rFonts w:eastAsia="Times New Roman" w:cs="Times New Roman"/>
          <w:szCs w:val="24"/>
        </w:rPr>
        <w:t xml:space="preserve"> </w:t>
      </w:r>
      <w:r>
        <w:rPr>
          <w:rFonts w:eastAsia="Times New Roman" w:cs="Times New Roman"/>
          <w:szCs w:val="24"/>
        </w:rPr>
        <w:fldChar w:fldCharType="begin"/>
      </w:r>
      <w:r w:rsidR="00186B73">
        <w:rPr>
          <w:rFonts w:eastAsia="Times New Roman" w:cs="Times New Roman"/>
          <w:szCs w:val="24"/>
        </w:rPr>
        <w:instrText xml:space="preserve"> ADDIN ZOTERO_ITEM CSL_CITATION {"citationID":"kDYLqRRA","properties":{"formattedCitation":"(Dowell et al. 2022)","plainCitation":"(Dowell et al. 2022)","dontUpdate":true,"noteIndex":0},"citationItems":[{"id":473,"uris":["http://zotero.org/users/local/6VSApgKp/items/KPCYLJQ9"],"itemData":{"id":473,"type":"article-journal","abstract":"Abstract The High-Resolution Rapid Refresh (HRRR) is a convection-allowing implementation of the Advanced Research version of the Weather Research and Forecasting (WRF-ARW) Model with hourly data assimilation that covers the conterminous United States and Alaska and runs in real time at the NOAA/National Centers for Environmental Prediction (NCEP). Implemented operationally at NOAA/NCEP in 2014, the HRRR features 3-km horizontal grid spacing and frequent forecasts (hourly for CONUS and 3-hourly for Alaska). HRRR initialization is designed for optimal short-range forecast skill with a particular focus on the evolution of precipitating systems. Key components of the initialization are radar-reflectivity data assimilation, hybrid ensemble-variational assimilation of conventional weather observations, and a cloud analysis to initialize stratiform cloud layers. From this initial state, HRRR forecasts are produced out to 18 h every hour, and out to 48 h every 6 h, with boundary conditions provided by the Rapid Refresh system. Between 2014 and 2020, HRRR development was focused on reducing model bias errors and improving forecast realism and accuracy. Improved representation of the planetary boundary layer, subgrid-scale clouds, and land surface contributed extensively to overall HRRR improvements. The final version of the HRRR (HRRRv4), implemented in late 2020, also features hybrid data assimilation using flow-dependent covariances from a 3-km, 36-member ensemble (“HRRRDAS”) with explicit convective storms. HRRRv4 also includes prediction of wildfire smoke plumes. The HRRR provides a baseline capability for evaluating NOAA’s next-generation Rapid Refresh Forecast System, now under development. Significance Statement NOAA’s operational hourly updating, convection-allowing model, the High-Resolution Rapid Refresh (HRRR), is a key tool for short-range weather forecasting and situational awareness. Improvements in assimilation of weather observations, as well as in physics parameterizations, have led to improvements in simulated radar reflectivity and quantitative precipitation forecasts since the initial implementation of HRRR in September 2014. Other targeted development has focused on improved representation of the diurnal cycle of the planetary boundary layer, resulting in improved near-surface temperature and humidity forecasts. Additional physics and data assimilation changes have led to improved treatment of the development and erosion of low-level clouds, including subgrid-scale clouds. The final version of HRRR features storm-scale ensemble data assimilation and explicit prediction of wildfire smoke plumes.","container-title":"Weather and Forecasting","DOI":"10.1175/WAF-D-21-0151.1","ISSN":"1520-0434, 0882-8156","issue":"8","language":"EN","note":"publisher: American Meteorological Society\nsection: Weather and Forecasting","page":"1371-1395","source":"journals.ametsoc.org","title":"The High-Resolution Rapid Refresh (HRRR): An Hourly Updating Convection-Allowing Forecast Model. Part I: Motivation and System Description","title-short":"The High-Resolution Rapid Refresh (HRRR)","volume":"37","author":[{"family":"Dowell","given":"David C."},{"family":"Alexander","given":"Curtis R."},{"family":"James","given":"Eric P."},{"family":"Weygandt","given":"Stephen S."},{"family":"Benjamin","given":"Stanley G."},{"family":"Manikin","given":"Geoffrey S."},{"family":"Blake","given":"Benjamin T."},{"family":"Brown","given":"John M."},{"family":"Olson","given":"Joseph B."},{"family":"Hu","given":"Ming"},{"family":"Smirnova","given":"Tatiana G."},{"family":"Ladwig","given":"Terra"},{"family":"Kenyon","given":"Jaymes S."},{"family":"Ahmadov","given":"Ravan"},{"family":"Turner","given":"David D."},{"family":"Duda","given":"Jeffrey D."},{"family":"Alcott","given":"Trevor I."}],"issued":{"date-parts":[["2022",8,1]]},"citation-key":"dowellHighResolutionRapidRefresh2022"}}],"schema":"https://github.com/citation-style-language/schema/raw/master/csl-citation.json"} </w:instrText>
      </w:r>
      <w:r>
        <w:rPr>
          <w:rFonts w:eastAsia="Times New Roman" w:cs="Times New Roman"/>
          <w:szCs w:val="24"/>
        </w:rPr>
        <w:fldChar w:fldCharType="separate"/>
      </w:r>
      <w:r>
        <w:rPr>
          <w:rFonts w:eastAsia="Times New Roman" w:cs="Times New Roman"/>
          <w:noProof/>
          <w:szCs w:val="24"/>
        </w:rPr>
        <w:t>(HRRR; Dowell et al. 2022)</w:t>
      </w:r>
      <w:r>
        <w:rPr>
          <w:rFonts w:eastAsia="Times New Roman" w:cs="Times New Roman"/>
          <w:szCs w:val="24"/>
        </w:rPr>
        <w:fldChar w:fldCharType="end"/>
      </w:r>
      <w:r w:rsidRPr="00AD13C1">
        <w:rPr>
          <w:rFonts w:eastAsia="Times New Roman" w:cs="Times New Roman"/>
          <w:szCs w:val="24"/>
        </w:rPr>
        <w:t xml:space="preserve">, </w:t>
      </w:r>
      <w:r w:rsidRPr="00A07C14">
        <w:rPr>
          <w:rFonts w:eastAsia="Times New Roman" w:cs="Times New Roman"/>
          <w:szCs w:val="24"/>
        </w:rPr>
        <w:t xml:space="preserve">the deterministic component uses the RRTMG scheme for both shortwave and longwave radiation and the MYJ scheme for the </w:t>
      </w:r>
      <w:r>
        <w:rPr>
          <w:rFonts w:eastAsia="Times New Roman" w:cs="Times New Roman"/>
          <w:szCs w:val="24"/>
        </w:rPr>
        <w:t>PBL</w:t>
      </w:r>
      <w:r w:rsidRPr="00A07C14">
        <w:rPr>
          <w:rFonts w:eastAsia="Times New Roman" w:cs="Times New Roman"/>
          <w:szCs w:val="24"/>
        </w:rPr>
        <w:t xml:space="preserve"> scheme during the assimilation cycling as well as the free forecast period.</w:t>
      </w:r>
    </w:p>
    <w:p w14:paraId="2A3C0637" w14:textId="77777777" w:rsidR="00ED0DFA" w:rsidRPr="00ED0DFA" w:rsidRDefault="00ED0DFA" w:rsidP="00ED0DFA">
      <w:pPr>
        <w:pStyle w:val="NoSpacing"/>
      </w:pPr>
    </w:p>
    <w:p w14:paraId="624C0C0E" w14:textId="69F094F7" w:rsidR="00C8368F" w:rsidRPr="00D60A80" w:rsidRDefault="00C8368F" w:rsidP="00C8368F">
      <w:pPr>
        <w:pStyle w:val="Captions"/>
        <w:rPr>
          <w:szCs w:val="24"/>
        </w:rPr>
      </w:pPr>
      <w:bookmarkStart w:id="44" w:name="_Toc134695258"/>
      <w:r w:rsidRPr="00D60A80">
        <w:rPr>
          <w:szCs w:val="24"/>
        </w:rPr>
        <w:t xml:space="preserve">Table </w:t>
      </w:r>
      <w:r w:rsidR="00C96E3B" w:rsidRPr="00D60A80">
        <w:rPr>
          <w:szCs w:val="24"/>
        </w:rPr>
        <w:fldChar w:fldCharType="begin"/>
      </w:r>
      <w:r w:rsidR="00C96E3B" w:rsidRPr="00D60A80">
        <w:rPr>
          <w:szCs w:val="24"/>
        </w:rPr>
        <w:instrText xml:space="preserve"> STYLEREF 1 \s </w:instrText>
      </w:r>
      <w:r w:rsidR="00C96E3B" w:rsidRPr="00D60A80">
        <w:rPr>
          <w:szCs w:val="24"/>
        </w:rPr>
        <w:fldChar w:fldCharType="separate"/>
      </w:r>
      <w:r w:rsidR="00EF6098" w:rsidRPr="00D60A80">
        <w:rPr>
          <w:noProof/>
          <w:szCs w:val="24"/>
        </w:rPr>
        <w:t>3</w:t>
      </w:r>
      <w:r w:rsidR="00C96E3B" w:rsidRPr="00D60A80">
        <w:rPr>
          <w:noProof/>
          <w:szCs w:val="24"/>
        </w:rPr>
        <w:fldChar w:fldCharType="end"/>
      </w:r>
      <w:r w:rsidR="00EF6098" w:rsidRPr="00D60A80">
        <w:rPr>
          <w:szCs w:val="24"/>
        </w:rPr>
        <w:t>.</w:t>
      </w:r>
      <w:r w:rsidR="00C96E3B" w:rsidRPr="00D60A80">
        <w:rPr>
          <w:szCs w:val="24"/>
        </w:rPr>
        <w:fldChar w:fldCharType="begin"/>
      </w:r>
      <w:r w:rsidR="00C96E3B" w:rsidRPr="00D60A80">
        <w:rPr>
          <w:szCs w:val="24"/>
        </w:rPr>
        <w:instrText xml:space="preserve"> SEQ Table \* ARABIC \s 1 </w:instrText>
      </w:r>
      <w:r w:rsidR="00C96E3B" w:rsidRPr="00D60A80">
        <w:rPr>
          <w:szCs w:val="24"/>
        </w:rPr>
        <w:fldChar w:fldCharType="separate"/>
      </w:r>
      <w:r w:rsidR="00EF6098" w:rsidRPr="00D60A80">
        <w:rPr>
          <w:noProof/>
          <w:szCs w:val="24"/>
        </w:rPr>
        <w:t>2</w:t>
      </w:r>
      <w:r w:rsidR="00C96E3B" w:rsidRPr="00D60A80">
        <w:rPr>
          <w:noProof/>
          <w:szCs w:val="24"/>
        </w:rPr>
        <w:fldChar w:fldCharType="end"/>
      </w:r>
      <w:r w:rsidRPr="00D60A80">
        <w:rPr>
          <w:szCs w:val="24"/>
        </w:rPr>
        <w:t xml:space="preserve"> PBL and radiation scheme combinations for 36 ensemble members of each 2017 </w:t>
      </w:r>
      <w:r w:rsidRPr="00D60A80">
        <w:rPr>
          <w:szCs w:val="24"/>
        </w:rPr>
        <w:lastRenderedPageBreak/>
        <w:t xml:space="preserve">event. Deterministic member indicates the extra member used for deterministic analysis and forecast. The PBL schemes include MYJ </w:t>
      </w:r>
      <w:r w:rsidRPr="00D60A80">
        <w:rPr>
          <w:szCs w:val="24"/>
        </w:rPr>
        <w:fldChar w:fldCharType="begin"/>
      </w:r>
      <w:r w:rsidRPr="00D60A80">
        <w:rPr>
          <w:szCs w:val="24"/>
        </w:rPr>
        <w:instrText xml:space="preserve"> ADDIN ZOTERO_ITEM CSL_CITATION {"citationID":"QEuHtwuY","properties":{"formattedCitation":"(Janji\\uc0\\u263{} 1994)","plainCitation":"(Janjić 1994)","noteIndex":0},"citationItems":[{"id":319,"uris":["http://zotero.org/users/local/6VSApgKp/items/JQYYMSPH"],"itemData":{"id":319,"type":"article-journal","abstract":"Abstract The step-mountain eta model has shown a surprising skill in forecasting severe storms. Much of the credit for this should be given to the Betts and Miller (hereafter referred to as BM) convection scheme and the Mellor-Yamada (hereafter referred to as MY) planetary boundary layer (PBL) formulation. However, the eta model was occasionally producing heavy spurious precipitation over warm water, as well as widely spread light precipitation over oceans. In addition, the convective forcing, particularly the shallow one, could lead to negative entropy changes. As the possible causes of the problems, the convection scheme, the processes at the air-water interface, and the MY level 2 and level 2.5 PBL schemes were reexamined. A major revision of the BM scheme was made, a new marine viscous sublayer scheme was designed, and the MY schemes were retuned. The deep convective regimes are postulated to be characterized by a parameter called “cloud efficiency.” The relaxation time is extended for low cloud efficiencies and vice versa. It is also postulated that there is a range of reference equilibrium states. The specific reference state is chosen depending on the cloud efficiency. The treatment of the shallow cloud tops was modified, and the shallow reference humidity profiles are specified requiring that the entropy change be nonnegative. Over the oceans there are two layers: (a) a viscous sublayer with the vertical transports determined by the molecular diffusion, and (b) a layer above it with the vertical transports determined by the turbulence. The viscous sublayer operates in different regimes depending on the roughness Reynolds number. The MY level 2.5 turbulent kinetic energy (TKE) is initialized from above in the PBL, so that excessive TKE is dissipated at most places during the PBL spinup. The method for calculating the MY level 2.5 master length scale was rectified. To demonstrate the effects of the new schemes for the deep convection and the viscous sublayer, tests were made using two summer cases: one with heavy spurious precipitation, and another with a successful 36-h forecast of a tropical storm. The new schemes had dramatic positive impacts on the case with the spurious precipitation. The results were also favorable in the tropical storm case. The developments presented here were incorporated into the eta model in 1990. The details of further research will be reported elsewhere. The eta model became operational at the National Meteorological Center, Washington, D.C., in June 1993.","container-title":"Monthly Weather Review","DOI":"10.1175/1520-0493(1994)122&lt;0927:TSMECM&gt;2.0.CO;2","ISSN":"1520-0493, 0027-0644","issue":"5","language":"EN","note":"publisher: American Meteorological Society\nsection: Monthly Weather Review","page":"927-945","source":"journals.ametsoc.org","title":"The Step-Mountain Eta Coordinate Model: Further Developments of the Convection, Viscous Sublayer, and Turbulence Closure Schemes","title-short":"The Step-Mountain Eta Coordinate Model","volume":"122","author":[{"family":"Janjić","given":"Zaviša I."}],"issued":{"date-parts":[["1994",5,1]]},"citation-key":"janjicStepMountainEtaCoordinate1994"}}],"schema":"https://github.com/citation-style-language/schema/raw/master/csl-citation.json"} </w:instrText>
      </w:r>
      <w:r w:rsidRPr="00D60A80">
        <w:rPr>
          <w:szCs w:val="24"/>
        </w:rPr>
        <w:fldChar w:fldCharType="separate"/>
      </w:r>
      <w:r w:rsidRPr="00D60A80">
        <w:rPr>
          <w:rFonts w:cs="Times New Roman"/>
          <w:color w:val="000000"/>
          <w:szCs w:val="24"/>
        </w:rPr>
        <w:t>(Janjić 1994)</w:t>
      </w:r>
      <w:r w:rsidRPr="00D60A80">
        <w:rPr>
          <w:szCs w:val="24"/>
        </w:rPr>
        <w:fldChar w:fldCharType="end"/>
      </w:r>
      <w:r w:rsidRPr="00D60A80">
        <w:rPr>
          <w:szCs w:val="24"/>
        </w:rPr>
        <w:t xml:space="preserve">, YSU </w:t>
      </w:r>
      <w:r w:rsidRPr="00D60A80">
        <w:rPr>
          <w:szCs w:val="24"/>
        </w:rPr>
        <w:fldChar w:fldCharType="begin"/>
      </w:r>
      <w:r w:rsidRPr="00D60A80">
        <w:rPr>
          <w:szCs w:val="24"/>
        </w:rPr>
        <w:instrText xml:space="preserve"> ADDIN ZOTERO_ITEM CSL_CITATION {"citationID":"WsjhX8ne","properties":{"formattedCitation":"(Hong et al. 2006)","plainCitation":"(Hong et al. 2006)","noteIndex":0},"citationItems":[{"id":415,"uris":["http://zotero.org/users/local/6VSApgKp/items/LCNTU2KB"],"itemData":{"id":415,"type":"article-journal","abstract":"Abstract This paper proposes a revised vertical diffusion package with a nonlocal turbulent mixing coefficient in the planetary boundary layer (PBL). Based on the study of Noh et al. and accumulated results of the behavior of the Hong and Pan algorithm, a revised vertical diffusion algorithm that is suitable for weather forecasting and climate prediction models is developed. The major ingredient of the revision is the inclusion of an explicit treatment of entrainment processes at the top of the PBL. The new diffusion package is called the Yonsei University PBL (YSU PBL). In a one-dimensional offline test framework, the revised scheme is found to improve several features compared with the Hong and Pan implementation. The YSU PBL increases boundary layer mixing in the thermally induced free convection regime and decreases it in the mechanically induced forced convection regime, which alleviates the well-known problems in the Medium-Range Forecast (MRF) PBL. Excessive mixing in the mixed layer in the presence of strong winds is resolved. Overly rapid growth of the PBL in the case of the Hong and Pan is also rectified. The scheme has been successfully implemented in the Weather Research and Forecast model producing a more realistic structure of the PBL and its development. In a case study of a frontal tornado outbreak, it is found that some systematic biases of the large-scale features such as an afternoon cold bias at 850 hPa in the MRF PBL are resolved. Consequently, the new scheme does a better job in reproducing the convective inhibition. Because the convective inhibition is accurately predicted, widespread light precipitation ahead of a front, in the case of the MRF PBL, is reduced. In the frontal region, the YSU PBL scheme improves some characteristics, such as a double line of intense convection. This is because the boundary layer from the YSU PBL scheme remains less diluted by entrainment leaving more fuel for severe convection when the front triggers it.","container-title":"Monthly Weather Review","DOI":"10.1175/MWR3199.1","ISSN":"1520-0493, 0027-0644","issue":"9","language":"EN","note":"publisher: American Meteorological Society\nsection: Monthly Weather Review","page":"2318-2341","source":"journals.ametsoc.org","title":"A New Vertical Diffusion Package with an Explicit Treatment of Entrainment Processes","volume":"134","author":[{"family":"Hong","given":"Song-You"},{"family":"Noh","given":"Yign"},{"family":"Dudhia","given":"Jimy"}],"issued":{"date-parts":[["2006",9,1]]},"citation-key":"hongNewVerticalDiffusion2006"}}],"schema":"https://github.com/citation-style-language/schema/raw/master/csl-citation.json"} </w:instrText>
      </w:r>
      <w:r w:rsidRPr="00D60A80">
        <w:rPr>
          <w:szCs w:val="24"/>
        </w:rPr>
        <w:fldChar w:fldCharType="separate"/>
      </w:r>
      <w:r w:rsidRPr="00D60A80">
        <w:rPr>
          <w:noProof/>
          <w:szCs w:val="24"/>
        </w:rPr>
        <w:t>(Hong et al. 2006)</w:t>
      </w:r>
      <w:r w:rsidRPr="00D60A80">
        <w:rPr>
          <w:szCs w:val="24"/>
        </w:rPr>
        <w:fldChar w:fldCharType="end"/>
      </w:r>
      <w:r w:rsidRPr="00D60A80">
        <w:rPr>
          <w:szCs w:val="24"/>
        </w:rPr>
        <w:t xml:space="preserve">, and MYNN2 </w:t>
      </w:r>
      <w:r w:rsidRPr="00D60A80">
        <w:rPr>
          <w:szCs w:val="24"/>
        </w:rPr>
        <w:fldChar w:fldCharType="begin"/>
      </w:r>
      <w:r w:rsidRPr="00D60A80">
        <w:rPr>
          <w:szCs w:val="24"/>
        </w:rPr>
        <w:instrText xml:space="preserve"> ADDIN ZOTERO_ITEM CSL_CITATION {"citationID":"AlxRAIT9","properties":{"formattedCitation":"(Nakanishi and Niino 2004)","plainCitation":"(Nakanishi and Niino 2004)","noteIndex":0},"citationItems":[{"id":481,"uris":["http://zotero.org/users/local/6VSApgKp/items/9RHASBKJ"],"itemData":{"id":481,"type":"article-journal","abstract":"A computational scheme for an improved Mellor–Yamada(M–Y) Level-3 model with condensation physics is proposedand its performance is examined against large-eddy-simulationdata on radiation fog. The improved M–Y model greatlycorrects several shortcomings of the original M–Y model:the underestimations of the mixed-layer depth and themagnitude of turbulent kinetic energy, and the discrepanciesin the formation and dissipation times of the fog. Inaddition the improved M–Y model can reproduce theoccurrence of Kelvin–Helmholtz instability and periodicoscillations due to its energy cycle. It is shown that theoptimization of both the closure constants and the masterlength scale is required for this improvement.","container-title":"Boundary-Layer Meteorology","DOI":"10.1023/B:BOUN.0000020164.04146.98","ISSN":"1573-1472","issue":"1","journalAbbreviation":"Boundary-Layer Meteorology","language":"en","page":"1-31","source":"Springer Link","title":"An Improved Mellor–Yamada Level-3 Model with Condensation Physics: Its Design and Verification","title-short":"An Improved Mellor–Yamada Level-3 Model with Condensation Physics","volume":"112","author":[{"family":"Nakanishi","given":"Mikio"},{"family":"Niino","given":"Hiroshi"}],"issued":{"date-parts":[["2004",7,1]]},"citation-key":"nakanishiImprovedMellorYamada2004"}}],"schema":"https://github.com/citation-style-language/schema/raw/master/csl-citation.json"} </w:instrText>
      </w:r>
      <w:r w:rsidRPr="00D60A80">
        <w:rPr>
          <w:szCs w:val="24"/>
        </w:rPr>
        <w:fldChar w:fldCharType="separate"/>
      </w:r>
      <w:r w:rsidRPr="00D60A80">
        <w:rPr>
          <w:noProof/>
          <w:szCs w:val="24"/>
        </w:rPr>
        <w:t>(Nakanishi and Niino 2004)</w:t>
      </w:r>
      <w:r w:rsidRPr="00D60A80">
        <w:rPr>
          <w:szCs w:val="24"/>
        </w:rPr>
        <w:fldChar w:fldCharType="end"/>
      </w:r>
      <w:r w:rsidRPr="00D60A80">
        <w:rPr>
          <w:szCs w:val="24"/>
        </w:rPr>
        <w:t xml:space="preserve">. The radiation schemes include Dudhia </w:t>
      </w:r>
      <w:r w:rsidRPr="00D60A80">
        <w:rPr>
          <w:szCs w:val="24"/>
        </w:rPr>
        <w:fldChar w:fldCharType="begin"/>
      </w:r>
      <w:r w:rsidRPr="00D60A80">
        <w:rPr>
          <w:szCs w:val="24"/>
        </w:rPr>
        <w:instrText xml:space="preserve"> ADDIN ZOTERO_ITEM CSL_CITATION {"citationID":"mUetc5v4","properties":{"formattedCitation":"(Dudhia 1989)","plainCitation":"(Dudhia 1989)","noteIndex":0},"citationItems":[{"id":483,"uris":["http://zotero.org/users/local/6VSApgKp/items/DI7ZF9MQ"],"itemData":{"id":483,"type":"article-journal","abstract":"Abstract A two-dimensional version of the Pennsylvania State University mesoscale model has been applied to Winter Monsoon Experiment data in order to simulate the diurnally occurring convection observed over the South China Sea. The domain includes a representation of part of Borneo as well as the sea so that the model can simulate the initiation of convection. Also included in the model are parameterizations of mesoscale ice phase and moisture processes and longwave and shortwave radiation with a diurnal cycle. This allows use of the model to test the relative importance of various heating mechanisms to the stratiform cloud deck, which typically occupies several hundred kilometers of the domain. Frank and Cohen's cumulus parameterization scheme is employed to represent vital unresolved vertical transports in the convective area. The major conclusions are: Ice phase processes are important in determining the level of maximum large-scale heating and vertical motion because there is a strong anvil component. The heating is initiated by a thermodynamic adjustment that takes place after the air leaves the updrafts and is associated with the difference between water and ice saturation. Melting and evaporation contribute to a 1ocalized mesoscale subsidence in a 50 km region to the rear of the moving convective area. The cooling associated with this almost cancels the cumulus heating in the lower to midtroposphere. Radiative heating was found to be the main ascent-forcing influence at high levels occupied by the widespread cirrus outflow. Additionally, radiative clear-air cooling helped the convection by continuously destabilizing the troposphere and countering the warming effect of convective updrafts. The overall structure and development of the system were well simulated, particularly the growth near the coast, and the propagation and decay in the cooler boundary layer further off-shore, but the rainfall may have been underestimated because of the two-dimensional assumptions of the model.","container-title":"Journal of the Atmospheric Sciences","DOI":"10.1175/1520-0469(1989)046&lt;3077:NSOCOD&gt;2.0.CO;2","ISSN":"0022-4928, 1520-0469","issue":"20","language":"EN","note":"publisher: American Meteorological Society\nsection: Journal of the Atmospheric Sciences","page":"3077-3107","source":"journals.ametsoc.org","title":"Numerical Study of Convection Observed during the Winter Monsoon Experiment Using a Mesoscale Two-Dimensional Model","volume":"46","author":[{"family":"Dudhia","given":"Jimy"}],"issued":{"date-parts":[["1989",10,15]]},"citation-key":"dudhiaNumericalStudyConvection1989"}}],"schema":"https://github.com/citation-style-language/schema/raw/master/csl-citation.json"} </w:instrText>
      </w:r>
      <w:r w:rsidRPr="00D60A80">
        <w:rPr>
          <w:szCs w:val="24"/>
        </w:rPr>
        <w:fldChar w:fldCharType="separate"/>
      </w:r>
      <w:r w:rsidRPr="00D60A80">
        <w:rPr>
          <w:noProof/>
          <w:szCs w:val="24"/>
        </w:rPr>
        <w:t>(Dudhia 1989)</w:t>
      </w:r>
      <w:r w:rsidRPr="00D60A80">
        <w:rPr>
          <w:szCs w:val="24"/>
        </w:rPr>
        <w:fldChar w:fldCharType="end"/>
      </w:r>
      <w:r w:rsidRPr="00D60A80">
        <w:rPr>
          <w:szCs w:val="24"/>
        </w:rPr>
        <w:t xml:space="preserve">, RRTM </w:t>
      </w:r>
      <w:r w:rsidRPr="00D60A80">
        <w:rPr>
          <w:szCs w:val="24"/>
        </w:rPr>
        <w:fldChar w:fldCharType="begin"/>
      </w:r>
      <w:r w:rsidRPr="00D60A80">
        <w:rPr>
          <w:szCs w:val="24"/>
        </w:rPr>
        <w:instrText xml:space="preserve"> ADDIN ZOTERO_ITEM CSL_CITATION {"citationID":"9GUa9uZT","properties":{"formattedCitation":"(Mlawer et al. 1997)","plainCitation":"(Mlawer et al. 1997)","noteIndex":0},"citationItems":[{"id":485,"uris":["http://zotero.org/users/local/6VSApgKp/items/XG38VTAF"],"itemData":{"id":485,"type":"article-journal","abstract":"A rapid and accurate radiative transfer model (RRTM) for climate applications has been developed and the results extensively evaluated. The current version of RRTM calculates fluxes and cooling rates for the longwave spectral region (10–3000 cm−1) for an arbitrary clear atmosphere. The molecular species treated in the model are water vapor, carbon dioxide, ozone, methane, nitrous oxide, and the common halocarbons. The radiative transfer in RRTM is performed using the correlated-k method: the k distributions are attained directly from the LBLRTM line-by-line model, which connects the absorption coefficients used by RRTM to high-resolution radiance validations done with observations. Refined methods have been developed for treating bands containing gases with overlapping absorption, for the determination of values of the Planck function appropriate for use in the correlated-k approach, and for the inclusion of minor absorbing species in a band. The flux and cooling rate results of RRTM are linked to measurement through the use of LBLRTM, which has been substantially validated with observations. Validations of RRTM using LBLRTM have been performed for the midlatitude summer, tropical, midlatitude winter, subarctic winter, and four atmospheres from the Spectral Radiance Experiment campaign. On the basis of these validations the longwave accuracy of RRTM for any atmosphere is as follows: 0.6 W m−2 (relative to LBLRTM) for net flux in each band at all altitudes, with a total (10–3000 cm−1) error of less than 1.0 W m−2 at any altitude; 0.07 K d−1 for total cooling rate error in the troposphere and lower stratosphere, and 0.75 K d−1 in the upper stratosphere and above. Other comparisons have been performed on RRTM using LBLRTM to gauge its sensitivity to changes in the abundance of specific species, including the halocarbons and carbon dioxide. The radiative forcing due to doubling the concentration of carbon dioxide is attained with an accuracy of 0.24 W m−2, an error of less than 5%. The speed of execution of RRTM compares favorably with that of other rapid radiation models, indicating that the model is suitable for use in general circulation models.","container-title":"Journal of Geophysical Research: Atmospheres","DOI":"10.1029/97JD00237","ISSN":"2156-2202","issue":"D14","language":"en","note":"_eprint: https://onlinelibrary.wiley.com/doi/pdf/10.1029/97JD00237","page":"16663-16682","source":"Wiley Online Library","title":"Radiative transfer for inhomogeneous atmospheres: RRTM, a validated correlated-k model for the longwave","title-short":"Radiative transfer for inhomogeneous atmospheres","volume":"102","author":[{"family":"Mlawer","given":"Eli J."},{"family":"Taubman","given":"Steven J."},{"family":"Brown","given":"Patrick D."},{"family":"Iacono","given":"Michael J."},{"family":"Clough","given":"Shepard A."}],"issued":{"date-parts":[["1997"]]},"citation-key":"mlawerRadiativeTransferInhomogeneous1997"}}],"schema":"https://github.com/citation-style-language/schema/raw/master/csl-citation.json"} </w:instrText>
      </w:r>
      <w:r w:rsidRPr="00D60A80">
        <w:rPr>
          <w:szCs w:val="24"/>
        </w:rPr>
        <w:fldChar w:fldCharType="separate"/>
      </w:r>
      <w:r w:rsidRPr="00D60A80">
        <w:rPr>
          <w:noProof/>
          <w:szCs w:val="24"/>
        </w:rPr>
        <w:t>(Mlawer et al. 1997)</w:t>
      </w:r>
      <w:r w:rsidRPr="00D60A80">
        <w:rPr>
          <w:szCs w:val="24"/>
        </w:rPr>
        <w:fldChar w:fldCharType="end"/>
      </w:r>
      <w:r w:rsidRPr="00D60A80">
        <w:rPr>
          <w:szCs w:val="24"/>
        </w:rPr>
        <w:t xml:space="preserve">, RRTMG </w:t>
      </w:r>
      <w:r w:rsidRPr="00D60A80">
        <w:rPr>
          <w:szCs w:val="24"/>
        </w:rPr>
        <w:fldChar w:fldCharType="begin"/>
      </w:r>
      <w:r w:rsidRPr="00D60A80">
        <w:rPr>
          <w:szCs w:val="24"/>
        </w:rPr>
        <w:instrText xml:space="preserve"> ADDIN ZOTERO_ITEM CSL_CITATION {"citationID":"avFKJVzu","properties":{"formattedCitation":"(Iacono et al. 2008)","plainCitation":"(Iacono et al. 2008)","noteIndex":0},"citationItems":[{"id":321,"uris":["http://zotero.org/users/local/6VSApgKp/items/C8MBS8WZ"],"itemData":{"id":321,"type":"article-journal","abstract":"A primary component of the observed recent climate change is the radiative forcing from increased concentrations of long-lived greenhouse gases (LLGHGs). Effective simulation of anthropogenic climate change by general circulation models (GCMs) is strongly dependent on the accurate representation of radiative processes associated with water vapor, ozone, and LLGHGs. In the context of the increasing application of the Atmospheric and Environmental Research, Inc. (AER), radiation models within the GCM community, their capability to calculate longwave and shortwave radiative forcing for clear sky scenarios previously examined by the radiative transfer model intercomparison project (RTMIP) is presented. Forcing calculations with the AER line-by-line (LBL) models are very consistent with the RTMIP line-by-line results in the longwave and shortwave. The AER broadband models, in all but one case, calculate longwave forcings within a range of −0.20 to 0.23 W m−2 of LBL calculations and shortwave forcings within a range of −0.16 to 0.38 W m−2 of LBL results. These models also perform well at the surface, which RTMIP identified as a level at which GCM radiation models have particular difficulty reproducing LBL fluxes. Heating profile perturbations calculated by the broadband models generally reproduce high-resolution calculations within a few hundredths K d−1 in the troposphere and within 0.15 K d−1 in the peak stratospheric heating near 1 hPa. In most cases, the AER broadband models provide radiative forcing results that are in closer agreement with high-resolution calculations than the GCM radiation codes examined by RTMIP, which supports the application of the AER models to climate change research.","container-title":"Journal of Geophysical Research: Atmospheres","DOI":"10.1029/2008JD009944","ISSN":"2156-2202","issue":"D13","language":"en","note":"_eprint: https://onlinelibrary.wiley.com/doi/pdf/10.1029/2008JD009944","source":"Wiley Online Library","title":"Radiative forcing by long-lived greenhouse gases: Calculations with the AER radiative transfer models","title-short":"Radiative forcing by long-lived greenhouse gases","URL":"https://onlinelibrary.wiley.com/doi/abs/10.1029/2008JD009944","volume":"113","author":[{"family":"Iacono","given":"Michael J."},{"family":"Delamere","given":"Jennifer S."},{"family":"Mlawer","given":"Eli J."},{"family":"Shephard","given":"Mark W."},{"family":"Clough","given":"Shepard A."},{"family":"Collins","given":"William D."}],"accessed":{"date-parts":[["2023",1,23]]},"issued":{"date-parts":[["2008"]]},"citation-key":"iaconoRadiativeForcingLonglived2008"}}],"schema":"https://github.com/citation-style-language/schema/raw/master/csl-citation.json"} </w:instrText>
      </w:r>
      <w:r w:rsidRPr="00D60A80">
        <w:rPr>
          <w:szCs w:val="24"/>
        </w:rPr>
        <w:fldChar w:fldCharType="separate"/>
      </w:r>
      <w:r w:rsidRPr="00D60A80">
        <w:rPr>
          <w:noProof/>
          <w:szCs w:val="24"/>
        </w:rPr>
        <w:t>(Iacono et al. 2008)</w:t>
      </w:r>
      <w:r w:rsidRPr="00D60A80">
        <w:rPr>
          <w:szCs w:val="24"/>
        </w:rPr>
        <w:fldChar w:fldCharType="end"/>
      </w:r>
      <w:r w:rsidRPr="00D60A80">
        <w:rPr>
          <w:szCs w:val="24"/>
        </w:rPr>
        <w:t xml:space="preserve">, and Goddard </w:t>
      </w:r>
      <w:r w:rsidRPr="00D60A80">
        <w:rPr>
          <w:szCs w:val="24"/>
        </w:rPr>
        <w:fldChar w:fldCharType="begin"/>
      </w:r>
      <w:r w:rsidRPr="00D60A80">
        <w:rPr>
          <w:szCs w:val="24"/>
        </w:rPr>
        <w:instrText xml:space="preserve"> ADDIN ZOTERO_ITEM CSL_CITATION {"citationID":"8ode2hyQ","properties":{"formattedCitation":"(Chou et al. 1999)","plainCitation":"(Chou et al. 1999)","noteIndex":0},"citationItems":[{"id":487,"uris":["http://zotero.org/users/local/6VSApgKp/items/YVSQD57B"],"itemData":{"id":487,"type":"article-journal","abstract":"Abstract A parameterization for the scattering of thermal infrared (longwave) radiation by clouds has been developed based on discrete-ordinate multiple-scattering calculations. The effect of backscattering is folded into the emission of an atmospheric layer and the absorption between levels by scaling the cloud optical thickness. The scaling is a function of the single-scattering albedo and asymmetry factor. For wide ranges of cloud particle size, optical thickness, height, and atmospheric conditions, flux errors induced by the parameterization are small. They are &lt;4 W m−2 (2%) in the upward flux at the top of the atmosphere and &lt;2 W m−2 (1%) in the downward flux at the surface. Compared to the c</w:instrText>
      </w:r>
      <w:r w:rsidRPr="00D60A80">
        <w:rPr>
          <w:rFonts w:hint="eastAsia"/>
          <w:szCs w:val="24"/>
        </w:rPr>
        <w:instrText xml:space="preserve">ase that scattering by clouds is neglected, the flux errors are more than a factor of 2 smaller. The maximum error in cooling rate is </w:instrText>
      </w:r>
      <w:r w:rsidRPr="00D60A80">
        <w:rPr>
          <w:rFonts w:hint="eastAsia"/>
          <w:szCs w:val="24"/>
        </w:rPr>
        <w:instrText>≈</w:instrText>
      </w:r>
      <w:r w:rsidRPr="00D60A80">
        <w:rPr>
          <w:rFonts w:hint="eastAsia"/>
          <w:szCs w:val="24"/>
        </w:rPr>
        <w:instrText xml:space="preserve">8%, which occurs at the top of clouds, as well as at the base of high clouds where the difference between the cloud and </w:instrText>
      </w:r>
      <w:r w:rsidRPr="00D60A80">
        <w:rPr>
          <w:szCs w:val="24"/>
        </w:rPr>
        <w:instrText xml:space="preserve">surface temperatures is large. With the scaling approximation, radiative transfer equations for a cloudy atmosphere are identical with those for a clear atmosphere, and the difficulties in applying a multiple-scattering algorithm to a partly cloudy atmosphere (assuming homogeneous clouds) are avoided. The computational efficiency is practically the same as that for a clear atmosphere. The parameterization represents a significant reduction in one source of the errors involved in the calculation of longwave cooling in cloudy atmospheres.","container-title":"Journal of Climate","DOI":"10.1175/1520-0442(1999)012&lt;0159:PFCLSF&gt;2.0.CO;2","ISSN":"0894-8755, 1520-0442","issue":"1","language":"EN","note":"publisher: American Meteorological Society\nsection: Journal of Climate","page":"159-169","source":"journals.ametsoc.org","title":"Parameterization for Cloud Longwave Scattering for Use in Atmospheric Models","volume":"12","author":[{"family":"Chou","given":"Ming-Dah"},{"family":"Lee","given":"Kyu-Tae"},{"family":"Tsay","given":"Si-Chee"},{"family":"Fu","given":"Qiang"}],"issued":{"date-parts":[["1999",1,1]]},"citation-key":"chouParameterizationCloudLongwave1999"}}],"schema":"https://github.com/citation-style-language/schema/raw/master/csl-citation.json"} </w:instrText>
      </w:r>
      <w:r w:rsidRPr="00D60A80">
        <w:rPr>
          <w:szCs w:val="24"/>
        </w:rPr>
        <w:fldChar w:fldCharType="separate"/>
      </w:r>
      <w:r w:rsidRPr="00D60A80">
        <w:rPr>
          <w:noProof/>
          <w:szCs w:val="24"/>
        </w:rPr>
        <w:t>(Chou et al. 1999)</w:t>
      </w:r>
      <w:r w:rsidRPr="00D60A80">
        <w:rPr>
          <w:szCs w:val="24"/>
        </w:rPr>
        <w:fldChar w:fldCharType="end"/>
      </w:r>
      <w:r w:rsidRPr="00D60A80">
        <w:rPr>
          <w:szCs w:val="24"/>
        </w:rPr>
        <w:t>.</w:t>
      </w:r>
      <w:bookmarkEnd w:id="44"/>
      <w:r w:rsidRPr="00D60A80">
        <w:rPr>
          <w:szCs w:val="24"/>
        </w:rPr>
        <w:t xml:space="preserve"> </w:t>
      </w:r>
    </w:p>
    <w:tbl>
      <w:tblPr>
        <w:tblStyle w:val="TableGrid6"/>
        <w:tblW w:w="0" w:type="auto"/>
        <w:tblLook w:val="04A0" w:firstRow="1" w:lastRow="0" w:firstColumn="1" w:lastColumn="0" w:noHBand="0" w:noVBand="1"/>
      </w:tblPr>
      <w:tblGrid>
        <w:gridCol w:w="1870"/>
        <w:gridCol w:w="1870"/>
        <w:gridCol w:w="1870"/>
        <w:gridCol w:w="1870"/>
        <w:gridCol w:w="1870"/>
      </w:tblGrid>
      <w:tr w:rsidR="00C8368F" w:rsidRPr="00A65966" w14:paraId="02012B5A" w14:textId="77777777" w:rsidTr="00B45862">
        <w:trPr>
          <w:trHeight w:val="562"/>
        </w:trPr>
        <w:tc>
          <w:tcPr>
            <w:tcW w:w="1870" w:type="dxa"/>
            <w:tcBorders>
              <w:bottom w:val="double" w:sz="4" w:space="0" w:color="auto"/>
            </w:tcBorders>
            <w:vAlign w:val="center"/>
          </w:tcPr>
          <w:p w14:paraId="1A777238"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Member</w:t>
            </w:r>
          </w:p>
        </w:tc>
        <w:tc>
          <w:tcPr>
            <w:tcW w:w="1870" w:type="dxa"/>
            <w:tcBorders>
              <w:bottom w:val="double" w:sz="4" w:space="0" w:color="auto"/>
            </w:tcBorders>
            <w:vAlign w:val="center"/>
          </w:tcPr>
          <w:p w14:paraId="73658EDB"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GEFS Member</w:t>
            </w:r>
          </w:p>
        </w:tc>
        <w:tc>
          <w:tcPr>
            <w:tcW w:w="1870" w:type="dxa"/>
            <w:tcBorders>
              <w:bottom w:val="double" w:sz="4" w:space="0" w:color="auto"/>
            </w:tcBorders>
            <w:vAlign w:val="center"/>
          </w:tcPr>
          <w:p w14:paraId="1A265076"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PBL</w:t>
            </w:r>
          </w:p>
        </w:tc>
        <w:tc>
          <w:tcPr>
            <w:tcW w:w="1870" w:type="dxa"/>
            <w:tcBorders>
              <w:bottom w:val="double" w:sz="4" w:space="0" w:color="auto"/>
            </w:tcBorders>
            <w:vAlign w:val="center"/>
          </w:tcPr>
          <w:p w14:paraId="4AE97DBB"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Shortwave Radiation</w:t>
            </w:r>
          </w:p>
        </w:tc>
        <w:tc>
          <w:tcPr>
            <w:tcW w:w="1870" w:type="dxa"/>
            <w:tcBorders>
              <w:bottom w:val="double" w:sz="4" w:space="0" w:color="auto"/>
            </w:tcBorders>
            <w:vAlign w:val="center"/>
          </w:tcPr>
          <w:p w14:paraId="7A8957FB"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Longwave Radiation</w:t>
            </w:r>
          </w:p>
        </w:tc>
      </w:tr>
      <w:tr w:rsidR="00C8368F" w:rsidRPr="00A65966" w14:paraId="231ED754" w14:textId="77777777" w:rsidTr="00B45862">
        <w:tc>
          <w:tcPr>
            <w:tcW w:w="1870" w:type="dxa"/>
            <w:tcBorders>
              <w:top w:val="double" w:sz="4" w:space="0" w:color="auto"/>
            </w:tcBorders>
            <w:vAlign w:val="center"/>
          </w:tcPr>
          <w:p w14:paraId="01E8D638"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Deterministic</w:t>
            </w:r>
          </w:p>
        </w:tc>
        <w:tc>
          <w:tcPr>
            <w:tcW w:w="1870" w:type="dxa"/>
            <w:tcBorders>
              <w:top w:val="double" w:sz="4" w:space="0" w:color="auto"/>
              <w:bottom w:val="single" w:sz="12" w:space="0" w:color="auto"/>
            </w:tcBorders>
            <w:vAlign w:val="center"/>
          </w:tcPr>
          <w:p w14:paraId="5C6ED080"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GFS</w:t>
            </w:r>
          </w:p>
        </w:tc>
        <w:tc>
          <w:tcPr>
            <w:tcW w:w="1870" w:type="dxa"/>
            <w:tcBorders>
              <w:top w:val="double" w:sz="4" w:space="0" w:color="auto"/>
              <w:bottom w:val="single" w:sz="12" w:space="0" w:color="auto"/>
            </w:tcBorders>
            <w:vAlign w:val="center"/>
          </w:tcPr>
          <w:p w14:paraId="2241AB25"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MYJ</w:t>
            </w:r>
          </w:p>
        </w:tc>
        <w:tc>
          <w:tcPr>
            <w:tcW w:w="1870" w:type="dxa"/>
            <w:tcBorders>
              <w:top w:val="double" w:sz="4" w:space="0" w:color="auto"/>
              <w:bottom w:val="single" w:sz="12" w:space="0" w:color="auto"/>
            </w:tcBorders>
            <w:vAlign w:val="center"/>
          </w:tcPr>
          <w:p w14:paraId="4C4F64CF"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RRTMG</w:t>
            </w:r>
          </w:p>
        </w:tc>
        <w:tc>
          <w:tcPr>
            <w:tcW w:w="1870" w:type="dxa"/>
            <w:tcBorders>
              <w:top w:val="double" w:sz="4" w:space="0" w:color="auto"/>
              <w:bottom w:val="single" w:sz="12" w:space="0" w:color="auto"/>
            </w:tcBorders>
            <w:vAlign w:val="center"/>
          </w:tcPr>
          <w:p w14:paraId="1CDB4626"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RRTMG</w:t>
            </w:r>
          </w:p>
        </w:tc>
      </w:tr>
      <w:tr w:rsidR="00C8368F" w:rsidRPr="00A65966" w14:paraId="31DB6CB6" w14:textId="77777777" w:rsidTr="00B45862">
        <w:tc>
          <w:tcPr>
            <w:tcW w:w="1870" w:type="dxa"/>
            <w:tcBorders>
              <w:top w:val="single" w:sz="12" w:space="0" w:color="auto"/>
            </w:tcBorders>
            <w:vAlign w:val="center"/>
          </w:tcPr>
          <w:p w14:paraId="71377BD8"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1</w:t>
            </w:r>
          </w:p>
        </w:tc>
        <w:tc>
          <w:tcPr>
            <w:tcW w:w="1870" w:type="dxa"/>
            <w:tcBorders>
              <w:top w:val="single" w:sz="12" w:space="0" w:color="auto"/>
            </w:tcBorders>
            <w:vAlign w:val="center"/>
          </w:tcPr>
          <w:p w14:paraId="7896EE7F"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1</w:t>
            </w:r>
          </w:p>
        </w:tc>
        <w:tc>
          <w:tcPr>
            <w:tcW w:w="1870" w:type="dxa"/>
            <w:tcBorders>
              <w:top w:val="single" w:sz="12" w:space="0" w:color="auto"/>
            </w:tcBorders>
            <w:vAlign w:val="center"/>
          </w:tcPr>
          <w:p w14:paraId="51488708"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YSU</w:t>
            </w:r>
          </w:p>
        </w:tc>
        <w:tc>
          <w:tcPr>
            <w:tcW w:w="1870" w:type="dxa"/>
            <w:tcBorders>
              <w:top w:val="single" w:sz="12" w:space="0" w:color="auto"/>
            </w:tcBorders>
            <w:vAlign w:val="center"/>
          </w:tcPr>
          <w:p w14:paraId="66711259"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Dudhia</w:t>
            </w:r>
          </w:p>
        </w:tc>
        <w:tc>
          <w:tcPr>
            <w:tcW w:w="1870" w:type="dxa"/>
            <w:tcBorders>
              <w:top w:val="single" w:sz="12" w:space="0" w:color="auto"/>
            </w:tcBorders>
            <w:vAlign w:val="center"/>
          </w:tcPr>
          <w:p w14:paraId="1AD9D55F"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RRTM</w:t>
            </w:r>
          </w:p>
        </w:tc>
      </w:tr>
      <w:tr w:rsidR="00C8368F" w:rsidRPr="00A65966" w14:paraId="4F7A3A1A" w14:textId="77777777" w:rsidTr="00B45862">
        <w:tc>
          <w:tcPr>
            <w:tcW w:w="1870" w:type="dxa"/>
            <w:vAlign w:val="center"/>
          </w:tcPr>
          <w:p w14:paraId="49E65BBB"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2</w:t>
            </w:r>
          </w:p>
        </w:tc>
        <w:tc>
          <w:tcPr>
            <w:tcW w:w="1870" w:type="dxa"/>
            <w:vAlign w:val="center"/>
          </w:tcPr>
          <w:p w14:paraId="2559F811"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2</w:t>
            </w:r>
          </w:p>
        </w:tc>
        <w:tc>
          <w:tcPr>
            <w:tcW w:w="1870" w:type="dxa"/>
            <w:vAlign w:val="center"/>
          </w:tcPr>
          <w:p w14:paraId="078E6392"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YSU</w:t>
            </w:r>
          </w:p>
        </w:tc>
        <w:tc>
          <w:tcPr>
            <w:tcW w:w="1870" w:type="dxa"/>
            <w:vAlign w:val="center"/>
          </w:tcPr>
          <w:p w14:paraId="7C8E7EC6"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Goddard</w:t>
            </w:r>
          </w:p>
        </w:tc>
        <w:tc>
          <w:tcPr>
            <w:tcW w:w="1870" w:type="dxa"/>
            <w:vAlign w:val="center"/>
          </w:tcPr>
          <w:p w14:paraId="01A26E9D"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Goddard</w:t>
            </w:r>
          </w:p>
        </w:tc>
      </w:tr>
      <w:tr w:rsidR="00C8368F" w:rsidRPr="00A65966" w14:paraId="4EBC0057" w14:textId="77777777" w:rsidTr="00B45862">
        <w:tc>
          <w:tcPr>
            <w:tcW w:w="1870" w:type="dxa"/>
            <w:vAlign w:val="center"/>
          </w:tcPr>
          <w:p w14:paraId="1F13D2B6"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3</w:t>
            </w:r>
          </w:p>
        </w:tc>
        <w:tc>
          <w:tcPr>
            <w:tcW w:w="1870" w:type="dxa"/>
            <w:vAlign w:val="center"/>
          </w:tcPr>
          <w:p w14:paraId="56875832"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3</w:t>
            </w:r>
          </w:p>
        </w:tc>
        <w:tc>
          <w:tcPr>
            <w:tcW w:w="1870" w:type="dxa"/>
            <w:vAlign w:val="center"/>
          </w:tcPr>
          <w:p w14:paraId="214F6C54"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MYJ</w:t>
            </w:r>
          </w:p>
        </w:tc>
        <w:tc>
          <w:tcPr>
            <w:tcW w:w="1870" w:type="dxa"/>
            <w:vAlign w:val="center"/>
          </w:tcPr>
          <w:p w14:paraId="7EFB9725"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RRTMG</w:t>
            </w:r>
          </w:p>
        </w:tc>
        <w:tc>
          <w:tcPr>
            <w:tcW w:w="1870" w:type="dxa"/>
            <w:vAlign w:val="center"/>
          </w:tcPr>
          <w:p w14:paraId="14E27555"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RRTMG</w:t>
            </w:r>
          </w:p>
        </w:tc>
      </w:tr>
      <w:tr w:rsidR="00C8368F" w:rsidRPr="00A65966" w14:paraId="20C788E6" w14:textId="77777777" w:rsidTr="00B45862">
        <w:tc>
          <w:tcPr>
            <w:tcW w:w="1870" w:type="dxa"/>
            <w:vAlign w:val="center"/>
          </w:tcPr>
          <w:p w14:paraId="1D65E7DE"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4</w:t>
            </w:r>
          </w:p>
        </w:tc>
        <w:tc>
          <w:tcPr>
            <w:tcW w:w="1870" w:type="dxa"/>
            <w:vAlign w:val="center"/>
          </w:tcPr>
          <w:p w14:paraId="697CF674"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4</w:t>
            </w:r>
          </w:p>
        </w:tc>
        <w:tc>
          <w:tcPr>
            <w:tcW w:w="1870" w:type="dxa"/>
            <w:vAlign w:val="center"/>
          </w:tcPr>
          <w:p w14:paraId="7A07B2ED"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MYJ</w:t>
            </w:r>
          </w:p>
        </w:tc>
        <w:tc>
          <w:tcPr>
            <w:tcW w:w="1870" w:type="dxa"/>
            <w:vAlign w:val="center"/>
          </w:tcPr>
          <w:p w14:paraId="146838CB"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Dudhia</w:t>
            </w:r>
          </w:p>
        </w:tc>
        <w:tc>
          <w:tcPr>
            <w:tcW w:w="1870" w:type="dxa"/>
            <w:vAlign w:val="center"/>
          </w:tcPr>
          <w:p w14:paraId="7D577F9C"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RRTM</w:t>
            </w:r>
          </w:p>
        </w:tc>
      </w:tr>
      <w:tr w:rsidR="00C8368F" w:rsidRPr="00A65966" w14:paraId="3356232D" w14:textId="77777777" w:rsidTr="00B45862">
        <w:tc>
          <w:tcPr>
            <w:tcW w:w="1870" w:type="dxa"/>
            <w:vAlign w:val="center"/>
          </w:tcPr>
          <w:p w14:paraId="21DB9189"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5</w:t>
            </w:r>
          </w:p>
        </w:tc>
        <w:tc>
          <w:tcPr>
            <w:tcW w:w="1870" w:type="dxa"/>
            <w:vAlign w:val="center"/>
          </w:tcPr>
          <w:p w14:paraId="7F6AEE29"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5</w:t>
            </w:r>
          </w:p>
        </w:tc>
        <w:tc>
          <w:tcPr>
            <w:tcW w:w="1870" w:type="dxa"/>
            <w:vAlign w:val="center"/>
          </w:tcPr>
          <w:p w14:paraId="443FA058"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MYNN2</w:t>
            </w:r>
          </w:p>
        </w:tc>
        <w:tc>
          <w:tcPr>
            <w:tcW w:w="1870" w:type="dxa"/>
            <w:vAlign w:val="center"/>
          </w:tcPr>
          <w:p w14:paraId="57F716C6"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Goddard</w:t>
            </w:r>
          </w:p>
        </w:tc>
        <w:tc>
          <w:tcPr>
            <w:tcW w:w="1870" w:type="dxa"/>
            <w:vAlign w:val="center"/>
          </w:tcPr>
          <w:p w14:paraId="3D319CB8"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Goddard</w:t>
            </w:r>
          </w:p>
        </w:tc>
      </w:tr>
      <w:tr w:rsidR="00C8368F" w:rsidRPr="00A65966" w14:paraId="399096D5" w14:textId="77777777" w:rsidTr="00B45862">
        <w:tc>
          <w:tcPr>
            <w:tcW w:w="1870" w:type="dxa"/>
            <w:vAlign w:val="center"/>
          </w:tcPr>
          <w:p w14:paraId="0A903125"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6</w:t>
            </w:r>
          </w:p>
        </w:tc>
        <w:tc>
          <w:tcPr>
            <w:tcW w:w="1870" w:type="dxa"/>
            <w:vAlign w:val="center"/>
          </w:tcPr>
          <w:p w14:paraId="58BA09F8"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6</w:t>
            </w:r>
          </w:p>
        </w:tc>
        <w:tc>
          <w:tcPr>
            <w:tcW w:w="1870" w:type="dxa"/>
            <w:vAlign w:val="center"/>
          </w:tcPr>
          <w:p w14:paraId="741D4B67"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MYNN2</w:t>
            </w:r>
          </w:p>
        </w:tc>
        <w:tc>
          <w:tcPr>
            <w:tcW w:w="1870" w:type="dxa"/>
            <w:vAlign w:val="center"/>
          </w:tcPr>
          <w:p w14:paraId="22E2A63B"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RRTMG</w:t>
            </w:r>
          </w:p>
        </w:tc>
        <w:tc>
          <w:tcPr>
            <w:tcW w:w="1870" w:type="dxa"/>
            <w:vAlign w:val="center"/>
          </w:tcPr>
          <w:p w14:paraId="6C0FE9FE"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RRTMG</w:t>
            </w:r>
          </w:p>
        </w:tc>
      </w:tr>
      <w:tr w:rsidR="00C8368F" w:rsidRPr="00A65966" w14:paraId="404E7219" w14:textId="77777777" w:rsidTr="00B45862">
        <w:tc>
          <w:tcPr>
            <w:tcW w:w="1870" w:type="dxa"/>
            <w:vAlign w:val="center"/>
          </w:tcPr>
          <w:p w14:paraId="7AF73008"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7</w:t>
            </w:r>
          </w:p>
        </w:tc>
        <w:tc>
          <w:tcPr>
            <w:tcW w:w="1870" w:type="dxa"/>
            <w:vAlign w:val="center"/>
          </w:tcPr>
          <w:p w14:paraId="77FAAE1F"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7</w:t>
            </w:r>
          </w:p>
        </w:tc>
        <w:tc>
          <w:tcPr>
            <w:tcW w:w="1870" w:type="dxa"/>
            <w:vAlign w:val="center"/>
          </w:tcPr>
          <w:p w14:paraId="66F6C7FB"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YSU</w:t>
            </w:r>
          </w:p>
        </w:tc>
        <w:tc>
          <w:tcPr>
            <w:tcW w:w="1870" w:type="dxa"/>
            <w:vAlign w:val="center"/>
          </w:tcPr>
          <w:p w14:paraId="2462D79B"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Dudhia</w:t>
            </w:r>
          </w:p>
        </w:tc>
        <w:tc>
          <w:tcPr>
            <w:tcW w:w="1870" w:type="dxa"/>
            <w:vAlign w:val="center"/>
          </w:tcPr>
          <w:p w14:paraId="7EF60C9A"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RRTM</w:t>
            </w:r>
          </w:p>
        </w:tc>
      </w:tr>
      <w:tr w:rsidR="00C8368F" w:rsidRPr="00A65966" w14:paraId="02DAA2E2" w14:textId="77777777" w:rsidTr="00B45862">
        <w:tc>
          <w:tcPr>
            <w:tcW w:w="1870" w:type="dxa"/>
            <w:vAlign w:val="center"/>
          </w:tcPr>
          <w:p w14:paraId="1C7BF031"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8</w:t>
            </w:r>
          </w:p>
        </w:tc>
        <w:tc>
          <w:tcPr>
            <w:tcW w:w="1870" w:type="dxa"/>
            <w:vAlign w:val="center"/>
          </w:tcPr>
          <w:p w14:paraId="59BA49BD"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8</w:t>
            </w:r>
          </w:p>
        </w:tc>
        <w:tc>
          <w:tcPr>
            <w:tcW w:w="1870" w:type="dxa"/>
            <w:vAlign w:val="center"/>
          </w:tcPr>
          <w:p w14:paraId="5AABAB81"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YSU</w:t>
            </w:r>
          </w:p>
        </w:tc>
        <w:tc>
          <w:tcPr>
            <w:tcW w:w="1870" w:type="dxa"/>
            <w:vAlign w:val="center"/>
          </w:tcPr>
          <w:p w14:paraId="06DF5786"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Goddard</w:t>
            </w:r>
          </w:p>
        </w:tc>
        <w:tc>
          <w:tcPr>
            <w:tcW w:w="1870" w:type="dxa"/>
            <w:vAlign w:val="center"/>
          </w:tcPr>
          <w:p w14:paraId="412D531F"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Goddard</w:t>
            </w:r>
          </w:p>
        </w:tc>
      </w:tr>
      <w:tr w:rsidR="00C8368F" w:rsidRPr="00A65966" w14:paraId="65AC4864" w14:textId="77777777" w:rsidTr="00B45862">
        <w:tc>
          <w:tcPr>
            <w:tcW w:w="1870" w:type="dxa"/>
            <w:vAlign w:val="center"/>
          </w:tcPr>
          <w:p w14:paraId="18A76AAE"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9</w:t>
            </w:r>
          </w:p>
        </w:tc>
        <w:tc>
          <w:tcPr>
            <w:tcW w:w="1870" w:type="dxa"/>
            <w:vAlign w:val="center"/>
          </w:tcPr>
          <w:p w14:paraId="69B45FFD"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9</w:t>
            </w:r>
          </w:p>
        </w:tc>
        <w:tc>
          <w:tcPr>
            <w:tcW w:w="1870" w:type="dxa"/>
            <w:vAlign w:val="center"/>
          </w:tcPr>
          <w:p w14:paraId="47D36864"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MYJ</w:t>
            </w:r>
          </w:p>
        </w:tc>
        <w:tc>
          <w:tcPr>
            <w:tcW w:w="1870" w:type="dxa"/>
            <w:vAlign w:val="center"/>
          </w:tcPr>
          <w:p w14:paraId="1458AB5C"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RRTMG</w:t>
            </w:r>
          </w:p>
        </w:tc>
        <w:tc>
          <w:tcPr>
            <w:tcW w:w="1870" w:type="dxa"/>
            <w:vAlign w:val="center"/>
          </w:tcPr>
          <w:p w14:paraId="28B29289"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RRTMG</w:t>
            </w:r>
          </w:p>
        </w:tc>
      </w:tr>
      <w:tr w:rsidR="00C8368F" w:rsidRPr="00A65966" w14:paraId="710E61C1" w14:textId="77777777" w:rsidTr="00B45862">
        <w:tc>
          <w:tcPr>
            <w:tcW w:w="1870" w:type="dxa"/>
            <w:vAlign w:val="center"/>
          </w:tcPr>
          <w:p w14:paraId="1D620E21"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10</w:t>
            </w:r>
          </w:p>
        </w:tc>
        <w:tc>
          <w:tcPr>
            <w:tcW w:w="1870" w:type="dxa"/>
            <w:vAlign w:val="center"/>
          </w:tcPr>
          <w:p w14:paraId="55C4CDBF"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10</w:t>
            </w:r>
          </w:p>
        </w:tc>
        <w:tc>
          <w:tcPr>
            <w:tcW w:w="1870" w:type="dxa"/>
            <w:vAlign w:val="center"/>
          </w:tcPr>
          <w:p w14:paraId="7A15F658"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MYJ</w:t>
            </w:r>
          </w:p>
        </w:tc>
        <w:tc>
          <w:tcPr>
            <w:tcW w:w="1870" w:type="dxa"/>
            <w:vAlign w:val="center"/>
          </w:tcPr>
          <w:p w14:paraId="379885A1"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Dudhia</w:t>
            </w:r>
          </w:p>
        </w:tc>
        <w:tc>
          <w:tcPr>
            <w:tcW w:w="1870" w:type="dxa"/>
            <w:vAlign w:val="center"/>
          </w:tcPr>
          <w:p w14:paraId="714B4E79"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RRTM</w:t>
            </w:r>
          </w:p>
        </w:tc>
      </w:tr>
      <w:tr w:rsidR="00C8368F" w:rsidRPr="00A65966" w14:paraId="331F3117" w14:textId="77777777" w:rsidTr="00B45862">
        <w:tc>
          <w:tcPr>
            <w:tcW w:w="1870" w:type="dxa"/>
            <w:vAlign w:val="center"/>
          </w:tcPr>
          <w:p w14:paraId="4FC9153C"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11</w:t>
            </w:r>
          </w:p>
        </w:tc>
        <w:tc>
          <w:tcPr>
            <w:tcW w:w="1870" w:type="dxa"/>
            <w:vAlign w:val="center"/>
          </w:tcPr>
          <w:p w14:paraId="70407CD4"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11</w:t>
            </w:r>
          </w:p>
        </w:tc>
        <w:tc>
          <w:tcPr>
            <w:tcW w:w="1870" w:type="dxa"/>
            <w:vAlign w:val="center"/>
          </w:tcPr>
          <w:p w14:paraId="7501CFA4"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MYNN2</w:t>
            </w:r>
          </w:p>
        </w:tc>
        <w:tc>
          <w:tcPr>
            <w:tcW w:w="1870" w:type="dxa"/>
            <w:vAlign w:val="center"/>
          </w:tcPr>
          <w:p w14:paraId="6187C5E1"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Goddard</w:t>
            </w:r>
          </w:p>
        </w:tc>
        <w:tc>
          <w:tcPr>
            <w:tcW w:w="1870" w:type="dxa"/>
            <w:vAlign w:val="center"/>
          </w:tcPr>
          <w:p w14:paraId="30BF39F5"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Goddard</w:t>
            </w:r>
          </w:p>
        </w:tc>
      </w:tr>
      <w:tr w:rsidR="00C8368F" w:rsidRPr="00A65966" w14:paraId="4E646F8E" w14:textId="77777777" w:rsidTr="00B45862">
        <w:tc>
          <w:tcPr>
            <w:tcW w:w="1870" w:type="dxa"/>
            <w:vAlign w:val="center"/>
          </w:tcPr>
          <w:p w14:paraId="4EAB04F7"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12</w:t>
            </w:r>
          </w:p>
        </w:tc>
        <w:tc>
          <w:tcPr>
            <w:tcW w:w="1870" w:type="dxa"/>
            <w:vAlign w:val="center"/>
          </w:tcPr>
          <w:p w14:paraId="11EA47C2"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12</w:t>
            </w:r>
          </w:p>
        </w:tc>
        <w:tc>
          <w:tcPr>
            <w:tcW w:w="1870" w:type="dxa"/>
            <w:vAlign w:val="center"/>
          </w:tcPr>
          <w:p w14:paraId="63CF90A7"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MYNN2</w:t>
            </w:r>
          </w:p>
        </w:tc>
        <w:tc>
          <w:tcPr>
            <w:tcW w:w="1870" w:type="dxa"/>
            <w:vAlign w:val="center"/>
          </w:tcPr>
          <w:p w14:paraId="2CED32D5"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RRTMG</w:t>
            </w:r>
          </w:p>
        </w:tc>
        <w:tc>
          <w:tcPr>
            <w:tcW w:w="1870" w:type="dxa"/>
            <w:vAlign w:val="center"/>
          </w:tcPr>
          <w:p w14:paraId="22C3D8E4"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RRTMG</w:t>
            </w:r>
          </w:p>
        </w:tc>
      </w:tr>
      <w:tr w:rsidR="00C8368F" w:rsidRPr="00A65966" w14:paraId="652E6A65" w14:textId="77777777" w:rsidTr="00B45862">
        <w:tc>
          <w:tcPr>
            <w:tcW w:w="1870" w:type="dxa"/>
            <w:vAlign w:val="center"/>
          </w:tcPr>
          <w:p w14:paraId="7E18746C"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13</w:t>
            </w:r>
          </w:p>
        </w:tc>
        <w:tc>
          <w:tcPr>
            <w:tcW w:w="1870" w:type="dxa"/>
            <w:vAlign w:val="center"/>
          </w:tcPr>
          <w:p w14:paraId="0B374B46"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13</w:t>
            </w:r>
          </w:p>
        </w:tc>
        <w:tc>
          <w:tcPr>
            <w:tcW w:w="1870" w:type="dxa"/>
            <w:vAlign w:val="center"/>
          </w:tcPr>
          <w:p w14:paraId="634F6F9B"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YSU</w:t>
            </w:r>
          </w:p>
        </w:tc>
        <w:tc>
          <w:tcPr>
            <w:tcW w:w="1870" w:type="dxa"/>
            <w:vAlign w:val="center"/>
          </w:tcPr>
          <w:p w14:paraId="79796978"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Dudhia</w:t>
            </w:r>
          </w:p>
        </w:tc>
        <w:tc>
          <w:tcPr>
            <w:tcW w:w="1870" w:type="dxa"/>
            <w:vAlign w:val="center"/>
          </w:tcPr>
          <w:p w14:paraId="41D00A78"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RRTM</w:t>
            </w:r>
          </w:p>
        </w:tc>
      </w:tr>
      <w:tr w:rsidR="00C8368F" w:rsidRPr="00A65966" w14:paraId="26F74736" w14:textId="77777777" w:rsidTr="00B45862">
        <w:tc>
          <w:tcPr>
            <w:tcW w:w="1870" w:type="dxa"/>
            <w:vAlign w:val="center"/>
          </w:tcPr>
          <w:p w14:paraId="40B48580"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14</w:t>
            </w:r>
          </w:p>
        </w:tc>
        <w:tc>
          <w:tcPr>
            <w:tcW w:w="1870" w:type="dxa"/>
            <w:vAlign w:val="center"/>
          </w:tcPr>
          <w:p w14:paraId="68724D0C"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14</w:t>
            </w:r>
          </w:p>
        </w:tc>
        <w:tc>
          <w:tcPr>
            <w:tcW w:w="1870" w:type="dxa"/>
            <w:vAlign w:val="center"/>
          </w:tcPr>
          <w:p w14:paraId="0402C57E"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YSU</w:t>
            </w:r>
          </w:p>
        </w:tc>
        <w:tc>
          <w:tcPr>
            <w:tcW w:w="1870" w:type="dxa"/>
            <w:vAlign w:val="center"/>
          </w:tcPr>
          <w:p w14:paraId="795F171C"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Goddard</w:t>
            </w:r>
          </w:p>
        </w:tc>
        <w:tc>
          <w:tcPr>
            <w:tcW w:w="1870" w:type="dxa"/>
            <w:vAlign w:val="center"/>
          </w:tcPr>
          <w:p w14:paraId="5006910C"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Goddard</w:t>
            </w:r>
          </w:p>
        </w:tc>
      </w:tr>
      <w:tr w:rsidR="00C8368F" w:rsidRPr="00A65966" w14:paraId="6166CFB7" w14:textId="77777777" w:rsidTr="00B45862">
        <w:tc>
          <w:tcPr>
            <w:tcW w:w="1870" w:type="dxa"/>
            <w:vAlign w:val="center"/>
          </w:tcPr>
          <w:p w14:paraId="7773B1E3"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15</w:t>
            </w:r>
          </w:p>
        </w:tc>
        <w:tc>
          <w:tcPr>
            <w:tcW w:w="1870" w:type="dxa"/>
            <w:vAlign w:val="center"/>
          </w:tcPr>
          <w:p w14:paraId="2C7C586A"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15</w:t>
            </w:r>
          </w:p>
        </w:tc>
        <w:tc>
          <w:tcPr>
            <w:tcW w:w="1870" w:type="dxa"/>
            <w:vAlign w:val="center"/>
          </w:tcPr>
          <w:p w14:paraId="3958933B"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MYJ</w:t>
            </w:r>
          </w:p>
        </w:tc>
        <w:tc>
          <w:tcPr>
            <w:tcW w:w="1870" w:type="dxa"/>
            <w:vAlign w:val="center"/>
          </w:tcPr>
          <w:p w14:paraId="1615052B"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RRTMG</w:t>
            </w:r>
          </w:p>
        </w:tc>
        <w:tc>
          <w:tcPr>
            <w:tcW w:w="1870" w:type="dxa"/>
            <w:vAlign w:val="center"/>
          </w:tcPr>
          <w:p w14:paraId="3F740814"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RRTMG</w:t>
            </w:r>
          </w:p>
        </w:tc>
      </w:tr>
      <w:tr w:rsidR="00C8368F" w:rsidRPr="00A65966" w14:paraId="439CF1BE" w14:textId="77777777" w:rsidTr="00B45862">
        <w:tc>
          <w:tcPr>
            <w:tcW w:w="1870" w:type="dxa"/>
            <w:vAlign w:val="center"/>
          </w:tcPr>
          <w:p w14:paraId="403B8143"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16</w:t>
            </w:r>
          </w:p>
        </w:tc>
        <w:tc>
          <w:tcPr>
            <w:tcW w:w="1870" w:type="dxa"/>
            <w:vAlign w:val="center"/>
          </w:tcPr>
          <w:p w14:paraId="45DAC2C1"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16</w:t>
            </w:r>
          </w:p>
        </w:tc>
        <w:tc>
          <w:tcPr>
            <w:tcW w:w="1870" w:type="dxa"/>
            <w:vAlign w:val="center"/>
          </w:tcPr>
          <w:p w14:paraId="746E30AA"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MYJ</w:t>
            </w:r>
          </w:p>
        </w:tc>
        <w:tc>
          <w:tcPr>
            <w:tcW w:w="1870" w:type="dxa"/>
            <w:vAlign w:val="center"/>
          </w:tcPr>
          <w:p w14:paraId="424DDFB2"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Dudhia</w:t>
            </w:r>
          </w:p>
        </w:tc>
        <w:tc>
          <w:tcPr>
            <w:tcW w:w="1870" w:type="dxa"/>
            <w:vAlign w:val="center"/>
          </w:tcPr>
          <w:p w14:paraId="408B85E8"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RRTM</w:t>
            </w:r>
          </w:p>
        </w:tc>
      </w:tr>
      <w:tr w:rsidR="00C8368F" w:rsidRPr="00A65966" w14:paraId="0B60D7AF" w14:textId="77777777" w:rsidTr="00B45862">
        <w:tc>
          <w:tcPr>
            <w:tcW w:w="1870" w:type="dxa"/>
            <w:vAlign w:val="center"/>
          </w:tcPr>
          <w:p w14:paraId="76F2E567"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17</w:t>
            </w:r>
          </w:p>
        </w:tc>
        <w:tc>
          <w:tcPr>
            <w:tcW w:w="1870" w:type="dxa"/>
            <w:vAlign w:val="center"/>
          </w:tcPr>
          <w:p w14:paraId="5F57A963"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17</w:t>
            </w:r>
          </w:p>
        </w:tc>
        <w:tc>
          <w:tcPr>
            <w:tcW w:w="1870" w:type="dxa"/>
            <w:vAlign w:val="center"/>
          </w:tcPr>
          <w:p w14:paraId="410A164D"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MYNN2</w:t>
            </w:r>
          </w:p>
        </w:tc>
        <w:tc>
          <w:tcPr>
            <w:tcW w:w="1870" w:type="dxa"/>
            <w:vAlign w:val="center"/>
          </w:tcPr>
          <w:p w14:paraId="3B0671EC"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Goddard</w:t>
            </w:r>
          </w:p>
        </w:tc>
        <w:tc>
          <w:tcPr>
            <w:tcW w:w="1870" w:type="dxa"/>
            <w:vAlign w:val="center"/>
          </w:tcPr>
          <w:p w14:paraId="014D3E6F"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Goddard</w:t>
            </w:r>
          </w:p>
        </w:tc>
      </w:tr>
      <w:tr w:rsidR="00C8368F" w:rsidRPr="00A65966" w14:paraId="105A79FB" w14:textId="77777777" w:rsidTr="00B45862">
        <w:tc>
          <w:tcPr>
            <w:tcW w:w="1870" w:type="dxa"/>
            <w:vAlign w:val="center"/>
          </w:tcPr>
          <w:p w14:paraId="1D3F0043"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18</w:t>
            </w:r>
          </w:p>
        </w:tc>
        <w:tc>
          <w:tcPr>
            <w:tcW w:w="1870" w:type="dxa"/>
            <w:vAlign w:val="center"/>
          </w:tcPr>
          <w:p w14:paraId="14F9C559"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18</w:t>
            </w:r>
          </w:p>
        </w:tc>
        <w:tc>
          <w:tcPr>
            <w:tcW w:w="1870" w:type="dxa"/>
            <w:vAlign w:val="center"/>
          </w:tcPr>
          <w:p w14:paraId="4D14AF9A"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MYNN2</w:t>
            </w:r>
          </w:p>
        </w:tc>
        <w:tc>
          <w:tcPr>
            <w:tcW w:w="1870" w:type="dxa"/>
            <w:vAlign w:val="center"/>
          </w:tcPr>
          <w:p w14:paraId="2DA174FC"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RRTMG</w:t>
            </w:r>
          </w:p>
        </w:tc>
        <w:tc>
          <w:tcPr>
            <w:tcW w:w="1870" w:type="dxa"/>
            <w:vAlign w:val="center"/>
          </w:tcPr>
          <w:p w14:paraId="2611B506"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RRTMG</w:t>
            </w:r>
          </w:p>
        </w:tc>
      </w:tr>
      <w:tr w:rsidR="00C8368F" w:rsidRPr="00A65966" w14:paraId="22C4736B" w14:textId="77777777" w:rsidTr="00B45862">
        <w:tc>
          <w:tcPr>
            <w:tcW w:w="1870" w:type="dxa"/>
            <w:vAlign w:val="center"/>
          </w:tcPr>
          <w:p w14:paraId="7A063AA4"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19</w:t>
            </w:r>
          </w:p>
        </w:tc>
        <w:tc>
          <w:tcPr>
            <w:tcW w:w="1870" w:type="dxa"/>
            <w:vAlign w:val="center"/>
          </w:tcPr>
          <w:p w14:paraId="5C04A913"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1</w:t>
            </w:r>
          </w:p>
        </w:tc>
        <w:tc>
          <w:tcPr>
            <w:tcW w:w="1870" w:type="dxa"/>
            <w:vAlign w:val="center"/>
          </w:tcPr>
          <w:p w14:paraId="39D735B7"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MYNN2</w:t>
            </w:r>
          </w:p>
        </w:tc>
        <w:tc>
          <w:tcPr>
            <w:tcW w:w="1870" w:type="dxa"/>
            <w:vAlign w:val="center"/>
          </w:tcPr>
          <w:p w14:paraId="103471F8"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RRTMG</w:t>
            </w:r>
          </w:p>
        </w:tc>
        <w:tc>
          <w:tcPr>
            <w:tcW w:w="1870" w:type="dxa"/>
            <w:vAlign w:val="center"/>
          </w:tcPr>
          <w:p w14:paraId="4704EB52"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RRTMG</w:t>
            </w:r>
          </w:p>
        </w:tc>
      </w:tr>
      <w:tr w:rsidR="00C8368F" w:rsidRPr="00A65966" w14:paraId="4B573A9D" w14:textId="77777777" w:rsidTr="00B45862">
        <w:tc>
          <w:tcPr>
            <w:tcW w:w="1870" w:type="dxa"/>
            <w:vAlign w:val="center"/>
          </w:tcPr>
          <w:p w14:paraId="658CA669"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20</w:t>
            </w:r>
          </w:p>
        </w:tc>
        <w:tc>
          <w:tcPr>
            <w:tcW w:w="1870" w:type="dxa"/>
            <w:vAlign w:val="center"/>
          </w:tcPr>
          <w:p w14:paraId="5FD9027A"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2</w:t>
            </w:r>
          </w:p>
        </w:tc>
        <w:tc>
          <w:tcPr>
            <w:tcW w:w="1870" w:type="dxa"/>
            <w:vAlign w:val="center"/>
          </w:tcPr>
          <w:p w14:paraId="2340F796"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MYNN2</w:t>
            </w:r>
          </w:p>
        </w:tc>
        <w:tc>
          <w:tcPr>
            <w:tcW w:w="1870" w:type="dxa"/>
            <w:vAlign w:val="center"/>
          </w:tcPr>
          <w:p w14:paraId="0E66F33D"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Goddard</w:t>
            </w:r>
          </w:p>
        </w:tc>
        <w:tc>
          <w:tcPr>
            <w:tcW w:w="1870" w:type="dxa"/>
            <w:vAlign w:val="center"/>
          </w:tcPr>
          <w:p w14:paraId="1E8E120D"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Goddard</w:t>
            </w:r>
          </w:p>
        </w:tc>
      </w:tr>
      <w:tr w:rsidR="00C8368F" w:rsidRPr="00A65966" w14:paraId="614382B2" w14:textId="77777777" w:rsidTr="00B45862">
        <w:tc>
          <w:tcPr>
            <w:tcW w:w="1870" w:type="dxa"/>
            <w:vAlign w:val="center"/>
          </w:tcPr>
          <w:p w14:paraId="6C707438"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21</w:t>
            </w:r>
          </w:p>
        </w:tc>
        <w:tc>
          <w:tcPr>
            <w:tcW w:w="1870" w:type="dxa"/>
            <w:vAlign w:val="center"/>
          </w:tcPr>
          <w:p w14:paraId="31278AB8"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3</w:t>
            </w:r>
          </w:p>
        </w:tc>
        <w:tc>
          <w:tcPr>
            <w:tcW w:w="1870" w:type="dxa"/>
            <w:vAlign w:val="center"/>
          </w:tcPr>
          <w:p w14:paraId="550190C8"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MYJ</w:t>
            </w:r>
          </w:p>
        </w:tc>
        <w:tc>
          <w:tcPr>
            <w:tcW w:w="1870" w:type="dxa"/>
            <w:vAlign w:val="center"/>
          </w:tcPr>
          <w:p w14:paraId="381C1DA0"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Dudhia</w:t>
            </w:r>
          </w:p>
        </w:tc>
        <w:tc>
          <w:tcPr>
            <w:tcW w:w="1870" w:type="dxa"/>
            <w:vAlign w:val="center"/>
          </w:tcPr>
          <w:p w14:paraId="29A95C37"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RRTM</w:t>
            </w:r>
          </w:p>
        </w:tc>
      </w:tr>
      <w:tr w:rsidR="00C8368F" w:rsidRPr="00A65966" w14:paraId="2B00E5D8" w14:textId="77777777" w:rsidTr="00B45862">
        <w:tc>
          <w:tcPr>
            <w:tcW w:w="1870" w:type="dxa"/>
            <w:vAlign w:val="center"/>
          </w:tcPr>
          <w:p w14:paraId="75F9C2E6"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22</w:t>
            </w:r>
          </w:p>
        </w:tc>
        <w:tc>
          <w:tcPr>
            <w:tcW w:w="1870" w:type="dxa"/>
            <w:vAlign w:val="center"/>
          </w:tcPr>
          <w:p w14:paraId="09B6E266"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4</w:t>
            </w:r>
          </w:p>
        </w:tc>
        <w:tc>
          <w:tcPr>
            <w:tcW w:w="1870" w:type="dxa"/>
            <w:vAlign w:val="center"/>
          </w:tcPr>
          <w:p w14:paraId="48182BCF"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MYJ</w:t>
            </w:r>
          </w:p>
        </w:tc>
        <w:tc>
          <w:tcPr>
            <w:tcW w:w="1870" w:type="dxa"/>
            <w:vAlign w:val="center"/>
          </w:tcPr>
          <w:p w14:paraId="62558C59"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RRTMG</w:t>
            </w:r>
          </w:p>
        </w:tc>
        <w:tc>
          <w:tcPr>
            <w:tcW w:w="1870" w:type="dxa"/>
            <w:vAlign w:val="center"/>
          </w:tcPr>
          <w:p w14:paraId="06F61E9B"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RRTMG</w:t>
            </w:r>
          </w:p>
        </w:tc>
      </w:tr>
      <w:tr w:rsidR="00C8368F" w:rsidRPr="00A65966" w14:paraId="0B3755FE" w14:textId="77777777" w:rsidTr="00B45862">
        <w:tc>
          <w:tcPr>
            <w:tcW w:w="1870" w:type="dxa"/>
            <w:vAlign w:val="center"/>
          </w:tcPr>
          <w:p w14:paraId="5C7E5886"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23</w:t>
            </w:r>
          </w:p>
        </w:tc>
        <w:tc>
          <w:tcPr>
            <w:tcW w:w="1870" w:type="dxa"/>
            <w:vAlign w:val="center"/>
          </w:tcPr>
          <w:p w14:paraId="7616EA56"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5</w:t>
            </w:r>
          </w:p>
        </w:tc>
        <w:tc>
          <w:tcPr>
            <w:tcW w:w="1870" w:type="dxa"/>
            <w:vAlign w:val="center"/>
          </w:tcPr>
          <w:p w14:paraId="6828E764"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YSU</w:t>
            </w:r>
          </w:p>
        </w:tc>
        <w:tc>
          <w:tcPr>
            <w:tcW w:w="1870" w:type="dxa"/>
            <w:vAlign w:val="center"/>
          </w:tcPr>
          <w:p w14:paraId="0441D4CD"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Goddard</w:t>
            </w:r>
          </w:p>
        </w:tc>
        <w:tc>
          <w:tcPr>
            <w:tcW w:w="1870" w:type="dxa"/>
            <w:vAlign w:val="center"/>
          </w:tcPr>
          <w:p w14:paraId="6C8D7E68"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Goddard</w:t>
            </w:r>
          </w:p>
        </w:tc>
      </w:tr>
      <w:tr w:rsidR="00C8368F" w:rsidRPr="00A65966" w14:paraId="2ACDFA68" w14:textId="77777777" w:rsidTr="00B45862">
        <w:tc>
          <w:tcPr>
            <w:tcW w:w="1870" w:type="dxa"/>
            <w:vAlign w:val="center"/>
          </w:tcPr>
          <w:p w14:paraId="64EAAEA3"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24</w:t>
            </w:r>
          </w:p>
        </w:tc>
        <w:tc>
          <w:tcPr>
            <w:tcW w:w="1870" w:type="dxa"/>
            <w:vAlign w:val="center"/>
          </w:tcPr>
          <w:p w14:paraId="1A3A9A5A"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6</w:t>
            </w:r>
          </w:p>
        </w:tc>
        <w:tc>
          <w:tcPr>
            <w:tcW w:w="1870" w:type="dxa"/>
            <w:vAlign w:val="center"/>
          </w:tcPr>
          <w:p w14:paraId="55404131"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YSU</w:t>
            </w:r>
          </w:p>
        </w:tc>
        <w:tc>
          <w:tcPr>
            <w:tcW w:w="1870" w:type="dxa"/>
            <w:vAlign w:val="center"/>
          </w:tcPr>
          <w:p w14:paraId="1D11CE1E"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Dudhia</w:t>
            </w:r>
          </w:p>
        </w:tc>
        <w:tc>
          <w:tcPr>
            <w:tcW w:w="1870" w:type="dxa"/>
            <w:vAlign w:val="center"/>
          </w:tcPr>
          <w:p w14:paraId="4F1D1C28"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RRTM</w:t>
            </w:r>
          </w:p>
        </w:tc>
      </w:tr>
      <w:tr w:rsidR="00C8368F" w:rsidRPr="00A65966" w14:paraId="451790B9" w14:textId="77777777" w:rsidTr="00B45862">
        <w:tc>
          <w:tcPr>
            <w:tcW w:w="1870" w:type="dxa"/>
            <w:vAlign w:val="center"/>
          </w:tcPr>
          <w:p w14:paraId="3B0C3362"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25</w:t>
            </w:r>
          </w:p>
        </w:tc>
        <w:tc>
          <w:tcPr>
            <w:tcW w:w="1870" w:type="dxa"/>
            <w:vAlign w:val="center"/>
          </w:tcPr>
          <w:p w14:paraId="5E1C1B01"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7</w:t>
            </w:r>
          </w:p>
        </w:tc>
        <w:tc>
          <w:tcPr>
            <w:tcW w:w="1870" w:type="dxa"/>
            <w:vAlign w:val="center"/>
          </w:tcPr>
          <w:p w14:paraId="7744DE7C"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MYNN2</w:t>
            </w:r>
          </w:p>
        </w:tc>
        <w:tc>
          <w:tcPr>
            <w:tcW w:w="1870" w:type="dxa"/>
            <w:vAlign w:val="center"/>
          </w:tcPr>
          <w:p w14:paraId="2818352F"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RRTMG</w:t>
            </w:r>
          </w:p>
        </w:tc>
        <w:tc>
          <w:tcPr>
            <w:tcW w:w="1870" w:type="dxa"/>
            <w:vAlign w:val="center"/>
          </w:tcPr>
          <w:p w14:paraId="43BD028C"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RRTMG</w:t>
            </w:r>
          </w:p>
        </w:tc>
      </w:tr>
      <w:tr w:rsidR="00C8368F" w:rsidRPr="00A65966" w14:paraId="51466BA3" w14:textId="77777777" w:rsidTr="00B45862">
        <w:tc>
          <w:tcPr>
            <w:tcW w:w="1870" w:type="dxa"/>
            <w:vAlign w:val="center"/>
          </w:tcPr>
          <w:p w14:paraId="3417D735"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26</w:t>
            </w:r>
          </w:p>
        </w:tc>
        <w:tc>
          <w:tcPr>
            <w:tcW w:w="1870" w:type="dxa"/>
            <w:vAlign w:val="center"/>
          </w:tcPr>
          <w:p w14:paraId="11A7E978"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8</w:t>
            </w:r>
          </w:p>
        </w:tc>
        <w:tc>
          <w:tcPr>
            <w:tcW w:w="1870" w:type="dxa"/>
            <w:vAlign w:val="center"/>
          </w:tcPr>
          <w:p w14:paraId="71B45291"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MYNN2</w:t>
            </w:r>
          </w:p>
        </w:tc>
        <w:tc>
          <w:tcPr>
            <w:tcW w:w="1870" w:type="dxa"/>
            <w:vAlign w:val="center"/>
          </w:tcPr>
          <w:p w14:paraId="2DD08ACD"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Goddard</w:t>
            </w:r>
          </w:p>
        </w:tc>
        <w:tc>
          <w:tcPr>
            <w:tcW w:w="1870" w:type="dxa"/>
            <w:vAlign w:val="center"/>
          </w:tcPr>
          <w:p w14:paraId="34699358"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Goddard</w:t>
            </w:r>
          </w:p>
        </w:tc>
      </w:tr>
      <w:tr w:rsidR="00C8368F" w:rsidRPr="00A65966" w14:paraId="3A4F71E1" w14:textId="77777777" w:rsidTr="00B45862">
        <w:tc>
          <w:tcPr>
            <w:tcW w:w="1870" w:type="dxa"/>
            <w:vAlign w:val="center"/>
          </w:tcPr>
          <w:p w14:paraId="159C2FCC"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27</w:t>
            </w:r>
          </w:p>
        </w:tc>
        <w:tc>
          <w:tcPr>
            <w:tcW w:w="1870" w:type="dxa"/>
            <w:vAlign w:val="center"/>
          </w:tcPr>
          <w:p w14:paraId="23E267F3"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9</w:t>
            </w:r>
          </w:p>
        </w:tc>
        <w:tc>
          <w:tcPr>
            <w:tcW w:w="1870" w:type="dxa"/>
            <w:vAlign w:val="center"/>
          </w:tcPr>
          <w:p w14:paraId="3FBA89A7"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MYJ</w:t>
            </w:r>
          </w:p>
        </w:tc>
        <w:tc>
          <w:tcPr>
            <w:tcW w:w="1870" w:type="dxa"/>
            <w:vAlign w:val="center"/>
          </w:tcPr>
          <w:p w14:paraId="723FA43B"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Dudhia</w:t>
            </w:r>
          </w:p>
        </w:tc>
        <w:tc>
          <w:tcPr>
            <w:tcW w:w="1870" w:type="dxa"/>
            <w:vAlign w:val="center"/>
          </w:tcPr>
          <w:p w14:paraId="0E8C601A"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RRTM</w:t>
            </w:r>
          </w:p>
        </w:tc>
      </w:tr>
      <w:tr w:rsidR="00C8368F" w:rsidRPr="00A65966" w14:paraId="20D308C7" w14:textId="77777777" w:rsidTr="00B45862">
        <w:tc>
          <w:tcPr>
            <w:tcW w:w="1870" w:type="dxa"/>
            <w:vAlign w:val="center"/>
          </w:tcPr>
          <w:p w14:paraId="14D09391"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28</w:t>
            </w:r>
          </w:p>
        </w:tc>
        <w:tc>
          <w:tcPr>
            <w:tcW w:w="1870" w:type="dxa"/>
            <w:vAlign w:val="center"/>
          </w:tcPr>
          <w:p w14:paraId="20B9D873"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10</w:t>
            </w:r>
          </w:p>
        </w:tc>
        <w:tc>
          <w:tcPr>
            <w:tcW w:w="1870" w:type="dxa"/>
            <w:vAlign w:val="center"/>
          </w:tcPr>
          <w:p w14:paraId="14B18527"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MYJ</w:t>
            </w:r>
          </w:p>
        </w:tc>
        <w:tc>
          <w:tcPr>
            <w:tcW w:w="1870" w:type="dxa"/>
            <w:vAlign w:val="center"/>
          </w:tcPr>
          <w:p w14:paraId="794DE6AE"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RRTMG</w:t>
            </w:r>
          </w:p>
        </w:tc>
        <w:tc>
          <w:tcPr>
            <w:tcW w:w="1870" w:type="dxa"/>
            <w:vAlign w:val="center"/>
          </w:tcPr>
          <w:p w14:paraId="3C97A649"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RRTMG</w:t>
            </w:r>
          </w:p>
        </w:tc>
      </w:tr>
      <w:tr w:rsidR="00C8368F" w:rsidRPr="00A65966" w14:paraId="5B2B091A" w14:textId="77777777" w:rsidTr="00B45862">
        <w:tc>
          <w:tcPr>
            <w:tcW w:w="1870" w:type="dxa"/>
            <w:vAlign w:val="center"/>
          </w:tcPr>
          <w:p w14:paraId="5B046DFE"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29</w:t>
            </w:r>
          </w:p>
        </w:tc>
        <w:tc>
          <w:tcPr>
            <w:tcW w:w="1870" w:type="dxa"/>
            <w:vAlign w:val="center"/>
          </w:tcPr>
          <w:p w14:paraId="53FC8FD9"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11</w:t>
            </w:r>
          </w:p>
        </w:tc>
        <w:tc>
          <w:tcPr>
            <w:tcW w:w="1870" w:type="dxa"/>
            <w:vAlign w:val="center"/>
          </w:tcPr>
          <w:p w14:paraId="1B276B39"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YSU</w:t>
            </w:r>
          </w:p>
        </w:tc>
        <w:tc>
          <w:tcPr>
            <w:tcW w:w="1870" w:type="dxa"/>
            <w:vAlign w:val="center"/>
          </w:tcPr>
          <w:p w14:paraId="5249390E"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Goddard</w:t>
            </w:r>
          </w:p>
        </w:tc>
        <w:tc>
          <w:tcPr>
            <w:tcW w:w="1870" w:type="dxa"/>
            <w:vAlign w:val="center"/>
          </w:tcPr>
          <w:p w14:paraId="5E1EB5A3"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Goddard</w:t>
            </w:r>
          </w:p>
        </w:tc>
      </w:tr>
      <w:tr w:rsidR="00C8368F" w:rsidRPr="00A65966" w14:paraId="7887878E" w14:textId="77777777" w:rsidTr="00B45862">
        <w:tc>
          <w:tcPr>
            <w:tcW w:w="1870" w:type="dxa"/>
            <w:vAlign w:val="center"/>
          </w:tcPr>
          <w:p w14:paraId="1D0910F3"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30</w:t>
            </w:r>
          </w:p>
        </w:tc>
        <w:tc>
          <w:tcPr>
            <w:tcW w:w="1870" w:type="dxa"/>
            <w:vAlign w:val="center"/>
          </w:tcPr>
          <w:p w14:paraId="7FDC0055"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12</w:t>
            </w:r>
          </w:p>
        </w:tc>
        <w:tc>
          <w:tcPr>
            <w:tcW w:w="1870" w:type="dxa"/>
            <w:vAlign w:val="center"/>
          </w:tcPr>
          <w:p w14:paraId="3605B6B7"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YSU</w:t>
            </w:r>
          </w:p>
        </w:tc>
        <w:tc>
          <w:tcPr>
            <w:tcW w:w="1870" w:type="dxa"/>
            <w:vAlign w:val="center"/>
          </w:tcPr>
          <w:p w14:paraId="143F4B72"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Dudhia</w:t>
            </w:r>
          </w:p>
        </w:tc>
        <w:tc>
          <w:tcPr>
            <w:tcW w:w="1870" w:type="dxa"/>
            <w:vAlign w:val="center"/>
          </w:tcPr>
          <w:p w14:paraId="5B3E1A65"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RRTM</w:t>
            </w:r>
          </w:p>
        </w:tc>
      </w:tr>
      <w:tr w:rsidR="00C8368F" w:rsidRPr="00A65966" w14:paraId="094D6D72" w14:textId="77777777" w:rsidTr="00B45862">
        <w:tc>
          <w:tcPr>
            <w:tcW w:w="1870" w:type="dxa"/>
            <w:vAlign w:val="center"/>
          </w:tcPr>
          <w:p w14:paraId="02683DE3"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31</w:t>
            </w:r>
          </w:p>
        </w:tc>
        <w:tc>
          <w:tcPr>
            <w:tcW w:w="1870" w:type="dxa"/>
            <w:vAlign w:val="center"/>
          </w:tcPr>
          <w:p w14:paraId="741AE522"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13</w:t>
            </w:r>
          </w:p>
        </w:tc>
        <w:tc>
          <w:tcPr>
            <w:tcW w:w="1870" w:type="dxa"/>
            <w:vAlign w:val="center"/>
          </w:tcPr>
          <w:p w14:paraId="46D547FC"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MYNN2</w:t>
            </w:r>
          </w:p>
        </w:tc>
        <w:tc>
          <w:tcPr>
            <w:tcW w:w="1870" w:type="dxa"/>
            <w:vAlign w:val="center"/>
          </w:tcPr>
          <w:p w14:paraId="7F37580C"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RRTMG</w:t>
            </w:r>
          </w:p>
        </w:tc>
        <w:tc>
          <w:tcPr>
            <w:tcW w:w="1870" w:type="dxa"/>
            <w:vAlign w:val="center"/>
          </w:tcPr>
          <w:p w14:paraId="0939CBD5"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RRTMG</w:t>
            </w:r>
          </w:p>
        </w:tc>
      </w:tr>
      <w:tr w:rsidR="00C8368F" w:rsidRPr="00A65966" w14:paraId="3B92930A" w14:textId="77777777" w:rsidTr="00B45862">
        <w:tc>
          <w:tcPr>
            <w:tcW w:w="1870" w:type="dxa"/>
            <w:vAlign w:val="center"/>
          </w:tcPr>
          <w:p w14:paraId="7A6C5154"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32</w:t>
            </w:r>
          </w:p>
        </w:tc>
        <w:tc>
          <w:tcPr>
            <w:tcW w:w="1870" w:type="dxa"/>
            <w:vAlign w:val="center"/>
          </w:tcPr>
          <w:p w14:paraId="2878F615"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14</w:t>
            </w:r>
          </w:p>
        </w:tc>
        <w:tc>
          <w:tcPr>
            <w:tcW w:w="1870" w:type="dxa"/>
            <w:vAlign w:val="center"/>
          </w:tcPr>
          <w:p w14:paraId="43855321"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MYNN2</w:t>
            </w:r>
          </w:p>
        </w:tc>
        <w:tc>
          <w:tcPr>
            <w:tcW w:w="1870" w:type="dxa"/>
            <w:vAlign w:val="center"/>
          </w:tcPr>
          <w:p w14:paraId="6CD2E81C"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Goddard</w:t>
            </w:r>
          </w:p>
        </w:tc>
        <w:tc>
          <w:tcPr>
            <w:tcW w:w="1870" w:type="dxa"/>
            <w:vAlign w:val="center"/>
          </w:tcPr>
          <w:p w14:paraId="721F732E"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Goddard</w:t>
            </w:r>
          </w:p>
        </w:tc>
      </w:tr>
      <w:tr w:rsidR="00C8368F" w:rsidRPr="00A65966" w14:paraId="02F84B00" w14:textId="77777777" w:rsidTr="00B45862">
        <w:tc>
          <w:tcPr>
            <w:tcW w:w="1870" w:type="dxa"/>
            <w:vAlign w:val="center"/>
          </w:tcPr>
          <w:p w14:paraId="011FACB2"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33</w:t>
            </w:r>
          </w:p>
        </w:tc>
        <w:tc>
          <w:tcPr>
            <w:tcW w:w="1870" w:type="dxa"/>
            <w:vAlign w:val="center"/>
          </w:tcPr>
          <w:p w14:paraId="3730D5C6"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15</w:t>
            </w:r>
          </w:p>
        </w:tc>
        <w:tc>
          <w:tcPr>
            <w:tcW w:w="1870" w:type="dxa"/>
            <w:vAlign w:val="center"/>
          </w:tcPr>
          <w:p w14:paraId="6785CDBE"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MYJ</w:t>
            </w:r>
          </w:p>
        </w:tc>
        <w:tc>
          <w:tcPr>
            <w:tcW w:w="1870" w:type="dxa"/>
            <w:vAlign w:val="center"/>
          </w:tcPr>
          <w:p w14:paraId="1332DBE6"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Dudhia</w:t>
            </w:r>
          </w:p>
        </w:tc>
        <w:tc>
          <w:tcPr>
            <w:tcW w:w="1870" w:type="dxa"/>
            <w:vAlign w:val="center"/>
          </w:tcPr>
          <w:p w14:paraId="212AD349"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RRTM</w:t>
            </w:r>
          </w:p>
        </w:tc>
      </w:tr>
      <w:tr w:rsidR="00C8368F" w:rsidRPr="00A65966" w14:paraId="583CC7A9" w14:textId="77777777" w:rsidTr="00B45862">
        <w:tc>
          <w:tcPr>
            <w:tcW w:w="1870" w:type="dxa"/>
            <w:vAlign w:val="center"/>
          </w:tcPr>
          <w:p w14:paraId="0A61EA50"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34</w:t>
            </w:r>
          </w:p>
        </w:tc>
        <w:tc>
          <w:tcPr>
            <w:tcW w:w="1870" w:type="dxa"/>
            <w:vAlign w:val="center"/>
          </w:tcPr>
          <w:p w14:paraId="6966B217"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16</w:t>
            </w:r>
          </w:p>
        </w:tc>
        <w:tc>
          <w:tcPr>
            <w:tcW w:w="1870" w:type="dxa"/>
            <w:vAlign w:val="center"/>
          </w:tcPr>
          <w:p w14:paraId="23CB0194"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MYJ</w:t>
            </w:r>
          </w:p>
        </w:tc>
        <w:tc>
          <w:tcPr>
            <w:tcW w:w="1870" w:type="dxa"/>
            <w:vAlign w:val="center"/>
          </w:tcPr>
          <w:p w14:paraId="3E083E2B"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RRTMG</w:t>
            </w:r>
          </w:p>
        </w:tc>
        <w:tc>
          <w:tcPr>
            <w:tcW w:w="1870" w:type="dxa"/>
            <w:vAlign w:val="center"/>
          </w:tcPr>
          <w:p w14:paraId="5D45C253"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RRTMG</w:t>
            </w:r>
          </w:p>
        </w:tc>
      </w:tr>
      <w:tr w:rsidR="00C8368F" w:rsidRPr="00A65966" w14:paraId="72EF539E" w14:textId="77777777" w:rsidTr="00B45862">
        <w:tc>
          <w:tcPr>
            <w:tcW w:w="1870" w:type="dxa"/>
            <w:vAlign w:val="center"/>
          </w:tcPr>
          <w:p w14:paraId="2EC4929C"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35</w:t>
            </w:r>
          </w:p>
        </w:tc>
        <w:tc>
          <w:tcPr>
            <w:tcW w:w="1870" w:type="dxa"/>
            <w:vAlign w:val="center"/>
          </w:tcPr>
          <w:p w14:paraId="463939F2"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17</w:t>
            </w:r>
          </w:p>
        </w:tc>
        <w:tc>
          <w:tcPr>
            <w:tcW w:w="1870" w:type="dxa"/>
            <w:vAlign w:val="center"/>
          </w:tcPr>
          <w:p w14:paraId="1C70D980"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YSU</w:t>
            </w:r>
          </w:p>
        </w:tc>
        <w:tc>
          <w:tcPr>
            <w:tcW w:w="1870" w:type="dxa"/>
            <w:vAlign w:val="center"/>
          </w:tcPr>
          <w:p w14:paraId="3054BC26"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Goddard</w:t>
            </w:r>
          </w:p>
        </w:tc>
        <w:tc>
          <w:tcPr>
            <w:tcW w:w="1870" w:type="dxa"/>
            <w:vAlign w:val="center"/>
          </w:tcPr>
          <w:p w14:paraId="3DC2BD92"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Goddard</w:t>
            </w:r>
          </w:p>
        </w:tc>
      </w:tr>
      <w:tr w:rsidR="00C8368F" w:rsidRPr="00A65966" w14:paraId="48498F12" w14:textId="77777777" w:rsidTr="00B45862">
        <w:tc>
          <w:tcPr>
            <w:tcW w:w="1870" w:type="dxa"/>
            <w:vAlign w:val="center"/>
          </w:tcPr>
          <w:p w14:paraId="6267BC79"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36</w:t>
            </w:r>
          </w:p>
        </w:tc>
        <w:tc>
          <w:tcPr>
            <w:tcW w:w="1870" w:type="dxa"/>
            <w:vAlign w:val="center"/>
          </w:tcPr>
          <w:p w14:paraId="40B65356"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18</w:t>
            </w:r>
          </w:p>
        </w:tc>
        <w:tc>
          <w:tcPr>
            <w:tcW w:w="1870" w:type="dxa"/>
            <w:vAlign w:val="center"/>
          </w:tcPr>
          <w:p w14:paraId="2DA7DADE"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YSU</w:t>
            </w:r>
          </w:p>
        </w:tc>
        <w:tc>
          <w:tcPr>
            <w:tcW w:w="1870" w:type="dxa"/>
            <w:vAlign w:val="center"/>
          </w:tcPr>
          <w:p w14:paraId="1B843B36"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Dudhia</w:t>
            </w:r>
          </w:p>
        </w:tc>
        <w:tc>
          <w:tcPr>
            <w:tcW w:w="1870" w:type="dxa"/>
            <w:vAlign w:val="center"/>
          </w:tcPr>
          <w:p w14:paraId="3AE041D0" w14:textId="77777777" w:rsidR="00C8368F" w:rsidRPr="00A65966" w:rsidRDefault="00C8368F" w:rsidP="00B45862">
            <w:pPr>
              <w:spacing w:line="240" w:lineRule="auto"/>
              <w:ind w:firstLine="0"/>
              <w:jc w:val="center"/>
              <w:rPr>
                <w:rFonts w:eastAsia="Times New Roman" w:cs="Times New Roman"/>
                <w:szCs w:val="24"/>
              </w:rPr>
            </w:pPr>
            <w:r w:rsidRPr="00A65966">
              <w:rPr>
                <w:rFonts w:eastAsia="Times New Roman" w:cs="Times New Roman"/>
                <w:szCs w:val="24"/>
              </w:rPr>
              <w:t>RRTM</w:t>
            </w:r>
          </w:p>
        </w:tc>
      </w:tr>
    </w:tbl>
    <w:p w14:paraId="5D4289BF" w14:textId="3ECFD3E4" w:rsidR="00A07C14" w:rsidRDefault="00A07C14" w:rsidP="00A07C14">
      <w:pPr>
        <w:pStyle w:val="NoSpacing"/>
      </w:pPr>
    </w:p>
    <w:p w14:paraId="4D2221C7" w14:textId="77777777" w:rsidR="00A07C14" w:rsidRPr="00DD5D9E" w:rsidRDefault="00A07C14" w:rsidP="00CC70A4">
      <w:pPr>
        <w:spacing w:line="240" w:lineRule="auto"/>
        <w:ind w:firstLine="0"/>
        <w:jc w:val="center"/>
      </w:pPr>
      <w:r w:rsidRPr="00DD5D9E">
        <w:rPr>
          <w:noProof/>
        </w:rPr>
        <w:lastRenderedPageBreak/>
        <w:drawing>
          <wp:inline distT="0" distB="0" distL="0" distR="0" wp14:anchorId="33682AD0" wp14:editId="3E3F43F5">
            <wp:extent cx="5917292" cy="4142105"/>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1.tif"/>
                    <pic:cNvPicPr/>
                  </pic:nvPicPr>
                  <pic:blipFill>
                    <a:blip r:embed="rId10">
                      <a:extLst>
                        <a:ext uri="{28A0092B-C50C-407E-A947-70E740481C1C}">
                          <a14:useLocalDpi xmlns:a14="http://schemas.microsoft.com/office/drawing/2010/main" val="0"/>
                        </a:ext>
                      </a:extLst>
                    </a:blip>
                    <a:stretch>
                      <a:fillRect/>
                    </a:stretch>
                  </pic:blipFill>
                  <pic:spPr>
                    <a:xfrm>
                      <a:off x="0" y="0"/>
                      <a:ext cx="5917292" cy="4142105"/>
                    </a:xfrm>
                    <a:prstGeom prst="rect">
                      <a:avLst/>
                    </a:prstGeom>
                  </pic:spPr>
                </pic:pic>
              </a:graphicData>
            </a:graphic>
          </wp:inline>
        </w:drawing>
      </w:r>
    </w:p>
    <w:p w14:paraId="3176BE1D" w14:textId="4135BC01" w:rsidR="00A07C14" w:rsidRPr="00D60A80" w:rsidRDefault="00A07C14" w:rsidP="00A07C14">
      <w:pPr>
        <w:pStyle w:val="Captions"/>
        <w:rPr>
          <w:szCs w:val="24"/>
        </w:rPr>
      </w:pPr>
      <w:bookmarkStart w:id="45" w:name="_Toc134695262"/>
      <w:r w:rsidRPr="00D60A80">
        <w:rPr>
          <w:szCs w:val="24"/>
        </w:rPr>
        <w:t xml:space="preserve">Figure </w:t>
      </w:r>
      <w:r w:rsidR="00C96E3B" w:rsidRPr="00D60A80">
        <w:rPr>
          <w:szCs w:val="24"/>
        </w:rPr>
        <w:fldChar w:fldCharType="begin"/>
      </w:r>
      <w:r w:rsidR="00C96E3B" w:rsidRPr="00D60A80">
        <w:rPr>
          <w:szCs w:val="24"/>
        </w:rPr>
        <w:instrText xml:space="preserve"> STYLEREF 1 \s </w:instrText>
      </w:r>
      <w:r w:rsidR="00C96E3B" w:rsidRPr="00D60A80">
        <w:rPr>
          <w:szCs w:val="24"/>
        </w:rPr>
        <w:fldChar w:fldCharType="separate"/>
      </w:r>
      <w:r w:rsidR="00C77C87" w:rsidRPr="00D60A80">
        <w:rPr>
          <w:noProof/>
          <w:szCs w:val="24"/>
        </w:rPr>
        <w:t>3</w:t>
      </w:r>
      <w:r w:rsidR="00C96E3B" w:rsidRPr="00D60A80">
        <w:rPr>
          <w:noProof/>
          <w:szCs w:val="24"/>
        </w:rPr>
        <w:fldChar w:fldCharType="end"/>
      </w:r>
      <w:r w:rsidR="00C77C87" w:rsidRPr="00D60A80">
        <w:rPr>
          <w:szCs w:val="24"/>
        </w:rPr>
        <w:t>.</w:t>
      </w:r>
      <w:r w:rsidR="00C96E3B" w:rsidRPr="00D60A80">
        <w:rPr>
          <w:szCs w:val="24"/>
        </w:rPr>
        <w:fldChar w:fldCharType="begin"/>
      </w:r>
      <w:r w:rsidR="00C96E3B" w:rsidRPr="00D60A80">
        <w:rPr>
          <w:szCs w:val="24"/>
        </w:rPr>
        <w:instrText xml:space="preserve"> SEQ Figure \* ARABIC \s 1 </w:instrText>
      </w:r>
      <w:r w:rsidR="00C96E3B" w:rsidRPr="00D60A80">
        <w:rPr>
          <w:szCs w:val="24"/>
        </w:rPr>
        <w:fldChar w:fldCharType="separate"/>
      </w:r>
      <w:r w:rsidR="00C77C87" w:rsidRPr="00D60A80">
        <w:rPr>
          <w:noProof/>
          <w:szCs w:val="24"/>
        </w:rPr>
        <w:t>1</w:t>
      </w:r>
      <w:r w:rsidR="00C96E3B" w:rsidRPr="00D60A80">
        <w:rPr>
          <w:noProof/>
          <w:szCs w:val="24"/>
        </w:rPr>
        <w:fldChar w:fldCharType="end"/>
      </w:r>
      <w:r w:rsidRPr="00D60A80">
        <w:rPr>
          <w:szCs w:val="24"/>
        </w:rPr>
        <w:t xml:space="preserve"> Schematic diagram of a single hybrid 3DEn</w:t>
      </w:r>
      <w:r w:rsidR="00526E7B" w:rsidRPr="00D60A80">
        <w:rPr>
          <w:szCs w:val="24"/>
        </w:rPr>
        <w:t>VAR</w:t>
      </w:r>
      <w:r w:rsidRPr="00D60A80">
        <w:rPr>
          <w:szCs w:val="24"/>
        </w:rPr>
        <w:t xml:space="preserve"> data assimilation cycle </w:t>
      </w:r>
      <w:r w:rsidRPr="00D60A80">
        <w:rPr>
          <w:szCs w:val="24"/>
        </w:rPr>
        <w:fldChar w:fldCharType="begin"/>
      </w:r>
      <w:r w:rsidR="00186B73" w:rsidRPr="00D60A80">
        <w:rPr>
          <w:szCs w:val="24"/>
        </w:rPr>
        <w:instrText xml:space="preserve"> ADDIN ZOTERO_ITEM CSL_CITATION {"citationID":"a5JglIsg","properties":{"formattedCitation":"(Wang et al. 2013)","plainCitation":"(Wang et al. 2013)","dontUpdate":true,"noteIndex":0},"citationItems":[{"id":353,"uris":["http://zotero.org/users/local/6VSApgKp/items/Q7NEE62I"],"itemData":{"id":353,"type":"article-journal","abstract":"Abstract The major goal of this two-part study is to assimilate radar data into the high-resolution Advanced Research Weather Research and Forecasting Model (ARW-WRF) for the improvement of short-term quantitative precipitation forecasting (QPF) using a four-dimensional variational data assimilation (4D-Var) technique. In Part I the development of a radar data assimilation scheme within the WRF 4D-Var system (WRF 4D-Var) and the preliminary testing of the scheme are described. In Part II the performance of the enhanced WRF 4D-Var system is examined by comparing it with the three-dimensional variational data assimilation system (WRF 3D-Var) for a convective system over the U.S. Great Plains. The WRF 4D-Var radar data assimilation system has been developed with the existing framework of an incremental formulation. The new development for radar data assimilation includes the tangent-linear and adjoint models of a Kessler warm-rain microphysics scheme and the new control variables of cloud water, rainwater, and vertical velocity and their error statistics. An ensemble forecast with 80 members is used to produce background error covariance. The preliminary testing presented in this paper includes single-observation experiments as well as real data assimilation experiments on a squall line with assimilation windows of 5, 15, and 30 min. The results indicate that the system is able to obtain anisotropic multivariate analyses at the convective scale and improve precipitation forecasts. The results also suggest that the incremental approach with successive basic-state updates works well at the convection-permitting scale for radar data assimilation with the selected assimilation windows.","container-title":"Monthly Weather Review","DOI":"10.1175/MWR-D-12-00168.1","ISSN":"1520-0493, 0027-0644","issue":"7","language":"EN","note":"publisher: American Meteorological Society\nsection: Monthly Weather Review","page":"2224-2244","source":"journals-ametsoc-org.ezproxy.lib.ou.edu","title":"Radar Data Assimilation with WRF 4D-Var. Part I: System Development and Preliminary Testing","title-short":"Radar Data Assimilation with WRF 4D-Var. Part I","volume":"141","author":[{"family":"Wang","given":"Hongli"},{"family":"Sun","given":"Juanzhen"},{"family":"Zhang","given":"Xin"},{"family":"Huang","given":"Xiang-Yu"},{"family":"Auligné","given":"Thomas"}],"issued":{"date-parts":[["2013",7,1]]},"citation-key":"wangRadarDataAssimilation2013"}}],"schema":"https://github.com/citation-style-language/schema/raw/master/csl-citation.json"} </w:instrText>
      </w:r>
      <w:r w:rsidRPr="00D60A80">
        <w:rPr>
          <w:szCs w:val="24"/>
        </w:rPr>
        <w:fldChar w:fldCharType="separate"/>
      </w:r>
      <w:r w:rsidRPr="00D60A80">
        <w:rPr>
          <w:noProof/>
          <w:szCs w:val="24"/>
        </w:rPr>
        <w:t>(</w:t>
      </w:r>
      <w:r w:rsidRPr="00D60A80">
        <w:rPr>
          <w:szCs w:val="24"/>
        </w:rPr>
        <w:t xml:space="preserve">Modified based on Fig. 1(a) of </w:t>
      </w:r>
      <w:r w:rsidRPr="00D60A80">
        <w:rPr>
          <w:noProof/>
          <w:szCs w:val="24"/>
        </w:rPr>
        <w:t>Wang et al. 2013)</w:t>
      </w:r>
      <w:r w:rsidRPr="00D60A80">
        <w:rPr>
          <w:szCs w:val="24"/>
        </w:rPr>
        <w:fldChar w:fldCharType="end"/>
      </w:r>
      <w:r w:rsidRPr="00D60A80">
        <w:rPr>
          <w:szCs w:val="24"/>
        </w:rPr>
        <w:t>.</w:t>
      </w:r>
      <w:bookmarkEnd w:id="45"/>
      <w:r w:rsidRPr="00D60A80">
        <w:rPr>
          <w:szCs w:val="24"/>
        </w:rPr>
        <w:t xml:space="preserve"> </w:t>
      </w:r>
    </w:p>
    <w:p w14:paraId="4600AFA3" w14:textId="3194E006" w:rsidR="00A07C14" w:rsidRDefault="00A07C14" w:rsidP="00A07C14">
      <w:pPr>
        <w:pStyle w:val="NoSpacing"/>
      </w:pPr>
    </w:p>
    <w:p w14:paraId="6ACEC1FD" w14:textId="77777777" w:rsidR="00A07C14" w:rsidRPr="00DD5D9E" w:rsidRDefault="00A07C14" w:rsidP="00CC70A4">
      <w:pPr>
        <w:spacing w:line="240" w:lineRule="auto"/>
        <w:ind w:firstLine="0"/>
        <w:jc w:val="center"/>
      </w:pPr>
      <w:r w:rsidRPr="00DD5D9E">
        <w:rPr>
          <w:noProof/>
        </w:rPr>
        <w:drawing>
          <wp:inline distT="0" distB="0" distL="0" distR="0" wp14:anchorId="07B7BC66" wp14:editId="2EC336C6">
            <wp:extent cx="5940144" cy="1783079"/>
            <wp:effectExtent l="0" t="0" r="3810" b="8255"/>
            <wp:docPr id="2" name="Picture 2"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ap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0144" cy="1783079"/>
                    </a:xfrm>
                    <a:prstGeom prst="rect">
                      <a:avLst/>
                    </a:prstGeom>
                  </pic:spPr>
                </pic:pic>
              </a:graphicData>
            </a:graphic>
          </wp:inline>
        </w:drawing>
      </w:r>
    </w:p>
    <w:p w14:paraId="18F4F069" w14:textId="7AEADAAB" w:rsidR="00A07C14" w:rsidRPr="00D60A80" w:rsidRDefault="00A07C14" w:rsidP="00A07C14">
      <w:pPr>
        <w:pStyle w:val="Captions"/>
        <w:rPr>
          <w:szCs w:val="24"/>
        </w:rPr>
      </w:pPr>
      <w:bookmarkStart w:id="46" w:name="_Toc134695263"/>
      <w:r w:rsidRPr="00D60A80">
        <w:rPr>
          <w:szCs w:val="24"/>
        </w:rPr>
        <w:t xml:space="preserve">Figure </w:t>
      </w:r>
      <w:r w:rsidR="00C96E3B" w:rsidRPr="00D60A80">
        <w:rPr>
          <w:szCs w:val="24"/>
        </w:rPr>
        <w:fldChar w:fldCharType="begin"/>
      </w:r>
      <w:r w:rsidR="00C96E3B" w:rsidRPr="00D60A80">
        <w:rPr>
          <w:szCs w:val="24"/>
        </w:rPr>
        <w:instrText xml:space="preserve"> STYLEREF 1 \s </w:instrText>
      </w:r>
      <w:r w:rsidR="00C96E3B" w:rsidRPr="00D60A80">
        <w:rPr>
          <w:szCs w:val="24"/>
        </w:rPr>
        <w:fldChar w:fldCharType="separate"/>
      </w:r>
      <w:r w:rsidR="00C77C87" w:rsidRPr="00D60A80">
        <w:rPr>
          <w:noProof/>
          <w:szCs w:val="24"/>
        </w:rPr>
        <w:t>3</w:t>
      </w:r>
      <w:r w:rsidR="00C96E3B" w:rsidRPr="00D60A80">
        <w:rPr>
          <w:noProof/>
          <w:szCs w:val="24"/>
        </w:rPr>
        <w:fldChar w:fldCharType="end"/>
      </w:r>
      <w:r w:rsidR="00C77C87" w:rsidRPr="00D60A80">
        <w:rPr>
          <w:szCs w:val="24"/>
        </w:rPr>
        <w:t>.</w:t>
      </w:r>
      <w:r w:rsidR="00C96E3B" w:rsidRPr="00D60A80">
        <w:rPr>
          <w:szCs w:val="24"/>
        </w:rPr>
        <w:fldChar w:fldCharType="begin"/>
      </w:r>
      <w:r w:rsidR="00C96E3B" w:rsidRPr="00D60A80">
        <w:rPr>
          <w:szCs w:val="24"/>
        </w:rPr>
        <w:instrText xml:space="preserve"> SEQ Figure \* ARABIC \s 1 </w:instrText>
      </w:r>
      <w:r w:rsidR="00C96E3B" w:rsidRPr="00D60A80">
        <w:rPr>
          <w:szCs w:val="24"/>
        </w:rPr>
        <w:fldChar w:fldCharType="separate"/>
      </w:r>
      <w:r w:rsidR="00C77C87" w:rsidRPr="00D60A80">
        <w:rPr>
          <w:noProof/>
          <w:szCs w:val="24"/>
        </w:rPr>
        <w:t>2</w:t>
      </w:r>
      <w:r w:rsidR="00C96E3B" w:rsidRPr="00D60A80">
        <w:rPr>
          <w:noProof/>
          <w:szCs w:val="24"/>
        </w:rPr>
        <w:fldChar w:fldCharType="end"/>
      </w:r>
      <w:r w:rsidRPr="00D60A80">
        <w:rPr>
          <w:szCs w:val="24"/>
        </w:rPr>
        <w:t xml:space="preserve"> The flowchart representing assimilation cycles for experiments used by all three high-impact weather events listed in Table 3.1. Times used in this figure are in UTC.</w:t>
      </w:r>
      <w:bookmarkEnd w:id="46"/>
    </w:p>
    <w:p w14:paraId="37630858" w14:textId="77777777" w:rsidR="00A07C14" w:rsidRPr="00A07C14" w:rsidRDefault="00A07C14" w:rsidP="00A07C14">
      <w:pPr>
        <w:pStyle w:val="NoSpacing"/>
      </w:pPr>
    </w:p>
    <w:p w14:paraId="24516A81" w14:textId="5CBAC343" w:rsidR="00AD13C1" w:rsidRDefault="00AD13C1" w:rsidP="00A07C14">
      <w:r w:rsidRPr="00AD13C1">
        <w:t xml:space="preserve">Figure </w:t>
      </w:r>
      <w:r w:rsidR="00A07C14">
        <w:t>3.</w:t>
      </w:r>
      <w:r w:rsidRPr="00AD13C1">
        <w:t xml:space="preserve">2 illustrates the analysis and forecast cycling set up used in this study. Observations are continuously assimilated from 1800 UTC to 2300 UTC at 15-min intervals for all three events. The analysis variables for driving the WRF model include wind fields (U, V, W), temperature (T), </w:t>
      </w:r>
      <w:r w:rsidRPr="00AD13C1">
        <w:lastRenderedPageBreak/>
        <w:t xml:space="preserve">water vapor mixing ratio (QVAPOR), geopotential height (PH), dry air mass (MU), hydrometeor mass (cloud water, rain, ice, snow, graupel) which are updated at each cycle in both the EnKF ensemble and hybrid </w:t>
      </w:r>
      <w:r w:rsidR="00ED0CFF">
        <w:t>3D</w:t>
      </w:r>
      <w:r w:rsidRPr="00AD13C1">
        <w:t>En</w:t>
      </w:r>
      <w:r w:rsidR="00526E7B">
        <w:t>VAR</w:t>
      </w:r>
      <w:r w:rsidRPr="00AD13C1">
        <w:t xml:space="preserve"> deterministic systems. </w:t>
      </w:r>
      <w:r w:rsidR="006E4F25">
        <w:t>3</w:t>
      </w:r>
      <w:r w:rsidRPr="00AD13C1">
        <w:t xml:space="preserve">- to </w:t>
      </w:r>
      <w:r w:rsidR="006E4F25">
        <w:t>6</w:t>
      </w:r>
      <w:r w:rsidRPr="00AD13C1">
        <w:t xml:space="preserve">-hour forecasts are launched every hour beginning at 2000 UTC to provide performance of each experiment during the period of relevant severe weather events. All free forecasts are ended at 0200 UTC on the next day. </w:t>
      </w:r>
    </w:p>
    <w:p w14:paraId="6EC8B67E" w14:textId="4448D697" w:rsidR="00CF43EE" w:rsidRPr="00E13C00" w:rsidRDefault="00CF43EE" w:rsidP="00E13C00">
      <w:pPr>
        <w:pStyle w:val="Heading3"/>
      </w:pPr>
      <w:bookmarkStart w:id="47" w:name="_Toc130995442"/>
      <w:bookmarkStart w:id="48" w:name="_Toc131018307"/>
      <w:r w:rsidRPr="00E13C00">
        <w:t>Experiment Design</w:t>
      </w:r>
      <w:bookmarkEnd w:id="47"/>
      <w:bookmarkEnd w:id="48"/>
    </w:p>
    <w:p w14:paraId="6EAB7D96" w14:textId="4ED77606" w:rsidR="00AD13C1" w:rsidRDefault="00AD13C1" w:rsidP="00A07C14">
      <w:r w:rsidRPr="00AD13C1">
        <w:t>Three types of experiments are performed for each event. The control experiment (CTRL) runs without assimilation of any observations so that it can provide a</w:t>
      </w:r>
      <w:r w:rsidRPr="00AD13C1">
        <w:rPr>
          <w:rFonts w:hint="eastAsia"/>
        </w:rPr>
        <w:t xml:space="preserve"> </w:t>
      </w:r>
      <w:r w:rsidRPr="00AD13C1">
        <w:t xml:space="preserve">baseline for comparison between experiments. The </w:t>
      </w:r>
      <w:r w:rsidRPr="00AD13C1">
        <w:rPr>
          <w:rFonts w:hint="eastAsia"/>
        </w:rPr>
        <w:t>second</w:t>
      </w:r>
      <w:r w:rsidRPr="00AD13C1">
        <w:t xml:space="preserve"> experiment, labeled radar experiment (RAD), assimilates radial velocity, reflectivity, and surface observations. By comparing the above two experiments, the impact of radar and surface observations in convection-allowing NWP can be highlighted. Considering that CWP and LPW observations generally cover different areas (i.e., cloudy area and clear-sky area) and can compensate</w:t>
      </w:r>
      <w:r w:rsidR="005B70D7">
        <w:t xml:space="preserve"> for</w:t>
      </w:r>
      <w:r w:rsidRPr="00AD13C1">
        <w:t xml:space="preserve"> one another’s shortage in coverage (as shown in Fig. </w:t>
      </w:r>
      <w:r w:rsidR="00A07C14">
        <w:t>3.</w:t>
      </w:r>
      <w:r w:rsidRPr="00AD13C1">
        <w:t>3), the third experiment assimilates both LPW from GOES-16 and CWP from GOES-13 in addition to surface and radar observations instead of separately combining CWP or LPW with the radar data, labeled as the radar + satellite experiment (RADSAT). Two additional experiments, one similar to the third experiment but without assimilating LPW (named as RADCWP), and another without assimilating CWP (named as RADLPW) will also be discussed occasionally for the comparison purpose if necessary. Observation errors and recursive filter radi</w:t>
      </w:r>
      <w:r w:rsidR="00EE45D9">
        <w:t>i</w:t>
      </w:r>
      <w:r w:rsidRPr="00AD13C1">
        <w:t xml:space="preserve"> for each type of observation used in the variational system are listed in Table 3</w:t>
      </w:r>
      <w:r w:rsidR="00ED0CFF">
        <w:t>.3</w:t>
      </w:r>
      <w:r w:rsidRPr="00AD13C1">
        <w:t>. Analyses and forecasts are compared between three types of experiments for each event to investigate whether or not assimilating CWP and/or LPW products has positive impact on analyses and subsequent forecasts.</w:t>
      </w:r>
    </w:p>
    <w:p w14:paraId="645AB72C" w14:textId="30146EBD" w:rsidR="00A07C14" w:rsidRDefault="00A07C14" w:rsidP="00A07C14">
      <w:pPr>
        <w:pStyle w:val="NoSpacing"/>
      </w:pPr>
    </w:p>
    <w:p w14:paraId="03B62B32" w14:textId="77777777" w:rsidR="00A07C14" w:rsidRDefault="00A07C14" w:rsidP="00CC70A4">
      <w:pPr>
        <w:spacing w:line="240" w:lineRule="auto"/>
        <w:ind w:firstLine="0"/>
        <w:jc w:val="center"/>
      </w:pPr>
      <w:r>
        <w:rPr>
          <w:noProof/>
        </w:rPr>
        <w:lastRenderedPageBreak/>
        <w:drawing>
          <wp:inline distT="0" distB="0" distL="0" distR="0" wp14:anchorId="6B2F3047" wp14:editId="0C5BFE92">
            <wp:extent cx="3581400" cy="7199293"/>
            <wp:effectExtent l="0" t="0" r="0" b="1905"/>
            <wp:docPr id="4" name="Picture 4"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locs.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581400" cy="7199293"/>
                    </a:xfrm>
                    <a:prstGeom prst="rect">
                      <a:avLst/>
                    </a:prstGeom>
                  </pic:spPr>
                </pic:pic>
              </a:graphicData>
            </a:graphic>
          </wp:inline>
        </w:drawing>
      </w:r>
    </w:p>
    <w:p w14:paraId="1AE91876" w14:textId="3BF4CA3F" w:rsidR="00A07C14" w:rsidRPr="00D60A80" w:rsidRDefault="00A07C14" w:rsidP="00A07C14">
      <w:pPr>
        <w:pStyle w:val="Captions"/>
        <w:rPr>
          <w:szCs w:val="24"/>
        </w:rPr>
      </w:pPr>
      <w:bookmarkStart w:id="49" w:name="_Toc134695264"/>
      <w:r w:rsidRPr="00D60A80">
        <w:rPr>
          <w:szCs w:val="24"/>
        </w:rPr>
        <w:t xml:space="preserve">Figure </w:t>
      </w:r>
      <w:r w:rsidR="00C96E3B" w:rsidRPr="00D60A80">
        <w:rPr>
          <w:szCs w:val="24"/>
        </w:rPr>
        <w:fldChar w:fldCharType="begin"/>
      </w:r>
      <w:r w:rsidR="00C96E3B" w:rsidRPr="00D60A80">
        <w:rPr>
          <w:szCs w:val="24"/>
        </w:rPr>
        <w:instrText xml:space="preserve"> STYLEREF 1 \s </w:instrText>
      </w:r>
      <w:r w:rsidR="00C96E3B" w:rsidRPr="00D60A80">
        <w:rPr>
          <w:szCs w:val="24"/>
        </w:rPr>
        <w:fldChar w:fldCharType="separate"/>
      </w:r>
      <w:r w:rsidR="00C77C87" w:rsidRPr="00D60A80">
        <w:rPr>
          <w:noProof/>
          <w:szCs w:val="24"/>
        </w:rPr>
        <w:t>3</w:t>
      </w:r>
      <w:r w:rsidR="00C96E3B" w:rsidRPr="00D60A80">
        <w:rPr>
          <w:noProof/>
          <w:szCs w:val="24"/>
        </w:rPr>
        <w:fldChar w:fldCharType="end"/>
      </w:r>
      <w:r w:rsidR="00C77C87" w:rsidRPr="00D60A80">
        <w:rPr>
          <w:szCs w:val="24"/>
        </w:rPr>
        <w:t>.</w:t>
      </w:r>
      <w:r w:rsidR="00C96E3B" w:rsidRPr="00D60A80">
        <w:rPr>
          <w:szCs w:val="24"/>
        </w:rPr>
        <w:fldChar w:fldCharType="begin"/>
      </w:r>
      <w:r w:rsidR="00C96E3B" w:rsidRPr="00D60A80">
        <w:rPr>
          <w:szCs w:val="24"/>
        </w:rPr>
        <w:instrText xml:space="preserve"> SEQ Figure \* ARABIC \s 1 </w:instrText>
      </w:r>
      <w:r w:rsidR="00C96E3B" w:rsidRPr="00D60A80">
        <w:rPr>
          <w:szCs w:val="24"/>
        </w:rPr>
        <w:fldChar w:fldCharType="separate"/>
      </w:r>
      <w:r w:rsidR="00C77C87" w:rsidRPr="00D60A80">
        <w:rPr>
          <w:noProof/>
          <w:szCs w:val="24"/>
        </w:rPr>
        <w:t>3</w:t>
      </w:r>
      <w:r w:rsidR="00C96E3B" w:rsidRPr="00D60A80">
        <w:rPr>
          <w:noProof/>
          <w:szCs w:val="24"/>
        </w:rPr>
        <w:fldChar w:fldCharType="end"/>
      </w:r>
      <w:r w:rsidRPr="00D60A80">
        <w:rPr>
          <w:szCs w:val="24"/>
        </w:rPr>
        <w:t xml:space="preserve"> </w:t>
      </w:r>
      <w:r w:rsidRPr="00D60A80">
        <w:rPr>
          <w:rFonts w:hint="eastAsia"/>
          <w:szCs w:val="24"/>
        </w:rPr>
        <w:t>Locatio</w:t>
      </w:r>
      <w:r w:rsidRPr="00D60A80">
        <w:rPr>
          <w:szCs w:val="24"/>
        </w:rPr>
        <w:t xml:space="preserve">ns of the observations assimilated into the hybrid </w:t>
      </w:r>
      <w:r w:rsidR="007F145D" w:rsidRPr="00D60A80">
        <w:rPr>
          <w:szCs w:val="24"/>
        </w:rPr>
        <w:t>3D</w:t>
      </w:r>
      <w:r w:rsidRPr="00D60A80">
        <w:rPr>
          <w:szCs w:val="24"/>
        </w:rPr>
        <w:t>EnV</w:t>
      </w:r>
      <w:r w:rsidR="00EA1DF0" w:rsidRPr="00D60A80">
        <w:rPr>
          <w:szCs w:val="24"/>
        </w:rPr>
        <w:t>AR</w:t>
      </w:r>
      <w:r w:rsidRPr="00D60A80">
        <w:rPr>
          <w:szCs w:val="24"/>
        </w:rPr>
        <w:t xml:space="preserve"> system at 1800 UTC for (a) 10 May, (b) 16 May and (c) 26 May 2017 events. Black squares represent surface observations. Green circles represent the coverage of radars. Blue dots and red crosses are the CWP observations in cloudy area and LPW observations, respectively.</w:t>
      </w:r>
      <w:bookmarkEnd w:id="49"/>
    </w:p>
    <w:p w14:paraId="68B40062" w14:textId="58B3E39A" w:rsidR="00A07C14" w:rsidRDefault="00A07C14" w:rsidP="00A07C14">
      <w:pPr>
        <w:pStyle w:val="NoSpacing"/>
      </w:pPr>
    </w:p>
    <w:p w14:paraId="082F6098" w14:textId="2D3D8652" w:rsidR="00ED0CFF" w:rsidRPr="00D60A80" w:rsidRDefault="00EF6098" w:rsidP="00EF6098">
      <w:pPr>
        <w:pStyle w:val="Captions"/>
        <w:rPr>
          <w:szCs w:val="24"/>
        </w:rPr>
      </w:pPr>
      <w:bookmarkStart w:id="50" w:name="_Toc134695259"/>
      <w:r w:rsidRPr="00D60A80">
        <w:rPr>
          <w:szCs w:val="24"/>
        </w:rPr>
        <w:lastRenderedPageBreak/>
        <w:t xml:space="preserve">Table </w:t>
      </w:r>
      <w:r w:rsidR="00C96E3B" w:rsidRPr="00D60A80">
        <w:rPr>
          <w:szCs w:val="24"/>
        </w:rPr>
        <w:fldChar w:fldCharType="begin"/>
      </w:r>
      <w:r w:rsidR="00C96E3B" w:rsidRPr="00D60A80">
        <w:rPr>
          <w:szCs w:val="24"/>
        </w:rPr>
        <w:instrText xml:space="preserve"> STYLEREF 1 \s </w:instrText>
      </w:r>
      <w:r w:rsidR="00C96E3B" w:rsidRPr="00D60A80">
        <w:rPr>
          <w:szCs w:val="24"/>
        </w:rPr>
        <w:fldChar w:fldCharType="separate"/>
      </w:r>
      <w:r w:rsidRPr="00D60A80">
        <w:rPr>
          <w:noProof/>
          <w:szCs w:val="24"/>
        </w:rPr>
        <w:t>3</w:t>
      </w:r>
      <w:r w:rsidR="00C96E3B" w:rsidRPr="00D60A80">
        <w:rPr>
          <w:noProof/>
          <w:szCs w:val="24"/>
        </w:rPr>
        <w:fldChar w:fldCharType="end"/>
      </w:r>
      <w:r w:rsidRPr="00D60A80">
        <w:rPr>
          <w:szCs w:val="24"/>
        </w:rPr>
        <w:t>.</w:t>
      </w:r>
      <w:r w:rsidR="00C96E3B" w:rsidRPr="00D60A80">
        <w:rPr>
          <w:szCs w:val="24"/>
        </w:rPr>
        <w:fldChar w:fldCharType="begin"/>
      </w:r>
      <w:r w:rsidR="00C96E3B" w:rsidRPr="00D60A80">
        <w:rPr>
          <w:szCs w:val="24"/>
        </w:rPr>
        <w:instrText xml:space="preserve"> SEQ Table \* ARABIC \s 1 </w:instrText>
      </w:r>
      <w:r w:rsidR="00C96E3B" w:rsidRPr="00D60A80">
        <w:rPr>
          <w:szCs w:val="24"/>
        </w:rPr>
        <w:fldChar w:fldCharType="separate"/>
      </w:r>
      <w:r w:rsidRPr="00D60A80">
        <w:rPr>
          <w:noProof/>
          <w:szCs w:val="24"/>
        </w:rPr>
        <w:t>3</w:t>
      </w:r>
      <w:r w:rsidR="00C96E3B" w:rsidRPr="00D60A80">
        <w:rPr>
          <w:noProof/>
          <w:szCs w:val="24"/>
        </w:rPr>
        <w:fldChar w:fldCharType="end"/>
      </w:r>
      <w:r w:rsidRPr="00D60A80">
        <w:rPr>
          <w:szCs w:val="24"/>
        </w:rPr>
        <w:t xml:space="preserve"> </w:t>
      </w:r>
      <w:r w:rsidR="00ED0CFF" w:rsidRPr="00D60A80">
        <w:rPr>
          <w:szCs w:val="24"/>
        </w:rPr>
        <w:t>Observation errors and recursive filter radius used in the variational component of the hybrid 3DEnVar system. The vertical radius of the recursive filter is given in grid points.</w:t>
      </w:r>
      <w:bookmarkEnd w:id="50"/>
    </w:p>
    <w:tbl>
      <w:tblPr>
        <w:tblStyle w:val="TableGrid9"/>
        <w:tblW w:w="0" w:type="auto"/>
        <w:tblLook w:val="04A0" w:firstRow="1" w:lastRow="0" w:firstColumn="1" w:lastColumn="0" w:noHBand="0" w:noVBand="1"/>
      </w:tblPr>
      <w:tblGrid>
        <w:gridCol w:w="2189"/>
        <w:gridCol w:w="1325"/>
        <w:gridCol w:w="2909"/>
        <w:gridCol w:w="2909"/>
      </w:tblGrid>
      <w:tr w:rsidR="00ED0CFF" w:rsidRPr="00ED0CFF" w14:paraId="5CC57DB6" w14:textId="77777777" w:rsidTr="00B45862">
        <w:tc>
          <w:tcPr>
            <w:tcW w:w="2189" w:type="dxa"/>
            <w:vAlign w:val="center"/>
          </w:tcPr>
          <w:p w14:paraId="5CF73AF8" w14:textId="77777777" w:rsidR="00ED0CFF" w:rsidRPr="00ED0CFF" w:rsidRDefault="00ED0CFF" w:rsidP="00ED0CFF">
            <w:pPr>
              <w:spacing w:line="240" w:lineRule="auto"/>
              <w:ind w:firstLine="0"/>
              <w:jc w:val="center"/>
              <w:rPr>
                <w:rFonts w:eastAsia="Times New Roman" w:cs="Times New Roman"/>
                <w:szCs w:val="24"/>
              </w:rPr>
            </w:pPr>
            <w:r w:rsidRPr="00ED0CFF">
              <w:rPr>
                <w:rFonts w:eastAsia="Times New Roman" w:cs="Times New Roman"/>
                <w:szCs w:val="24"/>
              </w:rPr>
              <w:t>Observation type</w:t>
            </w:r>
          </w:p>
        </w:tc>
        <w:tc>
          <w:tcPr>
            <w:tcW w:w="1325" w:type="dxa"/>
            <w:vAlign w:val="center"/>
          </w:tcPr>
          <w:p w14:paraId="139E322F" w14:textId="77777777" w:rsidR="00ED0CFF" w:rsidRPr="00ED0CFF" w:rsidRDefault="00ED0CFF" w:rsidP="00ED0CFF">
            <w:pPr>
              <w:spacing w:line="240" w:lineRule="auto"/>
              <w:ind w:firstLine="0"/>
              <w:jc w:val="center"/>
              <w:rPr>
                <w:rFonts w:eastAsia="Times New Roman" w:cs="Times New Roman"/>
                <w:szCs w:val="24"/>
              </w:rPr>
            </w:pPr>
            <w:r w:rsidRPr="00ED0CFF">
              <w:rPr>
                <w:rFonts w:eastAsia="Times New Roman" w:cs="Times New Roman"/>
                <w:szCs w:val="24"/>
              </w:rPr>
              <w:t>Error</w:t>
            </w:r>
          </w:p>
        </w:tc>
        <w:tc>
          <w:tcPr>
            <w:tcW w:w="2909" w:type="dxa"/>
            <w:vAlign w:val="center"/>
          </w:tcPr>
          <w:p w14:paraId="36F7F2BE" w14:textId="77777777" w:rsidR="00ED0CFF" w:rsidRPr="00ED0CFF" w:rsidRDefault="00ED0CFF" w:rsidP="00ED0CFF">
            <w:pPr>
              <w:spacing w:line="240" w:lineRule="auto"/>
              <w:ind w:firstLine="0"/>
              <w:jc w:val="center"/>
              <w:rPr>
                <w:rFonts w:eastAsia="Times New Roman" w:cs="Times New Roman"/>
                <w:szCs w:val="24"/>
              </w:rPr>
            </w:pPr>
            <w:r w:rsidRPr="00ED0CFF">
              <w:rPr>
                <w:rFonts w:eastAsia="Times New Roman" w:cs="Times New Roman"/>
                <w:szCs w:val="24"/>
              </w:rPr>
              <w:t>Horizontal radius (km)</w:t>
            </w:r>
          </w:p>
        </w:tc>
        <w:tc>
          <w:tcPr>
            <w:tcW w:w="2909" w:type="dxa"/>
            <w:vAlign w:val="center"/>
          </w:tcPr>
          <w:p w14:paraId="6128294E" w14:textId="77777777" w:rsidR="00ED0CFF" w:rsidRPr="00ED0CFF" w:rsidRDefault="00ED0CFF" w:rsidP="00ED0CFF">
            <w:pPr>
              <w:spacing w:line="240" w:lineRule="auto"/>
              <w:ind w:firstLine="0"/>
              <w:jc w:val="center"/>
              <w:rPr>
                <w:rFonts w:eastAsia="Times New Roman" w:cs="Times New Roman"/>
                <w:szCs w:val="24"/>
              </w:rPr>
            </w:pPr>
            <w:r w:rsidRPr="00ED0CFF">
              <w:rPr>
                <w:rFonts w:eastAsia="Times New Roman" w:cs="Times New Roman"/>
                <w:szCs w:val="24"/>
              </w:rPr>
              <w:t>Vertical radius (grid points)</w:t>
            </w:r>
          </w:p>
        </w:tc>
      </w:tr>
      <w:tr w:rsidR="00ED0CFF" w:rsidRPr="00ED0CFF" w14:paraId="18DDA184" w14:textId="77777777" w:rsidTr="00B45862">
        <w:tc>
          <w:tcPr>
            <w:tcW w:w="2189" w:type="dxa"/>
            <w:vAlign w:val="center"/>
          </w:tcPr>
          <w:p w14:paraId="1F7489EF" w14:textId="77777777" w:rsidR="00ED0CFF" w:rsidRPr="00ED0CFF" w:rsidRDefault="00ED0CFF" w:rsidP="00ED0CFF">
            <w:pPr>
              <w:spacing w:line="240" w:lineRule="auto"/>
              <w:ind w:firstLine="0"/>
              <w:jc w:val="center"/>
              <w:rPr>
                <w:rFonts w:eastAsia="Times New Roman" w:cs="Times New Roman"/>
                <w:szCs w:val="24"/>
              </w:rPr>
            </w:pPr>
            <w:r w:rsidRPr="00ED0CFF">
              <w:rPr>
                <w:rFonts w:eastAsia="Times New Roman" w:cs="Times New Roman"/>
                <w:szCs w:val="24"/>
              </w:rPr>
              <w:t>Surface U-wind</w:t>
            </w:r>
          </w:p>
        </w:tc>
        <w:tc>
          <w:tcPr>
            <w:tcW w:w="1325" w:type="dxa"/>
            <w:vAlign w:val="center"/>
          </w:tcPr>
          <w:p w14:paraId="54DC4EFE" w14:textId="77777777" w:rsidR="00ED0CFF" w:rsidRPr="00ED0CFF" w:rsidRDefault="00ED0CFF" w:rsidP="00ED0CFF">
            <w:pPr>
              <w:spacing w:line="240" w:lineRule="auto"/>
              <w:ind w:firstLine="0"/>
              <w:jc w:val="center"/>
              <w:rPr>
                <w:rFonts w:eastAsia="Times New Roman" w:cs="Times New Roman"/>
                <w:szCs w:val="24"/>
                <w:vertAlign w:val="superscript"/>
              </w:rPr>
            </w:pPr>
            <w:r w:rsidRPr="00ED0CFF">
              <w:rPr>
                <w:rFonts w:eastAsia="Times New Roman" w:cs="Times New Roman"/>
                <w:szCs w:val="24"/>
              </w:rPr>
              <w:t>1.5 ms</w:t>
            </w:r>
            <w:r w:rsidRPr="00ED0CFF">
              <w:rPr>
                <w:rFonts w:eastAsia="Times New Roman" w:cs="Times New Roman"/>
                <w:szCs w:val="24"/>
                <w:vertAlign w:val="superscript"/>
              </w:rPr>
              <w:t>-1</w:t>
            </w:r>
          </w:p>
        </w:tc>
        <w:tc>
          <w:tcPr>
            <w:tcW w:w="2909" w:type="dxa"/>
            <w:vMerge w:val="restart"/>
            <w:vAlign w:val="center"/>
          </w:tcPr>
          <w:p w14:paraId="22CF56D1" w14:textId="77777777" w:rsidR="00ED0CFF" w:rsidRPr="00ED0CFF" w:rsidRDefault="00ED0CFF" w:rsidP="00ED0CFF">
            <w:pPr>
              <w:spacing w:line="240" w:lineRule="auto"/>
              <w:ind w:firstLine="0"/>
              <w:jc w:val="center"/>
              <w:rPr>
                <w:rFonts w:eastAsia="Times New Roman" w:cs="Times New Roman"/>
                <w:szCs w:val="24"/>
              </w:rPr>
            </w:pPr>
            <w:r w:rsidRPr="00ED0CFF">
              <w:rPr>
                <w:rFonts w:eastAsia="Times New Roman" w:cs="Times New Roman"/>
                <w:szCs w:val="24"/>
              </w:rPr>
              <w:t>60</w:t>
            </w:r>
          </w:p>
        </w:tc>
        <w:tc>
          <w:tcPr>
            <w:tcW w:w="2909" w:type="dxa"/>
            <w:vMerge w:val="restart"/>
            <w:vAlign w:val="center"/>
          </w:tcPr>
          <w:p w14:paraId="07426306" w14:textId="77777777" w:rsidR="00ED0CFF" w:rsidRPr="00ED0CFF" w:rsidRDefault="00ED0CFF" w:rsidP="00ED0CFF">
            <w:pPr>
              <w:spacing w:line="240" w:lineRule="auto"/>
              <w:ind w:firstLine="0"/>
              <w:jc w:val="center"/>
              <w:rPr>
                <w:rFonts w:eastAsia="Times New Roman" w:cs="Times New Roman"/>
                <w:szCs w:val="24"/>
              </w:rPr>
            </w:pPr>
            <w:r w:rsidRPr="00ED0CFF">
              <w:rPr>
                <w:rFonts w:eastAsia="Times New Roman" w:cs="Times New Roman"/>
                <w:szCs w:val="24"/>
              </w:rPr>
              <w:t>4</w:t>
            </w:r>
          </w:p>
        </w:tc>
      </w:tr>
      <w:tr w:rsidR="00ED0CFF" w:rsidRPr="00ED0CFF" w14:paraId="34C70E7C" w14:textId="77777777" w:rsidTr="00B45862">
        <w:tc>
          <w:tcPr>
            <w:tcW w:w="2189" w:type="dxa"/>
            <w:vAlign w:val="center"/>
          </w:tcPr>
          <w:p w14:paraId="098A119C" w14:textId="77777777" w:rsidR="00ED0CFF" w:rsidRPr="00ED0CFF" w:rsidRDefault="00ED0CFF" w:rsidP="00ED0CFF">
            <w:pPr>
              <w:spacing w:line="240" w:lineRule="auto"/>
              <w:ind w:firstLine="0"/>
              <w:jc w:val="center"/>
              <w:rPr>
                <w:rFonts w:eastAsia="Times New Roman" w:cs="Times New Roman"/>
                <w:szCs w:val="24"/>
              </w:rPr>
            </w:pPr>
            <w:r w:rsidRPr="00ED0CFF">
              <w:rPr>
                <w:rFonts w:eastAsia="Times New Roman" w:cs="Times New Roman"/>
                <w:szCs w:val="24"/>
              </w:rPr>
              <w:t>Surface V-wind</w:t>
            </w:r>
          </w:p>
        </w:tc>
        <w:tc>
          <w:tcPr>
            <w:tcW w:w="1325" w:type="dxa"/>
            <w:vAlign w:val="center"/>
          </w:tcPr>
          <w:p w14:paraId="10D23A2F" w14:textId="77777777" w:rsidR="00ED0CFF" w:rsidRPr="00ED0CFF" w:rsidRDefault="00ED0CFF" w:rsidP="00ED0CFF">
            <w:pPr>
              <w:spacing w:line="240" w:lineRule="auto"/>
              <w:ind w:firstLine="0"/>
              <w:jc w:val="center"/>
              <w:rPr>
                <w:rFonts w:eastAsia="Times New Roman" w:cs="Times New Roman"/>
                <w:szCs w:val="24"/>
              </w:rPr>
            </w:pPr>
            <w:r w:rsidRPr="00ED0CFF">
              <w:rPr>
                <w:rFonts w:eastAsia="Times New Roman" w:cs="Times New Roman"/>
                <w:szCs w:val="24"/>
              </w:rPr>
              <w:t>1.5 ms</w:t>
            </w:r>
            <w:r w:rsidRPr="00ED0CFF">
              <w:rPr>
                <w:rFonts w:eastAsia="Times New Roman" w:cs="Times New Roman"/>
                <w:szCs w:val="24"/>
                <w:vertAlign w:val="superscript"/>
              </w:rPr>
              <w:t>-1</w:t>
            </w:r>
          </w:p>
        </w:tc>
        <w:tc>
          <w:tcPr>
            <w:tcW w:w="2909" w:type="dxa"/>
            <w:vMerge/>
            <w:vAlign w:val="center"/>
          </w:tcPr>
          <w:p w14:paraId="6C0ECC80" w14:textId="77777777" w:rsidR="00ED0CFF" w:rsidRPr="00ED0CFF" w:rsidRDefault="00ED0CFF" w:rsidP="00ED0CFF">
            <w:pPr>
              <w:spacing w:line="240" w:lineRule="auto"/>
              <w:ind w:firstLine="0"/>
              <w:jc w:val="center"/>
              <w:rPr>
                <w:rFonts w:eastAsia="Times New Roman" w:cs="Times New Roman"/>
                <w:szCs w:val="24"/>
              </w:rPr>
            </w:pPr>
          </w:p>
        </w:tc>
        <w:tc>
          <w:tcPr>
            <w:tcW w:w="2909" w:type="dxa"/>
            <w:vMerge/>
            <w:vAlign w:val="center"/>
          </w:tcPr>
          <w:p w14:paraId="0EC849E2" w14:textId="77777777" w:rsidR="00ED0CFF" w:rsidRPr="00ED0CFF" w:rsidRDefault="00ED0CFF" w:rsidP="00ED0CFF">
            <w:pPr>
              <w:spacing w:line="240" w:lineRule="auto"/>
              <w:ind w:firstLine="0"/>
              <w:jc w:val="center"/>
              <w:rPr>
                <w:rFonts w:eastAsia="Times New Roman" w:cs="Times New Roman"/>
                <w:szCs w:val="24"/>
              </w:rPr>
            </w:pPr>
          </w:p>
        </w:tc>
      </w:tr>
      <w:tr w:rsidR="00ED0CFF" w:rsidRPr="00ED0CFF" w14:paraId="4FB45220" w14:textId="77777777" w:rsidTr="00B45862">
        <w:tc>
          <w:tcPr>
            <w:tcW w:w="2189" w:type="dxa"/>
            <w:vAlign w:val="center"/>
          </w:tcPr>
          <w:p w14:paraId="53838B67" w14:textId="77777777" w:rsidR="00ED0CFF" w:rsidRPr="00ED0CFF" w:rsidRDefault="00ED0CFF" w:rsidP="00ED0CFF">
            <w:pPr>
              <w:spacing w:line="240" w:lineRule="auto"/>
              <w:ind w:firstLine="0"/>
              <w:jc w:val="center"/>
              <w:rPr>
                <w:rFonts w:eastAsia="Times New Roman" w:cs="Times New Roman"/>
                <w:szCs w:val="24"/>
              </w:rPr>
            </w:pPr>
            <w:r w:rsidRPr="00ED0CFF">
              <w:rPr>
                <w:rFonts w:eastAsia="Times New Roman" w:cs="Times New Roman"/>
                <w:szCs w:val="24"/>
              </w:rPr>
              <w:t>Surface pressure</w:t>
            </w:r>
          </w:p>
        </w:tc>
        <w:tc>
          <w:tcPr>
            <w:tcW w:w="1325" w:type="dxa"/>
            <w:vAlign w:val="center"/>
          </w:tcPr>
          <w:p w14:paraId="7887DEE2" w14:textId="77777777" w:rsidR="00ED0CFF" w:rsidRPr="00ED0CFF" w:rsidRDefault="00ED0CFF" w:rsidP="00ED0CFF">
            <w:pPr>
              <w:spacing w:line="240" w:lineRule="auto"/>
              <w:ind w:firstLine="0"/>
              <w:jc w:val="center"/>
              <w:rPr>
                <w:rFonts w:eastAsia="Times New Roman" w:cs="Times New Roman"/>
                <w:szCs w:val="24"/>
              </w:rPr>
            </w:pPr>
            <w:r w:rsidRPr="00ED0CFF">
              <w:rPr>
                <w:rFonts w:eastAsia="Times New Roman" w:cs="Times New Roman"/>
                <w:szCs w:val="24"/>
              </w:rPr>
              <w:t>2.0 hPa</w:t>
            </w:r>
          </w:p>
        </w:tc>
        <w:tc>
          <w:tcPr>
            <w:tcW w:w="2909" w:type="dxa"/>
            <w:vMerge/>
            <w:vAlign w:val="center"/>
          </w:tcPr>
          <w:p w14:paraId="0F7E7698" w14:textId="77777777" w:rsidR="00ED0CFF" w:rsidRPr="00ED0CFF" w:rsidRDefault="00ED0CFF" w:rsidP="00ED0CFF">
            <w:pPr>
              <w:spacing w:line="240" w:lineRule="auto"/>
              <w:ind w:firstLine="0"/>
              <w:jc w:val="center"/>
              <w:rPr>
                <w:rFonts w:eastAsia="Times New Roman" w:cs="Times New Roman"/>
                <w:szCs w:val="24"/>
              </w:rPr>
            </w:pPr>
          </w:p>
        </w:tc>
        <w:tc>
          <w:tcPr>
            <w:tcW w:w="2909" w:type="dxa"/>
            <w:vMerge/>
            <w:vAlign w:val="center"/>
          </w:tcPr>
          <w:p w14:paraId="01986DAE" w14:textId="77777777" w:rsidR="00ED0CFF" w:rsidRPr="00ED0CFF" w:rsidRDefault="00ED0CFF" w:rsidP="00ED0CFF">
            <w:pPr>
              <w:spacing w:line="240" w:lineRule="auto"/>
              <w:ind w:firstLine="0"/>
              <w:jc w:val="center"/>
              <w:rPr>
                <w:rFonts w:eastAsia="Times New Roman" w:cs="Times New Roman"/>
                <w:szCs w:val="24"/>
              </w:rPr>
            </w:pPr>
          </w:p>
        </w:tc>
      </w:tr>
      <w:tr w:rsidR="00ED0CFF" w:rsidRPr="00ED0CFF" w14:paraId="1F8C6BE7" w14:textId="77777777" w:rsidTr="00B45862">
        <w:tc>
          <w:tcPr>
            <w:tcW w:w="2189" w:type="dxa"/>
            <w:vAlign w:val="center"/>
          </w:tcPr>
          <w:p w14:paraId="53BF6C05" w14:textId="77777777" w:rsidR="00ED0CFF" w:rsidRPr="00ED0CFF" w:rsidRDefault="00ED0CFF" w:rsidP="00ED0CFF">
            <w:pPr>
              <w:spacing w:line="240" w:lineRule="auto"/>
              <w:ind w:firstLine="0"/>
              <w:jc w:val="center"/>
              <w:rPr>
                <w:rFonts w:eastAsia="Times New Roman" w:cs="Times New Roman"/>
                <w:szCs w:val="24"/>
              </w:rPr>
            </w:pPr>
            <w:r w:rsidRPr="00ED0CFF">
              <w:rPr>
                <w:rFonts w:eastAsia="Times New Roman" w:cs="Times New Roman"/>
                <w:szCs w:val="24"/>
              </w:rPr>
              <w:t>Surface temperature</w:t>
            </w:r>
          </w:p>
        </w:tc>
        <w:tc>
          <w:tcPr>
            <w:tcW w:w="1325" w:type="dxa"/>
            <w:vAlign w:val="center"/>
          </w:tcPr>
          <w:p w14:paraId="719FCB50" w14:textId="77777777" w:rsidR="00ED0CFF" w:rsidRPr="00ED0CFF" w:rsidRDefault="00ED0CFF" w:rsidP="00ED0CFF">
            <w:pPr>
              <w:spacing w:line="240" w:lineRule="auto"/>
              <w:ind w:firstLine="0"/>
              <w:jc w:val="center"/>
              <w:rPr>
                <w:rFonts w:eastAsia="Times New Roman" w:cs="Times New Roman"/>
                <w:szCs w:val="24"/>
              </w:rPr>
            </w:pPr>
            <w:r w:rsidRPr="00ED0CFF">
              <w:rPr>
                <w:rFonts w:eastAsia="Times New Roman" w:cs="Times New Roman"/>
                <w:szCs w:val="24"/>
              </w:rPr>
              <w:t>1.5 K</w:t>
            </w:r>
          </w:p>
        </w:tc>
        <w:tc>
          <w:tcPr>
            <w:tcW w:w="2909" w:type="dxa"/>
            <w:vMerge/>
            <w:vAlign w:val="center"/>
          </w:tcPr>
          <w:p w14:paraId="1A47B18D" w14:textId="77777777" w:rsidR="00ED0CFF" w:rsidRPr="00ED0CFF" w:rsidRDefault="00ED0CFF" w:rsidP="00ED0CFF">
            <w:pPr>
              <w:spacing w:line="240" w:lineRule="auto"/>
              <w:ind w:firstLine="0"/>
              <w:jc w:val="center"/>
              <w:rPr>
                <w:rFonts w:eastAsia="Times New Roman" w:cs="Times New Roman"/>
                <w:szCs w:val="24"/>
              </w:rPr>
            </w:pPr>
          </w:p>
        </w:tc>
        <w:tc>
          <w:tcPr>
            <w:tcW w:w="2909" w:type="dxa"/>
            <w:vMerge/>
            <w:vAlign w:val="center"/>
          </w:tcPr>
          <w:p w14:paraId="4B7340DE" w14:textId="77777777" w:rsidR="00ED0CFF" w:rsidRPr="00ED0CFF" w:rsidRDefault="00ED0CFF" w:rsidP="00ED0CFF">
            <w:pPr>
              <w:spacing w:line="240" w:lineRule="auto"/>
              <w:ind w:firstLine="0"/>
              <w:jc w:val="center"/>
              <w:rPr>
                <w:rFonts w:eastAsia="Times New Roman" w:cs="Times New Roman"/>
                <w:szCs w:val="24"/>
              </w:rPr>
            </w:pPr>
          </w:p>
        </w:tc>
      </w:tr>
      <w:tr w:rsidR="00ED0CFF" w:rsidRPr="00ED0CFF" w14:paraId="3D2A02FB" w14:textId="77777777" w:rsidTr="00B45862">
        <w:tc>
          <w:tcPr>
            <w:tcW w:w="2189" w:type="dxa"/>
            <w:vAlign w:val="center"/>
          </w:tcPr>
          <w:p w14:paraId="69143BEE" w14:textId="77777777" w:rsidR="00ED0CFF" w:rsidRPr="00ED0CFF" w:rsidRDefault="00ED0CFF" w:rsidP="00ED0CFF">
            <w:pPr>
              <w:spacing w:line="240" w:lineRule="auto"/>
              <w:ind w:firstLine="0"/>
              <w:jc w:val="center"/>
              <w:rPr>
                <w:rFonts w:eastAsia="Times New Roman" w:cs="Times New Roman"/>
                <w:szCs w:val="24"/>
              </w:rPr>
            </w:pPr>
            <w:r w:rsidRPr="00ED0CFF">
              <w:rPr>
                <w:rFonts w:eastAsia="Times New Roman" w:cs="Times New Roman"/>
                <w:szCs w:val="24"/>
              </w:rPr>
              <w:t>Surface specific humidity</w:t>
            </w:r>
          </w:p>
        </w:tc>
        <w:tc>
          <w:tcPr>
            <w:tcW w:w="1325" w:type="dxa"/>
            <w:vAlign w:val="center"/>
          </w:tcPr>
          <w:p w14:paraId="484C1072" w14:textId="77777777" w:rsidR="00ED0CFF" w:rsidRPr="00ED0CFF" w:rsidRDefault="00ED0CFF" w:rsidP="00ED0CFF">
            <w:pPr>
              <w:spacing w:line="240" w:lineRule="auto"/>
              <w:ind w:firstLine="0"/>
              <w:jc w:val="center"/>
              <w:rPr>
                <w:rFonts w:eastAsia="Times New Roman" w:cs="Times New Roman"/>
                <w:szCs w:val="24"/>
                <w:vertAlign w:val="superscript"/>
              </w:rPr>
            </w:pPr>
            <w:r w:rsidRPr="00ED0CFF">
              <w:rPr>
                <w:rFonts w:eastAsia="Times New Roman" w:cs="Times New Roman"/>
                <w:szCs w:val="24"/>
              </w:rPr>
              <w:t>0.5 g kg</w:t>
            </w:r>
            <w:r w:rsidRPr="00ED0CFF">
              <w:rPr>
                <w:rFonts w:eastAsia="Times New Roman" w:cs="Times New Roman"/>
                <w:szCs w:val="24"/>
                <w:vertAlign w:val="superscript"/>
              </w:rPr>
              <w:t>-1</w:t>
            </w:r>
          </w:p>
        </w:tc>
        <w:tc>
          <w:tcPr>
            <w:tcW w:w="2909" w:type="dxa"/>
            <w:vMerge/>
            <w:vAlign w:val="center"/>
          </w:tcPr>
          <w:p w14:paraId="291FD057" w14:textId="77777777" w:rsidR="00ED0CFF" w:rsidRPr="00ED0CFF" w:rsidRDefault="00ED0CFF" w:rsidP="00ED0CFF">
            <w:pPr>
              <w:spacing w:line="240" w:lineRule="auto"/>
              <w:ind w:firstLine="0"/>
              <w:jc w:val="center"/>
              <w:rPr>
                <w:rFonts w:eastAsia="Times New Roman" w:cs="Times New Roman"/>
                <w:szCs w:val="24"/>
              </w:rPr>
            </w:pPr>
          </w:p>
        </w:tc>
        <w:tc>
          <w:tcPr>
            <w:tcW w:w="2909" w:type="dxa"/>
            <w:vMerge/>
            <w:vAlign w:val="center"/>
          </w:tcPr>
          <w:p w14:paraId="448854CD" w14:textId="77777777" w:rsidR="00ED0CFF" w:rsidRPr="00ED0CFF" w:rsidRDefault="00ED0CFF" w:rsidP="00ED0CFF">
            <w:pPr>
              <w:spacing w:line="240" w:lineRule="auto"/>
              <w:ind w:firstLine="0"/>
              <w:jc w:val="center"/>
              <w:rPr>
                <w:rFonts w:eastAsia="Times New Roman" w:cs="Times New Roman"/>
                <w:szCs w:val="24"/>
              </w:rPr>
            </w:pPr>
          </w:p>
        </w:tc>
      </w:tr>
      <w:tr w:rsidR="00ED0CFF" w:rsidRPr="00ED0CFF" w14:paraId="6905FAAB" w14:textId="77777777" w:rsidTr="00B45862">
        <w:tc>
          <w:tcPr>
            <w:tcW w:w="2189" w:type="dxa"/>
            <w:vAlign w:val="center"/>
          </w:tcPr>
          <w:p w14:paraId="0FC12E1B" w14:textId="77777777" w:rsidR="00ED0CFF" w:rsidRPr="00ED0CFF" w:rsidRDefault="00ED0CFF" w:rsidP="00ED0CFF">
            <w:pPr>
              <w:spacing w:line="240" w:lineRule="auto"/>
              <w:ind w:firstLine="0"/>
              <w:jc w:val="center"/>
              <w:rPr>
                <w:rFonts w:eastAsia="Times New Roman" w:cs="Times New Roman"/>
                <w:szCs w:val="24"/>
              </w:rPr>
            </w:pPr>
            <w:r w:rsidRPr="00ED0CFF">
              <w:rPr>
                <w:rFonts w:eastAsia="Times New Roman" w:cs="Times New Roman"/>
                <w:szCs w:val="24"/>
              </w:rPr>
              <w:t>Low-level LPW</w:t>
            </w:r>
          </w:p>
        </w:tc>
        <w:tc>
          <w:tcPr>
            <w:tcW w:w="1325" w:type="dxa"/>
            <w:vAlign w:val="center"/>
          </w:tcPr>
          <w:p w14:paraId="011269E6" w14:textId="77777777" w:rsidR="00ED0CFF" w:rsidRPr="00ED0CFF" w:rsidRDefault="00ED0CFF" w:rsidP="00ED0CFF">
            <w:pPr>
              <w:spacing w:line="240" w:lineRule="auto"/>
              <w:ind w:firstLine="0"/>
              <w:jc w:val="center"/>
              <w:rPr>
                <w:rFonts w:eastAsia="Times New Roman" w:cs="Times New Roman"/>
                <w:szCs w:val="24"/>
              </w:rPr>
            </w:pPr>
            <w:r w:rsidRPr="00ED0CFF">
              <w:rPr>
                <w:rFonts w:eastAsia="Times New Roman" w:cs="Times New Roman"/>
                <w:szCs w:val="24"/>
              </w:rPr>
              <w:t>0.15 cm</w:t>
            </w:r>
          </w:p>
        </w:tc>
        <w:tc>
          <w:tcPr>
            <w:tcW w:w="2909" w:type="dxa"/>
            <w:vMerge/>
            <w:vAlign w:val="center"/>
          </w:tcPr>
          <w:p w14:paraId="3A7556D9" w14:textId="77777777" w:rsidR="00ED0CFF" w:rsidRPr="00ED0CFF" w:rsidRDefault="00ED0CFF" w:rsidP="00ED0CFF">
            <w:pPr>
              <w:spacing w:line="240" w:lineRule="auto"/>
              <w:ind w:firstLine="0"/>
              <w:jc w:val="center"/>
              <w:rPr>
                <w:rFonts w:eastAsia="Times New Roman" w:cs="Times New Roman"/>
                <w:szCs w:val="24"/>
              </w:rPr>
            </w:pPr>
          </w:p>
        </w:tc>
        <w:tc>
          <w:tcPr>
            <w:tcW w:w="2909" w:type="dxa"/>
            <w:vMerge/>
            <w:vAlign w:val="center"/>
          </w:tcPr>
          <w:p w14:paraId="4291A8D0" w14:textId="77777777" w:rsidR="00ED0CFF" w:rsidRPr="00ED0CFF" w:rsidRDefault="00ED0CFF" w:rsidP="00ED0CFF">
            <w:pPr>
              <w:spacing w:line="240" w:lineRule="auto"/>
              <w:ind w:firstLine="0"/>
              <w:jc w:val="center"/>
              <w:rPr>
                <w:rFonts w:eastAsia="Times New Roman" w:cs="Times New Roman"/>
                <w:szCs w:val="24"/>
              </w:rPr>
            </w:pPr>
          </w:p>
        </w:tc>
      </w:tr>
      <w:tr w:rsidR="00ED0CFF" w:rsidRPr="00ED0CFF" w14:paraId="18F2AAC1" w14:textId="77777777" w:rsidTr="00B45862">
        <w:tc>
          <w:tcPr>
            <w:tcW w:w="2189" w:type="dxa"/>
            <w:vAlign w:val="center"/>
          </w:tcPr>
          <w:p w14:paraId="256E5A6C" w14:textId="77777777" w:rsidR="00ED0CFF" w:rsidRPr="00ED0CFF" w:rsidRDefault="00ED0CFF" w:rsidP="00ED0CFF">
            <w:pPr>
              <w:spacing w:line="240" w:lineRule="auto"/>
              <w:ind w:firstLine="0"/>
              <w:jc w:val="center"/>
              <w:rPr>
                <w:rFonts w:eastAsia="Times New Roman" w:cs="Times New Roman"/>
                <w:szCs w:val="24"/>
              </w:rPr>
            </w:pPr>
            <w:r w:rsidRPr="00ED0CFF">
              <w:rPr>
                <w:rFonts w:eastAsia="Times New Roman" w:cs="Times New Roman"/>
                <w:szCs w:val="24"/>
              </w:rPr>
              <w:t>Mid-level LPW</w:t>
            </w:r>
          </w:p>
        </w:tc>
        <w:tc>
          <w:tcPr>
            <w:tcW w:w="1325" w:type="dxa"/>
            <w:vAlign w:val="center"/>
          </w:tcPr>
          <w:p w14:paraId="158FB515" w14:textId="77777777" w:rsidR="00ED0CFF" w:rsidRPr="00ED0CFF" w:rsidRDefault="00ED0CFF" w:rsidP="00ED0CFF">
            <w:pPr>
              <w:spacing w:line="240" w:lineRule="auto"/>
              <w:ind w:firstLine="0"/>
              <w:jc w:val="center"/>
              <w:rPr>
                <w:rFonts w:eastAsia="Times New Roman" w:cs="Times New Roman"/>
                <w:szCs w:val="24"/>
              </w:rPr>
            </w:pPr>
            <w:r w:rsidRPr="00ED0CFF">
              <w:rPr>
                <w:rFonts w:eastAsia="Times New Roman" w:cs="Times New Roman"/>
                <w:szCs w:val="24"/>
              </w:rPr>
              <w:t>0.15 cm</w:t>
            </w:r>
          </w:p>
        </w:tc>
        <w:tc>
          <w:tcPr>
            <w:tcW w:w="2909" w:type="dxa"/>
            <w:vMerge/>
            <w:vAlign w:val="center"/>
          </w:tcPr>
          <w:p w14:paraId="4522A3EC" w14:textId="77777777" w:rsidR="00ED0CFF" w:rsidRPr="00ED0CFF" w:rsidRDefault="00ED0CFF" w:rsidP="00ED0CFF">
            <w:pPr>
              <w:spacing w:line="240" w:lineRule="auto"/>
              <w:ind w:firstLine="0"/>
              <w:jc w:val="center"/>
              <w:rPr>
                <w:rFonts w:eastAsia="Times New Roman" w:cs="Times New Roman"/>
                <w:szCs w:val="24"/>
              </w:rPr>
            </w:pPr>
          </w:p>
        </w:tc>
        <w:tc>
          <w:tcPr>
            <w:tcW w:w="2909" w:type="dxa"/>
            <w:vMerge/>
            <w:vAlign w:val="center"/>
          </w:tcPr>
          <w:p w14:paraId="5CF75E8A" w14:textId="77777777" w:rsidR="00ED0CFF" w:rsidRPr="00ED0CFF" w:rsidRDefault="00ED0CFF" w:rsidP="00ED0CFF">
            <w:pPr>
              <w:spacing w:line="240" w:lineRule="auto"/>
              <w:ind w:firstLine="0"/>
              <w:jc w:val="center"/>
              <w:rPr>
                <w:rFonts w:eastAsia="Times New Roman" w:cs="Times New Roman"/>
                <w:szCs w:val="24"/>
              </w:rPr>
            </w:pPr>
          </w:p>
        </w:tc>
      </w:tr>
      <w:tr w:rsidR="00ED0CFF" w:rsidRPr="00ED0CFF" w14:paraId="7CDAA38B" w14:textId="77777777" w:rsidTr="00B45862">
        <w:tc>
          <w:tcPr>
            <w:tcW w:w="2189" w:type="dxa"/>
            <w:vAlign w:val="center"/>
          </w:tcPr>
          <w:p w14:paraId="308D60B1" w14:textId="77777777" w:rsidR="00ED0CFF" w:rsidRPr="00ED0CFF" w:rsidRDefault="00ED0CFF" w:rsidP="00ED0CFF">
            <w:pPr>
              <w:spacing w:line="240" w:lineRule="auto"/>
              <w:ind w:firstLine="0"/>
              <w:jc w:val="center"/>
              <w:rPr>
                <w:rFonts w:eastAsia="Times New Roman" w:cs="Times New Roman"/>
                <w:szCs w:val="24"/>
              </w:rPr>
            </w:pPr>
            <w:r w:rsidRPr="00ED0CFF">
              <w:rPr>
                <w:rFonts w:eastAsia="Times New Roman" w:cs="Times New Roman"/>
                <w:szCs w:val="24"/>
              </w:rPr>
              <w:t>Radial Velocity</w:t>
            </w:r>
          </w:p>
        </w:tc>
        <w:tc>
          <w:tcPr>
            <w:tcW w:w="1325" w:type="dxa"/>
            <w:vAlign w:val="center"/>
          </w:tcPr>
          <w:p w14:paraId="3AC33114" w14:textId="77777777" w:rsidR="00ED0CFF" w:rsidRPr="00ED0CFF" w:rsidRDefault="00ED0CFF" w:rsidP="00ED0CFF">
            <w:pPr>
              <w:spacing w:line="240" w:lineRule="auto"/>
              <w:ind w:firstLine="0"/>
              <w:jc w:val="center"/>
              <w:rPr>
                <w:rFonts w:eastAsia="Times New Roman" w:cs="Times New Roman"/>
                <w:szCs w:val="24"/>
                <w:vertAlign w:val="superscript"/>
              </w:rPr>
            </w:pPr>
            <w:r w:rsidRPr="00ED0CFF">
              <w:rPr>
                <w:rFonts w:eastAsia="Times New Roman" w:cs="Times New Roman"/>
                <w:szCs w:val="24"/>
              </w:rPr>
              <w:t>2.0 ms</w:t>
            </w:r>
            <w:r w:rsidRPr="00ED0CFF">
              <w:rPr>
                <w:rFonts w:eastAsia="Times New Roman" w:cs="Times New Roman"/>
                <w:szCs w:val="24"/>
                <w:vertAlign w:val="superscript"/>
              </w:rPr>
              <w:t>-1</w:t>
            </w:r>
          </w:p>
        </w:tc>
        <w:tc>
          <w:tcPr>
            <w:tcW w:w="2909" w:type="dxa"/>
            <w:vMerge w:val="restart"/>
            <w:vAlign w:val="center"/>
          </w:tcPr>
          <w:p w14:paraId="6D3EB0BE" w14:textId="77777777" w:rsidR="00ED0CFF" w:rsidRPr="00ED0CFF" w:rsidRDefault="00ED0CFF" w:rsidP="00ED0CFF">
            <w:pPr>
              <w:spacing w:line="240" w:lineRule="auto"/>
              <w:ind w:firstLine="0"/>
              <w:jc w:val="center"/>
              <w:rPr>
                <w:rFonts w:eastAsia="Times New Roman" w:cs="Times New Roman"/>
                <w:szCs w:val="24"/>
              </w:rPr>
            </w:pPr>
            <w:r w:rsidRPr="00ED0CFF">
              <w:rPr>
                <w:rFonts w:eastAsia="Times New Roman" w:cs="Times New Roman"/>
                <w:szCs w:val="24"/>
              </w:rPr>
              <w:t>18</w:t>
            </w:r>
          </w:p>
        </w:tc>
        <w:tc>
          <w:tcPr>
            <w:tcW w:w="2909" w:type="dxa"/>
            <w:vMerge/>
            <w:vAlign w:val="center"/>
          </w:tcPr>
          <w:p w14:paraId="190F591E" w14:textId="77777777" w:rsidR="00ED0CFF" w:rsidRPr="00ED0CFF" w:rsidRDefault="00ED0CFF" w:rsidP="00ED0CFF">
            <w:pPr>
              <w:spacing w:line="240" w:lineRule="auto"/>
              <w:ind w:firstLine="0"/>
              <w:jc w:val="center"/>
              <w:rPr>
                <w:rFonts w:eastAsia="Times New Roman" w:cs="Times New Roman"/>
                <w:szCs w:val="24"/>
              </w:rPr>
            </w:pPr>
          </w:p>
        </w:tc>
      </w:tr>
      <w:tr w:rsidR="00ED0CFF" w:rsidRPr="00ED0CFF" w14:paraId="2F20AE2F" w14:textId="77777777" w:rsidTr="00B45862">
        <w:tc>
          <w:tcPr>
            <w:tcW w:w="2189" w:type="dxa"/>
            <w:vAlign w:val="center"/>
          </w:tcPr>
          <w:p w14:paraId="6AC10EEB" w14:textId="77777777" w:rsidR="00ED0CFF" w:rsidRPr="00ED0CFF" w:rsidRDefault="00ED0CFF" w:rsidP="00ED0CFF">
            <w:pPr>
              <w:spacing w:line="240" w:lineRule="auto"/>
              <w:ind w:firstLine="0"/>
              <w:jc w:val="center"/>
              <w:rPr>
                <w:rFonts w:eastAsia="Times New Roman" w:cs="Times New Roman"/>
                <w:szCs w:val="24"/>
              </w:rPr>
            </w:pPr>
            <w:r w:rsidRPr="00ED0CFF">
              <w:rPr>
                <w:rFonts w:eastAsia="Times New Roman" w:cs="Times New Roman"/>
                <w:szCs w:val="24"/>
              </w:rPr>
              <w:t>Reflectivity</w:t>
            </w:r>
          </w:p>
        </w:tc>
        <w:tc>
          <w:tcPr>
            <w:tcW w:w="1325" w:type="dxa"/>
            <w:vAlign w:val="center"/>
          </w:tcPr>
          <w:p w14:paraId="0B663E4B" w14:textId="77777777" w:rsidR="00ED0CFF" w:rsidRPr="00ED0CFF" w:rsidRDefault="00ED0CFF" w:rsidP="00ED0CFF">
            <w:pPr>
              <w:spacing w:line="240" w:lineRule="auto"/>
              <w:ind w:firstLine="0"/>
              <w:jc w:val="center"/>
              <w:rPr>
                <w:rFonts w:eastAsia="Times New Roman" w:cs="Times New Roman"/>
                <w:szCs w:val="24"/>
              </w:rPr>
            </w:pPr>
            <w:r w:rsidRPr="00ED0CFF">
              <w:rPr>
                <w:rFonts w:eastAsia="Times New Roman" w:cs="Times New Roman"/>
                <w:szCs w:val="24"/>
              </w:rPr>
              <w:t>10.0 dBZ</w:t>
            </w:r>
          </w:p>
        </w:tc>
        <w:tc>
          <w:tcPr>
            <w:tcW w:w="2909" w:type="dxa"/>
            <w:vMerge/>
            <w:vAlign w:val="center"/>
          </w:tcPr>
          <w:p w14:paraId="6C706C74" w14:textId="77777777" w:rsidR="00ED0CFF" w:rsidRPr="00ED0CFF" w:rsidRDefault="00ED0CFF" w:rsidP="00ED0CFF">
            <w:pPr>
              <w:spacing w:line="240" w:lineRule="auto"/>
              <w:ind w:firstLine="0"/>
              <w:jc w:val="center"/>
              <w:rPr>
                <w:rFonts w:eastAsia="Times New Roman" w:cs="Times New Roman"/>
                <w:szCs w:val="24"/>
              </w:rPr>
            </w:pPr>
          </w:p>
        </w:tc>
        <w:tc>
          <w:tcPr>
            <w:tcW w:w="2909" w:type="dxa"/>
            <w:vMerge/>
            <w:vAlign w:val="center"/>
          </w:tcPr>
          <w:p w14:paraId="2FFD9A99" w14:textId="77777777" w:rsidR="00ED0CFF" w:rsidRPr="00ED0CFF" w:rsidRDefault="00ED0CFF" w:rsidP="00ED0CFF">
            <w:pPr>
              <w:spacing w:line="240" w:lineRule="auto"/>
              <w:ind w:firstLine="0"/>
              <w:jc w:val="center"/>
              <w:rPr>
                <w:rFonts w:eastAsia="Times New Roman" w:cs="Times New Roman"/>
                <w:szCs w:val="24"/>
              </w:rPr>
            </w:pPr>
          </w:p>
        </w:tc>
      </w:tr>
      <w:tr w:rsidR="00ED0CFF" w:rsidRPr="00ED0CFF" w14:paraId="0E4FBA07" w14:textId="77777777" w:rsidTr="00B45862">
        <w:tc>
          <w:tcPr>
            <w:tcW w:w="2189" w:type="dxa"/>
            <w:vAlign w:val="center"/>
          </w:tcPr>
          <w:p w14:paraId="13C7094F" w14:textId="77777777" w:rsidR="00ED0CFF" w:rsidRPr="00ED0CFF" w:rsidRDefault="00ED0CFF" w:rsidP="00ED0CFF">
            <w:pPr>
              <w:spacing w:line="240" w:lineRule="auto"/>
              <w:ind w:firstLine="0"/>
              <w:jc w:val="center"/>
              <w:rPr>
                <w:rFonts w:eastAsia="Times New Roman" w:cs="Times New Roman"/>
                <w:szCs w:val="24"/>
              </w:rPr>
            </w:pPr>
            <w:r w:rsidRPr="00ED0CFF">
              <w:rPr>
                <w:rFonts w:eastAsia="Times New Roman" w:cs="Times New Roman"/>
                <w:szCs w:val="24"/>
              </w:rPr>
              <w:t>CWP</w:t>
            </w:r>
          </w:p>
        </w:tc>
        <w:tc>
          <w:tcPr>
            <w:tcW w:w="1325" w:type="dxa"/>
            <w:vAlign w:val="center"/>
          </w:tcPr>
          <w:p w14:paraId="55BCD312" w14:textId="77777777" w:rsidR="00ED0CFF" w:rsidRPr="00ED0CFF" w:rsidRDefault="00ED0CFF" w:rsidP="00ED0CFF">
            <w:pPr>
              <w:spacing w:line="240" w:lineRule="auto"/>
              <w:ind w:firstLine="0"/>
              <w:jc w:val="center"/>
              <w:rPr>
                <w:rFonts w:eastAsia="Times New Roman" w:cs="Times New Roman"/>
                <w:szCs w:val="24"/>
              </w:rPr>
            </w:pPr>
            <w:r w:rsidRPr="00ED0CFF">
              <w:rPr>
                <w:rFonts w:eastAsia="Times New Roman" w:cs="Times New Roman"/>
                <w:szCs w:val="24"/>
              </w:rPr>
              <w:t>0.4 kg m</w:t>
            </w:r>
            <w:r w:rsidRPr="00ED0CFF">
              <w:rPr>
                <w:rFonts w:eastAsia="Times New Roman" w:cs="Times New Roman"/>
                <w:szCs w:val="24"/>
                <w:vertAlign w:val="superscript"/>
              </w:rPr>
              <w:t>-2</w:t>
            </w:r>
          </w:p>
        </w:tc>
        <w:tc>
          <w:tcPr>
            <w:tcW w:w="2909" w:type="dxa"/>
            <w:vMerge/>
            <w:vAlign w:val="center"/>
          </w:tcPr>
          <w:p w14:paraId="47FA3C4B" w14:textId="77777777" w:rsidR="00ED0CFF" w:rsidRPr="00ED0CFF" w:rsidRDefault="00ED0CFF" w:rsidP="00ED0CFF">
            <w:pPr>
              <w:spacing w:line="240" w:lineRule="auto"/>
              <w:ind w:firstLine="0"/>
              <w:jc w:val="center"/>
              <w:rPr>
                <w:rFonts w:eastAsia="Times New Roman" w:cs="Times New Roman"/>
                <w:szCs w:val="24"/>
              </w:rPr>
            </w:pPr>
          </w:p>
        </w:tc>
        <w:tc>
          <w:tcPr>
            <w:tcW w:w="2909" w:type="dxa"/>
            <w:vMerge/>
            <w:vAlign w:val="center"/>
          </w:tcPr>
          <w:p w14:paraId="65E7F285" w14:textId="77777777" w:rsidR="00ED0CFF" w:rsidRPr="00ED0CFF" w:rsidRDefault="00ED0CFF" w:rsidP="00ED0CFF">
            <w:pPr>
              <w:spacing w:line="240" w:lineRule="auto"/>
              <w:ind w:firstLine="0"/>
              <w:jc w:val="center"/>
              <w:rPr>
                <w:rFonts w:eastAsia="Times New Roman" w:cs="Times New Roman"/>
                <w:szCs w:val="24"/>
              </w:rPr>
            </w:pPr>
          </w:p>
        </w:tc>
      </w:tr>
    </w:tbl>
    <w:p w14:paraId="353D7CBD" w14:textId="77777777" w:rsidR="00ED0CFF" w:rsidRDefault="00ED0CFF" w:rsidP="00ED0CFF"/>
    <w:p w14:paraId="0F0CE2FA" w14:textId="33D463A2" w:rsidR="00A07C14" w:rsidRDefault="00A07C14">
      <w:pPr>
        <w:pStyle w:val="Heading2"/>
      </w:pPr>
      <w:bookmarkStart w:id="51" w:name="_Toc130995443"/>
      <w:bookmarkStart w:id="52" w:name="_Toc131018308"/>
      <w:r w:rsidRPr="00DD5D9E">
        <w:t xml:space="preserve">Analysis and </w:t>
      </w:r>
      <w:r w:rsidR="005F7784">
        <w:t>F</w:t>
      </w:r>
      <w:r w:rsidRPr="00DD5D9E">
        <w:t xml:space="preserve">orecast </w:t>
      </w:r>
      <w:r w:rsidR="005F7784">
        <w:t>R</w:t>
      </w:r>
      <w:r w:rsidRPr="00DD5D9E">
        <w:t>esults</w:t>
      </w:r>
      <w:bookmarkEnd w:id="51"/>
      <w:bookmarkEnd w:id="52"/>
    </w:p>
    <w:p w14:paraId="2ADBCD4B" w14:textId="434D46AB" w:rsidR="00A07C14" w:rsidRDefault="00A07C14" w:rsidP="00A07C14">
      <w:pPr>
        <w:tabs>
          <w:tab w:val="left" w:pos="10800"/>
        </w:tabs>
        <w:ind w:firstLine="544"/>
        <w:rPr>
          <w:rFonts w:eastAsia="宋体"/>
        </w:rPr>
      </w:pPr>
      <w:r w:rsidRPr="00DD5D9E">
        <w:t xml:space="preserve">Since 10 May, 16 May, and 26 May 2017 </w:t>
      </w:r>
      <w:r>
        <w:t xml:space="preserve">each </w:t>
      </w:r>
      <w:r w:rsidRPr="00DD5D9E">
        <w:t>represent three different synoptic system</w:t>
      </w:r>
      <w:r>
        <w:t xml:space="preserve"> types, analyses at some particular time when severe weather events were active on these days and their affiliated 3- to 6-h</w:t>
      </w:r>
      <w:r w:rsidR="007D284E">
        <w:t>our</w:t>
      </w:r>
      <w:r>
        <w:t xml:space="preserve"> forecasts are selected for the study</w:t>
      </w:r>
      <w:r w:rsidRPr="00DD5D9E">
        <w:t xml:space="preserve">. Only the results of the deterministic component </w:t>
      </w:r>
      <w:r>
        <w:t>of</w:t>
      </w:r>
      <w:r w:rsidRPr="00DD5D9E">
        <w:t xml:space="preserve"> the three experiments are discussed. </w:t>
      </w:r>
      <w:r w:rsidRPr="00DD5D9E">
        <w:rPr>
          <w:rFonts w:eastAsia="宋体"/>
        </w:rPr>
        <w:t xml:space="preserve">The subjective </w:t>
      </w:r>
      <w:r>
        <w:rPr>
          <w:rFonts w:eastAsia="宋体"/>
        </w:rPr>
        <w:t>diagnostic analyses are provided for each case followed by</w:t>
      </w:r>
      <w:r>
        <w:t xml:space="preserve"> the qualitative forecast evaluation </w:t>
      </w:r>
      <w:r w:rsidRPr="00DD5D9E">
        <w:rPr>
          <w:rFonts w:eastAsia="宋体"/>
        </w:rPr>
        <w:t>includ</w:t>
      </w:r>
      <w:r>
        <w:rPr>
          <w:rFonts w:eastAsia="宋体"/>
        </w:rPr>
        <w:t>ing</w:t>
      </w:r>
      <w:r w:rsidRPr="00DD5D9E">
        <w:rPr>
          <w:rFonts w:eastAsia="宋体"/>
        </w:rPr>
        <w:t xml:space="preserve"> comparing the </w:t>
      </w:r>
      <w:r w:rsidRPr="00DD5D9E">
        <w:t>updraft helicity</w:t>
      </w:r>
      <w:r w:rsidRPr="00DD5D9E">
        <w:rPr>
          <w:rFonts w:eastAsia="宋体"/>
        </w:rPr>
        <w:t xml:space="preserve"> </w:t>
      </w:r>
      <w:r>
        <w:rPr>
          <w:rFonts w:eastAsia="宋体"/>
        </w:rPr>
        <w:t>(</w:t>
      </w:r>
      <w:r w:rsidRPr="00DD5D9E">
        <w:rPr>
          <w:rFonts w:eastAsia="宋体"/>
        </w:rPr>
        <w:t>UH</w:t>
      </w:r>
      <w:r>
        <w:rPr>
          <w:rFonts w:eastAsia="宋体"/>
        </w:rPr>
        <w:t>)</w:t>
      </w:r>
      <w:r w:rsidRPr="00DD5D9E">
        <w:rPr>
          <w:rFonts w:eastAsia="宋体"/>
        </w:rPr>
        <w:t xml:space="preserve"> tracks against SPC storm reports over free forecast periods</w:t>
      </w:r>
      <w:r>
        <w:t xml:space="preserve">. </w:t>
      </w:r>
      <w:r w:rsidRPr="00DD5D9E">
        <w:t xml:space="preserve">To </w:t>
      </w:r>
      <w:r>
        <w:t xml:space="preserve">provide a quantitative </w:t>
      </w:r>
      <w:r w:rsidRPr="00DD5D9E">
        <w:t xml:space="preserve">measure </w:t>
      </w:r>
      <w:r>
        <w:t>of forecast skill,</w:t>
      </w:r>
      <w:r w:rsidRPr="00DD5D9E">
        <w:t xml:space="preserve"> the frequency bias (BIAS)</w:t>
      </w:r>
      <w:r>
        <w:t xml:space="preserve"> and</w:t>
      </w:r>
      <w:r w:rsidRPr="00DD5D9E">
        <w:t xml:space="preserve"> </w:t>
      </w:r>
      <w:r w:rsidR="007D2959" w:rsidRPr="007D2959">
        <w:t xml:space="preserve">fractions </w:t>
      </w:r>
      <w:r>
        <w:t>s</w:t>
      </w:r>
      <w:r w:rsidRPr="00DD5D9E">
        <w:t xml:space="preserve">kill </w:t>
      </w:r>
      <w:r>
        <w:t>s</w:t>
      </w:r>
      <w:r w:rsidRPr="00DD5D9E">
        <w:t>core</w:t>
      </w:r>
      <w:r w:rsidR="007D284E">
        <w:t xml:space="preserve"> </w:t>
      </w:r>
      <w:r w:rsidR="007D284E">
        <w:fldChar w:fldCharType="begin"/>
      </w:r>
      <w:r w:rsidR="00186B73">
        <w:instrText xml:space="preserve"> ADDIN ZOTERO_ITEM CSL_CITATION {"citationID":"anosBFPN","properties":{"formattedCitation":"(Roberts and Lean 2008; Roberts 2008)","plainCitation":"(Roberts and Lean 2008; Roberts 2008)","dontUpdate":true,"noteIndex":0},"citationItems":[{"id":511,"uris":["http://zotero.org/users/local/6VSApgKp/items/U6R6V5TD"],"itemData":{"id":511,"type":"article-journal","abstract":"Abstract The development of NWP models with grid spacing down to </w:instrText>
      </w:r>
      <w:r w:rsidR="00186B73">
        <w:rPr>
          <w:rFonts w:ascii="Cambria Math" w:hAnsi="Cambria Math" w:cs="Cambria Math"/>
        </w:rPr>
        <w:instrText>∼</w:instrText>
      </w:r>
      <w:r w:rsidR="00186B73">
        <w:instrText xml:space="preserve">1 km should produce more realistic forecasts of convective storms. However, greater realism does not necessarily mean more accurate precipitation forecasts. The rapid growth of errors on small scales in conjunction with preexisting errors on larger scales may limit the usefulness of such models. The purpose of this paper is to examine whether improved model resolution alone is able to produce more skillful precipitation forecasts on useful scales, and how the skill varies with spatial scale. A verification method will be described in which skill is determined from a comparison of rainfall forecasts with radar using fractional coverage over different sized areas. The Met Office Unified Model was run with grid spacings of 12, 4, and 1 km for 10 days in which convection occurred during the summers of 2003 and 2004. All forecasts were run from 12-km initial states for a clean comparison. The results show that the 1-km model was the most skillful over all but the smallest scales (approximately &lt;10–15 km). A measure of acceptable skill was defined; this was attained by the 1-km model at scales around 40–70 km, some 10–20 km less than that of the 12-km model. The biggest improvement occurred for heavier, more localized rain, despite it being more difficult to predict. The 4-km model did not improve much on the 12-km model because of the difficulties of representing convection at that resolution, which was accentuated by the spinup from 12-km fields.","container-title":"Monthly Weather Review","DOI":"10.1175/2007MWR2123.1","ISSN":"1520-0493, 0027-0644","issue":"1","language":"EN","note":"publisher: American Meteorological Society\nsection: Monthly Weather Review","page":"78-97","source":"journals.ametsoc.org","title":"Scale-Selective Verification of Rainfall Accumulations from High-Resolution Forecasts of Convective Events","volume":"136","author":[{"family":"Roberts","given":"Nigel M."},{"family":"Lean","given":"Humphrey W."}],"issued":{"date-parts":[["2008",1,1]]},"citation-key":"robertsScaleSelectiveVerificationRainfall2008"}},{"id":513,"uris":["http://zotero.org/users/local/6VSApgKp/items/XQHMIH3R"],"itemData":{"id":513,"type":"article-journal","abstract":"It is becoming increasingly important to be able to verify the spatial accuracy of precipitation forecasts, especially with the advent of high-resolution numerical weather prediction (NWP) models. In this article, the fractions skill score (FSS) approach has been used to perform a scale-selective evaluation of precipitation forecasts during 2003 from the Met Office mesoscale model (12 km grid length). The investigation shows how skill varies with spatial scale, the scales over which the data assimilation (DA) adds most skill, and how the loss of that skill is dependent on both the spatial scale and the rainfall coverage being examined. Although these results come from a specific model, they demonstrate how this verification approach can provide a quantitative assessment of the spatial behaviour of new finer-resolution models and DA techniques. Copyright © 2008 Royal Meteorological Society","container-title":"Meteorological Applications","DOI":"10.1002/met.57","ISSN":"1469-8080","issue":"1","language":"en","note":"_eprint: https://onlinelibrary.wiley.com/doi/pdf/10.1002/met.57","page":"163-169","source":"Wiley Online Library","title":"Assessing the spatial and temporal variation in the skill of precipitation forecasts from an NWP model","volume":"15","author":[{"family":"Roberts","given":"Nigel"}],"issued":{"date-parts":[["2008"]]},"citation-key":"robertsAssessingSpatialTemporal2008"}}],"schema":"https://github.com/citation-style-language/schema/raw/master/csl-citation.json"} </w:instrText>
      </w:r>
      <w:r w:rsidR="007D284E">
        <w:fldChar w:fldCharType="separate"/>
      </w:r>
      <w:r w:rsidR="007D284E">
        <w:rPr>
          <w:noProof/>
        </w:rPr>
        <w:t>(FSS; Roberts and Lean 2008; Roberts 2008)</w:t>
      </w:r>
      <w:r w:rsidR="007D284E">
        <w:fldChar w:fldCharType="end"/>
      </w:r>
      <w:r w:rsidRPr="00DD5D9E">
        <w:t xml:space="preserve"> </w:t>
      </w:r>
      <w:r>
        <w:t>for composite reflectivity are computed relative to observational data from the Multi-Radar/Multi-Sensor system</w:t>
      </w:r>
      <w:r w:rsidR="007D284E">
        <w:t xml:space="preserve"> </w:t>
      </w:r>
      <w:r w:rsidR="007D284E">
        <w:fldChar w:fldCharType="begin"/>
      </w:r>
      <w:r w:rsidR="00A3683E">
        <w:instrText xml:space="preserve"> ADDIN ZOTERO_ITEM CSL_CITATION {"citationID":"0LpZGrzr","properties":{"formattedCitation":"(Smith et al. 2016)","plainCitation":"(Smith et al. 2016)","dontUpdate":true,"noteIndex":0},"citationItems":[{"id":171,"uris":["http://zotero.org/users/local/6VSApgKp/items/GW2S37V4"],"itemData":{"id":171,"type":"article-journal","abstract":"&lt;section class=\"abstract\"&gt;&lt;h2 class=\"abstractTitle text-title my-1\" id=\"d119144469e139\"&gt;Abstract&lt;/h2&gt;&lt;p&gt;The &lt;span class=\"hi\"&gt;Multi-Radar&lt;/span&gt; &lt;span class=\"hi\"&gt;Multi-Sensor&lt;/span&gt; (MRMS) system, which was developed at the National Severe Storms Laboratory and the University of Oklahoma, was made operational in 2014 at the National Centers for Environmental Prediction. The MRMS system consists of the Warning Decision Support System–Integrated Information suite of severe weather and aviation products, and the quantitative precipitation estimation products created by the National Mosaic and &lt;span class=\"hi\"&gt;Multi-sensor&lt;/span&gt; Quantitative Precipitation Estimation system. Products created by the MRMS system are at a spatial resolution of approximately 1 km, with 33 vertical levels, updating every 2 min over the conterminous United States and southern Canada. This paper describes initial operating capabilities for the severe weather and aviation products that include a three-dimensional mosaic of reflectivity; guidance for hail, tornado, and lightning hazards; and nowcasts of storm location, height, and intensity.&lt;/p&gt;&lt;/section&gt;","container-title":"Bulletin of the American Meteorological Society","DOI":"10.1175/BAMS-D-14-00173.1","ISSN":"0003-0007, 1520-0477","issue":"9","language":"EN","note":"publisher: American Meteorological Society\nsection: Bulletin of the American Meteorological Society","page":"1617-1630","source":"journals.ametsoc.org","title":"Multi-Radar Multi-Sensor (MRMS) Severe Weather and Aviation Products: Initial Operating Capabilities","title-short":"Multi-Radar Multi-Sensor (MRMS) Severe Weather and Aviation Products","volume":"97","author":[{"family":"Smith","given":"Travis M."},{"family":"Lakshmanan","given":"Valliappa"},{"family":"Stumpf","given":"Gregory J."},{"family":"Ortega","given":"Kiel L."},{"family":"Hondl","given":"Kurt"},{"family":"Cooper","given":"Karen"},{"family":"Calhoun","given":"Kristin M."},{"family":"Kingfield","given":"Darrel M."},{"family":"Manross","given":"Kevin L."},{"family":"Toomey","given":"Robert"},{"family":"Brogden","given":"Jeff"}],"issued":{"date-parts":[["2016",9,1]]},"citation-key":"smithMultiRadarMultiSensorMRMS2016"}}],"schema":"https://github.com/citation-style-language/schema/raw/master/csl-citation.json"} </w:instrText>
      </w:r>
      <w:r w:rsidR="007D284E">
        <w:fldChar w:fldCharType="separate"/>
      </w:r>
      <w:r w:rsidR="007D284E">
        <w:rPr>
          <w:noProof/>
        </w:rPr>
        <w:t>(MRMS; Smith et al. 2016)</w:t>
      </w:r>
      <w:r w:rsidR="007D284E">
        <w:fldChar w:fldCharType="end"/>
      </w:r>
      <w:r w:rsidR="007D284E">
        <w:t>.</w:t>
      </w:r>
      <w:r>
        <w:t xml:space="preserve"> Additionally, neighborhood equitable threat scores</w:t>
      </w:r>
      <w:r w:rsidR="007D284E">
        <w:t xml:space="preserve"> </w:t>
      </w:r>
      <w:r w:rsidR="007D284E">
        <w:fldChar w:fldCharType="begin"/>
      </w:r>
      <w:r w:rsidR="00186B73">
        <w:instrText xml:space="preserve"> ADDIN ZOTERO_ITEM CSL_CITATION {"citationID":"yUMYuOT8","properties":{"formattedCitation":"(Clark et al. 2010)","plainCitation":"(Clark et al. 2010)","dontUpdate":true,"noteIndex":0},"citationItems":[{"id":332,"uris":["http://zotero.org/users/local/6VSApgKp/items/KKKVGWJE"],"itemData":{"id":332,"type":"article-journal","abstract":"Abstract Since 2003 the National Center for Atmospheric Research (NCAR) has been running various experimental convection-allowing configurations of the Weather Research and Forecasting Model (WRF) for domains covering a large portion of the central United States during the warm season (April–July). In this study, the skill of 3-hourly accumulated precipitation forecasts from a large sample of these convection-allowing simulations conducted during 2004–05 and 2007–08 is compared to that from operational North American Mesoscale (NAM) model forecasts using a neighborhood-based equitable threat score (ETS). Separate analyses were conducted for simulations run before and after the </w:instrText>
      </w:r>
      <w:r w:rsidR="00186B73">
        <w:rPr>
          <w:rFonts w:hint="eastAsia"/>
        </w:rPr>
        <w:instrText xml:space="preserve">implementation in 2007 of positive-definite (PD) moisture transport for the NCAR-WRF simulations. The neighborhood-based ETS (denoted </w:instrText>
      </w:r>
      <w:r w:rsidR="00186B73">
        <w:rPr>
          <w:rFonts w:hint="eastAsia"/>
        </w:rPr>
        <w:instrText>〈</w:instrText>
      </w:r>
      <w:r w:rsidR="00186B73">
        <w:rPr>
          <w:rFonts w:hint="eastAsia"/>
        </w:rPr>
        <w:instrText>ETS</w:instrText>
      </w:r>
      <w:r w:rsidR="00186B73">
        <w:rPr>
          <w:rFonts w:hint="eastAsia"/>
        </w:rPr>
        <w:instrText>〉</w:instrText>
      </w:r>
      <w:r w:rsidR="00186B73">
        <w:rPr>
          <w:rFonts w:hint="eastAsia"/>
        </w:rPr>
        <w:instrText xml:space="preserve">r) relaxes the criteria for </w:instrText>
      </w:r>
      <w:r w:rsidR="00186B73">
        <w:rPr>
          <w:rFonts w:hint="eastAsia"/>
        </w:rPr>
        <w:instrText>“</w:instrText>
      </w:r>
      <w:r w:rsidR="00186B73">
        <w:rPr>
          <w:rFonts w:hint="eastAsia"/>
        </w:rPr>
        <w:instrText>hits</w:instrText>
      </w:r>
      <w:r w:rsidR="00186B73">
        <w:rPr>
          <w:rFonts w:hint="eastAsia"/>
        </w:rPr>
        <w:instrText>”</w:instrText>
      </w:r>
      <w:r w:rsidR="00186B73">
        <w:rPr>
          <w:rFonts w:hint="eastAsia"/>
        </w:rPr>
        <w:instrText xml:space="preserve"> (i.e., correct forecasts) by considering grid points within a specified radius r. It is shown that </w:instrText>
      </w:r>
      <w:r w:rsidR="00186B73">
        <w:rPr>
          <w:rFonts w:hint="eastAsia"/>
        </w:rPr>
        <w:instrText>〈</w:instrText>
      </w:r>
      <w:r w:rsidR="00186B73">
        <w:rPr>
          <w:rFonts w:hint="eastAsia"/>
        </w:rPr>
        <w:instrText>ETS</w:instrText>
      </w:r>
      <w:r w:rsidR="00186B73">
        <w:rPr>
          <w:rFonts w:hint="eastAsia"/>
        </w:rPr>
        <w:instrText>〉</w:instrText>
      </w:r>
      <w:r w:rsidR="00186B73">
        <w:rPr>
          <w:rFonts w:hint="eastAsia"/>
        </w:rPr>
        <w:instrText xml:space="preserve">r is more useful than the traditional ETS because </w:instrText>
      </w:r>
      <w:r w:rsidR="00186B73">
        <w:rPr>
          <w:rFonts w:hint="eastAsia"/>
        </w:rPr>
        <w:instrText>〈</w:instrText>
      </w:r>
      <w:r w:rsidR="00186B73">
        <w:rPr>
          <w:rFonts w:hint="eastAsia"/>
        </w:rPr>
        <w:instrText>ETS</w:instrText>
      </w:r>
      <w:r w:rsidR="00186B73">
        <w:rPr>
          <w:rFonts w:hint="eastAsia"/>
        </w:rPr>
        <w:instrText>〉</w:instrText>
      </w:r>
      <w:r w:rsidR="00186B73">
        <w:rPr>
          <w:rFonts w:hint="eastAsia"/>
        </w:rPr>
        <w:instrText xml:space="preserve">r can be used to diagnose differences in precipitation forecast skill between different models as a function of spatial scale, whereas the traditional ETS only considers the spatial scale of the verification grid. It was found that differences in </w:instrText>
      </w:r>
      <w:r w:rsidR="00186B73">
        <w:rPr>
          <w:rFonts w:hint="eastAsia"/>
        </w:rPr>
        <w:instrText>〈</w:instrText>
      </w:r>
      <w:r w:rsidR="00186B73">
        <w:rPr>
          <w:rFonts w:hint="eastAsia"/>
        </w:rPr>
        <w:instrText>ETS</w:instrText>
      </w:r>
      <w:r w:rsidR="00186B73">
        <w:rPr>
          <w:rFonts w:hint="eastAsia"/>
        </w:rPr>
        <w:instrText>〉</w:instrText>
      </w:r>
      <w:r w:rsidR="00186B73">
        <w:rPr>
          <w:rFonts w:hint="eastAsia"/>
        </w:rPr>
        <w:instrText xml:space="preserve">r between NCAR-WRF and NAM generally increased with increasing r, with NCAR-WRF having higher scores. Examining time series of </w:instrText>
      </w:r>
      <w:r w:rsidR="00186B73">
        <w:rPr>
          <w:rFonts w:hint="eastAsia"/>
        </w:rPr>
        <w:instrText>〈</w:instrText>
      </w:r>
      <w:r w:rsidR="00186B73">
        <w:rPr>
          <w:rFonts w:hint="eastAsia"/>
        </w:rPr>
        <w:instrText>ETS</w:instrText>
      </w:r>
      <w:r w:rsidR="00186B73">
        <w:rPr>
          <w:rFonts w:hint="eastAsia"/>
        </w:rPr>
        <w:instrText>〉</w:instrText>
      </w:r>
      <w:r w:rsidR="00186B73">
        <w:rPr>
          <w:rFonts w:hint="eastAsia"/>
        </w:rPr>
        <w:instrText xml:space="preserve">r for r = 100 and r = 0 km (which simply reduces to the </w:instrText>
      </w:r>
      <w:r w:rsidR="00186B73">
        <w:rPr>
          <w:rFonts w:hint="eastAsia"/>
        </w:rPr>
        <w:instrText>“</w:instrText>
      </w:r>
      <w:r w:rsidR="00186B73">
        <w:rPr>
          <w:rFonts w:hint="eastAsia"/>
        </w:rPr>
        <w:instrText>traditional</w:instrText>
      </w:r>
      <w:r w:rsidR="00186B73">
        <w:rPr>
          <w:rFonts w:hint="eastAsia"/>
        </w:rPr>
        <w:instrText>”</w:instrText>
      </w:r>
      <w:r w:rsidR="00186B73">
        <w:rPr>
          <w:rFonts w:hint="eastAsia"/>
        </w:rPr>
        <w:instrText xml:space="preserve"> ETS), statistically significant differences between NCAR-WRF and NAM were found at many forecast lead times for </w:instrText>
      </w:r>
      <w:r w:rsidR="00186B73">
        <w:rPr>
          <w:rFonts w:hint="eastAsia"/>
        </w:rPr>
        <w:instrText>〈</w:instrText>
      </w:r>
      <w:r w:rsidR="00186B73">
        <w:rPr>
          <w:rFonts w:hint="eastAsia"/>
        </w:rPr>
        <w:instrText>ETS</w:instrText>
      </w:r>
      <w:r w:rsidR="00186B73">
        <w:rPr>
          <w:rFonts w:hint="eastAsia"/>
        </w:rPr>
        <w:instrText>〉</w:instrText>
      </w:r>
      <w:r w:rsidR="00186B73">
        <w:rPr>
          <w:rFonts w:hint="eastAsia"/>
        </w:rPr>
        <w:instrText xml:space="preserve">100 but only a few times for </w:instrText>
      </w:r>
      <w:r w:rsidR="00186B73">
        <w:rPr>
          <w:rFonts w:hint="eastAsia"/>
        </w:rPr>
        <w:instrText>〈</w:instrText>
      </w:r>
      <w:r w:rsidR="00186B73">
        <w:rPr>
          <w:rFonts w:hint="eastAsia"/>
        </w:rPr>
        <w:instrText>ETS</w:instrText>
      </w:r>
      <w:r w:rsidR="00186B73">
        <w:rPr>
          <w:rFonts w:hint="eastAsia"/>
        </w:rPr>
        <w:instrText>〉</w:instrText>
      </w:r>
      <w:r w:rsidR="00186B73">
        <w:rPr>
          <w:rFonts w:hint="eastAsia"/>
        </w:rPr>
        <w:instrText>0. Larger and more statistically significant differences occurred with the 2007</w:instrText>
      </w:r>
      <w:r w:rsidR="00186B73">
        <w:rPr>
          <w:rFonts w:hint="eastAsia"/>
        </w:rPr>
        <w:instrText>–</w:instrText>
      </w:r>
      <w:r w:rsidR="00186B73">
        <w:rPr>
          <w:rFonts w:hint="eastAsia"/>
        </w:rPr>
        <w:instrText>08</w:instrText>
      </w:r>
      <w:r w:rsidR="00186B73">
        <w:instrText xml:space="preserve"> cases relative to the 2004–05 cases. Because of differences in model configurations and dominant large-scale weather regimes, a more controlled experiment would have been needed to diagnose the reason for the larger differences that occurred with the 2007–08 cases. Finally, a compositing technique was used to diagnose the differences in the spatial distribution of the forecasts. This technique implied westward displacement errors for NAM model forecasts in both sets of cases and in NCAR-WRF model forecasts for the 2007–08 cases. Generally, the results are encouraging because they imply that advantages in convection-allowing relative to convection-parameterizing simulations noted in recent studies are reflected in an objective neighborhood-based metric.","container-title":"Weather and Forecasting","DOI":"10.1175/2010WAF2222404.1","ISSN":"1520-0434, 0882-8156","issue":"5","language":"EN","note":"publisher: American Meteorological Society\nsection: Weather and Forecasting","page":"1495-1509","source":"journals-ametsoc-org.ezproxy.lib.ou.edu","title":"Neighborhood-Based Verification of Precipitation Forecasts from Convection-Allowing NCAR WRF Model Simulations and the Operational NAM","volume":"25","author":[{"family":"Clark","given":"Adam J."},{"family":"Gallus","given":"William A."},{"family":"Weisman","given":"Morris L."}],"issued":{"date-parts":[["2010",10,1]]},"citation-key":"clarkNeighborhoodBasedVerificationPrecipitation2010"}}],"schema":"https://github.com/citation-style-language/schema/raw/master/csl-citation.json"} </w:instrText>
      </w:r>
      <w:r w:rsidR="007D284E">
        <w:fldChar w:fldCharType="separate"/>
      </w:r>
      <w:r w:rsidR="007D284E">
        <w:rPr>
          <w:noProof/>
        </w:rPr>
        <w:t>(ETS; Clark et al. 2010)</w:t>
      </w:r>
      <w:r w:rsidR="007D284E">
        <w:fldChar w:fldCharType="end"/>
      </w:r>
      <w:r>
        <w:t xml:space="preserve"> aggregated over all cases are also calculated relative to NCEP’s Stage IV hourly precipitation product</w:t>
      </w:r>
      <w:r w:rsidR="007D284E">
        <w:t xml:space="preserve"> </w:t>
      </w:r>
      <w:r w:rsidR="007D284E">
        <w:fldChar w:fldCharType="begin"/>
      </w:r>
      <w:r w:rsidR="005C44F5">
        <w:instrText xml:space="preserve"> ADDIN ZOTERO_ITEM CSL_CITATION {"citationID":"gqkAi0Q4","properties":{"formattedCitation":"(Du 2011)","plainCitation":"(Du 2011)","noteIndex":0},"citationItems":[{"id":399,"uris":["http://zotero.org/users/local/6VSApgKp/items/D58TT3NK"],"itemData":{"id":399,"type":"dataset","abstract":"The Stage IV analysis is based on the multi-sensor hourly/6-hourly 'Stage III' analyses (on local 4km polar-stereographic grids) produced by the 12 River Forecast Centers (RFCs) in CONUS. NCEP mosaics the Stage III into a national product (the Stage IV). Hourly, 6-hourly and 24-hourly (accumulated from the 6-hourly) analyses are available. The Stage IV differs from the NCEP Stage II chiefly in that the NCEP Stage II contains no manual quality control (QC), while the Stage IV benefits from manual QC performed on the Stage III data at the RFCs. As of April 2017 this data includes Alaska and Puerto Rico stations. As of 20 July 2020, data file formats changed from GRIB1 to GRIB2, with similar name changes (e.g., *.grb2). Starting on 20 July 2020, the GRIB1 files may not have complete data. Please refer to the GRIB2 files instead.","DOI":"10.5065/D6PG1QDD","language":"en","license":"These data are available to be used subject to the University Corporation for Atmospheric Research (\"UCAR\") terms and conditions.","note":"dimensions: 291407 data files, 2 ancillary/documentation files, 17 GiB\nmedium: GRIB-2: Gridded Binary Edition 2 (GRIB)\npage: 291407 data files, 2 ancillary/documentation files, 17 GiB","publisher":"UCAR/NCAR - Earth Observing Laboratory","source":"DOI.org (Datacite)","title":"NCEP/EMC 4KM Gridded Data (GRIB) Stage IV Data. Version 1.0","URL":"https://data.eol.ucar.edu/dataset/21.093","version":"1.0","author":[{"family":"Du","given":"J."}],"contributor":[{"family":"University Corporation For Atmospheric Research (UCAR):National Center For Atmospheric Research (NCAR):Earth Observing Laboratory (EOL):Data Managment And Services (DMS)","given":""},{"family":"Du","given":"Jun"}],"accessed":{"date-parts":[["2023",2,8]]},"issued":{"date-parts":[["2011"]]},"citation-key":"duNCEPEMC4KM2011"}}],"schema":"https://github.com/citation-style-language/schema/raw/master/csl-citation.json"} </w:instrText>
      </w:r>
      <w:r w:rsidR="007D284E">
        <w:fldChar w:fldCharType="separate"/>
      </w:r>
      <w:r w:rsidR="007D284E">
        <w:rPr>
          <w:noProof/>
        </w:rPr>
        <w:t>(Du 2011)</w:t>
      </w:r>
      <w:r w:rsidR="007D284E">
        <w:fldChar w:fldCharType="end"/>
      </w:r>
      <w:r w:rsidRPr="00DD5D9E">
        <w:rPr>
          <w:rFonts w:eastAsia="宋体"/>
        </w:rPr>
        <w:t xml:space="preserve">. </w:t>
      </w:r>
      <w:r>
        <w:rPr>
          <w:rFonts w:eastAsia="宋体"/>
        </w:rPr>
        <w:t xml:space="preserve">Finally, information about the statistical metrics and moments of the hybrid </w:t>
      </w:r>
      <w:r w:rsidR="007F145D">
        <w:rPr>
          <w:rFonts w:eastAsia="宋体"/>
        </w:rPr>
        <w:t>3D</w:t>
      </w:r>
      <w:r>
        <w:rPr>
          <w:rFonts w:eastAsia="宋体"/>
        </w:rPr>
        <w:t>EnV</w:t>
      </w:r>
      <w:r w:rsidR="00EA1DF0">
        <w:rPr>
          <w:rFonts w:eastAsia="宋体"/>
        </w:rPr>
        <w:t>AR</w:t>
      </w:r>
      <w:r>
        <w:rPr>
          <w:rFonts w:eastAsia="宋体"/>
        </w:rPr>
        <w:t xml:space="preserve"> are given</w:t>
      </w:r>
      <w:r w:rsidRPr="00DD5D9E">
        <w:rPr>
          <w:rFonts w:eastAsia="宋体"/>
        </w:rPr>
        <w:t>.</w:t>
      </w:r>
    </w:p>
    <w:p w14:paraId="5BEEAC00" w14:textId="5819256E" w:rsidR="007D284E" w:rsidRPr="007F145D" w:rsidRDefault="007D284E" w:rsidP="007F145D">
      <w:pPr>
        <w:pStyle w:val="Heading3"/>
      </w:pPr>
      <w:bookmarkStart w:id="53" w:name="_Toc130995444"/>
      <w:bookmarkStart w:id="54" w:name="_Toc131018309"/>
      <w:r w:rsidRPr="007F145D">
        <w:lastRenderedPageBreak/>
        <w:t xml:space="preserve">Analysis </w:t>
      </w:r>
      <w:r w:rsidR="005F7784" w:rsidRPr="007F145D">
        <w:t>d</w:t>
      </w:r>
      <w:r w:rsidRPr="007F145D">
        <w:t>iagnostics</w:t>
      </w:r>
      <w:bookmarkEnd w:id="53"/>
      <w:bookmarkEnd w:id="54"/>
    </w:p>
    <w:p w14:paraId="61F47495" w14:textId="02D1F1D8" w:rsidR="007D284E" w:rsidRPr="007F145D" w:rsidRDefault="007D284E" w:rsidP="007F145D">
      <w:pPr>
        <w:pStyle w:val="Heading4"/>
      </w:pPr>
      <w:bookmarkStart w:id="55" w:name="_Toc130995445"/>
      <w:bookmarkStart w:id="56" w:name="_Toc131018310"/>
      <w:r w:rsidRPr="007F145D">
        <w:t>10 May 2017 event</w:t>
      </w:r>
      <w:bookmarkEnd w:id="55"/>
      <w:bookmarkEnd w:id="56"/>
    </w:p>
    <w:p w14:paraId="670C71BC" w14:textId="2D605D16" w:rsidR="007D284E" w:rsidRDefault="007D284E" w:rsidP="007D284E">
      <w:r w:rsidRPr="00DD5D9E">
        <w:t xml:space="preserve">On 10 May 2017, the </w:t>
      </w:r>
      <w:r>
        <w:rPr>
          <w:rFonts w:hint="eastAsia"/>
        </w:rPr>
        <w:t>pre-storm</w:t>
      </w:r>
      <w:r>
        <w:t xml:space="preserve"> environment over</w:t>
      </w:r>
      <w:r w:rsidRPr="00DD5D9E">
        <w:t xml:space="preserve"> Oklahoma and Texas </w:t>
      </w:r>
      <w:r>
        <w:t>was becoming</w:t>
      </w:r>
      <w:r w:rsidRPr="00DD5D9E">
        <w:t xml:space="preserve"> unstable</w:t>
      </w:r>
      <w:r>
        <w:t xml:space="preserve"> starting from about 1700 UTC. </w:t>
      </w:r>
      <w:r w:rsidRPr="00DD5D9E">
        <w:t>Near the Oklahoma</w:t>
      </w:r>
      <w:r>
        <w:t>/</w:t>
      </w:r>
      <w:r w:rsidRPr="00DD5D9E">
        <w:t>Texas</w:t>
      </w:r>
      <w:r>
        <w:t xml:space="preserve"> </w:t>
      </w:r>
      <w:r w:rsidRPr="00DD5D9E">
        <w:t>border,</w:t>
      </w:r>
      <w:r>
        <w:t xml:space="preserve"> m</w:t>
      </w:r>
      <w:r w:rsidRPr="00DD5D9E">
        <w:t xml:space="preserve">ultiple </w:t>
      </w:r>
      <w:r>
        <w:t>severe-warned storms, including</w:t>
      </w:r>
      <w:r w:rsidRPr="00DD5D9E">
        <w:t xml:space="preserve"> supercells</w:t>
      </w:r>
      <w:r>
        <w:t xml:space="preserve">, developed and affected the area throughout the day </w:t>
      </w:r>
      <w:r w:rsidRPr="00DD5D9E">
        <w:t>(</w:t>
      </w:r>
      <w:r>
        <w:t>See markers in Fig. 3.13</w:t>
      </w:r>
      <w:r w:rsidRPr="00DD5D9E">
        <w:rPr>
          <w:rFonts w:hint="eastAsia"/>
        </w:rPr>
        <w:t>)</w:t>
      </w:r>
      <w:r w:rsidRPr="00DD5D9E">
        <w:t>. Fig</w:t>
      </w:r>
      <w:r>
        <w:t>ure 3.4</w:t>
      </w:r>
      <w:r w:rsidRPr="00DD5D9E">
        <w:t xml:space="preserve"> shows the surface temperature at 2000 UTC</w:t>
      </w:r>
      <w:r>
        <w:t xml:space="preserve"> 10 May 2017,</w:t>
      </w:r>
      <w:r w:rsidRPr="00DD5D9E">
        <w:t xml:space="preserve"> after two hours of </w:t>
      </w:r>
      <w:r w:rsidR="003F0051">
        <w:t>DA</w:t>
      </w:r>
      <w:r w:rsidRPr="00DD5D9E">
        <w:t xml:space="preserve"> cycl</w:t>
      </w:r>
      <w:r>
        <w:t>ing</w:t>
      </w:r>
      <w:r w:rsidRPr="00DD5D9E">
        <w:t xml:space="preserve"> for each experiment. The temperature gradient along the </w:t>
      </w:r>
      <w:r>
        <w:t>Oklahoma/Texas border is not sharp or well-defined</w:t>
      </w:r>
      <w:r w:rsidRPr="00DD5D9E">
        <w:t xml:space="preserve"> for all experiments (Fig</w:t>
      </w:r>
      <w:r>
        <w:t>s</w:t>
      </w:r>
      <w:r w:rsidRPr="00DD5D9E">
        <w:t xml:space="preserve">. </w:t>
      </w:r>
      <w:r>
        <w:t xml:space="preserve">3.4 </w:t>
      </w:r>
      <w:r w:rsidRPr="00DD5D9E">
        <w:t>a-</w:t>
      </w:r>
      <w:r>
        <w:t>e</w:t>
      </w:r>
      <w:r w:rsidRPr="00DD5D9E">
        <w:t xml:space="preserve">). A slight decrease </w:t>
      </w:r>
      <w:r>
        <w:t>in</w:t>
      </w:r>
      <w:r w:rsidRPr="00DD5D9E">
        <w:t xml:space="preserve"> temperature </w:t>
      </w:r>
      <w:r>
        <w:t xml:space="preserve">(~ 5 F) </w:t>
      </w:r>
      <w:r w:rsidRPr="00DD5D9E">
        <w:t xml:space="preserve">is found near the border of </w:t>
      </w:r>
      <w:r w:rsidR="002D7320" w:rsidRPr="00DD5D9E">
        <w:t>Oklahoma</w:t>
      </w:r>
      <w:r w:rsidRPr="00DD5D9E">
        <w:t xml:space="preserve"> and Kansas in RAD which is introduced </w:t>
      </w:r>
      <w:r>
        <w:t xml:space="preserve">due to </w:t>
      </w:r>
      <w:r>
        <w:rPr>
          <w:rFonts w:hint="eastAsia"/>
        </w:rPr>
        <w:t>the</w:t>
      </w:r>
      <w:r>
        <w:t xml:space="preserve"> development of storm cells in </w:t>
      </w:r>
      <w:r w:rsidR="00A95F21">
        <w:t xml:space="preserve">the </w:t>
      </w:r>
      <w:r>
        <w:t xml:space="preserve">model </w:t>
      </w:r>
      <w:r w:rsidRPr="00DD5D9E">
        <w:t>(black box</w:t>
      </w:r>
      <w:r>
        <w:t>,</w:t>
      </w:r>
      <w:r w:rsidRPr="00DD5D9E">
        <w:t xml:space="preserve"> Fig. </w:t>
      </w:r>
      <w:r>
        <w:t xml:space="preserve">3.4 </w:t>
      </w:r>
      <w:r w:rsidRPr="00DD5D9E">
        <w:t xml:space="preserve">b). </w:t>
      </w:r>
      <w:r>
        <w:t>In contrast, w</w:t>
      </w:r>
      <w:r w:rsidRPr="00DD5D9E">
        <w:t>ith the assimilation of satellite</w:t>
      </w:r>
      <w:r>
        <w:t>-</w:t>
      </w:r>
      <w:r w:rsidRPr="00DD5D9E">
        <w:t xml:space="preserve">derived observations (Fig. </w:t>
      </w:r>
      <w:r>
        <w:t xml:space="preserve">3.4 </w:t>
      </w:r>
      <w:r w:rsidRPr="00DD5D9E">
        <w:t>c</w:t>
      </w:r>
      <w:r>
        <w:t xml:space="preserve"> vs Figs. 3.4 a, b</w:t>
      </w:r>
      <w:r w:rsidRPr="00DD5D9E">
        <w:t>)</w:t>
      </w:r>
      <w:r>
        <w:t>,</w:t>
      </w:r>
      <w:r w:rsidRPr="00DD5D9E">
        <w:t xml:space="preserve"> RADSAT generates a large area </w:t>
      </w:r>
      <w:r>
        <w:t>of</w:t>
      </w:r>
      <w:r w:rsidRPr="00DD5D9E">
        <w:t xml:space="preserve"> cooled surface temperature</w:t>
      </w:r>
      <w:r>
        <w:t xml:space="preserve"> (~ 65 F)</w:t>
      </w:r>
      <w:r w:rsidRPr="00DD5D9E">
        <w:t xml:space="preserve"> extend</w:t>
      </w:r>
      <w:r>
        <w:t>ing</w:t>
      </w:r>
      <w:r w:rsidRPr="00DD5D9E">
        <w:t xml:space="preserve"> from </w:t>
      </w:r>
      <w:r>
        <w:t>the eastern part</w:t>
      </w:r>
      <w:r w:rsidRPr="00DD5D9E">
        <w:t xml:space="preserve"> of </w:t>
      </w:r>
      <w:r>
        <w:t>the Texas panhandle</w:t>
      </w:r>
      <w:r w:rsidRPr="00DD5D9E">
        <w:t xml:space="preserve"> through northwestern Oklahoma to southern Kansas (ellipse area in Fig. </w:t>
      </w:r>
      <w:r>
        <w:t xml:space="preserve">3.4 </w:t>
      </w:r>
      <w:r w:rsidRPr="00DD5D9E">
        <w:t>c). Th</w:t>
      </w:r>
      <w:r>
        <w:t>is</w:t>
      </w:r>
      <w:r w:rsidRPr="00DD5D9E">
        <w:t xml:space="preserve"> pattern agree</w:t>
      </w:r>
      <w:r>
        <w:t>s</w:t>
      </w:r>
      <w:r w:rsidRPr="00DD5D9E">
        <w:t xml:space="preserve"> with the Mesonet observations (ellipse area </w:t>
      </w:r>
      <w:r>
        <w:t xml:space="preserve">~ 65 F </w:t>
      </w:r>
      <w:r w:rsidRPr="00DD5D9E">
        <w:t xml:space="preserve">in Fig. </w:t>
      </w:r>
      <w:r w:rsidR="00633314">
        <w:t>3.</w:t>
      </w:r>
      <w:r>
        <w:t>5</w:t>
      </w:r>
      <w:r w:rsidR="00633314">
        <w:t xml:space="preserve"> </w:t>
      </w:r>
      <w:r w:rsidRPr="00DD5D9E">
        <w:t>a)</w:t>
      </w:r>
      <w:r>
        <w:t>,</w:t>
      </w:r>
      <w:r w:rsidRPr="00DD5D9E">
        <w:t xml:space="preserve"> which provide</w:t>
      </w:r>
      <w:r>
        <w:t>s</w:t>
      </w:r>
      <w:r w:rsidRPr="00DD5D9E">
        <w:t xml:space="preserve"> a source of independent verification for the analysis. </w:t>
      </w:r>
      <w:r>
        <w:t>The</w:t>
      </w:r>
      <w:r w:rsidRPr="00DD5D9E">
        <w:t xml:space="preserve"> differences are the consequence of assimilating CWP </w:t>
      </w:r>
      <w:r>
        <w:t xml:space="preserve">and LPW </w:t>
      </w:r>
      <w:r w:rsidRPr="00DD5D9E">
        <w:t>observations which modif</w:t>
      </w:r>
      <w:r>
        <w:t>ied</w:t>
      </w:r>
      <w:r w:rsidRPr="00DD5D9E">
        <w:t xml:space="preserve"> the cloud properties</w:t>
      </w:r>
      <w:r>
        <w:t xml:space="preserve"> in either direct or indirect way</w:t>
      </w:r>
      <w:r w:rsidRPr="00DD5D9E">
        <w:t xml:space="preserve">. </w:t>
      </w:r>
      <w:r>
        <w:t>This interpretation is also supported by the standalone RADCWP and RADLPW experiments (Fig</w:t>
      </w:r>
      <w:r w:rsidR="00633314">
        <w:t>s</w:t>
      </w:r>
      <w:r>
        <w:t xml:space="preserve">. </w:t>
      </w:r>
      <w:r w:rsidR="00633314">
        <w:t>3.</w:t>
      </w:r>
      <w:r>
        <w:t>4</w:t>
      </w:r>
      <w:r w:rsidR="00633314">
        <w:t xml:space="preserve"> </w:t>
      </w:r>
      <w:r>
        <w:t xml:space="preserve">d, e). </w:t>
      </w:r>
    </w:p>
    <w:p w14:paraId="63742305" w14:textId="75B89F1E" w:rsidR="007D284E" w:rsidRDefault="007D284E" w:rsidP="007D284E">
      <w:r w:rsidRPr="00DD5D9E">
        <w:t>The downward shortwave flux (SWDOWN in WRF, Fig</w:t>
      </w:r>
      <w:r w:rsidR="00633314">
        <w:t>s</w:t>
      </w:r>
      <w:r w:rsidRPr="00DD5D9E">
        <w:t xml:space="preserve">. </w:t>
      </w:r>
      <w:r w:rsidR="00633314">
        <w:t>3.</w:t>
      </w:r>
      <w:r>
        <w:t>4</w:t>
      </w:r>
      <w:r w:rsidR="00633314">
        <w:t xml:space="preserve"> </w:t>
      </w:r>
      <w:r>
        <w:t>f</w:t>
      </w:r>
      <w:r w:rsidR="007F145D">
        <w:t xml:space="preserve"> </w:t>
      </w:r>
      <w:r w:rsidRPr="00DD5D9E">
        <w:t>-</w:t>
      </w:r>
      <w:r w:rsidR="007F145D">
        <w:t xml:space="preserve"> </w:t>
      </w:r>
      <w:r>
        <w:t>j)</w:t>
      </w:r>
      <w:r w:rsidRPr="00DD5D9E">
        <w:t xml:space="preserve"> represents the amount of downward shortwave radiation reaching the </w:t>
      </w:r>
      <w:r w:rsidR="002D7320" w:rsidRPr="00DD5D9E">
        <w:t>earth’s</w:t>
      </w:r>
      <w:r w:rsidRPr="00DD5D9E">
        <w:t xml:space="preserve"> surface. Higher values of shortwave flux </w:t>
      </w:r>
      <w:r>
        <w:t xml:space="preserve">are </w:t>
      </w:r>
      <w:r w:rsidRPr="00DD5D9E">
        <w:t xml:space="preserve">associated with clear-sky </w:t>
      </w:r>
      <w:r>
        <w:t>regions and</w:t>
      </w:r>
      <w:r w:rsidRPr="00DD5D9E">
        <w:t xml:space="preserve"> high surface temperature</w:t>
      </w:r>
      <w:r>
        <w:t>s,</w:t>
      </w:r>
      <w:r w:rsidRPr="00DD5D9E">
        <w:t xml:space="preserve"> while lower values of shortwave flux </w:t>
      </w:r>
      <w:r>
        <w:t xml:space="preserve">are </w:t>
      </w:r>
      <w:r w:rsidRPr="00DD5D9E">
        <w:t xml:space="preserve">associated with the existence of clouds </w:t>
      </w:r>
      <w:r>
        <w:t>and cooler</w:t>
      </w:r>
      <w:r w:rsidRPr="00DD5D9E">
        <w:t xml:space="preserve"> temperature</w:t>
      </w:r>
      <w:r>
        <w:t>s</w:t>
      </w:r>
      <w:r w:rsidRPr="00DD5D9E">
        <w:t>. In RAD, the presence of isolated and thick clouds associated with the southern Kansas MCSs is eviden</w:t>
      </w:r>
      <w:r>
        <w:t>ced</w:t>
      </w:r>
      <w:r w:rsidRPr="00DD5D9E">
        <w:t xml:space="preserve"> by low </w:t>
      </w:r>
      <w:r>
        <w:lastRenderedPageBreak/>
        <w:t>downward shortwave flux values</w:t>
      </w:r>
      <w:r w:rsidRPr="00DD5D9E">
        <w:t xml:space="preserve"> at the same location where the surface temperature</w:t>
      </w:r>
      <w:r>
        <w:t xml:space="preserve"> is</w:t>
      </w:r>
      <w:r w:rsidRPr="00DD5D9E">
        <w:t xml:space="preserve"> reduce</w:t>
      </w:r>
      <w:r>
        <w:t>d</w:t>
      </w:r>
      <w:r w:rsidRPr="00DD5D9E">
        <w:t xml:space="preserve"> (the green</w:t>
      </w:r>
      <w:r>
        <w:t xml:space="preserve"> shade </w:t>
      </w:r>
      <w:r w:rsidRPr="00DD5D9E">
        <w:t xml:space="preserve">in the black box of Fig. </w:t>
      </w:r>
      <w:r w:rsidR="00633314">
        <w:t>3.</w:t>
      </w:r>
      <w:r>
        <w:t>4</w:t>
      </w:r>
      <w:r w:rsidR="00633314">
        <w:t xml:space="preserve"> </w:t>
      </w:r>
      <w:r w:rsidRPr="00DD5D9E">
        <w:t>b,</w:t>
      </w:r>
      <w:r>
        <w:t xml:space="preserve"> and</w:t>
      </w:r>
      <w:r w:rsidRPr="00DD5D9E">
        <w:t xml:space="preserve"> the blue </w:t>
      </w:r>
      <w:r>
        <w:t>shade</w:t>
      </w:r>
      <w:r w:rsidRPr="00DD5D9E">
        <w:t xml:space="preserve"> in </w:t>
      </w:r>
      <w:r>
        <w:t>the black</w:t>
      </w:r>
      <w:r w:rsidRPr="00DD5D9E">
        <w:t xml:space="preserve"> box of Fig. </w:t>
      </w:r>
      <w:r w:rsidR="00633314">
        <w:t>3.</w:t>
      </w:r>
      <w:r>
        <w:t>4</w:t>
      </w:r>
      <w:r w:rsidR="00633314">
        <w:t xml:space="preserve"> </w:t>
      </w:r>
      <w:r>
        <w:t>g</w:t>
      </w:r>
      <w:r w:rsidRPr="00DD5D9E">
        <w:t xml:space="preserve">). </w:t>
      </w:r>
      <w:r>
        <w:t>In the RADSAT experiment</w:t>
      </w:r>
      <w:r w:rsidRPr="00DD5D9E">
        <w:t xml:space="preserve">, most of Oklahoma and northeastern Texas </w:t>
      </w:r>
      <w:r>
        <w:t>is associated with low surface temperature and SWDOWN (Fig</w:t>
      </w:r>
      <w:r w:rsidR="00633314">
        <w:t>s</w:t>
      </w:r>
      <w:r>
        <w:t xml:space="preserve">. </w:t>
      </w:r>
      <w:r w:rsidR="00633314">
        <w:t>3.</w:t>
      </w:r>
      <w:r>
        <w:t>4</w:t>
      </w:r>
      <w:r w:rsidR="00633314">
        <w:t xml:space="preserve"> </w:t>
      </w:r>
      <w:r>
        <w:t>c,</w:t>
      </w:r>
      <w:r w:rsidR="00633314">
        <w:t xml:space="preserve"> </w:t>
      </w:r>
      <w:r>
        <w:t>h). This implies extensive cloud cover being present which is evident on the standalone RADCWP/RADLPW experiments (Fig</w:t>
      </w:r>
      <w:r w:rsidR="00633314">
        <w:t>s</w:t>
      </w:r>
      <w:r>
        <w:t xml:space="preserve">. </w:t>
      </w:r>
      <w:r w:rsidR="00633314">
        <w:t>3.</w:t>
      </w:r>
      <w:r>
        <w:t>4</w:t>
      </w:r>
      <w:r w:rsidR="00633314">
        <w:t xml:space="preserve"> </w:t>
      </w:r>
      <w:r>
        <w:t xml:space="preserve">i, j), and </w:t>
      </w:r>
      <w:r w:rsidRPr="00DD5D9E">
        <w:t xml:space="preserve">the corresponding GOES-16 </w:t>
      </w:r>
      <w:r>
        <w:t>visible image</w:t>
      </w:r>
      <w:r w:rsidRPr="00DD5D9E">
        <w:t xml:space="preserve"> (Fig. </w:t>
      </w:r>
      <w:r w:rsidR="00633314">
        <w:t>3.</w:t>
      </w:r>
      <w:r>
        <w:t>5</w:t>
      </w:r>
      <w:r w:rsidR="00633314">
        <w:t xml:space="preserve"> </w:t>
      </w:r>
      <w:r w:rsidRPr="00DD5D9E">
        <w:t xml:space="preserve">b). The </w:t>
      </w:r>
      <w:r>
        <w:t>satellite</w:t>
      </w:r>
      <w:r w:rsidRPr="00DD5D9E">
        <w:t xml:space="preserve"> observation</w:t>
      </w:r>
      <w:r>
        <w:t>s</w:t>
      </w:r>
      <w:r w:rsidRPr="00DD5D9E">
        <w:t xml:space="preserve"> and shortwave flux</w:t>
      </w:r>
      <w:r>
        <w:t xml:space="preserve"> </w:t>
      </w:r>
      <w:r w:rsidRPr="003700F7">
        <w:t>calculated from the model variables</w:t>
      </w:r>
      <w:r w:rsidRPr="00DD5D9E">
        <w:t xml:space="preserve"> corroborate each other and clearly depict the relationship between the cloud characteristics, downward shortwave radiation and surface temperature. Clouds prevent incoming shortwave solar energy from passing through the atmosphere by reflecting and absorbing shortwave radiation </w:t>
      </w:r>
      <w:r w:rsidRPr="00DD5D9E">
        <w:rPr>
          <w:rFonts w:hint="eastAsia"/>
        </w:rPr>
        <w:t>during</w:t>
      </w:r>
      <w:r w:rsidRPr="00DD5D9E">
        <w:t xml:space="preserve"> the daytime, and hence resist surface heating and lead to a cooler surface.</w:t>
      </w:r>
      <w:r w:rsidRPr="00DD5D9E" w:rsidDel="000628CE">
        <w:t xml:space="preserve"> </w:t>
      </w:r>
      <w:r w:rsidRPr="00DD5D9E">
        <w:t xml:space="preserve">These changes in temperature may further stabilize the lower troposphere and restrain the development of spurious </w:t>
      </w:r>
      <w:r>
        <w:t>convection in later forecast times.</w:t>
      </w:r>
    </w:p>
    <w:p w14:paraId="6287F7B6" w14:textId="77777777" w:rsidR="00A07C14" w:rsidRDefault="00A07C14" w:rsidP="00A07C14">
      <w:pPr>
        <w:pStyle w:val="NoSpacing"/>
      </w:pPr>
    </w:p>
    <w:p w14:paraId="75D0CB48" w14:textId="66139139" w:rsidR="00A07C14" w:rsidRPr="00DD5D9E" w:rsidRDefault="00A07C14" w:rsidP="00CC70A4">
      <w:pPr>
        <w:spacing w:line="240" w:lineRule="auto"/>
        <w:ind w:firstLine="0"/>
        <w:jc w:val="center"/>
        <w:rPr>
          <w:noProof/>
        </w:rPr>
      </w:pPr>
      <w:r w:rsidRPr="00DD5D9E">
        <w:rPr>
          <w:noProof/>
        </w:rPr>
        <w:lastRenderedPageBreak/>
        <w:drawing>
          <wp:inline distT="0" distB="0" distL="0" distR="0" wp14:anchorId="373265BD" wp14:editId="5F3F14E2">
            <wp:extent cx="4015933" cy="7481047"/>
            <wp:effectExtent l="0" t="0" r="0" b="0"/>
            <wp:docPr id="3" name="Picture 3" descr="Map&#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Map&#10;&#10;Description automatically generated with medium confidenc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056935" cy="7557427"/>
                    </a:xfrm>
                    <a:prstGeom prst="rect">
                      <a:avLst/>
                    </a:prstGeom>
                  </pic:spPr>
                </pic:pic>
              </a:graphicData>
            </a:graphic>
          </wp:inline>
        </w:drawing>
      </w:r>
    </w:p>
    <w:p w14:paraId="6A19C0A0" w14:textId="564F287D" w:rsidR="00A07C14" w:rsidRPr="00D60A80" w:rsidRDefault="00A07C14" w:rsidP="00633314">
      <w:pPr>
        <w:pStyle w:val="Captions"/>
        <w:rPr>
          <w:szCs w:val="24"/>
        </w:rPr>
      </w:pPr>
      <w:bookmarkStart w:id="57" w:name="_Toc134695265"/>
      <w:r w:rsidRPr="00D60A80">
        <w:rPr>
          <w:szCs w:val="24"/>
        </w:rPr>
        <w:t xml:space="preserve">Figure </w:t>
      </w:r>
      <w:r w:rsidR="00C96E3B" w:rsidRPr="00D60A80">
        <w:rPr>
          <w:szCs w:val="24"/>
        </w:rPr>
        <w:fldChar w:fldCharType="begin"/>
      </w:r>
      <w:r w:rsidR="00C96E3B" w:rsidRPr="00D60A80">
        <w:rPr>
          <w:szCs w:val="24"/>
        </w:rPr>
        <w:instrText xml:space="preserve"> STYLEREF 1 \s </w:instrText>
      </w:r>
      <w:r w:rsidR="00C96E3B" w:rsidRPr="00D60A80">
        <w:rPr>
          <w:szCs w:val="24"/>
        </w:rPr>
        <w:fldChar w:fldCharType="separate"/>
      </w:r>
      <w:r w:rsidR="00C77C87" w:rsidRPr="00D60A80">
        <w:rPr>
          <w:noProof/>
          <w:szCs w:val="24"/>
        </w:rPr>
        <w:t>3</w:t>
      </w:r>
      <w:r w:rsidR="00C96E3B" w:rsidRPr="00D60A80">
        <w:rPr>
          <w:noProof/>
          <w:szCs w:val="24"/>
        </w:rPr>
        <w:fldChar w:fldCharType="end"/>
      </w:r>
      <w:r w:rsidR="00C77C87" w:rsidRPr="00D60A80">
        <w:rPr>
          <w:szCs w:val="24"/>
        </w:rPr>
        <w:t>.</w:t>
      </w:r>
      <w:r w:rsidR="00C96E3B" w:rsidRPr="00D60A80">
        <w:rPr>
          <w:szCs w:val="24"/>
        </w:rPr>
        <w:fldChar w:fldCharType="begin"/>
      </w:r>
      <w:r w:rsidR="00C96E3B" w:rsidRPr="00D60A80">
        <w:rPr>
          <w:szCs w:val="24"/>
        </w:rPr>
        <w:instrText xml:space="preserve"> SEQ Figure \* ARABIC \s 1 </w:instrText>
      </w:r>
      <w:r w:rsidR="00C96E3B" w:rsidRPr="00D60A80">
        <w:rPr>
          <w:szCs w:val="24"/>
        </w:rPr>
        <w:fldChar w:fldCharType="separate"/>
      </w:r>
      <w:r w:rsidR="00C77C87" w:rsidRPr="00D60A80">
        <w:rPr>
          <w:noProof/>
          <w:szCs w:val="24"/>
        </w:rPr>
        <w:t>4</w:t>
      </w:r>
      <w:r w:rsidR="00C96E3B" w:rsidRPr="00D60A80">
        <w:rPr>
          <w:noProof/>
          <w:szCs w:val="24"/>
        </w:rPr>
        <w:fldChar w:fldCharType="end"/>
      </w:r>
      <w:r w:rsidRPr="00D60A80">
        <w:rPr>
          <w:szCs w:val="24"/>
        </w:rPr>
        <w:t xml:space="preserve"> Analyses of (a) – (e) surface temperature at 2 meters above the ground, and (f) – (j) downward shortwave flux at surface for CTRL, RAD, RADSAT, RADCWP and RADLPW experiment at 2000 UTC 10 May 2017.</w:t>
      </w:r>
      <w:bookmarkEnd w:id="57"/>
      <w:r w:rsidRPr="00D60A80">
        <w:rPr>
          <w:szCs w:val="24"/>
        </w:rPr>
        <w:t xml:space="preserve"> </w:t>
      </w:r>
    </w:p>
    <w:p w14:paraId="0403CC8E" w14:textId="77777777" w:rsidR="00A07C14" w:rsidRPr="00DD5D9E" w:rsidRDefault="00A07C14" w:rsidP="00A07C14">
      <w:pPr>
        <w:pStyle w:val="NoSpacing"/>
      </w:pPr>
    </w:p>
    <w:p w14:paraId="369BC227" w14:textId="77777777" w:rsidR="00A07C14" w:rsidRPr="00DD5D9E" w:rsidRDefault="00A07C14" w:rsidP="00CC70A4">
      <w:pPr>
        <w:spacing w:line="240" w:lineRule="auto"/>
        <w:ind w:firstLine="0"/>
        <w:jc w:val="center"/>
        <w:rPr>
          <w:noProof/>
        </w:rPr>
      </w:pPr>
      <w:r w:rsidRPr="00DD5D9E">
        <w:rPr>
          <w:noProof/>
        </w:rPr>
        <w:drawing>
          <wp:inline distT="0" distB="0" distL="0" distR="0" wp14:anchorId="79668433" wp14:editId="3C6CCDCD">
            <wp:extent cx="3482788" cy="5136486"/>
            <wp:effectExtent l="0" t="0" r="0" b="0"/>
            <wp:docPr id="8" name="Picture 8"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graphical user interface&#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3524611" cy="5198168"/>
                    </a:xfrm>
                    <a:prstGeom prst="rect">
                      <a:avLst/>
                    </a:prstGeom>
                  </pic:spPr>
                </pic:pic>
              </a:graphicData>
            </a:graphic>
          </wp:inline>
        </w:drawing>
      </w:r>
    </w:p>
    <w:p w14:paraId="10742C63" w14:textId="726B18B3" w:rsidR="00A07C14" w:rsidRPr="00D60A80" w:rsidRDefault="00A07C14" w:rsidP="00633314">
      <w:pPr>
        <w:pStyle w:val="Captions"/>
        <w:rPr>
          <w:szCs w:val="24"/>
        </w:rPr>
      </w:pPr>
      <w:bookmarkStart w:id="58" w:name="_Toc134695266"/>
      <w:r w:rsidRPr="00D60A80">
        <w:rPr>
          <w:szCs w:val="24"/>
        </w:rPr>
        <w:t xml:space="preserve">Figure </w:t>
      </w:r>
      <w:r w:rsidR="00C96E3B" w:rsidRPr="00D60A80">
        <w:rPr>
          <w:szCs w:val="24"/>
        </w:rPr>
        <w:fldChar w:fldCharType="begin"/>
      </w:r>
      <w:r w:rsidR="00C96E3B" w:rsidRPr="00D60A80">
        <w:rPr>
          <w:szCs w:val="24"/>
        </w:rPr>
        <w:instrText xml:space="preserve"> STYLEREF 1 \s </w:instrText>
      </w:r>
      <w:r w:rsidR="00C96E3B" w:rsidRPr="00D60A80">
        <w:rPr>
          <w:szCs w:val="24"/>
        </w:rPr>
        <w:fldChar w:fldCharType="separate"/>
      </w:r>
      <w:r w:rsidR="00C77C87" w:rsidRPr="00D60A80">
        <w:rPr>
          <w:noProof/>
          <w:szCs w:val="24"/>
        </w:rPr>
        <w:t>3</w:t>
      </w:r>
      <w:r w:rsidR="00C96E3B" w:rsidRPr="00D60A80">
        <w:rPr>
          <w:noProof/>
          <w:szCs w:val="24"/>
        </w:rPr>
        <w:fldChar w:fldCharType="end"/>
      </w:r>
      <w:r w:rsidR="00C77C87" w:rsidRPr="00D60A80">
        <w:rPr>
          <w:szCs w:val="24"/>
        </w:rPr>
        <w:t>.</w:t>
      </w:r>
      <w:r w:rsidR="00C96E3B" w:rsidRPr="00D60A80">
        <w:rPr>
          <w:szCs w:val="24"/>
        </w:rPr>
        <w:fldChar w:fldCharType="begin"/>
      </w:r>
      <w:r w:rsidR="00C96E3B" w:rsidRPr="00D60A80">
        <w:rPr>
          <w:szCs w:val="24"/>
        </w:rPr>
        <w:instrText xml:space="preserve"> SEQ Figure \* ARABIC \s 1 </w:instrText>
      </w:r>
      <w:r w:rsidR="00C96E3B" w:rsidRPr="00D60A80">
        <w:rPr>
          <w:szCs w:val="24"/>
        </w:rPr>
        <w:fldChar w:fldCharType="separate"/>
      </w:r>
      <w:r w:rsidR="00C77C87" w:rsidRPr="00D60A80">
        <w:rPr>
          <w:noProof/>
          <w:szCs w:val="24"/>
        </w:rPr>
        <w:t>5</w:t>
      </w:r>
      <w:r w:rsidR="00C96E3B" w:rsidRPr="00D60A80">
        <w:rPr>
          <w:noProof/>
          <w:szCs w:val="24"/>
        </w:rPr>
        <w:fldChar w:fldCharType="end"/>
      </w:r>
      <w:r w:rsidRPr="00D60A80">
        <w:rPr>
          <w:szCs w:val="24"/>
        </w:rPr>
        <w:t xml:space="preserve"> (a) Mesonet 1.5m surface temperature and (b) visible image from GOES-16 at 2000 UTC 10 May 2017.</w:t>
      </w:r>
      <w:bookmarkEnd w:id="58"/>
    </w:p>
    <w:p w14:paraId="3AFD52B0" w14:textId="5492186D" w:rsidR="00633314" w:rsidRDefault="00633314" w:rsidP="00633314">
      <w:pPr>
        <w:pStyle w:val="NoSpacing"/>
      </w:pPr>
    </w:p>
    <w:p w14:paraId="771B22F5" w14:textId="6E06D9B4" w:rsidR="00492115" w:rsidRPr="00DD5D9E" w:rsidRDefault="00492115" w:rsidP="00492115">
      <w:r w:rsidRPr="00DD5D9E">
        <w:t xml:space="preserve">Water vapor distribution is another </w:t>
      </w:r>
      <w:r>
        <w:t>critical</w:t>
      </w:r>
      <w:r w:rsidRPr="00DD5D9E">
        <w:t xml:space="preserve"> factor that may affect </w:t>
      </w:r>
      <w:r w:rsidR="00A95F21">
        <w:t>convection</w:t>
      </w:r>
      <w:r w:rsidRPr="00DD5D9E">
        <w:t xml:space="preserve"> initiation and development. Since </w:t>
      </w:r>
      <w:r w:rsidRPr="00DD5D9E">
        <w:rPr>
          <w:rFonts w:hint="eastAsia"/>
        </w:rPr>
        <w:t>the</w:t>
      </w:r>
      <w:r w:rsidRPr="00DD5D9E">
        <w:t xml:space="preserve"> Eq. </w:t>
      </w:r>
      <w:r>
        <w:t>2.12</w:t>
      </w:r>
      <w:r w:rsidRPr="00DD5D9E">
        <w:t xml:space="preserve"> indicates a linear correlation between the water vapor mixing ratio and simulated </w:t>
      </w:r>
      <w:r>
        <w:t xml:space="preserve">model equivalent </w:t>
      </w:r>
      <w:r w:rsidRPr="00DD5D9E">
        <w:t>LPW, the impact of assimilating LPW</w:t>
      </w:r>
      <w:r>
        <w:t xml:space="preserve"> on water vapor content</w:t>
      </w:r>
      <w:r w:rsidRPr="00DD5D9E">
        <w:t xml:space="preserve"> can be straightforwardly assessed. Differences in water vapor are not obvious between RAD and CTRL at 2000 UTC in most areas (Fig. </w:t>
      </w:r>
      <w:r>
        <w:t xml:space="preserve">3.6 </w:t>
      </w:r>
      <w:r w:rsidRPr="00DD5D9E">
        <w:t xml:space="preserve">a). The </w:t>
      </w:r>
      <w:r>
        <w:t>largest</w:t>
      </w:r>
      <w:r w:rsidRPr="00DD5D9E">
        <w:t xml:space="preserve"> difference</w:t>
      </w:r>
      <w:r>
        <w:t xml:space="preserve"> &gt; 2 g kg</w:t>
      </w:r>
      <w:r>
        <w:rPr>
          <w:vertAlign w:val="superscript"/>
        </w:rPr>
        <w:t>-1</w:t>
      </w:r>
      <w:r w:rsidRPr="00DD5D9E">
        <w:t xml:space="preserve"> appear</w:t>
      </w:r>
      <w:r>
        <w:t>s</w:t>
      </w:r>
      <w:r w:rsidRPr="00DD5D9E">
        <w:t xml:space="preserve"> near </w:t>
      </w:r>
      <w:r>
        <w:t>Motley, Texas</w:t>
      </w:r>
      <w:r w:rsidRPr="00DD5D9E">
        <w:t>.</w:t>
      </w:r>
      <w:r>
        <w:t xml:space="preserve"> The difference is likely due to the ongoing convection.</w:t>
      </w:r>
      <w:r w:rsidRPr="00DD5D9E">
        <w:t xml:space="preserve"> For RADSAT, the </w:t>
      </w:r>
      <w:r>
        <w:t>difference</w:t>
      </w:r>
      <w:r w:rsidRPr="00DD5D9E">
        <w:t xml:space="preserve"> of </w:t>
      </w:r>
      <w:r w:rsidRPr="00DD5D9E">
        <w:lastRenderedPageBreak/>
        <w:t xml:space="preserve">water vapor mixing ratio </w:t>
      </w:r>
      <w:r>
        <w:t>against CTRL reaches</w:t>
      </w:r>
      <w:r w:rsidRPr="00DD5D9E">
        <w:t xml:space="preserve"> as high as 3.0 g kg</w:t>
      </w:r>
      <w:r w:rsidRPr="00DD5D9E">
        <w:rPr>
          <w:vertAlign w:val="superscript"/>
        </w:rPr>
        <w:t>-1</w:t>
      </w:r>
      <w:r w:rsidRPr="00DD5D9E">
        <w:t xml:space="preserve"> south </w:t>
      </w:r>
      <w:r>
        <w:t>to</w:t>
      </w:r>
      <w:r w:rsidRPr="00DD5D9E">
        <w:t xml:space="preserve"> the border between Oklahoma and</w:t>
      </w:r>
      <w:r>
        <w:t xml:space="preserve"> the</w:t>
      </w:r>
      <w:r w:rsidRPr="00DD5D9E">
        <w:t xml:space="preserve"> Te</w:t>
      </w:r>
      <w:r>
        <w:t>x</w:t>
      </w:r>
      <w:r w:rsidRPr="00DD5D9E">
        <w:t>as panhandle (</w:t>
      </w:r>
      <w:r>
        <w:t xml:space="preserve">black box, </w:t>
      </w:r>
      <w:r w:rsidRPr="00DD5D9E">
        <w:t xml:space="preserve">Fig. </w:t>
      </w:r>
      <w:r>
        <w:t xml:space="preserve">3.6 </w:t>
      </w:r>
      <w:r w:rsidRPr="00DD5D9E">
        <w:t xml:space="preserve">b). </w:t>
      </w:r>
      <w:r>
        <w:t>A large area with &gt; 1.5 g kg</w:t>
      </w:r>
      <w:r>
        <w:rPr>
          <w:vertAlign w:val="superscript"/>
        </w:rPr>
        <w:t>-1</w:t>
      </w:r>
      <w:r>
        <w:t xml:space="preserve"> difference is observed over western Texas (southwest of the model domain) in RADSAT as well. This difference is obviously introduced by assimilating LPW product when we compare RAD against the standalone RADCWP/RADLPW experiments (Fig. 3.6 a vs Figs. 3.6 d, e). </w:t>
      </w:r>
      <w:r w:rsidRPr="00DD5D9E">
        <w:t>The water vapor content</w:t>
      </w:r>
      <w:r>
        <w:t xml:space="preserve"> in RADSAT</w:t>
      </w:r>
      <w:r w:rsidRPr="00DD5D9E">
        <w:t xml:space="preserve"> increase</w:t>
      </w:r>
      <w:r>
        <w:t>s</w:t>
      </w:r>
      <w:r w:rsidRPr="00DD5D9E">
        <w:t xml:space="preserve"> more than 30% compared to </w:t>
      </w:r>
      <w:r>
        <w:t>that of</w:t>
      </w:r>
      <w:r w:rsidRPr="00DD5D9E">
        <w:t xml:space="preserve"> RAD (Fig. </w:t>
      </w:r>
      <w:r>
        <w:t xml:space="preserve">3.6 </w:t>
      </w:r>
      <w:r w:rsidRPr="00DD5D9E">
        <w:t>c</w:t>
      </w:r>
      <w:r>
        <w:t>, RAD has 3 – 10 g kg</w:t>
      </w:r>
      <w:r>
        <w:rPr>
          <w:vertAlign w:val="superscript"/>
        </w:rPr>
        <w:t>-1</w:t>
      </w:r>
      <w:r>
        <w:t xml:space="preserve"> water vapor content over southern Texas panhandle [not shown]</w:t>
      </w:r>
      <w:r w:rsidRPr="00DD5D9E">
        <w:t>)</w:t>
      </w:r>
      <w:r>
        <w:t xml:space="preserve">, </w:t>
      </w:r>
      <w:r w:rsidRPr="00DD5D9E">
        <w:t>which</w:t>
      </w:r>
      <w:r>
        <w:t xml:space="preserve"> may lead to a more favorable </w:t>
      </w:r>
      <w:r w:rsidRPr="00DD5D9E">
        <w:t>moist</w:t>
      </w:r>
      <w:r>
        <w:t>ure content</w:t>
      </w:r>
      <w:r w:rsidRPr="00DD5D9E">
        <w:t xml:space="preserve"> </w:t>
      </w:r>
      <w:r>
        <w:t>for initiating deep moist convection when accompanied with a strong lifting process</w:t>
      </w:r>
      <w:r w:rsidRPr="00DD5D9E">
        <w:t>.</w:t>
      </w:r>
      <w:r>
        <w:t xml:space="preserve"> In addition, an area with positive differences in water vapor is observed over southwestern Oklahoma when comparing RADSAT and CTRL/RAD (blue boxes in Figs. 3.6 b, c).</w:t>
      </w:r>
      <w:r w:rsidRPr="00DD5D9E">
        <w:t xml:space="preserve"> </w:t>
      </w:r>
      <w:r>
        <w:t>In summary,</w:t>
      </w:r>
      <w:r w:rsidRPr="00DD5D9E">
        <w:t xml:space="preserve"> a more </w:t>
      </w:r>
      <w:r>
        <w:t>reasonable water vapor mixing ratio field</w:t>
      </w:r>
      <w:r w:rsidRPr="00DD5D9E">
        <w:t xml:space="preserve"> </w:t>
      </w:r>
      <w:r>
        <w:t>is able to either benefit the suppression of spurious convection or to promote new cell development for this case.</w:t>
      </w:r>
    </w:p>
    <w:p w14:paraId="03BFFB5F" w14:textId="77777777" w:rsidR="00492115" w:rsidRPr="00DD5D9E" w:rsidRDefault="00492115" w:rsidP="00633314">
      <w:pPr>
        <w:pStyle w:val="NoSpacing"/>
      </w:pPr>
    </w:p>
    <w:p w14:paraId="53D779C0" w14:textId="77777777" w:rsidR="00A07C14" w:rsidRPr="00DD5D9E" w:rsidRDefault="00A07C14" w:rsidP="00CC70A4">
      <w:pPr>
        <w:spacing w:line="240" w:lineRule="auto"/>
        <w:ind w:firstLine="0"/>
        <w:jc w:val="center"/>
        <w:rPr>
          <w:noProof/>
        </w:rPr>
      </w:pPr>
      <w:r w:rsidRPr="00DD5D9E">
        <w:rPr>
          <w:noProof/>
        </w:rPr>
        <w:drawing>
          <wp:inline distT="0" distB="0" distL="0" distR="0" wp14:anchorId="7BB914B8" wp14:editId="065CD028">
            <wp:extent cx="5943599" cy="3016154"/>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5.ti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599" cy="3016154"/>
                    </a:xfrm>
                    <a:prstGeom prst="rect">
                      <a:avLst/>
                    </a:prstGeom>
                  </pic:spPr>
                </pic:pic>
              </a:graphicData>
            </a:graphic>
          </wp:inline>
        </w:drawing>
      </w:r>
    </w:p>
    <w:p w14:paraId="0109CD73" w14:textId="42446E07" w:rsidR="00633314" w:rsidRPr="00D60A80" w:rsidRDefault="00A07C14" w:rsidP="00B012AA">
      <w:pPr>
        <w:pStyle w:val="Captions"/>
        <w:rPr>
          <w:szCs w:val="24"/>
        </w:rPr>
      </w:pPr>
      <w:bookmarkStart w:id="59" w:name="_Toc134695267"/>
      <w:r w:rsidRPr="00D60A80">
        <w:rPr>
          <w:szCs w:val="24"/>
        </w:rPr>
        <w:t xml:space="preserve">Figure </w:t>
      </w:r>
      <w:r w:rsidR="00C96E3B" w:rsidRPr="00D60A80">
        <w:rPr>
          <w:szCs w:val="24"/>
        </w:rPr>
        <w:fldChar w:fldCharType="begin"/>
      </w:r>
      <w:r w:rsidR="00C96E3B" w:rsidRPr="00D60A80">
        <w:rPr>
          <w:szCs w:val="24"/>
        </w:rPr>
        <w:instrText xml:space="preserve"> STYLEREF 1 \s </w:instrText>
      </w:r>
      <w:r w:rsidR="00C96E3B" w:rsidRPr="00D60A80">
        <w:rPr>
          <w:szCs w:val="24"/>
        </w:rPr>
        <w:fldChar w:fldCharType="separate"/>
      </w:r>
      <w:r w:rsidR="00C77C87" w:rsidRPr="00D60A80">
        <w:rPr>
          <w:noProof/>
          <w:szCs w:val="24"/>
        </w:rPr>
        <w:t>3</w:t>
      </w:r>
      <w:r w:rsidR="00C96E3B" w:rsidRPr="00D60A80">
        <w:rPr>
          <w:noProof/>
          <w:szCs w:val="24"/>
        </w:rPr>
        <w:fldChar w:fldCharType="end"/>
      </w:r>
      <w:r w:rsidR="00C77C87" w:rsidRPr="00D60A80">
        <w:rPr>
          <w:szCs w:val="24"/>
        </w:rPr>
        <w:t>.</w:t>
      </w:r>
      <w:r w:rsidR="00C96E3B" w:rsidRPr="00D60A80">
        <w:rPr>
          <w:szCs w:val="24"/>
        </w:rPr>
        <w:fldChar w:fldCharType="begin"/>
      </w:r>
      <w:r w:rsidR="00C96E3B" w:rsidRPr="00D60A80">
        <w:rPr>
          <w:szCs w:val="24"/>
        </w:rPr>
        <w:instrText xml:space="preserve"> SEQ Figure \* ARABIC \s 1 </w:instrText>
      </w:r>
      <w:r w:rsidR="00C96E3B" w:rsidRPr="00D60A80">
        <w:rPr>
          <w:szCs w:val="24"/>
        </w:rPr>
        <w:fldChar w:fldCharType="separate"/>
      </w:r>
      <w:r w:rsidR="00C77C87" w:rsidRPr="00D60A80">
        <w:rPr>
          <w:noProof/>
          <w:szCs w:val="24"/>
        </w:rPr>
        <w:t>6</w:t>
      </w:r>
      <w:r w:rsidR="00C96E3B" w:rsidRPr="00D60A80">
        <w:rPr>
          <w:noProof/>
          <w:szCs w:val="24"/>
        </w:rPr>
        <w:fldChar w:fldCharType="end"/>
      </w:r>
      <w:r w:rsidR="007D1C9E" w:rsidRPr="00D60A80">
        <w:rPr>
          <w:szCs w:val="24"/>
        </w:rPr>
        <w:t xml:space="preserve"> </w:t>
      </w:r>
      <w:r w:rsidRPr="00D60A80">
        <w:rPr>
          <w:szCs w:val="24"/>
        </w:rPr>
        <w:t xml:space="preserve">The differences of analyzed surface water vapor mixing ratio between (a) RAD and CTRL, between (b) RADSAT and CTRL, between (c) RADSAT and RAD, between (d) RADCWP and CTRL, and between (e) RADLPW and CTRL at 2000 UTC 10 May 2017. The black box highlights one of </w:t>
      </w:r>
      <w:r w:rsidR="00B47AFC" w:rsidRPr="00D60A80">
        <w:rPr>
          <w:szCs w:val="24"/>
        </w:rPr>
        <w:t xml:space="preserve">the </w:t>
      </w:r>
      <w:r w:rsidRPr="00D60A80">
        <w:rPr>
          <w:szCs w:val="24"/>
        </w:rPr>
        <w:t xml:space="preserve">differences of water vapor mixing ratio between </w:t>
      </w:r>
      <w:r w:rsidRPr="00D60A80">
        <w:rPr>
          <w:szCs w:val="24"/>
        </w:rPr>
        <w:lastRenderedPageBreak/>
        <w:t>RADSAT/RADLPW and CTRL. The blue box highlights one of differences of water vapor mixing ratio between RADSAT and CTRL/RAD.</w:t>
      </w:r>
      <w:bookmarkEnd w:id="59"/>
    </w:p>
    <w:p w14:paraId="67670CAE" w14:textId="77777777" w:rsidR="00633314" w:rsidRPr="007D1C9E" w:rsidRDefault="00633314" w:rsidP="007D1C9E">
      <w:pPr>
        <w:pStyle w:val="NoSpacing"/>
      </w:pPr>
    </w:p>
    <w:p w14:paraId="0C66A5E7" w14:textId="6EBDC3B4" w:rsidR="00A07C14" w:rsidRPr="00DD5D9E" w:rsidRDefault="00A07C14" w:rsidP="00CC70A4">
      <w:pPr>
        <w:spacing w:line="240" w:lineRule="auto"/>
        <w:ind w:firstLine="0"/>
        <w:jc w:val="center"/>
        <w:rPr>
          <w:noProof/>
        </w:rPr>
      </w:pPr>
      <w:r w:rsidRPr="00DD5D9E">
        <w:rPr>
          <w:noProof/>
        </w:rPr>
        <w:drawing>
          <wp:inline distT="0" distB="0" distL="0" distR="0" wp14:anchorId="31AA4501" wp14:editId="6C261339">
            <wp:extent cx="5943600" cy="4009949"/>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4.t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4009949"/>
                    </a:xfrm>
                    <a:prstGeom prst="rect">
                      <a:avLst/>
                    </a:prstGeom>
                  </pic:spPr>
                </pic:pic>
              </a:graphicData>
            </a:graphic>
          </wp:inline>
        </w:drawing>
      </w:r>
    </w:p>
    <w:p w14:paraId="58F738A7" w14:textId="423137E7" w:rsidR="00A07C14" w:rsidRPr="00D60A80" w:rsidRDefault="00A07C14" w:rsidP="007D1C9E">
      <w:pPr>
        <w:pStyle w:val="Captions"/>
        <w:rPr>
          <w:szCs w:val="24"/>
        </w:rPr>
      </w:pPr>
      <w:bookmarkStart w:id="60" w:name="_Toc134695268"/>
      <w:r w:rsidRPr="00D60A80">
        <w:rPr>
          <w:szCs w:val="24"/>
        </w:rPr>
        <w:t xml:space="preserve">Figure </w:t>
      </w:r>
      <w:r w:rsidR="00C96E3B" w:rsidRPr="00D60A80">
        <w:rPr>
          <w:szCs w:val="24"/>
        </w:rPr>
        <w:fldChar w:fldCharType="begin"/>
      </w:r>
      <w:r w:rsidR="00C96E3B" w:rsidRPr="00D60A80">
        <w:rPr>
          <w:szCs w:val="24"/>
        </w:rPr>
        <w:instrText xml:space="preserve"> STYLEREF 1 \s </w:instrText>
      </w:r>
      <w:r w:rsidR="00C96E3B" w:rsidRPr="00D60A80">
        <w:rPr>
          <w:szCs w:val="24"/>
        </w:rPr>
        <w:fldChar w:fldCharType="separate"/>
      </w:r>
      <w:r w:rsidR="00C77C87" w:rsidRPr="00D60A80">
        <w:rPr>
          <w:noProof/>
          <w:szCs w:val="24"/>
        </w:rPr>
        <w:t>3</w:t>
      </w:r>
      <w:r w:rsidR="00C96E3B" w:rsidRPr="00D60A80">
        <w:rPr>
          <w:noProof/>
          <w:szCs w:val="24"/>
        </w:rPr>
        <w:fldChar w:fldCharType="end"/>
      </w:r>
      <w:r w:rsidR="00C77C87" w:rsidRPr="00D60A80">
        <w:rPr>
          <w:szCs w:val="24"/>
        </w:rPr>
        <w:t>.</w:t>
      </w:r>
      <w:r w:rsidR="00C96E3B" w:rsidRPr="00D60A80">
        <w:rPr>
          <w:szCs w:val="24"/>
        </w:rPr>
        <w:fldChar w:fldCharType="begin"/>
      </w:r>
      <w:r w:rsidR="00C96E3B" w:rsidRPr="00D60A80">
        <w:rPr>
          <w:szCs w:val="24"/>
        </w:rPr>
        <w:instrText xml:space="preserve"> SEQ Figure \* ARABIC \s 1 </w:instrText>
      </w:r>
      <w:r w:rsidR="00C96E3B" w:rsidRPr="00D60A80">
        <w:rPr>
          <w:szCs w:val="24"/>
        </w:rPr>
        <w:fldChar w:fldCharType="separate"/>
      </w:r>
      <w:r w:rsidR="00C77C87" w:rsidRPr="00D60A80">
        <w:rPr>
          <w:noProof/>
          <w:szCs w:val="24"/>
        </w:rPr>
        <w:t>7</w:t>
      </w:r>
      <w:r w:rsidR="00C96E3B" w:rsidRPr="00D60A80">
        <w:rPr>
          <w:noProof/>
          <w:szCs w:val="24"/>
        </w:rPr>
        <w:fldChar w:fldCharType="end"/>
      </w:r>
      <w:r w:rsidR="007D1C9E" w:rsidRPr="00D60A80">
        <w:rPr>
          <w:szCs w:val="24"/>
        </w:rPr>
        <w:t xml:space="preserve"> </w:t>
      </w:r>
      <w:r w:rsidRPr="00D60A80">
        <w:rPr>
          <w:szCs w:val="24"/>
        </w:rPr>
        <w:t>(a) – (c) The lowest 75 hPa mixed layer convective inhibition (MLCIN) and (d) – (f) the lowest 75 hPa mixed layer convective available potential energy (MLCAPE) for CTRL, RAD and RADSAT experiments at 2000 UTC 10 May 2017.</w:t>
      </w:r>
      <w:bookmarkEnd w:id="60"/>
    </w:p>
    <w:p w14:paraId="3BA7857F" w14:textId="2808BD20" w:rsidR="0022125A" w:rsidRDefault="0022125A" w:rsidP="006C767E">
      <w:pPr>
        <w:pStyle w:val="NoSpacing"/>
      </w:pPr>
    </w:p>
    <w:p w14:paraId="724C45B2" w14:textId="6D60D684" w:rsidR="00492115" w:rsidRDefault="00492115" w:rsidP="00492115">
      <w:r w:rsidRPr="00DD5D9E">
        <w:t>Comprehensive changes of</w:t>
      </w:r>
      <w:r w:rsidR="00A95F21">
        <w:t xml:space="preserve"> the</w:t>
      </w:r>
      <w:r w:rsidRPr="00DD5D9E">
        <w:t xml:space="preserve"> </w:t>
      </w:r>
      <w:r>
        <w:t>model’s thermodynamic conditions</w:t>
      </w:r>
      <w:r w:rsidRPr="00DD5D9E">
        <w:t xml:space="preserve"> can be evaluated by the mixed layer convective inhibition (MLCIN) and</w:t>
      </w:r>
      <w:r>
        <w:t xml:space="preserve"> mixed layer convective</w:t>
      </w:r>
      <w:r w:rsidRPr="00DD5D9E">
        <w:t xml:space="preserve"> available potential energy (MLCAPE) </w:t>
      </w:r>
      <w:r>
        <w:t>(</w:t>
      </w:r>
      <w:r w:rsidRPr="00DD5D9E">
        <w:t xml:space="preserve">Fig. </w:t>
      </w:r>
      <w:r>
        <w:t>3.7)</w:t>
      </w:r>
      <w:r w:rsidRPr="00DD5D9E">
        <w:t xml:space="preserve">. </w:t>
      </w:r>
      <w:r>
        <w:t>Essentially, high MLCIN occurs in areas of cool surface temperatures caused by clouds and precipitation. Both</w:t>
      </w:r>
      <w:r w:rsidRPr="00DD5D9E">
        <w:t xml:space="preserve"> CTRL</w:t>
      </w:r>
      <w:r>
        <w:t xml:space="preserve"> and RAD</w:t>
      </w:r>
      <w:r w:rsidRPr="00DD5D9E">
        <w:t xml:space="preserve"> produce a high MLCIN over</w:t>
      </w:r>
      <w:r>
        <w:rPr>
          <w:rFonts w:ascii="宋体" w:eastAsia="宋体" w:hAnsi="宋体" w:cs="宋体"/>
        </w:rPr>
        <w:t xml:space="preserve"> </w:t>
      </w:r>
      <w:r w:rsidRPr="00DD5D9E">
        <w:t>southeastern Oklahoma and eastern Texas. Differences in MLCIN between CTRL and RAD (Fig</w:t>
      </w:r>
      <w:r>
        <w:t>s</w:t>
      </w:r>
      <w:r w:rsidRPr="00DD5D9E">
        <w:t xml:space="preserve">. </w:t>
      </w:r>
      <w:r>
        <w:t xml:space="preserve">3.7 </w:t>
      </w:r>
      <w:r w:rsidRPr="00DD5D9E">
        <w:t xml:space="preserve">a, b) are evident over southern Kansas. RADSAT </w:t>
      </w:r>
      <w:r>
        <w:t xml:space="preserve">also </w:t>
      </w:r>
      <w:r w:rsidRPr="00DD5D9E">
        <w:t>generates high MLCIN</w:t>
      </w:r>
      <w:r>
        <w:t xml:space="preserve"> over southeastern Oklahoma and eastern Texas. But apparently, it also generates high MLCIN</w:t>
      </w:r>
      <w:r w:rsidRPr="00DD5D9E">
        <w:t xml:space="preserve"> in southern Kansas, northwestern Oklahoma and eastern Texas panhandle (Fig. </w:t>
      </w:r>
      <w:r>
        <w:t xml:space="preserve">3.7 </w:t>
      </w:r>
      <w:r w:rsidRPr="00DD5D9E">
        <w:t xml:space="preserve">c), and low </w:t>
      </w:r>
      <w:r w:rsidRPr="00DD5D9E">
        <w:lastRenderedPageBreak/>
        <w:t xml:space="preserve">MLCAPE near the same areas (Fig. </w:t>
      </w:r>
      <w:r>
        <w:t xml:space="preserve">3.7 </w:t>
      </w:r>
      <w:r w:rsidRPr="00DD5D9E">
        <w:t>f). The cloud cover with CWP &gt; 1.5 kg m</w:t>
      </w:r>
      <w:r w:rsidRPr="00DD5D9E">
        <w:rPr>
          <w:vertAlign w:val="superscript"/>
        </w:rPr>
        <w:t>-2</w:t>
      </w:r>
      <w:r w:rsidRPr="00DD5D9E">
        <w:t xml:space="preserve"> </w:t>
      </w:r>
      <w:r>
        <w:t xml:space="preserve">(ellipse area in Fig. 3.5 b and corresponding area in Fig. 3.4 h) </w:t>
      </w:r>
      <w:r w:rsidRPr="00DD5D9E">
        <w:t>allows stabilization of</w:t>
      </w:r>
      <w:r>
        <w:t xml:space="preserve"> the</w:t>
      </w:r>
      <w:r w:rsidRPr="00DD5D9E">
        <w:t xml:space="preserve"> low-level atmosphere and MLCIN &lt; -200 J kg</w:t>
      </w:r>
      <w:r w:rsidRPr="00DD5D9E">
        <w:rPr>
          <w:vertAlign w:val="superscript"/>
        </w:rPr>
        <w:t xml:space="preserve">-1 </w:t>
      </w:r>
      <w:r w:rsidRPr="00DD5D9E">
        <w:t xml:space="preserve">for the </w:t>
      </w:r>
      <w:r>
        <w:t>same</w:t>
      </w:r>
      <w:r w:rsidRPr="00DD5D9E">
        <w:t xml:space="preserve"> reason. </w:t>
      </w:r>
      <w:r>
        <w:t>Compared to the CTRL experiment, RAD</w:t>
      </w:r>
      <w:r w:rsidRPr="00DD5D9E">
        <w:t xml:space="preserve"> do</w:t>
      </w:r>
      <w:r>
        <w:t>es</w:t>
      </w:r>
      <w:r w:rsidRPr="00DD5D9E">
        <w:t xml:space="preserve"> not significantly change the MLCAPE at</w:t>
      </w:r>
      <w:r>
        <w:t xml:space="preserve"> 2000 UTC</w:t>
      </w:r>
      <w:r w:rsidRPr="00DD5D9E">
        <w:t xml:space="preserve"> (Fig. </w:t>
      </w:r>
      <w:r>
        <w:t xml:space="preserve">3.7 </w:t>
      </w:r>
      <w:r w:rsidRPr="00DD5D9E">
        <w:t xml:space="preserve">d, e). </w:t>
      </w:r>
      <w:r>
        <w:t>In contrast</w:t>
      </w:r>
      <w:r w:rsidRPr="00DD5D9E">
        <w:t xml:space="preserve">, the MLCAPE over the clear-sky area in southwestern Oklahoma </w:t>
      </w:r>
      <w:r>
        <w:t>increases</w:t>
      </w:r>
      <w:r w:rsidRPr="00DD5D9E">
        <w:t xml:space="preserve"> to around 2750 J kg</w:t>
      </w:r>
      <w:r w:rsidRPr="00DD5D9E">
        <w:rPr>
          <w:vertAlign w:val="superscript"/>
        </w:rPr>
        <w:t>-1</w:t>
      </w:r>
      <w:r w:rsidRPr="00DD5D9E">
        <w:t xml:space="preserve"> in RADSAT. This </w:t>
      </w:r>
      <w:r>
        <w:t xml:space="preserve">increase corresponds well </w:t>
      </w:r>
      <w:r w:rsidRPr="00DD5D9E">
        <w:t xml:space="preserve">with </w:t>
      </w:r>
      <w:r>
        <w:t>the difference of</w:t>
      </w:r>
      <w:r w:rsidRPr="00DD5D9E">
        <w:t xml:space="preserve"> water vapor mixing ratio</w:t>
      </w:r>
      <w:r>
        <w:t xml:space="preserve"> at surface (Figs. 3.6 b, c)</w:t>
      </w:r>
      <w:r w:rsidRPr="00DD5D9E">
        <w:t xml:space="preserve">. </w:t>
      </w:r>
      <w:r>
        <w:t>Consequently, a</w:t>
      </w:r>
      <w:r w:rsidRPr="00DD5D9E">
        <w:t xml:space="preserve"> supercell which produced several tornado</w:t>
      </w:r>
      <w:r>
        <w:t>e</w:t>
      </w:r>
      <w:r w:rsidRPr="00DD5D9E">
        <w:t>s developed at a later time.</w:t>
      </w:r>
    </w:p>
    <w:p w14:paraId="74C146C8" w14:textId="7CB95318" w:rsidR="006C767E" w:rsidRDefault="006C767E">
      <w:pPr>
        <w:pStyle w:val="Heading4"/>
      </w:pPr>
      <w:bookmarkStart w:id="61" w:name="_Toc130995446"/>
      <w:bookmarkStart w:id="62" w:name="_Toc131018311"/>
      <w:r>
        <w:t>16 May 2017 event</w:t>
      </w:r>
      <w:bookmarkEnd w:id="61"/>
      <w:bookmarkEnd w:id="62"/>
    </w:p>
    <w:p w14:paraId="6A34FC7E" w14:textId="65842906" w:rsidR="006C767E" w:rsidRDefault="006C767E" w:rsidP="006C767E">
      <w:r w:rsidRPr="00DD5D9E">
        <w:t xml:space="preserve">The 16 May 2017 event </w:t>
      </w:r>
      <w:r>
        <w:t>was characterized by the presence of</w:t>
      </w:r>
      <w:r w:rsidRPr="00DD5D9E">
        <w:t xml:space="preserve"> a dryline</w:t>
      </w:r>
      <w:r>
        <w:t xml:space="preserve"> that </w:t>
      </w:r>
      <w:r w:rsidRPr="00DD5D9E">
        <w:t>extend</w:t>
      </w:r>
      <w:r>
        <w:t>ed southward</w:t>
      </w:r>
      <w:r w:rsidRPr="00DD5D9E">
        <w:t xml:space="preserve"> from western Kansas </w:t>
      </w:r>
      <w:r>
        <w:t xml:space="preserve">down </w:t>
      </w:r>
      <w:r w:rsidRPr="00DD5D9E">
        <w:t xml:space="preserve">to the </w:t>
      </w:r>
      <w:r>
        <w:t xml:space="preserve">US-Mexico </w:t>
      </w:r>
      <w:r w:rsidRPr="00DD5D9E">
        <w:t>border</w:t>
      </w:r>
      <w:r>
        <w:t xml:space="preserve"> at 1800 UTC</w:t>
      </w:r>
      <w:r w:rsidRPr="00DD5D9E">
        <w:t xml:space="preserve">. Storms formed </w:t>
      </w:r>
      <w:r>
        <w:t>at</w:t>
      </w:r>
      <w:r w:rsidRPr="00DD5D9E">
        <w:t xml:space="preserve"> the intersection of the dryline and weak frontal boundary</w:t>
      </w:r>
      <w:r>
        <w:t xml:space="preserve"> zonally crossing central Kansas (</w:t>
      </w:r>
      <w:hyperlink r:id="rId17" w:history="1">
        <w:r w:rsidRPr="00D96D17">
          <w:rPr>
            <w:rStyle w:val="Hyperlink"/>
          </w:rPr>
          <w:t>https://</w:t>
        </w:r>
        <w:r w:rsidRPr="00393C4E">
          <w:rPr>
            <w:rStyle w:val="Hyperlink"/>
          </w:rPr>
          <w:t>www</w:t>
        </w:r>
        <w:r w:rsidRPr="00D96D17">
          <w:rPr>
            <w:rStyle w:val="Hyperlink"/>
          </w:rPr>
          <w:t>.wpc.ncep.noaa.gov/archives/web_pages/sfc/sfc_archive_maps.php?arcdate=05/16/2017&amp;selmap=2017051621&amp;maptype=namussfc</w:t>
        </w:r>
      </w:hyperlink>
      <w:r>
        <w:t>)</w:t>
      </w:r>
      <w:r w:rsidRPr="00DD5D9E">
        <w:t>.</w:t>
      </w:r>
      <w:r>
        <w:t xml:space="preserve"> From 1800 to 2100 UTC, </w:t>
      </w:r>
      <w:r w:rsidRPr="00DD5D9E">
        <w:t xml:space="preserve">the dryline </w:t>
      </w:r>
      <w:r>
        <w:t xml:space="preserve">remained </w:t>
      </w:r>
      <w:r w:rsidRPr="009A661E">
        <w:t>station</w:t>
      </w:r>
      <w:r>
        <w:t>a</w:t>
      </w:r>
      <w:r w:rsidRPr="009A661E">
        <w:t xml:space="preserve">ry </w:t>
      </w:r>
      <w:r w:rsidRPr="00DD5D9E">
        <w:t xml:space="preserve">and </w:t>
      </w:r>
      <w:r>
        <w:t>convection initiated at several locations ahead of the dryline</w:t>
      </w:r>
      <w:r w:rsidRPr="00DD5D9E">
        <w:t>.</w:t>
      </w:r>
      <w:r>
        <w:t xml:space="preserve"> Similar to the 10 May 2017 event,</w:t>
      </w:r>
      <w:r w:rsidRPr="00DD5D9E">
        <w:t xml:space="preserve"> the differences between three experiments for surface water vapor mixing ratio </w:t>
      </w:r>
      <w:r>
        <w:t xml:space="preserve">are </w:t>
      </w:r>
      <w:r w:rsidRPr="00DD5D9E">
        <w:t xml:space="preserve">analyzed </w:t>
      </w:r>
      <w:r>
        <w:t>(</w:t>
      </w:r>
      <w:r w:rsidRPr="00DD5D9E">
        <w:t>2100 UTC</w:t>
      </w:r>
      <w:r>
        <w:t>)</w:t>
      </w:r>
      <w:r w:rsidRPr="00DD5D9E">
        <w:t xml:space="preserve">. A narrow band of negative differences exceeding </w:t>
      </w:r>
      <w:r>
        <w:t>3</w:t>
      </w:r>
      <w:r w:rsidRPr="00DD5D9E">
        <w:t xml:space="preserve"> g kg</w:t>
      </w:r>
      <w:r w:rsidRPr="00DD5D9E">
        <w:rPr>
          <w:vertAlign w:val="superscript"/>
        </w:rPr>
        <w:t>-1</w:t>
      </w:r>
      <w:r w:rsidRPr="00DD5D9E">
        <w:t xml:space="preserve"> is observed in the middle of the Texas </w:t>
      </w:r>
      <w:r>
        <w:t>P</w:t>
      </w:r>
      <w:r w:rsidRPr="00DD5D9E">
        <w:t>anhandle in the moisture</w:t>
      </w:r>
      <w:r>
        <w:t xml:space="preserve"> difference</w:t>
      </w:r>
      <w:r w:rsidRPr="00DD5D9E">
        <w:t xml:space="preserve"> field between RAD and CTRL (Fig. </w:t>
      </w:r>
      <w:r>
        <w:t xml:space="preserve">3.8 </w:t>
      </w:r>
      <w:r w:rsidRPr="00DD5D9E">
        <w:t xml:space="preserve">a). </w:t>
      </w:r>
      <w:r>
        <w:t>T</w:t>
      </w:r>
      <w:r w:rsidRPr="00DD5D9E">
        <w:t>he difference between RADSAT and CTRL</w:t>
      </w:r>
      <w:r>
        <w:t xml:space="preserve"> is quite similar to that between RAD and CTRL</w:t>
      </w:r>
      <w:r w:rsidRPr="00DD5D9E">
        <w:t xml:space="preserve">, </w:t>
      </w:r>
      <w:r>
        <w:t xml:space="preserve">but </w:t>
      </w:r>
      <w:r w:rsidRPr="00DD5D9E">
        <w:t>positive differences &gt; 3 g kg</w:t>
      </w:r>
      <w:r w:rsidRPr="00DD5D9E">
        <w:rPr>
          <w:vertAlign w:val="superscript"/>
        </w:rPr>
        <w:t>-1</w:t>
      </w:r>
      <w:r w:rsidRPr="00DD5D9E">
        <w:t xml:space="preserve"> are</w:t>
      </w:r>
      <w:r>
        <w:t xml:space="preserve"> also</w:t>
      </w:r>
      <w:r w:rsidRPr="00DD5D9E">
        <w:t xml:space="preserve"> </w:t>
      </w:r>
      <w:r>
        <w:t xml:space="preserve">present over the </w:t>
      </w:r>
      <w:r w:rsidRPr="00DD5D9E">
        <w:t>southern Texas panhandle (</w:t>
      </w:r>
      <w:r>
        <w:t xml:space="preserve">black box, </w:t>
      </w:r>
      <w:r w:rsidRPr="00DD5D9E">
        <w:t xml:space="preserve">Fig. </w:t>
      </w:r>
      <w:r>
        <w:t xml:space="preserve">3.8 </w:t>
      </w:r>
      <w:r w:rsidRPr="00DD5D9E">
        <w:t xml:space="preserve">b). </w:t>
      </w:r>
      <w:r>
        <w:t>Further south, t</w:t>
      </w:r>
      <w:r w:rsidRPr="00DD5D9E">
        <w:t>he difference</w:t>
      </w:r>
      <w:r>
        <w:t xml:space="preserve"> becomes</w:t>
      </w:r>
      <w:r w:rsidRPr="00DD5D9E">
        <w:t xml:space="preserve"> negative between RADSAT and CTRL</w:t>
      </w:r>
      <w:r>
        <w:t>,</w:t>
      </w:r>
      <w:r w:rsidRPr="00DD5D9E">
        <w:t xml:space="preserve"> and between RADSAT and RAD (Fig</w:t>
      </w:r>
      <w:r>
        <w:t>s</w:t>
      </w:r>
      <w:r w:rsidRPr="00DD5D9E">
        <w:t xml:space="preserve">. </w:t>
      </w:r>
      <w:r>
        <w:t xml:space="preserve">3.8 </w:t>
      </w:r>
      <w:r w:rsidRPr="00DD5D9E">
        <w:t xml:space="preserve">b, c). Moreover, RADSAT generates </w:t>
      </w:r>
      <w:r>
        <w:t xml:space="preserve">a </w:t>
      </w:r>
      <w:r w:rsidRPr="00DD5D9E">
        <w:t xml:space="preserve">positive </w:t>
      </w:r>
      <w:r>
        <w:t>difference</w:t>
      </w:r>
      <w:r w:rsidRPr="00DD5D9E">
        <w:t xml:space="preserve"> in surface moisture ahead of </w:t>
      </w:r>
      <w:r>
        <w:t xml:space="preserve">the </w:t>
      </w:r>
      <w:r w:rsidRPr="00DD5D9E">
        <w:t xml:space="preserve">dry line along the border of </w:t>
      </w:r>
      <w:r>
        <w:t xml:space="preserve">the eastern </w:t>
      </w:r>
      <w:r w:rsidRPr="00DD5D9E">
        <w:t xml:space="preserve">Texas panhandle </w:t>
      </w:r>
      <w:r w:rsidRPr="00DD5D9E">
        <w:lastRenderedPageBreak/>
        <w:t>and west</w:t>
      </w:r>
      <w:r>
        <w:t>ern</w:t>
      </w:r>
      <w:r w:rsidRPr="00DD5D9E">
        <w:t xml:space="preserve"> Oklahoma. These changes promote a bulge of dry air towards the moist air </w:t>
      </w:r>
      <w:r>
        <w:t>to</w:t>
      </w:r>
      <w:r w:rsidRPr="00DD5D9E">
        <w:t xml:space="preserve"> the east, intensif</w:t>
      </w:r>
      <w:r>
        <w:t>ying</w:t>
      </w:r>
      <w:r w:rsidRPr="00DD5D9E">
        <w:t xml:space="preserve"> the moisture gradient over this area in RADSAT.</w:t>
      </w:r>
    </w:p>
    <w:p w14:paraId="422544E2" w14:textId="595B66AE" w:rsidR="00492115" w:rsidRDefault="00492115" w:rsidP="00492115">
      <w:pPr>
        <w:pStyle w:val="NoSpacing"/>
      </w:pPr>
    </w:p>
    <w:p w14:paraId="7CFECD0E" w14:textId="77777777" w:rsidR="00492115" w:rsidRPr="00DD5D9E" w:rsidRDefault="00492115" w:rsidP="00492115">
      <w:pPr>
        <w:spacing w:line="240" w:lineRule="auto"/>
        <w:ind w:firstLine="0"/>
        <w:jc w:val="center"/>
      </w:pPr>
      <w:r w:rsidRPr="00DD5D9E">
        <w:rPr>
          <w:noProof/>
        </w:rPr>
        <w:drawing>
          <wp:inline distT="0" distB="0" distL="0" distR="0" wp14:anchorId="601CA4F0" wp14:editId="4DC93B33">
            <wp:extent cx="2613212" cy="6035774"/>
            <wp:effectExtent l="0" t="0" r="3175" b="0"/>
            <wp:docPr id="16" name="Picture 16"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Map&#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643490" cy="6105708"/>
                    </a:xfrm>
                    <a:prstGeom prst="rect">
                      <a:avLst/>
                    </a:prstGeom>
                  </pic:spPr>
                </pic:pic>
              </a:graphicData>
            </a:graphic>
          </wp:inline>
        </w:drawing>
      </w:r>
    </w:p>
    <w:p w14:paraId="560D87B9" w14:textId="77777777" w:rsidR="00492115" w:rsidRPr="00D60A80" w:rsidRDefault="00492115" w:rsidP="00492115">
      <w:pPr>
        <w:pStyle w:val="Captions"/>
        <w:rPr>
          <w:szCs w:val="24"/>
        </w:rPr>
      </w:pPr>
      <w:bookmarkStart w:id="63" w:name="_Toc134695269"/>
      <w:r w:rsidRPr="00D60A80">
        <w:rPr>
          <w:szCs w:val="24"/>
        </w:rPr>
        <w:t xml:space="preserve">Figure </w:t>
      </w:r>
      <w:r w:rsidR="00C96E3B" w:rsidRPr="00D60A80">
        <w:rPr>
          <w:szCs w:val="24"/>
        </w:rPr>
        <w:fldChar w:fldCharType="begin"/>
      </w:r>
      <w:r w:rsidR="00C96E3B" w:rsidRPr="00D60A80">
        <w:rPr>
          <w:szCs w:val="24"/>
        </w:rPr>
        <w:instrText xml:space="preserve"> STYLEREF 1 \s </w:instrText>
      </w:r>
      <w:r w:rsidR="00C96E3B" w:rsidRPr="00D60A80">
        <w:rPr>
          <w:szCs w:val="24"/>
        </w:rPr>
        <w:fldChar w:fldCharType="separate"/>
      </w:r>
      <w:r w:rsidRPr="00D60A80">
        <w:rPr>
          <w:noProof/>
          <w:szCs w:val="24"/>
        </w:rPr>
        <w:t>3</w:t>
      </w:r>
      <w:r w:rsidR="00C96E3B" w:rsidRPr="00D60A80">
        <w:rPr>
          <w:noProof/>
          <w:szCs w:val="24"/>
        </w:rPr>
        <w:fldChar w:fldCharType="end"/>
      </w:r>
      <w:r w:rsidRPr="00D60A80">
        <w:rPr>
          <w:szCs w:val="24"/>
        </w:rPr>
        <w:t>.</w:t>
      </w:r>
      <w:r w:rsidR="00C96E3B" w:rsidRPr="00D60A80">
        <w:rPr>
          <w:szCs w:val="24"/>
        </w:rPr>
        <w:fldChar w:fldCharType="begin"/>
      </w:r>
      <w:r w:rsidR="00C96E3B" w:rsidRPr="00D60A80">
        <w:rPr>
          <w:szCs w:val="24"/>
        </w:rPr>
        <w:instrText xml:space="preserve"> SEQ Figure \* ARABIC \s 1 </w:instrText>
      </w:r>
      <w:r w:rsidR="00C96E3B" w:rsidRPr="00D60A80">
        <w:rPr>
          <w:szCs w:val="24"/>
        </w:rPr>
        <w:fldChar w:fldCharType="separate"/>
      </w:r>
      <w:r w:rsidRPr="00D60A80">
        <w:rPr>
          <w:noProof/>
          <w:szCs w:val="24"/>
        </w:rPr>
        <w:t>8</w:t>
      </w:r>
      <w:r w:rsidR="00C96E3B" w:rsidRPr="00D60A80">
        <w:rPr>
          <w:noProof/>
          <w:szCs w:val="24"/>
        </w:rPr>
        <w:fldChar w:fldCharType="end"/>
      </w:r>
      <w:r w:rsidRPr="00D60A80">
        <w:rPr>
          <w:szCs w:val="24"/>
        </w:rPr>
        <w:t xml:space="preserve"> As in Fig. 3.6, but for 2100 UTC 16 May 2017. The black box indicates the positive difference between RADSAT and CTRL/RAD.</w:t>
      </w:r>
      <w:bookmarkEnd w:id="63"/>
      <w:r w:rsidRPr="00D60A80">
        <w:rPr>
          <w:szCs w:val="24"/>
        </w:rPr>
        <w:t xml:space="preserve"> </w:t>
      </w:r>
    </w:p>
    <w:p w14:paraId="227EFEB9" w14:textId="77777777" w:rsidR="00492115" w:rsidRDefault="00492115" w:rsidP="00492115">
      <w:pPr>
        <w:pStyle w:val="NoSpacing"/>
      </w:pPr>
    </w:p>
    <w:p w14:paraId="370C5DE3" w14:textId="3F39ECD2" w:rsidR="006C767E" w:rsidRDefault="006C767E">
      <w:pPr>
        <w:pStyle w:val="Heading4"/>
      </w:pPr>
      <w:bookmarkStart w:id="64" w:name="_Toc130995447"/>
      <w:bookmarkStart w:id="65" w:name="_Toc131018312"/>
      <w:r>
        <w:lastRenderedPageBreak/>
        <w:t xml:space="preserve">26 May 2017 </w:t>
      </w:r>
      <w:bookmarkEnd w:id="64"/>
      <w:r w:rsidR="00DA57F5">
        <w:t>event</w:t>
      </w:r>
      <w:bookmarkEnd w:id="65"/>
    </w:p>
    <w:p w14:paraId="707A92EC" w14:textId="3C8DB192" w:rsidR="006C767E" w:rsidRDefault="006C767E" w:rsidP="006C767E">
      <w:r>
        <w:t>T</w:t>
      </w:r>
      <w:r w:rsidRPr="00DD5D9E">
        <w:t>he</w:t>
      </w:r>
      <w:r>
        <w:t xml:space="preserve"> third </w:t>
      </w:r>
      <w:r w:rsidRPr="00DD5D9E">
        <w:t>analyzed</w:t>
      </w:r>
      <w:r>
        <w:t xml:space="preserve"> event</w:t>
      </w:r>
      <w:r w:rsidRPr="00DD5D9E">
        <w:t xml:space="preserve"> occurred on 26 May 2017 in Colorado</w:t>
      </w:r>
      <w:r>
        <w:t>.</w:t>
      </w:r>
      <w:r w:rsidRPr="00186F38">
        <w:t xml:space="preserve"> </w:t>
      </w:r>
      <w:r w:rsidRPr="00DD5D9E">
        <w:t>Based on the sounding (</w:t>
      </w:r>
      <w:r>
        <w:t xml:space="preserve">KDNR, </w:t>
      </w:r>
      <w:r w:rsidRPr="00DD5D9E">
        <w:t>not shown)</w:t>
      </w:r>
      <w:r>
        <w:t xml:space="preserve"> </w:t>
      </w:r>
      <w:r w:rsidRPr="00DD5D9E">
        <w:t>at 0000 UTC 27 May 2017, th</w:t>
      </w:r>
      <w:r>
        <w:t>is</w:t>
      </w:r>
      <w:r w:rsidRPr="00DD5D9E">
        <w:t xml:space="preserve"> event is characterized by low </w:t>
      </w:r>
      <w:r>
        <w:t xml:space="preserve">an inertial </w:t>
      </w:r>
      <w:r w:rsidRPr="00DD5D9E">
        <w:t>instability</w:t>
      </w:r>
      <w:r>
        <w:t xml:space="preserve"> and </w:t>
      </w:r>
      <w:r w:rsidRPr="00DD5D9E">
        <w:t>high vertical wind shear environment.</w:t>
      </w:r>
      <w:r>
        <w:t xml:space="preserve"> Figure 3.9 exhibits</w:t>
      </w:r>
      <w:r w:rsidRPr="00DD5D9E">
        <w:t xml:space="preserve"> differences</w:t>
      </w:r>
      <w:r>
        <w:t xml:space="preserve"> of </w:t>
      </w:r>
      <w:r w:rsidRPr="00DD5D9E">
        <w:t>surface water vapor mixing ratio</w:t>
      </w:r>
      <w:r>
        <w:t xml:space="preserve"> in the analyses between experiments</w:t>
      </w:r>
      <w:r w:rsidRPr="00DD5D9E">
        <w:t>.</w:t>
      </w:r>
      <w:r>
        <w:t xml:space="preserve"> </w:t>
      </w:r>
      <w:r w:rsidRPr="00DD5D9E">
        <w:t xml:space="preserve">RAD produces more water vapor </w:t>
      </w:r>
      <w:r>
        <w:t xml:space="preserve">(&gt; </w:t>
      </w:r>
      <w:r w:rsidR="00D03262">
        <w:t>0</w:t>
      </w:r>
      <w:r>
        <w:t xml:space="preserve"> g kg</w:t>
      </w:r>
      <w:r>
        <w:rPr>
          <w:vertAlign w:val="superscript"/>
        </w:rPr>
        <w:t>-1</w:t>
      </w:r>
      <w:r>
        <w:t xml:space="preserve">) </w:t>
      </w:r>
      <w:r w:rsidRPr="00DD5D9E">
        <w:t xml:space="preserve">over southeast Wyoming and </w:t>
      </w:r>
      <w:r>
        <w:t xml:space="preserve">in </w:t>
      </w:r>
      <w:r w:rsidRPr="00DD5D9E">
        <w:t>northeast</w:t>
      </w:r>
      <w:r>
        <w:t>ern</w:t>
      </w:r>
      <w:r w:rsidRPr="00DD5D9E">
        <w:t xml:space="preserve"> Colorado, which is near the tornadic supercell (</w:t>
      </w:r>
      <w:r>
        <w:t xml:space="preserve">black box, </w:t>
      </w:r>
      <w:r w:rsidRPr="00DD5D9E">
        <w:t xml:space="preserve">Fig. </w:t>
      </w:r>
      <w:r>
        <w:t xml:space="preserve">3.9 </w:t>
      </w:r>
      <w:r w:rsidRPr="00DD5D9E">
        <w:t xml:space="preserve">a). RADSAT appears to reduce water vapor </w:t>
      </w:r>
      <w:r>
        <w:t>(&lt; -1 g kg</w:t>
      </w:r>
      <w:r>
        <w:rPr>
          <w:vertAlign w:val="superscript"/>
        </w:rPr>
        <w:t>-1</w:t>
      </w:r>
      <w:r>
        <w:t xml:space="preserve">) </w:t>
      </w:r>
      <w:r w:rsidRPr="00DD5D9E">
        <w:t xml:space="preserve">over the area southeast </w:t>
      </w:r>
      <w:r w:rsidR="0007506B">
        <w:t xml:space="preserve">of </w:t>
      </w:r>
      <w:r w:rsidRPr="00DD5D9E">
        <w:t>the tornadic supercell, but slightly increase</w:t>
      </w:r>
      <w:r>
        <w:t>s</w:t>
      </w:r>
      <w:r w:rsidRPr="00DD5D9E">
        <w:t xml:space="preserve"> water vapor</w:t>
      </w:r>
      <w:r>
        <w:t xml:space="preserve"> (&gt; 0.5 g kg</w:t>
      </w:r>
      <w:r>
        <w:rPr>
          <w:vertAlign w:val="superscript"/>
        </w:rPr>
        <w:t>-1</w:t>
      </w:r>
      <w:r>
        <w:t>)</w:t>
      </w:r>
      <w:r w:rsidRPr="00DD5D9E">
        <w:t xml:space="preserve"> in northeastern Colorado and northwestern Kansas</w:t>
      </w:r>
      <w:r>
        <w:t xml:space="preserve"> (Figs. 3.9 b, c)</w:t>
      </w:r>
      <w:r w:rsidRPr="00DD5D9E">
        <w:t xml:space="preserve">. </w:t>
      </w:r>
      <w:r>
        <w:t>More apparent differences are observed in t</w:t>
      </w:r>
      <w:r w:rsidRPr="00DD5D9E">
        <w:t>he intensity of vertical wind shear</w:t>
      </w:r>
      <w:r>
        <w:t>, which</w:t>
      </w:r>
      <w:r w:rsidRPr="00DD5D9E">
        <w:t xml:space="preserve"> is one of the most important factors that may affect the accuracy of predicting convection</w:t>
      </w:r>
      <w:r>
        <w:t xml:space="preserve"> </w:t>
      </w:r>
      <w:r>
        <w:fldChar w:fldCharType="begin"/>
      </w:r>
      <w:r>
        <w:instrText xml:space="preserve"> ADDIN ZOTERO_ITEM CSL_CITATION {"citationID":"JY4jvSvi","properties":{"formattedCitation":"(Weisman and Klemp 1982)","plainCitation":"(Weisman and Klemp 1982)","noteIndex":0},"citationItems":[{"id":518,"uris":["http://zotero.org/users/local/6VSApgKp/items/FYI87QLR"],"itemData":{"id":518,"type":"article-journal","abstract":"Abstract The effects of vertical wind shear and buoyancy on convective storm structure and evolution are investigated with the use of a three-dimensional numerical cloud model. By varying the magnitude of buoyant energy and one-directional vertical shear over a wide range of environmental conditions associated with severe storms, the model is able to produce a spectrum of storm types qualitatively similar to those observed in nature. These include short-lived single cells, certain types of multicells and rotating supercells. The relationship between wind shear and buoyancy is expressed in terms of a nondimensional convective parameter which delineates various regimes of storm structure and, in particular, suggests optimal conditions for the development of supercell type storms. Applications of this parameter to well-documented severe storm cases agree favorably with the model results, suggesting both the value of the model in studying these modes of convection as well as the value of this representation in identifying the proper environment for the development of various storm types.","container-title":"Monthly Weather Review","DOI":"10.1175/1520-0493(1982)110&lt;0504:TDONSC&gt;2.0.CO;2","ISSN":"1520-0493, 0027-0644","issue":"6","language":"EN","note":"publisher: American Meteorological Society\nsection: Monthly Weather Review","page":"504-520","source":"journals.ametsoc.org","title":"The Dependence of Numerically Simulated Convective Storms on Vertical Wind Shear and Buoyancy","volume":"110","author":[{"family":"Weisman","given":"M. L."},{"family":"Klemp","given":"J. B."}],"issued":{"date-parts":[["1982",6,1]]},"citation-key":"weismanDependenceNumericallySimulated1982"}}],"schema":"https://github.com/citation-style-language/schema/raw/master/csl-citation.json"} </w:instrText>
      </w:r>
      <w:r>
        <w:fldChar w:fldCharType="separate"/>
      </w:r>
      <w:r>
        <w:rPr>
          <w:noProof/>
        </w:rPr>
        <w:t>(Weisman and Klemp 1982)</w:t>
      </w:r>
      <w:r>
        <w:fldChar w:fldCharType="end"/>
      </w:r>
      <w:r w:rsidRPr="00DD5D9E">
        <w:t>. All experiments generate greater than 20 m s</w:t>
      </w:r>
      <w:r w:rsidRPr="00DD5D9E">
        <w:rPr>
          <w:vertAlign w:val="superscript"/>
        </w:rPr>
        <w:t>-1</w:t>
      </w:r>
      <w:r w:rsidRPr="00DD5D9E">
        <w:t xml:space="preserve"> 0</w:t>
      </w:r>
      <w:r>
        <w:t xml:space="preserve"> – </w:t>
      </w:r>
      <w:r w:rsidRPr="00DD5D9E">
        <w:t>1</w:t>
      </w:r>
      <w:r>
        <w:t xml:space="preserve"> </w:t>
      </w:r>
      <w:r w:rsidRPr="00DD5D9E">
        <w:t>km vertical wind shear associated with the soon-to-be-tornadic convection in northeastern Colorado (Fig</w:t>
      </w:r>
      <w:r>
        <w:t>s</w:t>
      </w:r>
      <w:r w:rsidRPr="00DD5D9E">
        <w:t xml:space="preserve">. </w:t>
      </w:r>
      <w:r>
        <w:t xml:space="preserve">3.9 </w:t>
      </w:r>
      <w:r w:rsidRPr="00DD5D9E">
        <w:t>d - f). Both RAD and RADSAT intensify the vertical wind shear</w:t>
      </w:r>
      <w:r>
        <w:t xml:space="preserve"> in northeastern Colorado (red boxes)</w:t>
      </w:r>
      <w:r w:rsidRPr="00DD5D9E">
        <w:t xml:space="preserve"> while RADSAT also changes the pattern of vertical wind shear in southeastern Wyoming</w:t>
      </w:r>
      <w:r>
        <w:t xml:space="preserve"> (Blue boxes) compared to CTRL and RAD experiments</w:t>
      </w:r>
      <w:r w:rsidRPr="00DD5D9E">
        <w:t>.</w:t>
      </w:r>
    </w:p>
    <w:p w14:paraId="230A2E4B" w14:textId="2D043285" w:rsidR="006C767E" w:rsidRDefault="006C767E" w:rsidP="006C767E">
      <w:pPr>
        <w:pStyle w:val="NoSpacing"/>
      </w:pPr>
    </w:p>
    <w:p w14:paraId="3E957964" w14:textId="2ACC64C3" w:rsidR="00A07C14" w:rsidRPr="00DD5D9E" w:rsidRDefault="00A07C14" w:rsidP="00CC70A4">
      <w:pPr>
        <w:spacing w:line="240" w:lineRule="auto"/>
        <w:ind w:firstLine="0"/>
        <w:jc w:val="center"/>
        <w:rPr>
          <w:noProof/>
        </w:rPr>
      </w:pPr>
      <w:r w:rsidRPr="00DD5D9E">
        <w:rPr>
          <w:noProof/>
        </w:rPr>
        <w:lastRenderedPageBreak/>
        <w:drawing>
          <wp:inline distT="0" distB="0" distL="0" distR="0" wp14:anchorId="274786F7" wp14:editId="7E116700">
            <wp:extent cx="5943600" cy="368600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gure14.tif"/>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3600" cy="3686005"/>
                    </a:xfrm>
                    <a:prstGeom prst="rect">
                      <a:avLst/>
                    </a:prstGeom>
                  </pic:spPr>
                </pic:pic>
              </a:graphicData>
            </a:graphic>
          </wp:inline>
        </w:drawing>
      </w:r>
    </w:p>
    <w:p w14:paraId="075EB538" w14:textId="516EB660" w:rsidR="00A07C14" w:rsidRPr="00D60A80" w:rsidRDefault="00A07C14" w:rsidP="006C767E">
      <w:pPr>
        <w:pStyle w:val="Captions"/>
        <w:rPr>
          <w:szCs w:val="24"/>
        </w:rPr>
      </w:pPr>
      <w:bookmarkStart w:id="66" w:name="_Toc134695270"/>
      <w:r w:rsidRPr="00D60A80">
        <w:rPr>
          <w:szCs w:val="24"/>
        </w:rPr>
        <w:t xml:space="preserve">Figure </w:t>
      </w:r>
      <w:r w:rsidR="00C96E3B" w:rsidRPr="00D60A80">
        <w:rPr>
          <w:szCs w:val="24"/>
        </w:rPr>
        <w:fldChar w:fldCharType="begin"/>
      </w:r>
      <w:r w:rsidR="00C96E3B" w:rsidRPr="00D60A80">
        <w:rPr>
          <w:szCs w:val="24"/>
        </w:rPr>
        <w:instrText xml:space="preserve"> STYLEREF 1 \s </w:instrText>
      </w:r>
      <w:r w:rsidR="00C96E3B" w:rsidRPr="00D60A80">
        <w:rPr>
          <w:szCs w:val="24"/>
        </w:rPr>
        <w:fldChar w:fldCharType="separate"/>
      </w:r>
      <w:r w:rsidR="00C77C87" w:rsidRPr="00D60A80">
        <w:rPr>
          <w:noProof/>
          <w:szCs w:val="24"/>
        </w:rPr>
        <w:t>3</w:t>
      </w:r>
      <w:r w:rsidR="00C96E3B" w:rsidRPr="00D60A80">
        <w:rPr>
          <w:noProof/>
          <w:szCs w:val="24"/>
        </w:rPr>
        <w:fldChar w:fldCharType="end"/>
      </w:r>
      <w:r w:rsidR="00C77C87" w:rsidRPr="00D60A80">
        <w:rPr>
          <w:szCs w:val="24"/>
        </w:rPr>
        <w:t>.</w:t>
      </w:r>
      <w:r w:rsidR="00C96E3B" w:rsidRPr="00D60A80">
        <w:rPr>
          <w:szCs w:val="24"/>
        </w:rPr>
        <w:fldChar w:fldCharType="begin"/>
      </w:r>
      <w:r w:rsidR="00C96E3B" w:rsidRPr="00D60A80">
        <w:rPr>
          <w:szCs w:val="24"/>
        </w:rPr>
        <w:instrText xml:space="preserve"> SEQ Figure \* ARABIC \s 1 </w:instrText>
      </w:r>
      <w:r w:rsidR="00C96E3B" w:rsidRPr="00D60A80">
        <w:rPr>
          <w:szCs w:val="24"/>
        </w:rPr>
        <w:fldChar w:fldCharType="separate"/>
      </w:r>
      <w:r w:rsidR="00C77C87" w:rsidRPr="00D60A80">
        <w:rPr>
          <w:noProof/>
          <w:szCs w:val="24"/>
        </w:rPr>
        <w:t>9</w:t>
      </w:r>
      <w:r w:rsidR="00C96E3B" w:rsidRPr="00D60A80">
        <w:rPr>
          <w:noProof/>
          <w:szCs w:val="24"/>
        </w:rPr>
        <w:fldChar w:fldCharType="end"/>
      </w:r>
      <w:r w:rsidRPr="00D60A80">
        <w:rPr>
          <w:szCs w:val="24"/>
        </w:rPr>
        <w:t xml:space="preserve"> The differences of analyzed water vapor mixing at surface between experiments (a) – (c) and 0 - 1km wind shear for (d) CTRL, (e) RAD and (f) RADSAT at 2100 UTC 26 May 2017.</w:t>
      </w:r>
      <w:bookmarkEnd w:id="66"/>
    </w:p>
    <w:p w14:paraId="25ED1F9E" w14:textId="2125AD32" w:rsidR="0022125A" w:rsidRDefault="0022125A" w:rsidP="0022125A">
      <w:pPr>
        <w:pStyle w:val="NoSpacing"/>
      </w:pPr>
    </w:p>
    <w:p w14:paraId="5CC3F397" w14:textId="77777777" w:rsidR="0022125A" w:rsidRDefault="0022125A">
      <w:pPr>
        <w:pStyle w:val="Heading4"/>
      </w:pPr>
      <w:bookmarkStart w:id="67" w:name="_Toc130995448"/>
      <w:bookmarkStart w:id="68" w:name="_Toc131018313"/>
      <w:r>
        <w:t>General discussions of reflectivity for all three cases</w:t>
      </w:r>
      <w:bookmarkEnd w:id="67"/>
      <w:bookmarkEnd w:id="68"/>
    </w:p>
    <w:p w14:paraId="6464DB05" w14:textId="74E8C7D3" w:rsidR="0022125A" w:rsidRDefault="0022125A" w:rsidP="0022125A">
      <w:r>
        <w:t xml:space="preserve">Some differences in the analyzed composite reflectivity are shown among the experiments depending on what kind of observations are assimilated. </w:t>
      </w:r>
      <w:r w:rsidRPr="00DD5D9E">
        <w:t xml:space="preserve">For </w:t>
      </w:r>
      <w:r>
        <w:t xml:space="preserve">the 10 May 2017 event (Fig. </w:t>
      </w:r>
      <w:r w:rsidR="00963EDC">
        <w:t>3.</w:t>
      </w:r>
      <w:r>
        <w:t>10)</w:t>
      </w:r>
      <w:r w:rsidRPr="00DD5D9E">
        <w:t xml:space="preserve">, CTRL misses the supercell </w:t>
      </w:r>
      <w:r>
        <w:t xml:space="preserve">located in the southern </w:t>
      </w:r>
      <w:r w:rsidRPr="00DD5D9E">
        <w:t>Texas Panhandle</w:t>
      </w:r>
      <w:r>
        <w:t xml:space="preserve"> at 2000 </w:t>
      </w:r>
      <w:r w:rsidR="00B54B9C">
        <w:t>UTC</w:t>
      </w:r>
      <w:r w:rsidR="00B54B9C" w:rsidRPr="00DD5D9E">
        <w:t xml:space="preserve"> but</w:t>
      </w:r>
      <w:r w:rsidRPr="00DD5D9E">
        <w:t xml:space="preserve"> produces spurious cells </w:t>
      </w:r>
      <w:r>
        <w:t xml:space="preserve">further south when </w:t>
      </w:r>
      <w:r w:rsidRPr="00DD5D9E">
        <w:t>compar</w:t>
      </w:r>
      <w:r>
        <w:t>ed</w:t>
      </w:r>
      <w:r w:rsidRPr="00DD5D9E">
        <w:t xml:space="preserve"> with </w:t>
      </w:r>
      <w:r>
        <w:t>MRMS</w:t>
      </w:r>
      <w:r w:rsidRPr="00DD5D9E">
        <w:t xml:space="preserve"> </w:t>
      </w:r>
      <w:r>
        <w:t xml:space="preserve">data </w:t>
      </w:r>
      <w:r w:rsidRPr="00DD5D9E">
        <w:t xml:space="preserve">(Fig. </w:t>
      </w:r>
      <w:r w:rsidR="00963EDC">
        <w:t>3.</w:t>
      </w:r>
      <w:r>
        <w:t>10</w:t>
      </w:r>
      <w:r w:rsidR="00963EDC">
        <w:t xml:space="preserve"> </w:t>
      </w:r>
      <w:r w:rsidRPr="00DD5D9E">
        <w:t xml:space="preserve">a vs b). RAD </w:t>
      </w:r>
      <w:r>
        <w:t>analyzes</w:t>
      </w:r>
      <w:r w:rsidRPr="00DD5D9E">
        <w:t xml:space="preserve"> the major supercell</w:t>
      </w:r>
      <w:r>
        <w:t xml:space="preserve"> (Storm #1)</w:t>
      </w:r>
      <w:r w:rsidRPr="00DD5D9E">
        <w:t xml:space="preserve"> but misses the storm cells in southeastern Oklahoma (Fig. </w:t>
      </w:r>
      <w:r w:rsidR="00963EDC">
        <w:t>3.</w:t>
      </w:r>
      <w:r>
        <w:t>10</w:t>
      </w:r>
      <w:r w:rsidR="00963EDC">
        <w:t xml:space="preserve"> </w:t>
      </w:r>
      <w:r w:rsidRPr="00DD5D9E">
        <w:t xml:space="preserve">a vs c). Only RADSAT correctly </w:t>
      </w:r>
      <w:r>
        <w:t>places</w:t>
      </w:r>
      <w:r w:rsidRPr="00DD5D9E">
        <w:t xml:space="preserve"> all storms </w:t>
      </w:r>
      <w:r>
        <w:t xml:space="preserve">near or at their observed </w:t>
      </w:r>
      <w:r w:rsidRPr="00DD5D9E">
        <w:t xml:space="preserve">locations, especially for the major supercell </w:t>
      </w:r>
      <w:r>
        <w:t>over the</w:t>
      </w:r>
      <w:r w:rsidRPr="00DD5D9E">
        <w:t xml:space="preserve"> Texas Panhandle which </w:t>
      </w:r>
      <w:r>
        <w:t>produces several tornadoes</w:t>
      </w:r>
      <w:r w:rsidRPr="00DD5D9E">
        <w:t xml:space="preserve"> at later time</w:t>
      </w:r>
      <w:r>
        <w:t xml:space="preserve">s in the forecast near the Red River in addition to </w:t>
      </w:r>
      <w:r w:rsidRPr="00DD5D9E">
        <w:t>produc</w:t>
      </w:r>
      <w:r>
        <w:t>ing</w:t>
      </w:r>
      <w:r w:rsidRPr="00DD5D9E">
        <w:t xml:space="preserve"> more storm cells near the border of Oklahoma and Kansas (Fig. </w:t>
      </w:r>
      <w:r w:rsidR="00963EDC">
        <w:t>3.</w:t>
      </w:r>
      <w:r>
        <w:t>10</w:t>
      </w:r>
      <w:r w:rsidR="00963EDC">
        <w:t xml:space="preserve"> </w:t>
      </w:r>
      <w:r w:rsidRPr="00DD5D9E">
        <w:t>a vs d)</w:t>
      </w:r>
      <w:r>
        <w:t xml:space="preserve"> though small spurious cells exist</w:t>
      </w:r>
      <w:r w:rsidRPr="00DD5D9E">
        <w:t xml:space="preserve">. </w:t>
      </w:r>
    </w:p>
    <w:p w14:paraId="0C332FA1" w14:textId="0E47323E" w:rsidR="0022125A" w:rsidRDefault="0022125A" w:rsidP="0022125A">
      <w:r w:rsidRPr="00BC7420">
        <w:lastRenderedPageBreak/>
        <w:t xml:space="preserve">For the 16 May 2017 event (Fig. </w:t>
      </w:r>
      <w:r w:rsidR="00963EDC">
        <w:t>3.</w:t>
      </w:r>
      <w:r w:rsidRPr="00BC7420">
        <w:t>1</w:t>
      </w:r>
      <w:r>
        <w:t>1</w:t>
      </w:r>
      <w:r w:rsidRPr="00BC7420">
        <w:t xml:space="preserve">), CTRL produces both Storm #1 and Storm #2 over the Texas Panhandle at 2100 UTC which match the MRMS </w:t>
      </w:r>
      <w:r>
        <w:t>data</w:t>
      </w:r>
      <w:r w:rsidRPr="00BC7420">
        <w:t xml:space="preserve"> (Fig. </w:t>
      </w:r>
      <w:r w:rsidR="00963EDC">
        <w:t>3.</w:t>
      </w:r>
      <w:r w:rsidRPr="00BC7420">
        <w:t>1</w:t>
      </w:r>
      <w:r>
        <w:t>1</w:t>
      </w:r>
      <w:r w:rsidR="00963EDC">
        <w:t xml:space="preserve"> </w:t>
      </w:r>
      <w:r w:rsidRPr="00BC7420">
        <w:t>a vs b)</w:t>
      </w:r>
      <w:r w:rsidR="0007506B">
        <w:t>,</w:t>
      </w:r>
      <w:r w:rsidRPr="00BC7420">
        <w:t xml:space="preserve"> </w:t>
      </w:r>
      <w:r w:rsidR="0007506B">
        <w:t>b</w:t>
      </w:r>
      <w:r w:rsidRPr="00BC7420">
        <w:t xml:space="preserve">ut </w:t>
      </w:r>
      <w:bookmarkStart w:id="69" w:name="_Hlk44974038"/>
      <w:r w:rsidRPr="00BC7420">
        <w:t xml:space="preserve">the storm cluster over southwestern Kansas has </w:t>
      </w:r>
      <w:r>
        <w:t>significant</w:t>
      </w:r>
      <w:r w:rsidRPr="00BC7420">
        <w:t xml:space="preserve"> phase errors. The pattern of the cluster prefers a southwest-northeast orientation as shown in MRMS </w:t>
      </w:r>
      <w:r>
        <w:t xml:space="preserve">data </w:t>
      </w:r>
      <w:r w:rsidRPr="00BC7420">
        <w:t>rather than a south-north orientation in CTRL.</w:t>
      </w:r>
      <w:bookmarkEnd w:id="69"/>
      <w:r w:rsidRPr="00BC7420">
        <w:t xml:space="preserve"> The pattern is somewhat corrected in RAD, but </w:t>
      </w:r>
      <w:r>
        <w:t>more areas</w:t>
      </w:r>
      <w:r w:rsidRPr="00BC7420">
        <w:t xml:space="preserve"> over southwestern Kansas are </w:t>
      </w:r>
      <w:r>
        <w:t>covered by simulated composite reflectivity &gt; 40 dBZ</w:t>
      </w:r>
      <w:r w:rsidRPr="00BC7420">
        <w:t xml:space="preserve"> compared to the MRMS </w:t>
      </w:r>
      <w:r>
        <w:t xml:space="preserve">data </w:t>
      </w:r>
      <w:r w:rsidRPr="00BC7420">
        <w:t xml:space="preserve">(Fig. </w:t>
      </w:r>
      <w:r w:rsidR="00963EDC">
        <w:t>3.</w:t>
      </w:r>
      <w:r w:rsidRPr="00BC7420">
        <w:t>1</w:t>
      </w:r>
      <w:r>
        <w:t>1</w:t>
      </w:r>
      <w:r w:rsidR="00963EDC">
        <w:t xml:space="preserve"> </w:t>
      </w:r>
      <w:r w:rsidRPr="00BC7420">
        <w:t xml:space="preserve">a vs c). In RADSAT, the intensity (in dBZ) of the cluster seems match the observations well, but also produces spurious cells around this area (Fig. </w:t>
      </w:r>
      <w:r w:rsidR="00963EDC">
        <w:t>3.</w:t>
      </w:r>
      <w:r w:rsidRPr="00BC7420">
        <w:t>1</w:t>
      </w:r>
      <w:r>
        <w:t>1</w:t>
      </w:r>
      <w:r w:rsidR="00963EDC">
        <w:t xml:space="preserve"> </w:t>
      </w:r>
      <w:r w:rsidRPr="00BC7420">
        <w:t xml:space="preserve">a vs d). </w:t>
      </w:r>
    </w:p>
    <w:p w14:paraId="22B6DAAE" w14:textId="60BAEBC2" w:rsidR="0022125A" w:rsidRPr="006C767E" w:rsidRDefault="0022125A" w:rsidP="0022125A">
      <w:r w:rsidRPr="00BC7420">
        <w:t xml:space="preserve">For the 26 May 2017 event (Fig. </w:t>
      </w:r>
      <w:r w:rsidR="00963EDC">
        <w:t>3.</w:t>
      </w:r>
      <w:r w:rsidRPr="00BC7420">
        <w:t>1</w:t>
      </w:r>
      <w:r>
        <w:t>2</w:t>
      </w:r>
      <w:r w:rsidRPr="00BC7420">
        <w:t>), both CTRL and RAD produce a strong supercell at sout</w:t>
      </w:r>
      <w:r w:rsidRPr="00BC7420">
        <w:rPr>
          <w:rFonts w:hint="eastAsia"/>
        </w:rPr>
        <w:t>heast</w:t>
      </w:r>
      <w:r w:rsidRPr="00BC7420">
        <w:t xml:space="preserve">ern Colorado at 2100 UTC, which is not </w:t>
      </w:r>
      <w:r w:rsidRPr="00BC7420">
        <w:rPr>
          <w:rFonts w:hint="eastAsia"/>
        </w:rPr>
        <w:t>seen</w:t>
      </w:r>
      <w:r w:rsidRPr="00BC7420">
        <w:t xml:space="preserve"> in the MRMS</w:t>
      </w:r>
      <w:r>
        <w:t xml:space="preserve"> data</w:t>
      </w:r>
      <w:r w:rsidRPr="00BC7420">
        <w:t xml:space="preserve"> (Fig. </w:t>
      </w:r>
      <w:r w:rsidR="00963EDC">
        <w:t>3.</w:t>
      </w:r>
      <w:r w:rsidRPr="00BC7420">
        <w:t>1</w:t>
      </w:r>
      <w:r>
        <w:t>2</w:t>
      </w:r>
      <w:r w:rsidR="00963EDC">
        <w:t xml:space="preserve"> </w:t>
      </w:r>
      <w:r w:rsidRPr="00BC7420">
        <w:t xml:space="preserve">a vs b, c), while RADSAT only generates a much weaker small-scale spurious cell at the same location (Fig. </w:t>
      </w:r>
      <w:r w:rsidR="00963EDC">
        <w:t>3.</w:t>
      </w:r>
      <w:r w:rsidRPr="00BC7420">
        <w:t>1</w:t>
      </w:r>
      <w:r>
        <w:t>2</w:t>
      </w:r>
      <w:r w:rsidR="00963EDC">
        <w:t xml:space="preserve"> </w:t>
      </w:r>
      <w:r w:rsidRPr="00BC7420">
        <w:t>d). Moreover, less spurious cells</w:t>
      </w:r>
      <w:r>
        <w:t xml:space="preserve"> with &gt; 40 dBZ composite reflectivity</w:t>
      </w:r>
      <w:r w:rsidRPr="00BC7420">
        <w:t xml:space="preserve"> are observed over southeastern Wyoming and southeastern Colorado in the RADSAT experiment.</w:t>
      </w:r>
    </w:p>
    <w:p w14:paraId="3D721608" w14:textId="77777777" w:rsidR="0022125A" w:rsidRDefault="0022125A" w:rsidP="0022125A">
      <w:pPr>
        <w:pStyle w:val="NoSpacing"/>
      </w:pPr>
    </w:p>
    <w:p w14:paraId="575AC82F" w14:textId="77777777" w:rsidR="00A07C14" w:rsidRPr="00DD5D9E" w:rsidRDefault="00A07C14" w:rsidP="00CC70A4">
      <w:pPr>
        <w:spacing w:line="240" w:lineRule="auto"/>
        <w:ind w:firstLine="0"/>
        <w:jc w:val="center"/>
      </w:pPr>
      <w:r w:rsidRPr="00DD5D9E">
        <w:rPr>
          <w:noProof/>
        </w:rPr>
        <w:lastRenderedPageBreak/>
        <w:drawing>
          <wp:inline distT="0" distB="0" distL="0" distR="0" wp14:anchorId="7CA970D2" wp14:editId="4591157A">
            <wp:extent cx="5943600" cy="6982881"/>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e6.tif"/>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6982881"/>
                    </a:xfrm>
                    <a:prstGeom prst="rect">
                      <a:avLst/>
                    </a:prstGeom>
                  </pic:spPr>
                </pic:pic>
              </a:graphicData>
            </a:graphic>
          </wp:inline>
        </w:drawing>
      </w:r>
    </w:p>
    <w:p w14:paraId="60020BCD" w14:textId="2D16AC05" w:rsidR="00963EDC" w:rsidRPr="00D60A80" w:rsidRDefault="00A07C14" w:rsidP="00963EDC">
      <w:pPr>
        <w:pStyle w:val="Captions"/>
        <w:rPr>
          <w:szCs w:val="24"/>
        </w:rPr>
      </w:pPr>
      <w:bookmarkStart w:id="70" w:name="_Toc134695271"/>
      <w:r w:rsidRPr="00D60A80">
        <w:rPr>
          <w:szCs w:val="24"/>
        </w:rPr>
        <w:t xml:space="preserve">Figure </w:t>
      </w:r>
      <w:r w:rsidR="00C96E3B" w:rsidRPr="00D60A80">
        <w:rPr>
          <w:szCs w:val="24"/>
        </w:rPr>
        <w:fldChar w:fldCharType="begin"/>
      </w:r>
      <w:r w:rsidR="00C96E3B" w:rsidRPr="00D60A80">
        <w:rPr>
          <w:szCs w:val="24"/>
        </w:rPr>
        <w:instrText xml:space="preserve"> STYLEREF 1 \s </w:instrText>
      </w:r>
      <w:r w:rsidR="00C96E3B" w:rsidRPr="00D60A80">
        <w:rPr>
          <w:szCs w:val="24"/>
        </w:rPr>
        <w:fldChar w:fldCharType="separate"/>
      </w:r>
      <w:r w:rsidR="00C77C87" w:rsidRPr="00D60A80">
        <w:rPr>
          <w:noProof/>
          <w:szCs w:val="24"/>
        </w:rPr>
        <w:t>3</w:t>
      </w:r>
      <w:r w:rsidR="00C96E3B" w:rsidRPr="00D60A80">
        <w:rPr>
          <w:noProof/>
          <w:szCs w:val="24"/>
        </w:rPr>
        <w:fldChar w:fldCharType="end"/>
      </w:r>
      <w:r w:rsidR="00C77C87" w:rsidRPr="00D60A80">
        <w:rPr>
          <w:szCs w:val="24"/>
        </w:rPr>
        <w:t>.</w:t>
      </w:r>
      <w:r w:rsidR="00C96E3B" w:rsidRPr="00D60A80">
        <w:rPr>
          <w:szCs w:val="24"/>
        </w:rPr>
        <w:fldChar w:fldCharType="begin"/>
      </w:r>
      <w:r w:rsidR="00C96E3B" w:rsidRPr="00D60A80">
        <w:rPr>
          <w:szCs w:val="24"/>
        </w:rPr>
        <w:instrText xml:space="preserve"> SEQ Figure \* ARABIC \s 1 </w:instrText>
      </w:r>
      <w:r w:rsidR="00C96E3B" w:rsidRPr="00D60A80">
        <w:rPr>
          <w:szCs w:val="24"/>
        </w:rPr>
        <w:fldChar w:fldCharType="separate"/>
      </w:r>
      <w:r w:rsidR="00C77C87" w:rsidRPr="00D60A80">
        <w:rPr>
          <w:noProof/>
          <w:szCs w:val="24"/>
        </w:rPr>
        <w:t>10</w:t>
      </w:r>
      <w:r w:rsidR="00C96E3B" w:rsidRPr="00D60A80">
        <w:rPr>
          <w:noProof/>
          <w:szCs w:val="24"/>
        </w:rPr>
        <w:fldChar w:fldCharType="end"/>
      </w:r>
      <w:r w:rsidRPr="00D60A80">
        <w:rPr>
          <w:szCs w:val="24"/>
        </w:rPr>
        <w:t xml:space="preserve"> The composite reflectivity from MRMS (the first column), forecasted composite reflectivity for CTRL (the second column), RAD (the third column) and RADSAT (the fourth column). The first row (a-d) is from the analysis at 2000 UTC, 10 May 2017; the second (e-h), third (i-l), fourth (m-p), fifth (q-t), sixth (u-x) rows are from 1h, 2h, 3h, 4h, 5h forecasts initiated at 2000 UTC respectively. Boxes in (f) and (g) indicate the locations of overprediction without using satellite observations during the assimilation cycles.</w:t>
      </w:r>
      <w:bookmarkEnd w:id="70"/>
    </w:p>
    <w:p w14:paraId="52D80454" w14:textId="77777777" w:rsidR="00963EDC" w:rsidRDefault="00963EDC" w:rsidP="00963EDC">
      <w:pPr>
        <w:pStyle w:val="NoSpacing"/>
        <w:rPr>
          <w:rFonts w:hint="eastAsia"/>
        </w:rPr>
      </w:pPr>
    </w:p>
    <w:p w14:paraId="50BE9EAC" w14:textId="02786687" w:rsidR="00A07C14" w:rsidRPr="00DD5D9E" w:rsidRDefault="00A07C14" w:rsidP="00CC70A4">
      <w:pPr>
        <w:pStyle w:val="Caption"/>
        <w:spacing w:after="0"/>
        <w:ind w:firstLine="0"/>
        <w:jc w:val="center"/>
      </w:pPr>
      <w:r w:rsidRPr="00DD5D9E">
        <w:rPr>
          <w:noProof/>
        </w:rPr>
        <w:drawing>
          <wp:inline distT="0" distB="0" distL="0" distR="0" wp14:anchorId="1971E252" wp14:editId="1A3987D4">
            <wp:extent cx="5943600" cy="4859033"/>
            <wp:effectExtent l="0" t="0" r="0" b="508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ure11.tif"/>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3600" cy="4859033"/>
                    </a:xfrm>
                    <a:prstGeom prst="rect">
                      <a:avLst/>
                    </a:prstGeom>
                  </pic:spPr>
                </pic:pic>
              </a:graphicData>
            </a:graphic>
          </wp:inline>
        </w:drawing>
      </w:r>
    </w:p>
    <w:p w14:paraId="5FC489B9" w14:textId="24B8D740" w:rsidR="00963EDC" w:rsidRPr="00D60A80" w:rsidRDefault="00A07C14" w:rsidP="00963EDC">
      <w:pPr>
        <w:pStyle w:val="Captions"/>
        <w:rPr>
          <w:szCs w:val="24"/>
        </w:rPr>
      </w:pPr>
      <w:bookmarkStart w:id="71" w:name="_Toc134695272"/>
      <w:r w:rsidRPr="00D60A80">
        <w:rPr>
          <w:szCs w:val="24"/>
        </w:rPr>
        <w:t xml:space="preserve">Figure </w:t>
      </w:r>
      <w:r w:rsidR="00C96E3B" w:rsidRPr="00D60A80">
        <w:rPr>
          <w:szCs w:val="24"/>
        </w:rPr>
        <w:fldChar w:fldCharType="begin"/>
      </w:r>
      <w:r w:rsidR="00C96E3B" w:rsidRPr="00D60A80">
        <w:rPr>
          <w:szCs w:val="24"/>
        </w:rPr>
        <w:instrText xml:space="preserve"> STYLEREF 1 \s </w:instrText>
      </w:r>
      <w:r w:rsidR="00C96E3B" w:rsidRPr="00D60A80">
        <w:rPr>
          <w:szCs w:val="24"/>
        </w:rPr>
        <w:fldChar w:fldCharType="separate"/>
      </w:r>
      <w:r w:rsidR="00C77C87" w:rsidRPr="00D60A80">
        <w:rPr>
          <w:noProof/>
          <w:szCs w:val="24"/>
        </w:rPr>
        <w:t>3</w:t>
      </w:r>
      <w:r w:rsidR="00C96E3B" w:rsidRPr="00D60A80">
        <w:rPr>
          <w:noProof/>
          <w:szCs w:val="24"/>
        </w:rPr>
        <w:fldChar w:fldCharType="end"/>
      </w:r>
      <w:r w:rsidR="00C77C87" w:rsidRPr="00D60A80">
        <w:rPr>
          <w:szCs w:val="24"/>
        </w:rPr>
        <w:t>.</w:t>
      </w:r>
      <w:r w:rsidR="00C96E3B" w:rsidRPr="00D60A80">
        <w:rPr>
          <w:szCs w:val="24"/>
        </w:rPr>
        <w:fldChar w:fldCharType="begin"/>
      </w:r>
      <w:r w:rsidR="00C96E3B" w:rsidRPr="00D60A80">
        <w:rPr>
          <w:szCs w:val="24"/>
        </w:rPr>
        <w:instrText xml:space="preserve"> SEQ Figure \* ARABIC \s 1 </w:instrText>
      </w:r>
      <w:r w:rsidR="00C96E3B" w:rsidRPr="00D60A80">
        <w:rPr>
          <w:szCs w:val="24"/>
        </w:rPr>
        <w:fldChar w:fldCharType="separate"/>
      </w:r>
      <w:r w:rsidR="00C77C87" w:rsidRPr="00D60A80">
        <w:rPr>
          <w:noProof/>
          <w:szCs w:val="24"/>
        </w:rPr>
        <w:t>11</w:t>
      </w:r>
      <w:r w:rsidR="00C96E3B" w:rsidRPr="00D60A80">
        <w:rPr>
          <w:noProof/>
          <w:szCs w:val="24"/>
        </w:rPr>
        <w:fldChar w:fldCharType="end"/>
      </w:r>
      <w:r w:rsidRPr="00D60A80">
        <w:rPr>
          <w:szCs w:val="24"/>
        </w:rPr>
        <w:t xml:space="preserve"> As in Fig. </w:t>
      </w:r>
      <w:r w:rsidR="00963EDC" w:rsidRPr="00D60A80">
        <w:rPr>
          <w:szCs w:val="24"/>
        </w:rPr>
        <w:t>3.</w:t>
      </w:r>
      <w:r w:rsidRPr="00D60A80">
        <w:rPr>
          <w:szCs w:val="24"/>
        </w:rPr>
        <w:t>10, but for 3</w:t>
      </w:r>
      <w:r w:rsidR="000A02A6" w:rsidRPr="00D60A80">
        <w:rPr>
          <w:szCs w:val="24"/>
        </w:rPr>
        <w:t>-hour</w:t>
      </w:r>
      <w:r w:rsidRPr="00D60A80">
        <w:rPr>
          <w:szCs w:val="24"/>
        </w:rPr>
        <w:t xml:space="preserve"> forecasts initiated at 2100 UTC, 16 May 2017.</w:t>
      </w:r>
      <w:bookmarkEnd w:id="71"/>
    </w:p>
    <w:p w14:paraId="3F322D8B" w14:textId="77777777" w:rsidR="009A3EDD" w:rsidRDefault="009A3EDD" w:rsidP="009A3EDD">
      <w:pPr>
        <w:pStyle w:val="NoSpacing"/>
        <w:rPr>
          <w:rFonts w:hint="eastAsia"/>
        </w:rPr>
      </w:pPr>
    </w:p>
    <w:p w14:paraId="3BDA0008" w14:textId="2C1C9673" w:rsidR="00A07C14" w:rsidRDefault="00A07C14" w:rsidP="00CC70A4">
      <w:pPr>
        <w:pStyle w:val="Caption"/>
        <w:spacing w:after="0"/>
        <w:ind w:firstLine="0"/>
        <w:jc w:val="center"/>
      </w:pPr>
      <w:r w:rsidRPr="00DD5D9E">
        <w:rPr>
          <w:noProof/>
        </w:rPr>
        <w:lastRenderedPageBreak/>
        <w:drawing>
          <wp:inline distT="0" distB="0" distL="0" distR="0" wp14:anchorId="5744E31F" wp14:editId="283832EC">
            <wp:extent cx="5943600" cy="4859035"/>
            <wp:effectExtent l="0" t="0" r="0" b="508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igure15.tif"/>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3600" cy="4859035"/>
                    </a:xfrm>
                    <a:prstGeom prst="rect">
                      <a:avLst/>
                    </a:prstGeom>
                  </pic:spPr>
                </pic:pic>
              </a:graphicData>
            </a:graphic>
          </wp:inline>
        </w:drawing>
      </w:r>
    </w:p>
    <w:p w14:paraId="353FFAB0" w14:textId="2543B144" w:rsidR="00A07C14" w:rsidRPr="00D60A80" w:rsidRDefault="00A07C14" w:rsidP="009A3EDD">
      <w:pPr>
        <w:pStyle w:val="Captions"/>
        <w:rPr>
          <w:szCs w:val="24"/>
        </w:rPr>
      </w:pPr>
      <w:bookmarkStart w:id="72" w:name="_Toc134695273"/>
      <w:r w:rsidRPr="00D60A80">
        <w:rPr>
          <w:szCs w:val="24"/>
        </w:rPr>
        <w:t xml:space="preserve">Figure </w:t>
      </w:r>
      <w:r w:rsidR="00C96E3B" w:rsidRPr="00D60A80">
        <w:rPr>
          <w:szCs w:val="24"/>
        </w:rPr>
        <w:fldChar w:fldCharType="begin"/>
      </w:r>
      <w:r w:rsidR="00C96E3B" w:rsidRPr="00D60A80">
        <w:rPr>
          <w:szCs w:val="24"/>
        </w:rPr>
        <w:instrText xml:space="preserve"> STYLEREF 1 \s </w:instrText>
      </w:r>
      <w:r w:rsidR="00C96E3B" w:rsidRPr="00D60A80">
        <w:rPr>
          <w:szCs w:val="24"/>
        </w:rPr>
        <w:fldChar w:fldCharType="separate"/>
      </w:r>
      <w:r w:rsidR="00C77C87" w:rsidRPr="00D60A80">
        <w:rPr>
          <w:noProof/>
          <w:szCs w:val="24"/>
        </w:rPr>
        <w:t>3</w:t>
      </w:r>
      <w:r w:rsidR="00C96E3B" w:rsidRPr="00D60A80">
        <w:rPr>
          <w:noProof/>
          <w:szCs w:val="24"/>
        </w:rPr>
        <w:fldChar w:fldCharType="end"/>
      </w:r>
      <w:r w:rsidR="00C77C87" w:rsidRPr="00D60A80">
        <w:rPr>
          <w:szCs w:val="24"/>
        </w:rPr>
        <w:t>.</w:t>
      </w:r>
      <w:r w:rsidR="00C96E3B" w:rsidRPr="00D60A80">
        <w:rPr>
          <w:szCs w:val="24"/>
        </w:rPr>
        <w:fldChar w:fldCharType="begin"/>
      </w:r>
      <w:r w:rsidR="00C96E3B" w:rsidRPr="00D60A80">
        <w:rPr>
          <w:szCs w:val="24"/>
        </w:rPr>
        <w:instrText xml:space="preserve"> SEQ Figure \* ARABIC \s 1 </w:instrText>
      </w:r>
      <w:r w:rsidR="00C96E3B" w:rsidRPr="00D60A80">
        <w:rPr>
          <w:szCs w:val="24"/>
        </w:rPr>
        <w:fldChar w:fldCharType="separate"/>
      </w:r>
      <w:r w:rsidR="00C77C87" w:rsidRPr="00D60A80">
        <w:rPr>
          <w:noProof/>
          <w:szCs w:val="24"/>
        </w:rPr>
        <w:t>12</w:t>
      </w:r>
      <w:r w:rsidR="00C96E3B" w:rsidRPr="00D60A80">
        <w:rPr>
          <w:noProof/>
          <w:szCs w:val="24"/>
        </w:rPr>
        <w:fldChar w:fldCharType="end"/>
      </w:r>
      <w:r w:rsidRPr="00D60A80">
        <w:rPr>
          <w:szCs w:val="24"/>
        </w:rPr>
        <w:t xml:space="preserve"> As in Fig. </w:t>
      </w:r>
      <w:r w:rsidR="007319B7" w:rsidRPr="00D60A80">
        <w:rPr>
          <w:szCs w:val="24"/>
        </w:rPr>
        <w:t>3.</w:t>
      </w:r>
      <w:r w:rsidRPr="00D60A80">
        <w:rPr>
          <w:szCs w:val="24"/>
        </w:rPr>
        <w:t>10, but for 3</w:t>
      </w:r>
      <w:r w:rsidR="000A02A6" w:rsidRPr="00D60A80">
        <w:rPr>
          <w:szCs w:val="24"/>
        </w:rPr>
        <w:t>-hour</w:t>
      </w:r>
      <w:r w:rsidRPr="00D60A80">
        <w:rPr>
          <w:szCs w:val="24"/>
        </w:rPr>
        <w:t xml:space="preserve"> forecasts initiated at 2100 UTC, 26 May 2017.</w:t>
      </w:r>
      <w:bookmarkEnd w:id="72"/>
    </w:p>
    <w:p w14:paraId="54502CB3" w14:textId="6CA44AE6" w:rsidR="009A3EDD" w:rsidRDefault="009A3EDD" w:rsidP="009A3EDD">
      <w:pPr>
        <w:pStyle w:val="NoSpacing"/>
      </w:pPr>
    </w:p>
    <w:p w14:paraId="531A0B96" w14:textId="70DE289C" w:rsidR="009A3EDD" w:rsidRPr="00DD5D9E" w:rsidRDefault="009A3EDD">
      <w:pPr>
        <w:pStyle w:val="Heading3"/>
      </w:pPr>
      <w:bookmarkStart w:id="73" w:name="_Toc130995449"/>
      <w:bookmarkStart w:id="74" w:name="_Toc131018314"/>
      <w:r>
        <w:t xml:space="preserve">Qualitative </w:t>
      </w:r>
      <w:r w:rsidR="005F7784">
        <w:t>f</w:t>
      </w:r>
      <w:r>
        <w:t xml:space="preserve">orecast </w:t>
      </w:r>
      <w:r w:rsidR="005F7784">
        <w:t>e</w:t>
      </w:r>
      <w:r>
        <w:t>valuation</w:t>
      </w:r>
      <w:bookmarkEnd w:id="73"/>
      <w:bookmarkEnd w:id="74"/>
    </w:p>
    <w:p w14:paraId="75DA4F1D" w14:textId="5C5F2B38" w:rsidR="009A3EDD" w:rsidRDefault="009A3EDD" w:rsidP="009A3EDD">
      <w:r w:rsidRPr="009A3EDD">
        <w:t>For the first 2</w:t>
      </w:r>
      <w:r w:rsidR="000A02A6">
        <w:t>-hour</w:t>
      </w:r>
      <w:r w:rsidRPr="009A3EDD">
        <w:t xml:space="preserve"> forecasts of the 10 May event, all experiments generate the supercell in the Texas Panhandle near the southwest corner of Oklahoma, but many spurious cells exist in both CTRL and RAD in the north Texas panhandle and Oklahoma Panhandle indicating large overprediction of convection (Fig</w:t>
      </w:r>
      <w:r>
        <w:t>s</w:t>
      </w:r>
      <w:r w:rsidRPr="009A3EDD">
        <w:t xml:space="preserve">. </w:t>
      </w:r>
      <w:r>
        <w:t>3.</w:t>
      </w:r>
      <w:r w:rsidRPr="009A3EDD">
        <w:t>10</w:t>
      </w:r>
      <w:r>
        <w:t xml:space="preserve"> </w:t>
      </w:r>
      <w:r w:rsidRPr="009A3EDD">
        <w:t>f, g, j, k). RADSAT has the best prediction of the storms in general (Fig</w:t>
      </w:r>
      <w:r>
        <w:t>s</w:t>
      </w:r>
      <w:r w:rsidRPr="009A3EDD">
        <w:t xml:space="preserve">. </w:t>
      </w:r>
      <w:r>
        <w:t>3.</w:t>
      </w:r>
      <w:r w:rsidRPr="009A3EDD">
        <w:t>10</w:t>
      </w:r>
      <w:r>
        <w:t xml:space="preserve"> </w:t>
      </w:r>
      <w:r w:rsidRPr="009A3EDD">
        <w:t>h, l) likely because the assimilation of satellite-derived data weakens the spurious convection in these areas. In the next 3</w:t>
      </w:r>
      <w:r w:rsidR="000A02A6">
        <w:t>-hour</w:t>
      </w:r>
      <w:r w:rsidRPr="009A3EDD">
        <w:t xml:space="preserve"> forecasts, this issue has been slightly alleviated but still exists in both CTRL and RAD. Moreover, large phase errors for the storm cluster </w:t>
      </w:r>
      <w:r w:rsidRPr="009A3EDD">
        <w:lastRenderedPageBreak/>
        <w:t>around the southwest corner of Oklahoma are observed in both CTRL and RAD (Fig</w:t>
      </w:r>
      <w:r>
        <w:t>s</w:t>
      </w:r>
      <w:r w:rsidRPr="009A3EDD">
        <w:t xml:space="preserve">. </w:t>
      </w:r>
      <w:r>
        <w:t>3.</w:t>
      </w:r>
      <w:r w:rsidRPr="009A3EDD">
        <w:t>10</w:t>
      </w:r>
      <w:r>
        <w:t xml:space="preserve"> </w:t>
      </w:r>
      <w:r w:rsidRPr="009A3EDD">
        <w:t>n, o, r, s, v, w). The storms in CTRL and RAD exhibit north biases compared to the MRMS data. The relative locations of the storms in CTRL prefer a south-north orientation instead of a southwest-northeast orientation as shown in the MRMS data. RADSAT performs better, especially for the orientation and location of the storms that produced tornadoes along the Red River (Fig</w:t>
      </w:r>
      <w:r>
        <w:t>s</w:t>
      </w:r>
      <w:r w:rsidRPr="009A3EDD">
        <w:t xml:space="preserve">. </w:t>
      </w:r>
      <w:r>
        <w:t>3.</w:t>
      </w:r>
      <w:r w:rsidRPr="009A3EDD">
        <w:t>10</w:t>
      </w:r>
      <w:r>
        <w:t xml:space="preserve"> </w:t>
      </w:r>
      <w:r w:rsidRPr="009A3EDD">
        <w:t>p, t, x). The improvements observed in RADSAT are probably the consequence of combining changes in water vapor distribution over southwestern Oklahoma and its associated impact on MLCAPE and MLCIN, which are primarily due to the assimilation of LPW observations.</w:t>
      </w:r>
    </w:p>
    <w:p w14:paraId="7128D2CB" w14:textId="702023A3" w:rsidR="009A3EDD" w:rsidRDefault="009A3EDD" w:rsidP="009A3EDD">
      <w:pPr>
        <w:ind w:firstLine="544"/>
      </w:pPr>
      <w:r>
        <w:t>For the 16 May event, t</w:t>
      </w:r>
      <w:r w:rsidRPr="00DD5D9E">
        <w:t>he</w:t>
      </w:r>
      <w:r>
        <w:t xml:space="preserve"> result of</w:t>
      </w:r>
      <w:r w:rsidRPr="00DD5D9E">
        <w:t xml:space="preserve"> </w:t>
      </w:r>
      <w:r w:rsidR="0007506B" w:rsidRPr="00DD5D9E">
        <w:t>the 3-</w:t>
      </w:r>
      <w:r w:rsidR="000A02A6">
        <w:t>hour</w:t>
      </w:r>
      <w:r w:rsidRPr="00DD5D9E">
        <w:t xml:space="preserve"> forecast launched from 2100 UTC corresponds </w:t>
      </w:r>
      <w:r>
        <w:t xml:space="preserve">well </w:t>
      </w:r>
      <w:r w:rsidRPr="00DD5D9E">
        <w:t>to the analyses previously discussed. Two separate tornadic supercells are predicted by all three experiments between 2100 UTC and 0000 UTC (Fig</w:t>
      </w:r>
      <w:r w:rsidR="00CD6045">
        <w:t>s</w:t>
      </w:r>
      <w:r w:rsidRPr="00DD5D9E">
        <w:t xml:space="preserve">. </w:t>
      </w:r>
      <w:r w:rsidR="00CD6045">
        <w:t>3.</w:t>
      </w:r>
      <w:r w:rsidRPr="00DD5D9E">
        <w:t>1</w:t>
      </w:r>
      <w:r>
        <w:t>1</w:t>
      </w:r>
      <w:r w:rsidR="00CD6045">
        <w:t xml:space="preserve"> </w:t>
      </w:r>
      <w:r>
        <w:t>a</w:t>
      </w:r>
      <w:r w:rsidR="00CD6045">
        <w:t xml:space="preserve"> </w:t>
      </w:r>
      <w:r w:rsidRPr="00DD5D9E">
        <w:t>-</w:t>
      </w:r>
      <w:r w:rsidR="00CD6045">
        <w:t xml:space="preserve"> </w:t>
      </w:r>
      <w:r w:rsidRPr="00DD5D9E">
        <w:t>p)</w:t>
      </w:r>
      <w:r w:rsidRPr="00DD5D9E">
        <w:rPr>
          <w:rFonts w:hint="eastAsia"/>
        </w:rPr>
        <w:t>.</w:t>
      </w:r>
      <w:r w:rsidRPr="00DD5D9E">
        <w:t xml:space="preserve"> However, two important improvements are </w:t>
      </w:r>
      <w:r>
        <w:t>present</w:t>
      </w:r>
      <w:r w:rsidRPr="00DD5D9E">
        <w:t xml:space="preserve"> in RADSAT. The 1- and 2-h</w:t>
      </w:r>
      <w:r w:rsidR="00CD6045">
        <w:t>our</w:t>
      </w:r>
      <w:r w:rsidRPr="00DD5D9E">
        <w:t xml:space="preserve"> forecasts for composite reflectivity show that all experiments maintain</w:t>
      </w:r>
      <w:r>
        <w:t xml:space="preserve"> an</w:t>
      </w:r>
      <w:r w:rsidRPr="00DD5D9E">
        <w:t xml:space="preserve"> MCS in western Kansas, while RADSAT generates</w:t>
      </w:r>
      <w:r>
        <w:t xml:space="preserve"> an</w:t>
      </w:r>
      <w:r w:rsidRPr="00DD5D9E">
        <w:t xml:space="preserve"> MCS pattern (Fig. </w:t>
      </w:r>
      <w:r w:rsidR="00CD6045">
        <w:t>3.</w:t>
      </w:r>
      <w:r w:rsidRPr="00DD5D9E">
        <w:t>1</w:t>
      </w:r>
      <w:r>
        <w:t>1</w:t>
      </w:r>
      <w:r w:rsidR="00CD6045">
        <w:t xml:space="preserve"> </w:t>
      </w:r>
      <w:r w:rsidRPr="00DD5D9E">
        <w:t xml:space="preserve">h) </w:t>
      </w:r>
      <w:r>
        <w:t xml:space="preserve">slightly </w:t>
      </w:r>
      <w:r w:rsidRPr="00DD5D9E">
        <w:t xml:space="preserve">closer to the observations at 2200 UTC (Fig. </w:t>
      </w:r>
      <w:r w:rsidR="00CD6045">
        <w:t>3.</w:t>
      </w:r>
      <w:r w:rsidRPr="00DD5D9E">
        <w:t>1</w:t>
      </w:r>
      <w:r>
        <w:t>1</w:t>
      </w:r>
      <w:r w:rsidR="00CD6045">
        <w:t xml:space="preserve"> </w:t>
      </w:r>
      <w:r w:rsidRPr="00DD5D9E">
        <w:t>e)</w:t>
      </w:r>
      <w:r>
        <w:t xml:space="preserve"> though many small spurious cells exist</w:t>
      </w:r>
      <w:r w:rsidRPr="00DD5D9E">
        <w:t xml:space="preserve">. The MCS appears as a southwest-northeast linear shape at 2300 UTC in RADSAT (Fig. </w:t>
      </w:r>
      <w:r w:rsidR="00CD6045">
        <w:t>3.</w:t>
      </w:r>
      <w:r w:rsidRPr="00DD5D9E">
        <w:t>1</w:t>
      </w:r>
      <w:r>
        <w:t>1</w:t>
      </w:r>
      <w:r w:rsidR="00CD6045">
        <w:t xml:space="preserve"> </w:t>
      </w:r>
      <w:r w:rsidRPr="00DF136D">
        <w:rPr>
          <w:i/>
        </w:rPr>
        <w:t>l</w:t>
      </w:r>
      <w:r w:rsidRPr="00DD5D9E">
        <w:t xml:space="preserve">) which is similar to observed composite reflectivity (Fig. </w:t>
      </w:r>
      <w:r w:rsidR="00CD6045">
        <w:t>3.</w:t>
      </w:r>
      <w:r w:rsidRPr="00DD5D9E">
        <w:t>1</w:t>
      </w:r>
      <w:r>
        <w:t>1</w:t>
      </w:r>
      <w:r w:rsidR="00CD6045">
        <w:t xml:space="preserve"> </w:t>
      </w:r>
      <w:r w:rsidRPr="00DD5D9E">
        <w:t xml:space="preserve">i) compared to CTRL and RAD. Another improvement is related to the predictability of </w:t>
      </w:r>
      <w:r w:rsidR="00CD6045">
        <w:t>S</w:t>
      </w:r>
      <w:r w:rsidRPr="00DD5D9E">
        <w:t xml:space="preserve">torm </w:t>
      </w:r>
      <w:r w:rsidR="00CD6045">
        <w:t>#</w:t>
      </w:r>
      <w:r w:rsidRPr="00DD5D9E">
        <w:t>3</w:t>
      </w:r>
      <w:r>
        <w:t xml:space="preserve"> (</w:t>
      </w:r>
      <w:r w:rsidRPr="00DD5D9E">
        <w:t xml:space="preserve">Fig. </w:t>
      </w:r>
      <w:r w:rsidR="00CD6045">
        <w:t>3.</w:t>
      </w:r>
      <w:r w:rsidRPr="00DD5D9E">
        <w:t>1</w:t>
      </w:r>
      <w:r>
        <w:t>1</w:t>
      </w:r>
      <w:r w:rsidR="00CD6045">
        <w:t xml:space="preserve"> </w:t>
      </w:r>
      <w:r w:rsidRPr="00DD5D9E">
        <w:t>i</w:t>
      </w:r>
      <w:r>
        <w:t>)</w:t>
      </w:r>
      <w:r w:rsidRPr="00DD5D9E">
        <w:t xml:space="preserve">. Only RADSAT </w:t>
      </w:r>
      <w:r>
        <w:t>produces a</w:t>
      </w:r>
      <w:r w:rsidRPr="00DD5D9E">
        <w:rPr>
          <w:rFonts w:hint="eastAsia"/>
        </w:rPr>
        <w:t xml:space="preserve"> </w:t>
      </w:r>
      <w:r w:rsidRPr="00DD5D9E">
        <w:t>better forecast by generating this non-tornadic supercell associated with large hail damage while both CTRL and RAD fail to generate an isolated supercell in this region.</w:t>
      </w:r>
      <w:r>
        <w:t xml:space="preserve"> </w:t>
      </w:r>
    </w:p>
    <w:p w14:paraId="518B898D" w14:textId="13CEF494" w:rsidR="009A3EDD" w:rsidRDefault="009A3EDD" w:rsidP="009A3EDD">
      <w:r>
        <w:t>A</w:t>
      </w:r>
      <w:r w:rsidRPr="00DD5D9E">
        <w:t xml:space="preserve">n improved forecast of severe convection </w:t>
      </w:r>
      <w:r>
        <w:t>on 26 May is also observed</w:t>
      </w:r>
      <w:r w:rsidRPr="00DD5D9E">
        <w:t xml:space="preserve"> by comparing the simulated composite reflectivity within 3</w:t>
      </w:r>
      <w:r w:rsidR="000A02A6">
        <w:t>-hour</w:t>
      </w:r>
      <w:r w:rsidRPr="00DD5D9E">
        <w:t xml:space="preserve"> forecasts launched </w:t>
      </w:r>
      <w:r>
        <w:t>from</w:t>
      </w:r>
      <w:r w:rsidRPr="00DD5D9E">
        <w:t xml:space="preserve"> 2100 UTC (Fig</w:t>
      </w:r>
      <w:r w:rsidR="00CD6045">
        <w:t>s</w:t>
      </w:r>
      <w:r w:rsidRPr="00DD5D9E">
        <w:t xml:space="preserve">. </w:t>
      </w:r>
      <w:r w:rsidR="00CD6045">
        <w:t>3.</w:t>
      </w:r>
      <w:r w:rsidRPr="00DD5D9E">
        <w:t>1</w:t>
      </w:r>
      <w:r>
        <w:t>2</w:t>
      </w:r>
      <w:r w:rsidR="00CD6045">
        <w:t xml:space="preserve"> </w:t>
      </w:r>
      <w:r>
        <w:t>a</w:t>
      </w:r>
      <w:r w:rsidR="00043247">
        <w:t xml:space="preserve"> </w:t>
      </w:r>
      <w:r w:rsidRPr="00DD5D9E">
        <w:t>-</w:t>
      </w:r>
      <w:r w:rsidR="00043247">
        <w:t xml:space="preserve"> </w:t>
      </w:r>
      <w:r w:rsidRPr="00DD5D9E">
        <w:t>p).</w:t>
      </w:r>
      <w:r>
        <w:t xml:space="preserve"> </w:t>
      </w:r>
      <w:r w:rsidRPr="00DD5D9E">
        <w:t xml:space="preserve">All three experiments appropriately predict the tornadic supercell in northeastern Colorado </w:t>
      </w:r>
      <w:r w:rsidRPr="00DD5D9E">
        <w:lastRenderedPageBreak/>
        <w:t>during the 3-h</w:t>
      </w:r>
      <w:r w:rsidR="00CD6045">
        <w:t>our</w:t>
      </w:r>
      <w:r w:rsidRPr="00DD5D9E">
        <w:t xml:space="preserve"> forecast period. </w:t>
      </w:r>
      <w:r>
        <w:t>CTRL</w:t>
      </w:r>
      <w:r w:rsidRPr="00DD5D9E">
        <w:t xml:space="preserve"> </w:t>
      </w:r>
      <w:r w:rsidR="0007506B" w:rsidRPr="00DD5D9E">
        <w:t>differs</w:t>
      </w:r>
      <w:r w:rsidRPr="00DD5D9E">
        <w:t xml:space="preserve"> from </w:t>
      </w:r>
      <w:r>
        <w:t>RAD and RADSAT</w:t>
      </w:r>
      <w:r w:rsidRPr="00DD5D9E">
        <w:t xml:space="preserve"> in that </w:t>
      </w:r>
      <w:r>
        <w:t>it</w:t>
      </w:r>
      <w:r w:rsidRPr="00DD5D9E">
        <w:t xml:space="preserve"> produce</w:t>
      </w:r>
      <w:r>
        <w:t>s</w:t>
      </w:r>
      <w:r w:rsidRPr="00DD5D9E">
        <w:t xml:space="preserve"> the tornadic supercell </w:t>
      </w:r>
      <w:r>
        <w:t>falling behind the location observed in</w:t>
      </w:r>
      <w:r w:rsidRPr="00DD5D9E">
        <w:t xml:space="preserve"> </w:t>
      </w:r>
      <w:r>
        <w:t xml:space="preserve">the </w:t>
      </w:r>
      <w:r w:rsidRPr="00DD5D9E">
        <w:t>MRMS</w:t>
      </w:r>
      <w:r>
        <w:t xml:space="preserve"> data. For example, RAD and RADSAT (Fig</w:t>
      </w:r>
      <w:r w:rsidR="00CD6045">
        <w:t>s</w:t>
      </w:r>
      <w:r>
        <w:t xml:space="preserve">. </w:t>
      </w:r>
      <w:r w:rsidR="00CD6045">
        <w:t>3.</w:t>
      </w:r>
      <w:r>
        <w:t>12</w:t>
      </w:r>
      <w:r w:rsidR="00CD6045">
        <w:t xml:space="preserve"> </w:t>
      </w:r>
      <w:r>
        <w:t>k</w:t>
      </w:r>
      <w:r w:rsidR="00043247">
        <w:t xml:space="preserve"> </w:t>
      </w:r>
      <w:r>
        <w:t>-</w:t>
      </w:r>
      <w:r w:rsidR="00043247">
        <w:t xml:space="preserve"> </w:t>
      </w:r>
      <w:r w:rsidRPr="00C32EC2">
        <w:rPr>
          <w:i/>
          <w:iCs/>
        </w:rPr>
        <w:t>l</w:t>
      </w:r>
      <w:r>
        <w:t xml:space="preserve">) produce the tornadic supercell </w:t>
      </w:r>
      <w:r w:rsidR="0007506B">
        <w:t>in</w:t>
      </w:r>
      <w:r>
        <w:t xml:space="preserve"> Washington county, CO as in the MRMS observation (Fig. </w:t>
      </w:r>
      <w:r w:rsidR="00CD6045">
        <w:t>3.</w:t>
      </w:r>
      <w:r>
        <w:t>12</w:t>
      </w:r>
      <w:r w:rsidR="00CD6045">
        <w:t xml:space="preserve"> </w:t>
      </w:r>
      <w:r>
        <w:t>i), while CTRL produce</w:t>
      </w:r>
      <w:r w:rsidR="00F60E08">
        <w:t>s</w:t>
      </w:r>
      <w:r>
        <w:t xml:space="preserve"> the tornadic supercell </w:t>
      </w:r>
      <w:r w:rsidR="00F60E08">
        <w:t>in</w:t>
      </w:r>
      <w:r>
        <w:t xml:space="preserve"> Arapahoe county, CO. </w:t>
      </w:r>
      <w:r w:rsidRPr="00DD5D9E">
        <w:t>At 2200 UTC</w:t>
      </w:r>
      <w:r>
        <w:t>,</w:t>
      </w:r>
      <w:r w:rsidRPr="00DD5D9E">
        <w:t xml:space="preserve"> </w:t>
      </w:r>
      <w:r>
        <w:t>1</w:t>
      </w:r>
      <w:r>
        <w:rPr>
          <w:rFonts w:asciiTheme="minorEastAsia" w:hAnsiTheme="minorEastAsia" w:hint="eastAsia"/>
        </w:rPr>
        <w:t>-</w:t>
      </w:r>
      <w:r w:rsidRPr="00DD5D9E">
        <w:t>h</w:t>
      </w:r>
      <w:r w:rsidR="00F90A2D">
        <w:t>our</w:t>
      </w:r>
      <w:r w:rsidRPr="00DD5D9E">
        <w:t xml:space="preserve"> into the forecast, RADSAT </w:t>
      </w:r>
      <w:r>
        <w:t>over</w:t>
      </w:r>
      <w:r w:rsidRPr="00DD5D9E">
        <w:t>predict</w:t>
      </w:r>
      <w:r>
        <w:t>s</w:t>
      </w:r>
      <w:r w:rsidRPr="00DD5D9E">
        <w:t xml:space="preserve"> </w:t>
      </w:r>
      <w:r>
        <w:t>the</w:t>
      </w:r>
      <w:r w:rsidRPr="00DD5D9E">
        <w:t xml:space="preserve"> storm initiated in the southeast corner of Wyoming (</w:t>
      </w:r>
      <w:r>
        <w:t xml:space="preserve">Fig. </w:t>
      </w:r>
      <w:r w:rsidR="00F90A2D">
        <w:t>3.</w:t>
      </w:r>
      <w:r w:rsidRPr="00DD5D9E">
        <w:t>1</w:t>
      </w:r>
      <w:r>
        <w:t>2</w:t>
      </w:r>
      <w:r w:rsidR="00F90A2D">
        <w:t xml:space="preserve"> </w:t>
      </w:r>
      <w:r w:rsidRPr="00DD5D9E">
        <w:t xml:space="preserve">e vs h), and the other two experiments </w:t>
      </w:r>
      <w:r>
        <w:t xml:space="preserve">totally </w:t>
      </w:r>
      <w:r w:rsidRPr="00DD5D9E">
        <w:t xml:space="preserve">miss this </w:t>
      </w:r>
      <w:r>
        <w:t xml:space="preserve">storm </w:t>
      </w:r>
      <w:r w:rsidRPr="00DD5D9E">
        <w:t>(Fig</w:t>
      </w:r>
      <w:r w:rsidR="00F90A2D">
        <w:t>s</w:t>
      </w:r>
      <w:r w:rsidRPr="00DD5D9E">
        <w:t xml:space="preserve">. </w:t>
      </w:r>
      <w:r w:rsidR="00F90A2D">
        <w:t>3.</w:t>
      </w:r>
      <w:r w:rsidRPr="00DD5D9E">
        <w:t>1</w:t>
      </w:r>
      <w:r>
        <w:t>2</w:t>
      </w:r>
      <w:r w:rsidR="00F90A2D">
        <w:t xml:space="preserve"> </w:t>
      </w:r>
      <w:r w:rsidRPr="00DD5D9E">
        <w:t>f,</w:t>
      </w:r>
      <w:r>
        <w:t xml:space="preserve"> </w:t>
      </w:r>
      <w:r w:rsidRPr="00DD5D9E">
        <w:t>g). At 2300 and 0000 UTC</w:t>
      </w:r>
      <w:r>
        <w:t>,</w:t>
      </w:r>
      <w:r w:rsidRPr="00DD5D9E">
        <w:t xml:space="preserve"> RADSAT</w:t>
      </w:r>
      <w:r>
        <w:t xml:space="preserve"> maintains the storm similar to that in the MRMS observations. However, it </w:t>
      </w:r>
      <w:r w:rsidRPr="00DD5D9E">
        <w:t xml:space="preserve">produces </w:t>
      </w:r>
      <w:r>
        <w:t xml:space="preserve">more spurious </w:t>
      </w:r>
      <w:r w:rsidR="00F90A2D">
        <w:t>convection</w:t>
      </w:r>
      <w:r>
        <w:t xml:space="preserve"> near the border of Colorado and Kansas</w:t>
      </w:r>
      <w:r w:rsidRPr="00DD5D9E">
        <w:t xml:space="preserve"> (Fig</w:t>
      </w:r>
      <w:r w:rsidR="00F90A2D">
        <w:t>s</w:t>
      </w:r>
      <w:r w:rsidRPr="00DD5D9E">
        <w:t xml:space="preserve">. </w:t>
      </w:r>
      <w:r w:rsidR="00F90A2D">
        <w:t>3.</w:t>
      </w:r>
      <w:r w:rsidRPr="00DD5D9E">
        <w:t>1</w:t>
      </w:r>
      <w:r>
        <w:t>2</w:t>
      </w:r>
      <w:r w:rsidR="00F90A2D">
        <w:t xml:space="preserve"> </w:t>
      </w:r>
      <w:r w:rsidRPr="00DD5D9E">
        <w:rPr>
          <w:i/>
        </w:rPr>
        <w:t>l</w:t>
      </w:r>
      <w:r w:rsidRPr="00DD5D9E">
        <w:t>, p) compared to the CTRL (Fig</w:t>
      </w:r>
      <w:r w:rsidR="00F90A2D">
        <w:t>s. 3.</w:t>
      </w:r>
      <w:r w:rsidRPr="00DD5D9E">
        <w:t>1</w:t>
      </w:r>
      <w:r>
        <w:t>2</w:t>
      </w:r>
      <w:r w:rsidR="00F90A2D">
        <w:t xml:space="preserve"> </w:t>
      </w:r>
      <w:r w:rsidRPr="00DD5D9E">
        <w:t>j, n) and RAD (Fig</w:t>
      </w:r>
      <w:r w:rsidR="00F90A2D">
        <w:t>s</w:t>
      </w:r>
      <w:r w:rsidRPr="00DD5D9E">
        <w:t xml:space="preserve">. </w:t>
      </w:r>
      <w:r w:rsidR="00F90A2D">
        <w:t>3.</w:t>
      </w:r>
      <w:r w:rsidRPr="00DD5D9E">
        <w:t>1</w:t>
      </w:r>
      <w:r>
        <w:t>2</w:t>
      </w:r>
      <w:r w:rsidR="00F90A2D">
        <w:t xml:space="preserve"> </w:t>
      </w:r>
      <w:r w:rsidRPr="00DD5D9E">
        <w:t>k, o).</w:t>
      </w:r>
    </w:p>
    <w:p w14:paraId="3AFE6FB4" w14:textId="77777777" w:rsidR="00F90A2D" w:rsidRDefault="00F90A2D" w:rsidP="00F90A2D">
      <w:pPr>
        <w:pStyle w:val="NoSpacing"/>
      </w:pPr>
    </w:p>
    <w:p w14:paraId="72810C39" w14:textId="77777777" w:rsidR="00A07C14" w:rsidRPr="00DD5D9E" w:rsidRDefault="00A07C14" w:rsidP="00CC70A4">
      <w:pPr>
        <w:spacing w:line="240" w:lineRule="auto"/>
        <w:ind w:firstLine="0"/>
        <w:jc w:val="center"/>
      </w:pPr>
      <w:r>
        <w:rPr>
          <w:noProof/>
        </w:rPr>
        <w:drawing>
          <wp:inline distT="0" distB="0" distL="0" distR="0" wp14:anchorId="47FE6917" wp14:editId="06127120">
            <wp:extent cx="5943600" cy="3016154"/>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Figure8-crop.tif"/>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43600" cy="3016154"/>
                    </a:xfrm>
                    <a:prstGeom prst="rect">
                      <a:avLst/>
                    </a:prstGeom>
                  </pic:spPr>
                </pic:pic>
              </a:graphicData>
            </a:graphic>
          </wp:inline>
        </w:drawing>
      </w:r>
    </w:p>
    <w:p w14:paraId="03B116F3" w14:textId="73216003" w:rsidR="00F90A2D" w:rsidRPr="00D60A80" w:rsidRDefault="00A07C14" w:rsidP="00F90A2D">
      <w:pPr>
        <w:pStyle w:val="Captions"/>
        <w:rPr>
          <w:szCs w:val="24"/>
        </w:rPr>
      </w:pPr>
      <w:bookmarkStart w:id="75" w:name="_Toc134695274"/>
      <w:r w:rsidRPr="00D60A80">
        <w:rPr>
          <w:szCs w:val="24"/>
        </w:rPr>
        <w:t xml:space="preserve">Figure </w:t>
      </w:r>
      <w:r w:rsidR="00C96E3B" w:rsidRPr="00D60A80">
        <w:rPr>
          <w:szCs w:val="24"/>
        </w:rPr>
        <w:fldChar w:fldCharType="begin"/>
      </w:r>
      <w:r w:rsidR="00C96E3B" w:rsidRPr="00D60A80">
        <w:rPr>
          <w:szCs w:val="24"/>
        </w:rPr>
        <w:instrText xml:space="preserve"> STYLEREF 1 \s </w:instrText>
      </w:r>
      <w:r w:rsidR="00C96E3B" w:rsidRPr="00D60A80">
        <w:rPr>
          <w:szCs w:val="24"/>
        </w:rPr>
        <w:fldChar w:fldCharType="separate"/>
      </w:r>
      <w:r w:rsidR="00C77C87" w:rsidRPr="00D60A80">
        <w:rPr>
          <w:noProof/>
          <w:szCs w:val="24"/>
        </w:rPr>
        <w:t>3</w:t>
      </w:r>
      <w:r w:rsidR="00C96E3B" w:rsidRPr="00D60A80">
        <w:rPr>
          <w:noProof/>
          <w:szCs w:val="24"/>
        </w:rPr>
        <w:fldChar w:fldCharType="end"/>
      </w:r>
      <w:r w:rsidR="00C77C87" w:rsidRPr="00D60A80">
        <w:rPr>
          <w:szCs w:val="24"/>
        </w:rPr>
        <w:t>.</w:t>
      </w:r>
      <w:r w:rsidR="00C96E3B" w:rsidRPr="00D60A80">
        <w:rPr>
          <w:szCs w:val="24"/>
        </w:rPr>
        <w:fldChar w:fldCharType="begin"/>
      </w:r>
      <w:r w:rsidR="00C96E3B" w:rsidRPr="00D60A80">
        <w:rPr>
          <w:szCs w:val="24"/>
        </w:rPr>
        <w:instrText xml:space="preserve"> SEQ Figure \* ARABIC \s 1 </w:instrText>
      </w:r>
      <w:r w:rsidR="00C96E3B" w:rsidRPr="00D60A80">
        <w:rPr>
          <w:szCs w:val="24"/>
        </w:rPr>
        <w:fldChar w:fldCharType="separate"/>
      </w:r>
      <w:r w:rsidR="00C77C87" w:rsidRPr="00D60A80">
        <w:rPr>
          <w:noProof/>
          <w:szCs w:val="24"/>
        </w:rPr>
        <w:t>13</w:t>
      </w:r>
      <w:r w:rsidR="00C96E3B" w:rsidRPr="00D60A80">
        <w:rPr>
          <w:noProof/>
          <w:szCs w:val="24"/>
        </w:rPr>
        <w:fldChar w:fldCharType="end"/>
      </w:r>
      <w:r w:rsidRPr="00D60A80">
        <w:rPr>
          <w:szCs w:val="24"/>
        </w:rPr>
        <w:t xml:space="preserve"> The tracks of UH between 2-5 km above ground (shaded) drawn from 6</w:t>
      </w:r>
      <w:r w:rsidR="000A02A6" w:rsidRPr="00D60A80">
        <w:rPr>
          <w:szCs w:val="24"/>
        </w:rPr>
        <w:t>-hour</w:t>
      </w:r>
      <w:r w:rsidRPr="00D60A80">
        <w:rPr>
          <w:szCs w:val="24"/>
        </w:rPr>
        <w:t xml:space="preserve"> forecasts initiated at 2000 UTC 10 May 2017 for the (a) CTRL, (b) RAD, (c) RADSAT, (d) RADCWP, and (e) RADLPW experiments. The red, blue and green markers indicate reports of tornadoes, damaging wind and large hail, respectively.</w:t>
      </w:r>
      <w:bookmarkEnd w:id="75"/>
    </w:p>
    <w:p w14:paraId="5BBEE230" w14:textId="700A4880" w:rsidR="00A07C14" w:rsidRDefault="00A07C14" w:rsidP="00F90A2D">
      <w:pPr>
        <w:pStyle w:val="NoSpacing"/>
      </w:pPr>
    </w:p>
    <w:p w14:paraId="7FAB59F7" w14:textId="4B3DAFAE" w:rsidR="00F90A2D" w:rsidRDefault="00F90A2D" w:rsidP="00F90A2D">
      <w:r w:rsidRPr="00DD5D9E">
        <w:lastRenderedPageBreak/>
        <w:t>To illustrate the motion of convection associated with severe weather events, the 2 – 5</w:t>
      </w:r>
      <w:r w:rsidR="007319B7">
        <w:t xml:space="preserve"> </w:t>
      </w:r>
      <w:r w:rsidRPr="00DD5D9E">
        <w:t>km UH tracks for 6</w:t>
      </w:r>
      <w:r w:rsidR="000A02A6">
        <w:t>-hour</w:t>
      </w:r>
      <w:r w:rsidRPr="00DD5D9E">
        <w:t xml:space="preserve"> forecasts launched from 2000 UTC 10 May</w:t>
      </w:r>
      <w:r>
        <w:t xml:space="preserve"> (Fig. </w:t>
      </w:r>
      <w:r w:rsidR="007319B7">
        <w:t>3.</w:t>
      </w:r>
      <w:r>
        <w:t xml:space="preserve">13), 2100 UTC 16 May (Fig. </w:t>
      </w:r>
      <w:r w:rsidR="007319B7">
        <w:t>3.</w:t>
      </w:r>
      <w:r>
        <w:t>14), and 2100 UTC 26 May</w:t>
      </w:r>
      <w:r w:rsidR="007319B7">
        <w:t xml:space="preserve"> </w:t>
      </w:r>
      <w:r>
        <w:t xml:space="preserve">(Fig. </w:t>
      </w:r>
      <w:r w:rsidR="007319B7">
        <w:t>3.</w:t>
      </w:r>
      <w:r>
        <w:t>15)</w:t>
      </w:r>
      <w:r w:rsidRPr="00DD5D9E">
        <w:t xml:space="preserve"> are overlaid with the </w:t>
      </w:r>
      <w:r w:rsidR="007319B7">
        <w:t>NWS/SPC</w:t>
      </w:r>
      <w:r w:rsidRPr="00DD5D9E">
        <w:t xml:space="preserve"> storm reports during th</w:t>
      </w:r>
      <w:r>
        <w:t xml:space="preserve">ese time </w:t>
      </w:r>
      <w:r w:rsidRPr="00DD5D9E">
        <w:t>period</w:t>
      </w:r>
      <w:r>
        <w:t>s.</w:t>
      </w:r>
      <w:r w:rsidRPr="00DD5D9E">
        <w:t xml:space="preserve"> The larger updraft helicity represents the stronger vertical motion and </w:t>
      </w:r>
      <w:r w:rsidR="00755919">
        <w:t>midlevel</w:t>
      </w:r>
      <w:r w:rsidRPr="00DD5D9E">
        <w:t xml:space="preserve"> rotation between 2 to 5km at a given horizontal grid point. </w:t>
      </w:r>
    </w:p>
    <w:p w14:paraId="6BA75329" w14:textId="4022BF2C" w:rsidR="00F90A2D" w:rsidRPr="00BE716F" w:rsidRDefault="00F90A2D" w:rsidP="00F90A2D">
      <w:r>
        <w:t>On 10 May 2017</w:t>
      </w:r>
      <w:r w:rsidRPr="00DD5D9E">
        <w:t>,</w:t>
      </w:r>
      <w:r>
        <w:t xml:space="preserve"> </w:t>
      </w:r>
      <w:r w:rsidRPr="00DD5D9E">
        <w:t xml:space="preserve">each experiment </w:t>
      </w:r>
      <w:r>
        <w:t>generates</w:t>
      </w:r>
      <w:r w:rsidRPr="00DD5D9E">
        <w:t xml:space="preserve"> </w:t>
      </w:r>
      <w:r>
        <w:t>an</w:t>
      </w:r>
      <w:r w:rsidRPr="00DD5D9E">
        <w:t xml:space="preserve"> UH track along or north </w:t>
      </w:r>
      <w:r>
        <w:t>of</w:t>
      </w:r>
      <w:r w:rsidRPr="00DD5D9E">
        <w:t xml:space="preserve"> the reported severe storm events near the border of southwestern Oklahoma and North Texas. A hysteresis of strong UH </w:t>
      </w:r>
      <w:r>
        <w:t>associated with</w:t>
      </w:r>
      <w:r w:rsidRPr="00DD5D9E">
        <w:t xml:space="preserve"> </w:t>
      </w:r>
      <w:r w:rsidR="001D2BFF" w:rsidRPr="00DD5D9E">
        <w:t>Storm</w:t>
      </w:r>
      <w:r w:rsidRPr="00DD5D9E">
        <w:t xml:space="preserve"> </w:t>
      </w:r>
      <w:r w:rsidR="007319B7">
        <w:t>#</w:t>
      </w:r>
      <w:r w:rsidRPr="00DD5D9E">
        <w:t xml:space="preserve">1 (indicated in Fig. </w:t>
      </w:r>
      <w:r w:rsidR="007319B7">
        <w:t>3.</w:t>
      </w:r>
      <w:r>
        <w:t>10</w:t>
      </w:r>
      <w:r w:rsidR="007319B7">
        <w:t xml:space="preserve"> </w:t>
      </w:r>
      <w:r w:rsidRPr="00DD5D9E">
        <w:t xml:space="preserve">e) is predicted </w:t>
      </w:r>
      <w:r>
        <w:t>al</w:t>
      </w:r>
      <w:r w:rsidRPr="00DD5D9E">
        <w:t xml:space="preserve">though it is imbedded in spurious convection in CTRL (Fig. </w:t>
      </w:r>
      <w:r w:rsidR="007319B7">
        <w:t>3.</w:t>
      </w:r>
      <w:r>
        <w:t>13</w:t>
      </w:r>
      <w:r w:rsidR="007319B7">
        <w:t xml:space="preserve"> </w:t>
      </w:r>
      <w:r w:rsidRPr="00DD5D9E">
        <w:t xml:space="preserve">a). RADSAT best matches the track and intensity of UH to the NWS reports not only for the first storm, </w:t>
      </w:r>
      <w:r>
        <w:t xml:space="preserve">but also for the second storm observed around 2300 UTC in Foard County, Texas (Fig. </w:t>
      </w:r>
      <w:r w:rsidR="007319B7">
        <w:t>3.</w:t>
      </w:r>
      <w:r>
        <w:t>10</w:t>
      </w:r>
      <w:r w:rsidR="007319B7">
        <w:t xml:space="preserve"> </w:t>
      </w:r>
      <w:r>
        <w:t>m</w:t>
      </w:r>
      <w:r w:rsidRPr="00DD5D9E">
        <w:t>).</w:t>
      </w:r>
      <w:r>
        <w:t xml:space="preserve"> By comparing RADSAT and the standalone RADCWP/RADLPW experiments (Fig. </w:t>
      </w:r>
      <w:r w:rsidR="007319B7">
        <w:t>3.</w:t>
      </w:r>
      <w:r>
        <w:t>13</w:t>
      </w:r>
      <w:r w:rsidR="007319B7">
        <w:t xml:space="preserve"> </w:t>
      </w:r>
      <w:r>
        <w:t xml:space="preserve">c vs </w:t>
      </w:r>
      <w:r w:rsidR="007319B7">
        <w:t xml:space="preserve">Figs. 3.13 </w:t>
      </w:r>
      <w:r>
        <w:t>d, e), it is apparent that the improvement in initial conditions, and hence convection initiation</w:t>
      </w:r>
      <w:r>
        <w:rPr>
          <w:rFonts w:hint="eastAsia"/>
        </w:rPr>
        <w:t xml:space="preserve"> and</w:t>
      </w:r>
      <w:r>
        <w:t xml:space="preserve"> the movement of convection is due to the assimilation of LPW product.</w:t>
      </w:r>
    </w:p>
    <w:p w14:paraId="558C3A74" w14:textId="7955546E" w:rsidR="00F90A2D" w:rsidRDefault="00F90A2D" w:rsidP="00F90A2D">
      <w:r>
        <w:t xml:space="preserve">For the 16 May event, all experiments produce similar </w:t>
      </w:r>
      <w:r w:rsidRPr="00DD5D9E">
        <w:t>2 – 5</w:t>
      </w:r>
      <w:r w:rsidR="007319B7">
        <w:t xml:space="preserve"> </w:t>
      </w:r>
      <w:r w:rsidRPr="00DD5D9E">
        <w:t xml:space="preserve">km UH tracks </w:t>
      </w:r>
      <w:r>
        <w:t>and intensities (</w:t>
      </w:r>
      <w:r w:rsidRPr="00DD5D9E">
        <w:t>&gt; 450 m</w:t>
      </w:r>
      <w:r w:rsidRPr="00DD5D9E">
        <w:rPr>
          <w:vertAlign w:val="superscript"/>
        </w:rPr>
        <w:t>2</w:t>
      </w:r>
      <w:r w:rsidRPr="00DD5D9E">
        <w:t xml:space="preserve"> s</w:t>
      </w:r>
      <w:r w:rsidRPr="00DD5D9E">
        <w:rPr>
          <w:vertAlign w:val="superscript"/>
        </w:rPr>
        <w:t>-2</w:t>
      </w:r>
      <w:r>
        <w:t xml:space="preserve">) </w:t>
      </w:r>
      <w:r w:rsidRPr="00DD5D9E">
        <w:t>for the tornadic supercells. RADSAT generates a UH track almost exactly matching the NWS reports for both tornadic supercells</w:t>
      </w:r>
      <w:r>
        <w:t xml:space="preserve"> and non-tornadic supercell (Fig. </w:t>
      </w:r>
      <w:r w:rsidR="007319B7">
        <w:t>3.</w:t>
      </w:r>
      <w:r>
        <w:t>14</w:t>
      </w:r>
      <w:r w:rsidR="007319B7">
        <w:t xml:space="preserve"> </w:t>
      </w:r>
      <w:r>
        <w:t xml:space="preserve">c, Fig. </w:t>
      </w:r>
      <w:r w:rsidR="007319B7">
        <w:t>3.</w:t>
      </w:r>
      <w:r>
        <w:t>11</w:t>
      </w:r>
      <w:r w:rsidR="007319B7">
        <w:t xml:space="preserve"> </w:t>
      </w:r>
      <w:r>
        <w:t>i)</w:t>
      </w:r>
      <w:r w:rsidRPr="00DD5D9E">
        <w:t xml:space="preserve">, </w:t>
      </w:r>
      <w:r>
        <w:t>whereas</w:t>
      </w:r>
      <w:r w:rsidRPr="00DD5D9E">
        <w:t xml:space="preserve"> CTRL and RAD </w:t>
      </w:r>
      <w:r>
        <w:t xml:space="preserve">totally </w:t>
      </w:r>
      <w:r w:rsidRPr="00DD5D9E">
        <w:t>miss</w:t>
      </w:r>
      <w:r>
        <w:t xml:space="preserve"> </w:t>
      </w:r>
      <w:r w:rsidRPr="00DD5D9E">
        <w:t>the third storm (Fig</w:t>
      </w:r>
      <w:r w:rsidR="007319B7">
        <w:t>s</w:t>
      </w:r>
      <w:r w:rsidRPr="00DD5D9E">
        <w:t xml:space="preserve">. </w:t>
      </w:r>
      <w:r w:rsidR="007319B7">
        <w:t>3.</w:t>
      </w:r>
      <w:r w:rsidRPr="00DD5D9E">
        <w:t>1</w:t>
      </w:r>
      <w:r>
        <w:t>4</w:t>
      </w:r>
      <w:r w:rsidR="007319B7">
        <w:t xml:space="preserve"> </w:t>
      </w:r>
      <w:r>
        <w:t>a, b</w:t>
      </w:r>
      <w:r w:rsidRPr="00DD5D9E">
        <w:t>). RADSAT also provides a somewhat better UH track forecast for the hazardous weather events including tornadoes in southwestern Kansas between 2</w:t>
      </w:r>
      <w:r>
        <w:t>1</w:t>
      </w:r>
      <w:r w:rsidRPr="00DD5D9E">
        <w:t>00 UTC and 0000 UTC.</w:t>
      </w:r>
    </w:p>
    <w:p w14:paraId="3DEEE606" w14:textId="4CFD8C84" w:rsidR="007319B7" w:rsidRDefault="007319B7" w:rsidP="007319B7">
      <w:r w:rsidRPr="00DD5D9E">
        <w:t xml:space="preserve">As expected, all experiments </w:t>
      </w:r>
      <w:r>
        <w:t xml:space="preserve">for 26 May </w:t>
      </w:r>
      <w:r w:rsidRPr="00DD5D9E">
        <w:t>generate a UH track with value greater than 450 m</w:t>
      </w:r>
      <w:r w:rsidRPr="00DD5D9E">
        <w:rPr>
          <w:vertAlign w:val="superscript"/>
        </w:rPr>
        <w:t>2</w:t>
      </w:r>
      <w:r w:rsidRPr="00DD5D9E">
        <w:t>s</w:t>
      </w:r>
      <w:r w:rsidRPr="00DD5D9E">
        <w:rPr>
          <w:vertAlign w:val="superscript"/>
        </w:rPr>
        <w:t>-2</w:t>
      </w:r>
      <w:r w:rsidRPr="00E278E7">
        <w:t xml:space="preserve"> </w:t>
      </w:r>
      <w:r w:rsidRPr="00DD5D9E">
        <w:t>for the tornadic supercell. However, CTRL has a south bias</w:t>
      </w:r>
      <w:r>
        <w:t xml:space="preserve"> compared to the SPC reports (Fig. 3.15 a)</w:t>
      </w:r>
      <w:r w:rsidRPr="00DD5D9E">
        <w:t xml:space="preserve">. </w:t>
      </w:r>
      <w:r>
        <w:t xml:space="preserve">Both </w:t>
      </w:r>
      <w:r w:rsidRPr="00DD5D9E">
        <w:t xml:space="preserve">RAD </w:t>
      </w:r>
      <w:r>
        <w:t>and</w:t>
      </w:r>
      <w:r w:rsidRPr="00DD5D9E">
        <w:t xml:space="preserve"> RADSAT generate track</w:t>
      </w:r>
      <w:r>
        <w:t>s</w:t>
      </w:r>
      <w:r w:rsidRPr="00DD5D9E">
        <w:t xml:space="preserve"> </w:t>
      </w:r>
      <w:r>
        <w:t>better</w:t>
      </w:r>
      <w:r w:rsidRPr="00DD5D9E">
        <w:t xml:space="preserve"> overlapping the</w:t>
      </w:r>
      <w:r>
        <w:t xml:space="preserve"> SPC</w:t>
      </w:r>
      <w:r w:rsidRPr="00DD5D9E">
        <w:t xml:space="preserve"> reports</w:t>
      </w:r>
      <w:r>
        <w:t xml:space="preserve">. </w:t>
      </w:r>
      <w:r>
        <w:lastRenderedPageBreak/>
        <w:t>Although RADSAT has lower UH values along the track, it</w:t>
      </w:r>
      <w:r w:rsidRPr="00DD5D9E">
        <w:t xml:space="preserve"> highlights the southeastern turn that occurred with the storm just </w:t>
      </w:r>
      <w:r>
        <w:t>after</w:t>
      </w:r>
      <w:r w:rsidRPr="00DD5D9E">
        <w:t xml:space="preserve"> the first tornado </w:t>
      </w:r>
      <w:r>
        <w:t>formed (Fig. 3.15 c)</w:t>
      </w:r>
      <w:r w:rsidRPr="00DD5D9E">
        <w:t xml:space="preserve">. </w:t>
      </w:r>
      <w:r>
        <w:t>Apparently,</w:t>
      </w:r>
      <w:r w:rsidRPr="00DD5D9E">
        <w:t xml:space="preserve"> the storm in RADSAT is moving along the path where larger moisture </w:t>
      </w:r>
      <w:r>
        <w:t>gradient</w:t>
      </w:r>
      <w:r w:rsidRPr="00DD5D9E">
        <w:t xml:space="preserve"> is observed</w:t>
      </w:r>
      <w:r>
        <w:t xml:space="preserve"> (Figs. 3.9 b, c)</w:t>
      </w:r>
      <w:r w:rsidRPr="00DD5D9E">
        <w:t xml:space="preserve">. </w:t>
      </w:r>
      <w:r>
        <w:t>Therefore, t</w:t>
      </w:r>
      <w:r w:rsidRPr="00DD5D9E">
        <w:t>he differences of forecasts between the RADSAT and other experiments are</w:t>
      </w:r>
      <w:r>
        <w:t xml:space="preserve"> very likely related to</w:t>
      </w:r>
      <w:r w:rsidRPr="00DD5D9E">
        <w:t xml:space="preserve"> the changes in water vapor distribution</w:t>
      </w:r>
      <w:r>
        <w:t xml:space="preserve"> related to the assimilation of LPW</w:t>
      </w:r>
      <w:r w:rsidRPr="00DD5D9E">
        <w:t>.</w:t>
      </w:r>
    </w:p>
    <w:p w14:paraId="74BE7189" w14:textId="77777777" w:rsidR="00F90A2D" w:rsidRPr="007319B7" w:rsidRDefault="00F90A2D" w:rsidP="007319B7">
      <w:pPr>
        <w:pStyle w:val="NoSpacing"/>
      </w:pPr>
    </w:p>
    <w:p w14:paraId="44F83277" w14:textId="326F5937" w:rsidR="00A07C14" w:rsidRPr="00DD5D9E" w:rsidRDefault="00A07C14" w:rsidP="00CC70A4">
      <w:pPr>
        <w:spacing w:line="240" w:lineRule="auto"/>
        <w:jc w:val="center"/>
      </w:pPr>
      <w:r w:rsidRPr="00DD5D9E">
        <w:rPr>
          <w:noProof/>
        </w:rPr>
        <w:lastRenderedPageBreak/>
        <w:drawing>
          <wp:inline distT="0" distB="0" distL="0" distR="0" wp14:anchorId="0C8A7CF8" wp14:editId="07E3E98F">
            <wp:extent cx="2909455" cy="658368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gure12.tif"/>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909455" cy="6583680"/>
                    </a:xfrm>
                    <a:prstGeom prst="rect">
                      <a:avLst/>
                    </a:prstGeom>
                  </pic:spPr>
                </pic:pic>
              </a:graphicData>
            </a:graphic>
          </wp:inline>
        </w:drawing>
      </w:r>
    </w:p>
    <w:p w14:paraId="00B4CFB5" w14:textId="5A70B14F" w:rsidR="00A07C14" w:rsidRPr="00D60A80" w:rsidRDefault="00A07C14" w:rsidP="007319B7">
      <w:pPr>
        <w:pStyle w:val="Captions"/>
        <w:rPr>
          <w:szCs w:val="24"/>
        </w:rPr>
      </w:pPr>
      <w:bookmarkStart w:id="76" w:name="_Toc134695275"/>
      <w:r w:rsidRPr="00D60A80">
        <w:rPr>
          <w:szCs w:val="24"/>
        </w:rPr>
        <w:t xml:space="preserve">Figure </w:t>
      </w:r>
      <w:r w:rsidR="00C96E3B" w:rsidRPr="00D60A80">
        <w:rPr>
          <w:szCs w:val="24"/>
        </w:rPr>
        <w:fldChar w:fldCharType="begin"/>
      </w:r>
      <w:r w:rsidR="00C96E3B" w:rsidRPr="00D60A80">
        <w:rPr>
          <w:szCs w:val="24"/>
        </w:rPr>
        <w:instrText xml:space="preserve"> STYLEREF 1 \s </w:instrText>
      </w:r>
      <w:r w:rsidR="00C96E3B" w:rsidRPr="00D60A80">
        <w:rPr>
          <w:szCs w:val="24"/>
        </w:rPr>
        <w:fldChar w:fldCharType="separate"/>
      </w:r>
      <w:r w:rsidR="00C77C87" w:rsidRPr="00D60A80">
        <w:rPr>
          <w:noProof/>
          <w:szCs w:val="24"/>
        </w:rPr>
        <w:t>3</w:t>
      </w:r>
      <w:r w:rsidR="00C96E3B" w:rsidRPr="00D60A80">
        <w:rPr>
          <w:noProof/>
          <w:szCs w:val="24"/>
        </w:rPr>
        <w:fldChar w:fldCharType="end"/>
      </w:r>
      <w:r w:rsidR="00C77C87" w:rsidRPr="00D60A80">
        <w:rPr>
          <w:szCs w:val="24"/>
        </w:rPr>
        <w:t>.</w:t>
      </w:r>
      <w:r w:rsidR="00C96E3B" w:rsidRPr="00D60A80">
        <w:rPr>
          <w:szCs w:val="24"/>
        </w:rPr>
        <w:fldChar w:fldCharType="begin"/>
      </w:r>
      <w:r w:rsidR="00C96E3B" w:rsidRPr="00D60A80">
        <w:rPr>
          <w:szCs w:val="24"/>
        </w:rPr>
        <w:instrText xml:space="preserve"> SEQ Figure \* ARABIC \s 1 </w:instrText>
      </w:r>
      <w:r w:rsidR="00C96E3B" w:rsidRPr="00D60A80">
        <w:rPr>
          <w:szCs w:val="24"/>
        </w:rPr>
        <w:fldChar w:fldCharType="separate"/>
      </w:r>
      <w:r w:rsidR="00C77C87" w:rsidRPr="00D60A80">
        <w:rPr>
          <w:noProof/>
          <w:szCs w:val="24"/>
        </w:rPr>
        <w:t>14</w:t>
      </w:r>
      <w:r w:rsidR="00C96E3B" w:rsidRPr="00D60A80">
        <w:rPr>
          <w:noProof/>
          <w:szCs w:val="24"/>
        </w:rPr>
        <w:fldChar w:fldCharType="end"/>
      </w:r>
      <w:r w:rsidRPr="00D60A80">
        <w:rPr>
          <w:szCs w:val="24"/>
        </w:rPr>
        <w:t xml:space="preserve"> As in Fig. </w:t>
      </w:r>
      <w:r w:rsidR="007319B7" w:rsidRPr="00D60A80">
        <w:rPr>
          <w:szCs w:val="24"/>
        </w:rPr>
        <w:t>3.</w:t>
      </w:r>
      <w:r w:rsidRPr="00D60A80">
        <w:rPr>
          <w:szCs w:val="24"/>
        </w:rPr>
        <w:t>13, but for 3</w:t>
      </w:r>
      <w:r w:rsidR="000A02A6" w:rsidRPr="00D60A80">
        <w:rPr>
          <w:szCs w:val="24"/>
        </w:rPr>
        <w:t>-hour</w:t>
      </w:r>
      <w:r w:rsidRPr="00D60A80">
        <w:rPr>
          <w:szCs w:val="24"/>
        </w:rPr>
        <w:t xml:space="preserve"> forecast initiated at 2100 UTC, 16 May 2017.</w:t>
      </w:r>
      <w:bookmarkEnd w:id="76"/>
    </w:p>
    <w:p w14:paraId="5320D81D" w14:textId="77777777" w:rsidR="007319B7" w:rsidRDefault="007319B7" w:rsidP="007319B7">
      <w:pPr>
        <w:pStyle w:val="NoSpacing"/>
      </w:pPr>
    </w:p>
    <w:p w14:paraId="33910961" w14:textId="77777777" w:rsidR="00A07C14" w:rsidRDefault="00A07C14" w:rsidP="00CC70A4">
      <w:pPr>
        <w:spacing w:line="240" w:lineRule="auto"/>
        <w:ind w:firstLine="0"/>
        <w:jc w:val="center"/>
      </w:pPr>
      <w:r w:rsidRPr="00DD5D9E">
        <w:rPr>
          <w:noProof/>
        </w:rPr>
        <w:lastRenderedPageBreak/>
        <w:drawing>
          <wp:inline distT="0" distB="0" distL="0" distR="0" wp14:anchorId="7DE2315F" wp14:editId="1D0D1336">
            <wp:extent cx="2909456" cy="658368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igure16.tif"/>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909456" cy="6583680"/>
                    </a:xfrm>
                    <a:prstGeom prst="rect">
                      <a:avLst/>
                    </a:prstGeom>
                  </pic:spPr>
                </pic:pic>
              </a:graphicData>
            </a:graphic>
          </wp:inline>
        </w:drawing>
      </w:r>
    </w:p>
    <w:p w14:paraId="5E2191AC" w14:textId="71A7C119" w:rsidR="00A07C14" w:rsidRPr="00D60A80" w:rsidRDefault="00A07C14" w:rsidP="007319B7">
      <w:pPr>
        <w:pStyle w:val="Captions"/>
        <w:rPr>
          <w:szCs w:val="24"/>
        </w:rPr>
      </w:pPr>
      <w:bookmarkStart w:id="77" w:name="_Toc134695276"/>
      <w:r w:rsidRPr="00D60A80">
        <w:rPr>
          <w:szCs w:val="24"/>
        </w:rPr>
        <w:t xml:space="preserve">Figure </w:t>
      </w:r>
      <w:r w:rsidR="00C96E3B" w:rsidRPr="00D60A80">
        <w:rPr>
          <w:szCs w:val="24"/>
        </w:rPr>
        <w:fldChar w:fldCharType="begin"/>
      </w:r>
      <w:r w:rsidR="00C96E3B" w:rsidRPr="00D60A80">
        <w:rPr>
          <w:szCs w:val="24"/>
        </w:rPr>
        <w:instrText xml:space="preserve"> STYLEREF 1 \s </w:instrText>
      </w:r>
      <w:r w:rsidR="00C96E3B" w:rsidRPr="00D60A80">
        <w:rPr>
          <w:szCs w:val="24"/>
        </w:rPr>
        <w:fldChar w:fldCharType="separate"/>
      </w:r>
      <w:r w:rsidR="00C77C87" w:rsidRPr="00D60A80">
        <w:rPr>
          <w:noProof/>
          <w:szCs w:val="24"/>
        </w:rPr>
        <w:t>3</w:t>
      </w:r>
      <w:r w:rsidR="00C96E3B" w:rsidRPr="00D60A80">
        <w:rPr>
          <w:noProof/>
          <w:szCs w:val="24"/>
        </w:rPr>
        <w:fldChar w:fldCharType="end"/>
      </w:r>
      <w:r w:rsidR="00C77C87" w:rsidRPr="00D60A80">
        <w:rPr>
          <w:szCs w:val="24"/>
        </w:rPr>
        <w:t>.</w:t>
      </w:r>
      <w:r w:rsidR="00C96E3B" w:rsidRPr="00D60A80">
        <w:rPr>
          <w:szCs w:val="24"/>
        </w:rPr>
        <w:fldChar w:fldCharType="begin"/>
      </w:r>
      <w:r w:rsidR="00C96E3B" w:rsidRPr="00D60A80">
        <w:rPr>
          <w:szCs w:val="24"/>
        </w:rPr>
        <w:instrText xml:space="preserve"> SEQ Figure \* ARABIC \s 1 </w:instrText>
      </w:r>
      <w:r w:rsidR="00C96E3B" w:rsidRPr="00D60A80">
        <w:rPr>
          <w:szCs w:val="24"/>
        </w:rPr>
        <w:fldChar w:fldCharType="separate"/>
      </w:r>
      <w:r w:rsidR="00C77C87" w:rsidRPr="00D60A80">
        <w:rPr>
          <w:noProof/>
          <w:szCs w:val="24"/>
        </w:rPr>
        <w:t>15</w:t>
      </w:r>
      <w:r w:rsidR="00C96E3B" w:rsidRPr="00D60A80">
        <w:rPr>
          <w:noProof/>
          <w:szCs w:val="24"/>
        </w:rPr>
        <w:fldChar w:fldCharType="end"/>
      </w:r>
      <w:r w:rsidRPr="00D60A80">
        <w:rPr>
          <w:szCs w:val="24"/>
        </w:rPr>
        <w:t xml:space="preserve"> As in Fig. </w:t>
      </w:r>
      <w:r w:rsidR="007319B7" w:rsidRPr="00D60A80">
        <w:rPr>
          <w:szCs w:val="24"/>
        </w:rPr>
        <w:t>3.</w:t>
      </w:r>
      <w:r w:rsidRPr="00D60A80">
        <w:rPr>
          <w:szCs w:val="24"/>
        </w:rPr>
        <w:t>13, but for 4</w:t>
      </w:r>
      <w:r w:rsidR="000A02A6" w:rsidRPr="00D60A80">
        <w:rPr>
          <w:szCs w:val="24"/>
        </w:rPr>
        <w:t>-hour</w:t>
      </w:r>
      <w:r w:rsidRPr="00D60A80">
        <w:rPr>
          <w:szCs w:val="24"/>
        </w:rPr>
        <w:t xml:space="preserve"> forecast initiated at 2100 UTC 26 May 2017.</w:t>
      </w:r>
      <w:bookmarkEnd w:id="77"/>
    </w:p>
    <w:p w14:paraId="60F4FB70" w14:textId="36F7C370" w:rsidR="007319B7" w:rsidRDefault="007319B7" w:rsidP="007319B7">
      <w:pPr>
        <w:pStyle w:val="NoSpacing"/>
      </w:pPr>
    </w:p>
    <w:p w14:paraId="695959C4" w14:textId="053F9D5E" w:rsidR="007319B7" w:rsidRPr="00DD5D9E" w:rsidRDefault="007319B7">
      <w:pPr>
        <w:pStyle w:val="Heading3"/>
      </w:pPr>
      <w:bookmarkStart w:id="78" w:name="_Toc130995450"/>
      <w:bookmarkStart w:id="79" w:name="_Toc131018315"/>
      <w:r>
        <w:t xml:space="preserve">Quantitative </w:t>
      </w:r>
      <w:r w:rsidR="005F7784">
        <w:t>f</w:t>
      </w:r>
      <w:r>
        <w:t xml:space="preserve">orecast </w:t>
      </w:r>
      <w:r w:rsidR="005F7784">
        <w:t>e</w:t>
      </w:r>
      <w:r>
        <w:t>valuation</w:t>
      </w:r>
      <w:bookmarkEnd w:id="78"/>
      <w:bookmarkEnd w:id="79"/>
    </w:p>
    <w:p w14:paraId="476A7E5C" w14:textId="40EE4BA7" w:rsidR="007319B7" w:rsidRDefault="007319B7" w:rsidP="007319B7">
      <w:pPr>
        <w:ind w:firstLine="544"/>
      </w:pPr>
      <w:r w:rsidRPr="00DD5D9E">
        <w:t>A</w:t>
      </w:r>
      <w:r w:rsidRPr="00DD5D9E">
        <w:rPr>
          <w:rFonts w:hint="eastAsia"/>
        </w:rPr>
        <w:t>l</w:t>
      </w:r>
      <w:r w:rsidRPr="00DD5D9E">
        <w:t>though the subjective comparisons of composite reflectivity and UH track between the experiments suggest that assimilating additional satellite observation</w:t>
      </w:r>
      <w:r>
        <w:t>s</w:t>
      </w:r>
      <w:r w:rsidRPr="00DD5D9E">
        <w:t xml:space="preserve"> improves the </w:t>
      </w:r>
      <w:r>
        <w:t xml:space="preserve">skill </w:t>
      </w:r>
      <w:r w:rsidRPr="00DD5D9E">
        <w:t xml:space="preserve">of </w:t>
      </w:r>
      <w:r w:rsidRPr="00DD5D9E">
        <w:lastRenderedPageBreak/>
        <w:t>convection forecast</w:t>
      </w:r>
      <w:r>
        <w:t>s</w:t>
      </w:r>
      <w:r w:rsidRPr="00DD5D9E">
        <w:t xml:space="preserve">, the quantitative verification is essential to objectively assess the impact of </w:t>
      </w:r>
      <w:r>
        <w:t xml:space="preserve">assimilating </w:t>
      </w:r>
      <w:r w:rsidRPr="00DD5D9E">
        <w:t xml:space="preserve">different observations </w:t>
      </w:r>
      <w:r>
        <w:t>on the short-term forecasts</w:t>
      </w:r>
      <w:r w:rsidRPr="00DD5D9E">
        <w:t xml:space="preserve">. </w:t>
      </w:r>
      <w:r>
        <w:t xml:space="preserve">First, the simulated composite reflectivity and hourly accumulated precipitation are interpolated from model space to observation space by applying bilinear interpolation in </w:t>
      </w:r>
      <w:r w:rsidR="00F60E08">
        <w:t xml:space="preserve">the </w:t>
      </w:r>
      <w:r>
        <w:t>horizontal and linear interpolation in</w:t>
      </w:r>
      <w:r w:rsidR="00F60E08">
        <w:t xml:space="preserve"> the</w:t>
      </w:r>
      <w:r>
        <w:t xml:space="preserve"> vertical. Then, t</w:t>
      </w:r>
      <w:r w:rsidRPr="00DD5D9E">
        <w:t xml:space="preserve">he </w:t>
      </w:r>
      <w:r>
        <w:t>BIAS</w:t>
      </w:r>
      <w:r w:rsidRPr="00DD5D9E">
        <w:t xml:space="preserve"> and </w:t>
      </w:r>
      <w:r>
        <w:t>FSS</w:t>
      </w:r>
      <w:r w:rsidRPr="00DD5D9E">
        <w:t xml:space="preserve"> </w:t>
      </w:r>
      <w:r>
        <w:t xml:space="preserve">of composite reflectivity and ETS of hourly accumulated precipitation </w:t>
      </w:r>
      <w:r w:rsidRPr="00DD5D9E">
        <w:t xml:space="preserve">are calculated </w:t>
      </w:r>
      <w:r>
        <w:t>relative to</w:t>
      </w:r>
      <w:r w:rsidRPr="00DD5D9E">
        <w:t xml:space="preserve"> the MRMS composite reflectivity</w:t>
      </w:r>
      <w:r>
        <w:t xml:space="preserve"> and the NCEP STAGE IV product, respectively</w:t>
      </w:r>
      <w:r w:rsidRPr="00DD5D9E">
        <w:t xml:space="preserve">. </w:t>
      </w:r>
      <w:r>
        <w:t xml:space="preserve">Composite reflectivity uses 20 dBZ and 40 dBZ as thresholds to assess the performance of each experiment, while hourly accumulated precipitation uses 2 mm and 10 mm thresholds. The neighborhood radius of 12 km is chosen for all these score calculations. </w:t>
      </w:r>
      <w:r w:rsidRPr="00DD5D9E">
        <w:t xml:space="preserve">The results are </w:t>
      </w:r>
      <w:r>
        <w:t>aggregated</w:t>
      </w:r>
      <w:r w:rsidRPr="00DD5D9E">
        <w:t xml:space="preserve"> over</w:t>
      </w:r>
      <w:r>
        <w:t xml:space="preserve"> 3-h</w:t>
      </w:r>
      <w:r w:rsidR="004F3876">
        <w:t>our</w:t>
      </w:r>
      <w:r w:rsidRPr="00DD5D9E">
        <w:t xml:space="preserve"> forecasts initiated every 1 hour between 2000 and 2300 UTC for </w:t>
      </w:r>
      <w:r>
        <w:t xml:space="preserve">all three cases </w:t>
      </w:r>
      <w:r w:rsidRPr="00DD5D9E">
        <w:t xml:space="preserve">(see Fig. </w:t>
      </w:r>
      <w:r w:rsidR="004F3876">
        <w:t>3.</w:t>
      </w:r>
      <w:r w:rsidRPr="00DD5D9E">
        <w:t>2). For the FSS</w:t>
      </w:r>
      <w:r>
        <w:t xml:space="preserve"> and ETS</w:t>
      </w:r>
      <w:r w:rsidRPr="00DD5D9E">
        <w:t xml:space="preserve">, </w:t>
      </w:r>
      <w:r>
        <w:t>a</w:t>
      </w:r>
      <w:r w:rsidRPr="00DD5D9E">
        <w:t xml:space="preserve"> value of 1.0 indicates a perfect forecast and</w:t>
      </w:r>
      <w:r>
        <w:t xml:space="preserve"> the value of</w:t>
      </w:r>
      <w:r w:rsidRPr="00DD5D9E">
        <w:t xml:space="preserve"> zero </w:t>
      </w:r>
      <w:r>
        <w:t xml:space="preserve">indicates </w:t>
      </w:r>
      <w:r w:rsidRPr="00DD5D9E">
        <w:t>no forecast skill. A bias of 1.0 indicates no bias, whereas</w:t>
      </w:r>
      <w:r>
        <w:t xml:space="preserve"> values</w:t>
      </w:r>
      <w:r w:rsidRPr="00DD5D9E">
        <w:t xml:space="preserve"> over 1.0 </w:t>
      </w:r>
      <w:r>
        <w:t>indicate</w:t>
      </w:r>
      <w:r w:rsidRPr="00DD5D9E">
        <w:t xml:space="preserve"> overprediction and </w:t>
      </w:r>
      <w:r>
        <w:t xml:space="preserve">values </w:t>
      </w:r>
      <w:r w:rsidRPr="00DD5D9E">
        <w:t xml:space="preserve">below 1.0 </w:t>
      </w:r>
      <w:r>
        <w:t>indicate</w:t>
      </w:r>
      <w:r w:rsidRPr="00DD5D9E">
        <w:t xml:space="preserve"> underprediction. </w:t>
      </w:r>
    </w:p>
    <w:p w14:paraId="040437D6" w14:textId="3E4D192A" w:rsidR="00E9005E" w:rsidRDefault="00AB04D8" w:rsidP="00E9005E">
      <w:pPr>
        <w:ind w:firstLine="544"/>
      </w:pPr>
      <w:r w:rsidRPr="00AB04D8">
        <w:t xml:space="preserve">Throughout </w:t>
      </w:r>
      <w:r w:rsidR="00EE2ADF" w:rsidRPr="00AB04D8">
        <w:t>most of</w:t>
      </w:r>
      <w:r w:rsidRPr="00AB04D8">
        <w:t xml:space="preserve"> the 3-hour forecast period in all three experiments, the biases tend to be small (</w:t>
      </w:r>
      <w:r>
        <w:t>close to</w:t>
      </w:r>
      <w:r w:rsidRPr="00AB04D8">
        <w:t xml:space="preserve"> 1.0), when a reflectivity threshold of 20 dBZ is utilized</w:t>
      </w:r>
      <w:r>
        <w:t xml:space="preserve"> </w:t>
      </w:r>
      <w:r w:rsidR="00E9005E" w:rsidRPr="00DD5D9E">
        <w:t xml:space="preserve">(Fig. </w:t>
      </w:r>
      <w:r w:rsidR="004F3876">
        <w:t>3.</w:t>
      </w:r>
      <w:r w:rsidR="00E9005E">
        <w:t>16</w:t>
      </w:r>
      <w:r w:rsidR="004F3876">
        <w:t xml:space="preserve"> </w:t>
      </w:r>
      <w:r w:rsidR="00E9005E" w:rsidRPr="00DD5D9E">
        <w:t>a)</w:t>
      </w:r>
      <w:r w:rsidR="00E9005E">
        <w:t>. However, positive biases exist during the early stage of the forecasts for both RAD and RADSAT experiments</w:t>
      </w:r>
      <w:r w:rsidR="00E9005E" w:rsidRPr="00DD5D9E">
        <w:t xml:space="preserve">. </w:t>
      </w:r>
      <w:r w:rsidR="00E9005E">
        <w:t xml:space="preserve">This </w:t>
      </w:r>
      <w:r w:rsidR="00E9005E" w:rsidRPr="00DD5D9E">
        <w:t xml:space="preserve">is due to the </w:t>
      </w:r>
      <w:r w:rsidR="00E9005E">
        <w:t xml:space="preserve">initiation of spurious cells at early forecast </w:t>
      </w:r>
      <w:r w:rsidR="004F3876">
        <w:t>time,</w:t>
      </w:r>
      <w:r w:rsidR="00E9005E">
        <w:t xml:space="preserve"> and they disappear along with the forecast time moving forward</w:t>
      </w:r>
      <w:r w:rsidR="00E9005E" w:rsidRPr="00DD5D9E">
        <w:t xml:space="preserve">. </w:t>
      </w:r>
      <w:r w:rsidR="00E9005E">
        <w:t xml:space="preserve">For the 40 dBZ threshold, the results are different (Fig. </w:t>
      </w:r>
      <w:r w:rsidR="004F3876">
        <w:t>3.</w:t>
      </w:r>
      <w:r w:rsidR="00E9005E">
        <w:t>16</w:t>
      </w:r>
      <w:r w:rsidR="004F3876">
        <w:t xml:space="preserve"> </w:t>
      </w:r>
      <w:r w:rsidR="00E9005E">
        <w:t>b).</w:t>
      </w:r>
      <w:r w:rsidR="00E9005E" w:rsidRPr="004812B5">
        <w:t xml:space="preserve"> All experiments have </w:t>
      </w:r>
      <w:r w:rsidR="00E9005E">
        <w:t>bias</w:t>
      </w:r>
      <w:r w:rsidR="00E9005E" w:rsidRPr="004812B5">
        <w:t xml:space="preserve"> score</w:t>
      </w:r>
      <w:r w:rsidR="00E9005E">
        <w:t>s</w:t>
      </w:r>
      <w:r w:rsidR="00E9005E" w:rsidRPr="004812B5">
        <w:t xml:space="preserve"> greater than 1.0, indicating </w:t>
      </w:r>
      <w:r w:rsidR="00E9005E">
        <w:t>general</w:t>
      </w:r>
      <w:r w:rsidR="00E9005E" w:rsidRPr="004812B5">
        <w:t xml:space="preserve"> overpredictions </w:t>
      </w:r>
      <w:r w:rsidR="00E9005E" w:rsidRPr="00DD5D9E">
        <w:t>throughout the entire forecast period</w:t>
      </w:r>
      <w:r w:rsidR="00E9005E" w:rsidRPr="004812B5">
        <w:t xml:space="preserve">. </w:t>
      </w:r>
      <w:r w:rsidR="00E9005E">
        <w:t xml:space="preserve">The </w:t>
      </w:r>
      <w:r w:rsidR="00E9005E" w:rsidRPr="00DD5D9E">
        <w:t>RAD</w:t>
      </w:r>
      <w:r w:rsidR="00E9005E">
        <w:t xml:space="preserve">SAT </w:t>
      </w:r>
      <w:r w:rsidR="00E9005E" w:rsidRPr="00DD5D9E">
        <w:t>maintain</w:t>
      </w:r>
      <w:r w:rsidR="00E9005E">
        <w:t xml:space="preserve">s </w:t>
      </w:r>
      <w:r w:rsidR="004F3876">
        <w:t>about</w:t>
      </w:r>
      <w:r w:rsidR="00E9005E">
        <w:t xml:space="preserve"> 0.2</w:t>
      </w:r>
      <w:r w:rsidR="00E9005E" w:rsidRPr="00DD5D9E">
        <w:t xml:space="preserve"> </w:t>
      </w:r>
      <w:r w:rsidR="00E9005E">
        <w:t>lower</w:t>
      </w:r>
      <w:r w:rsidR="00E9005E" w:rsidRPr="00DD5D9E">
        <w:t xml:space="preserve"> BIAS scores compared to the RAD</w:t>
      </w:r>
      <w:r w:rsidR="00E9005E">
        <w:t xml:space="preserve"> and CTRL.</w:t>
      </w:r>
      <w:r w:rsidR="00E9005E" w:rsidRPr="004812B5">
        <w:t xml:space="preserve"> </w:t>
      </w:r>
    </w:p>
    <w:p w14:paraId="5A116B97" w14:textId="77777777" w:rsidR="007319B7" w:rsidRPr="00E9005E" w:rsidRDefault="007319B7" w:rsidP="00E9005E">
      <w:pPr>
        <w:pStyle w:val="NoSpacing"/>
      </w:pPr>
    </w:p>
    <w:p w14:paraId="48DE6B1B" w14:textId="77777777" w:rsidR="00A07C14" w:rsidRPr="00DD5D9E" w:rsidRDefault="00A07C14" w:rsidP="00CC70A4">
      <w:pPr>
        <w:spacing w:line="240" w:lineRule="auto"/>
        <w:ind w:firstLine="0"/>
        <w:jc w:val="center"/>
      </w:pPr>
      <w:r>
        <w:rPr>
          <w:noProof/>
        </w:rPr>
        <w:lastRenderedPageBreak/>
        <w:drawing>
          <wp:inline distT="0" distB="0" distL="0" distR="0" wp14:anchorId="61253589" wp14:editId="6B83B5B7">
            <wp:extent cx="5400000" cy="5400000"/>
            <wp:effectExtent l="0" t="0" r="0" b="0"/>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ure9_new.tif"/>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400000" cy="5400000"/>
                    </a:xfrm>
                    <a:prstGeom prst="rect">
                      <a:avLst/>
                    </a:prstGeom>
                  </pic:spPr>
                </pic:pic>
              </a:graphicData>
            </a:graphic>
          </wp:inline>
        </w:drawing>
      </w:r>
    </w:p>
    <w:p w14:paraId="17BFD775" w14:textId="1CB8AEAF" w:rsidR="00A07C14" w:rsidRPr="00D60A80" w:rsidRDefault="00A07C14" w:rsidP="004F3876">
      <w:pPr>
        <w:pStyle w:val="Captions"/>
        <w:rPr>
          <w:szCs w:val="24"/>
        </w:rPr>
      </w:pPr>
      <w:bookmarkStart w:id="80" w:name="_Hlk46148719"/>
      <w:bookmarkStart w:id="81" w:name="_Toc134695277"/>
      <w:r w:rsidRPr="00D60A80">
        <w:rPr>
          <w:szCs w:val="24"/>
        </w:rPr>
        <w:t xml:space="preserve">Figure </w:t>
      </w:r>
      <w:r w:rsidR="00C96E3B" w:rsidRPr="00D60A80">
        <w:rPr>
          <w:szCs w:val="24"/>
        </w:rPr>
        <w:fldChar w:fldCharType="begin"/>
      </w:r>
      <w:r w:rsidR="00C96E3B" w:rsidRPr="00D60A80">
        <w:rPr>
          <w:szCs w:val="24"/>
        </w:rPr>
        <w:instrText xml:space="preserve"> STYLEREF 1 \s </w:instrText>
      </w:r>
      <w:r w:rsidR="00C96E3B" w:rsidRPr="00D60A80">
        <w:rPr>
          <w:szCs w:val="24"/>
        </w:rPr>
        <w:fldChar w:fldCharType="separate"/>
      </w:r>
      <w:r w:rsidR="00C77C87" w:rsidRPr="00D60A80">
        <w:rPr>
          <w:noProof/>
          <w:szCs w:val="24"/>
        </w:rPr>
        <w:t>3</w:t>
      </w:r>
      <w:r w:rsidR="00C96E3B" w:rsidRPr="00D60A80">
        <w:rPr>
          <w:noProof/>
          <w:szCs w:val="24"/>
        </w:rPr>
        <w:fldChar w:fldCharType="end"/>
      </w:r>
      <w:r w:rsidR="00C77C87" w:rsidRPr="00D60A80">
        <w:rPr>
          <w:szCs w:val="24"/>
        </w:rPr>
        <w:t>.</w:t>
      </w:r>
      <w:r w:rsidR="00C96E3B" w:rsidRPr="00D60A80">
        <w:rPr>
          <w:szCs w:val="24"/>
        </w:rPr>
        <w:fldChar w:fldCharType="begin"/>
      </w:r>
      <w:r w:rsidR="00C96E3B" w:rsidRPr="00D60A80">
        <w:rPr>
          <w:szCs w:val="24"/>
        </w:rPr>
        <w:instrText xml:space="preserve"> SEQ Figure \* ARABIC \s 1 </w:instrText>
      </w:r>
      <w:r w:rsidR="00C96E3B" w:rsidRPr="00D60A80">
        <w:rPr>
          <w:szCs w:val="24"/>
        </w:rPr>
        <w:fldChar w:fldCharType="separate"/>
      </w:r>
      <w:r w:rsidR="00C77C87" w:rsidRPr="00D60A80">
        <w:rPr>
          <w:noProof/>
          <w:szCs w:val="24"/>
        </w:rPr>
        <w:t>16</w:t>
      </w:r>
      <w:r w:rsidR="00C96E3B" w:rsidRPr="00D60A80">
        <w:rPr>
          <w:noProof/>
          <w:szCs w:val="24"/>
        </w:rPr>
        <w:fldChar w:fldCharType="end"/>
      </w:r>
      <w:r w:rsidRPr="00D60A80">
        <w:rPr>
          <w:szCs w:val="24"/>
        </w:rPr>
        <w:t xml:space="preserve"> Frequency bias (a-b) and fractions skill score (FSS) (c-d) of composite reflectivity forecasts against the MRMS observations over the simulation domain. The thresholds used for verification are 20 dBZ and 40 dBZ. The results aggregate </w:t>
      </w:r>
      <w:bookmarkStart w:id="82" w:name="_Hlk53589512"/>
      <w:r w:rsidRPr="00D60A80">
        <w:rPr>
          <w:szCs w:val="24"/>
        </w:rPr>
        <w:t>3h forecasts starting from 2000, 2100, 2200, and 2300 UTC of all three events</w:t>
      </w:r>
      <w:bookmarkEnd w:id="82"/>
      <w:r w:rsidRPr="00D60A80">
        <w:rPr>
          <w:szCs w:val="24"/>
        </w:rPr>
        <w:t>. Similarly, bars in (e) – (f) indicate ETS of hourly accumulated precipitation against the NCEP STAGE IV product aggregated over the same time period but using 2mm and 10mm as a threshold.</w:t>
      </w:r>
      <w:bookmarkEnd w:id="81"/>
    </w:p>
    <w:bookmarkEnd w:id="80"/>
    <w:p w14:paraId="38083863" w14:textId="35E253FD" w:rsidR="00E9005E" w:rsidRDefault="00E9005E" w:rsidP="00E9005E">
      <w:pPr>
        <w:pStyle w:val="NoSpacing"/>
      </w:pPr>
    </w:p>
    <w:p w14:paraId="573368AE" w14:textId="57A5BD75" w:rsidR="004F3876" w:rsidRDefault="004F3876" w:rsidP="004F3876">
      <w:pPr>
        <w:ind w:firstLine="544"/>
      </w:pPr>
      <w:r>
        <w:t>T</w:t>
      </w:r>
      <w:r w:rsidRPr="00DD5D9E">
        <w:t xml:space="preserve">he FSS </w:t>
      </w:r>
      <w:r>
        <w:t>of</w:t>
      </w:r>
      <w:r w:rsidRPr="00DD5D9E">
        <w:t xml:space="preserve"> RADSAT is</w:t>
      </w:r>
      <w:r>
        <w:t xml:space="preserve"> always better than the other two experiments for both thresholds (Figs. 3.16 c, d) during the forecast period. Unlike the CTRL experiment which produces almost constant lowest performance in term of the FSS, RAD and RADSAT initially have higher scores (between ~ 0.4 and ~ 0.7) and decrease gradually as a function of forecast lead time. At the end of </w:t>
      </w:r>
      <w:r>
        <w:lastRenderedPageBreak/>
        <w:t>the 3-hour forecast period, the FSS of RADSAT</w:t>
      </w:r>
      <w:r w:rsidRPr="00DD5D9E">
        <w:t xml:space="preserve"> </w:t>
      </w:r>
      <w:r>
        <w:t>is approximately</w:t>
      </w:r>
      <w:r w:rsidRPr="00DD5D9E">
        <w:t xml:space="preserve"> 0.</w:t>
      </w:r>
      <w:r>
        <w:t>1</w:t>
      </w:r>
      <w:r w:rsidRPr="00DD5D9E">
        <w:t xml:space="preserve"> higher than that of CTRL and 0.</w:t>
      </w:r>
      <w:r>
        <w:t>05</w:t>
      </w:r>
      <w:r w:rsidRPr="00DD5D9E">
        <w:t xml:space="preserve"> higher than that of RAD </w:t>
      </w:r>
      <w:r>
        <w:t xml:space="preserve">for both thresholds. Overall, RADSAT outperforms other two experiments, and RAD outperforms CTRL against MRMS composite reflectivity. </w:t>
      </w:r>
    </w:p>
    <w:p w14:paraId="6A43CE86" w14:textId="53D1655F" w:rsidR="004F3876" w:rsidRDefault="004F3876" w:rsidP="004F3876">
      <w:pPr>
        <w:ind w:firstLine="544"/>
      </w:pPr>
      <w:r>
        <w:t>The 1</w:t>
      </w:r>
      <w:r w:rsidR="000A02A6">
        <w:t>-hour</w:t>
      </w:r>
      <w:r>
        <w:t xml:space="preserve"> accumulated precipitation performance relative to the Stage IV hourly precipitation product tells a similar story. For the 2 mm threshold, RADSAT outperforms 1</w:t>
      </w:r>
      <w:r w:rsidR="000A02A6">
        <w:t>-hour</w:t>
      </w:r>
      <w:r>
        <w:t xml:space="preserve"> accumulated precipitation by 0.05 and 0.1 compared to RAD and CTRL, respectively (Fig. 3.16 e). It is worth noting that the performance of the first hour precipitation forecast in RADSAT is slightly degraded and about 0.14 lower than the RAD experiment. This overall improvement is further supported with the verification using a 10 mm threshold (Fig. 3.16 f). In general, the skill of 1</w:t>
      </w:r>
      <w:r w:rsidR="000A02A6">
        <w:t>-hour</w:t>
      </w:r>
      <w:r>
        <w:t xml:space="preserve"> accumulated precipitation forecasts for all experiments decreases with time except CTRL experiment with 10 mm threshold.</w:t>
      </w:r>
    </w:p>
    <w:p w14:paraId="69B0E8AD" w14:textId="0C157F7A" w:rsidR="004F3876" w:rsidRPr="00675AD0" w:rsidRDefault="004F3876">
      <w:pPr>
        <w:pStyle w:val="Heading3"/>
      </w:pPr>
      <w:bookmarkStart w:id="83" w:name="_Toc130995451"/>
      <w:bookmarkStart w:id="84" w:name="_Toc131018316"/>
      <w:r>
        <w:t xml:space="preserve">Hybrid </w:t>
      </w:r>
      <w:r w:rsidR="007F145D">
        <w:t>3D</w:t>
      </w:r>
      <w:r>
        <w:t>EnV</w:t>
      </w:r>
      <w:r w:rsidR="00EA1DF0">
        <w:t>AR</w:t>
      </w:r>
      <w:r>
        <w:t xml:space="preserve"> statistical metrics analysis</w:t>
      </w:r>
      <w:bookmarkEnd w:id="83"/>
      <w:bookmarkEnd w:id="84"/>
    </w:p>
    <w:p w14:paraId="6D6A2815" w14:textId="419F5E6D" w:rsidR="004F3876" w:rsidRDefault="004F3876" w:rsidP="004F3876">
      <w:r>
        <w:rPr>
          <w:rFonts w:hint="eastAsia"/>
        </w:rPr>
        <w:t>T</w:t>
      </w:r>
      <w:r>
        <w:t xml:space="preserve">o assess the quality of the hybrid </w:t>
      </w:r>
      <w:r w:rsidR="007F145D">
        <w:t>3D</w:t>
      </w:r>
      <w:r>
        <w:t>EnV</w:t>
      </w:r>
      <w:r w:rsidR="00EA1DF0">
        <w:t>AR</w:t>
      </w:r>
      <w:r>
        <w:t xml:space="preserve"> analysis cycling, some features of statistic metrics including the behavior of the normalized total functions, mean (bias) and root-mean-square (rms) for innovation and analysis residual during the </w:t>
      </w:r>
      <w:r>
        <w:rPr>
          <w:rFonts w:hint="eastAsia"/>
        </w:rPr>
        <w:t>cycling</w:t>
      </w:r>
      <w:r>
        <w:t xml:space="preserve"> period are discussed. </w:t>
      </w:r>
      <w:r>
        <w:rPr>
          <w:rFonts w:hint="eastAsia"/>
        </w:rPr>
        <w:t>The</w:t>
      </w:r>
      <w:r>
        <w:t xml:space="preserve">se metrics were defined in detail by </w:t>
      </w:r>
      <w:r>
        <w:fldChar w:fldCharType="begin"/>
      </w:r>
      <w:r w:rsidR="00186B73">
        <w:instrText xml:space="preserve"> ADDIN ZOTERO_ITEM CSL_CITATION {"citationID":"1dpP5AmT","properties":{"formattedCitation":"(Fierro et al. 2019)","plainCitation":"(Fierro et al. 2019)","dontUpdate":true,"noteIndex":0},"citationItems":[{"id":10,"uris":["http://zotero.org/users/local/6VSApgKp/items/77NV63LL"],"itemData":{"id":10,"type":"article-journal","abstract":"&lt;section class=\"abstract\"&gt;&lt;h2 class=\"abstractTitle text-title my-1\" id=\"d146998611e97\"&gt;Abstract&lt;/h2&gt;&lt;p&gt;The assimilation of water vapor mass mixing ratio derived from tota</w:instrText>
      </w:r>
      <w:r w:rsidR="00186B73">
        <w:rPr>
          <w:rFonts w:hint="eastAsia"/>
        </w:rPr>
        <w:instrText>l lightning data from the Geostationary Lightning Mapper (GLM) within a three-dimensional variational (3DVAR) system is evaluated for the analysis and short-term forecast (</w:instrText>
      </w:r>
      <w:r w:rsidR="00186B73">
        <w:rPr>
          <w:rFonts w:hint="eastAsia"/>
        </w:rPr>
        <w:instrText>≤</w:instrText>
      </w:r>
      <w:r w:rsidR="00186B73">
        <w:rPr>
          <w:rFonts w:hint="eastAsia"/>
        </w:rPr>
        <w:instrText>6 h) of a high-impact convective event over the northern Great Plains in the Unite</w:instrText>
      </w:r>
      <w:r w:rsidR="00186B73">
        <w:instrText xml:space="preserve">d States. Building on recent work, the lightning data assimilation (LDA) method adjusts water vapor mass mixing ratio within a fixed layer depth above the lifted condensation level by assuming nearly water-saturated conditions at observed lightning locations. In this algorithm, the total water vapor mass added by the LDA is balanced by an equal removal outside observed lightning locations. Additional refinements were also devised to partially alleviate the seasonal and geographical dependence of the original scheme. To gauge the added value of lightning, radar data (radial velocity and reflectivity) were also assimilated with or without lightning. Although the method was evaluated in quasi–real time for several high-impact weather events throughout 2018, this work will focus on one specific, illustrative severe weather case wherein the control simulation—which did not assimilate any data—was eventually able to initiate and forecast the majority of the observed storms. Given a relatively reasonable forecast in the control experiment, the GLM and radar assimilation experiments were still able to improve the short-term forecast of accumulated rainfall and composite radar reflectivity further, as measured by neighborhood-based metrics. These results held whether the simulations made use of one single 3DVAR analysis or high-frequency (10 min) successive cycling over a 1-h period.&lt;/p&gt;&lt;/section&gt;","container-title":"Monthly Weather Review","DOI":"10.1175/MWR-D-18-0421.1","ISSN":"1520-0493, 0027-0644","issue":"11","language":"EN","note":"publisher: American Meteorological Society\nsection: Monthly Weather Review","page":"4045-4069","source":"journals.ametsoc.org","title":"Variational Assimilation of Radar Data and GLM Lightning-Derived Water Vapor for the Short-Term Forecasts of High-Impact Convective Events","volume":"147","author":[{"family":"Fierro","given":"Alexandre O."},{"family":"Wang","given":"Yunheng"},{"family":"Gao","given":"Jidong"},{"family":"Mansell","given":"Edward R."}],"issued":{"date-parts":[["2019",11,1]]},"citation-key":"fierroVariationalAssimilationRadar2019"}}],"schema":"https://github.com/citation-style-language/schema/raw/master/csl-citation.json"} </w:instrText>
      </w:r>
      <w:r>
        <w:fldChar w:fldCharType="separate"/>
      </w:r>
      <w:r>
        <w:rPr>
          <w:noProof/>
        </w:rPr>
        <w:t>Fierro et al. (2019)</w:t>
      </w:r>
      <w:r>
        <w:fldChar w:fldCharType="end"/>
      </w:r>
      <w:r>
        <w:t xml:space="preserve">. During the minimization process of the hybrid </w:t>
      </w:r>
      <w:r w:rsidR="007F145D">
        <w:t>3D</w:t>
      </w:r>
      <w:r>
        <w:t>EnV</w:t>
      </w:r>
      <w:r w:rsidR="00EA1DF0">
        <w:t>AR</w:t>
      </w:r>
      <w:r>
        <w:t>, the values of the cost function for each observation type generally decrease as a function of iteration number. It is also convenient to measure the distance between the observations and the background fields or the analysis by analyzing the rms innovation and the rms residual by applying the following equations:</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35"/>
        <w:gridCol w:w="715"/>
      </w:tblGrid>
      <w:tr w:rsidR="004F3876" w:rsidRPr="00506D3C" w14:paraId="7C713125" w14:textId="77777777" w:rsidTr="00B45862">
        <w:tc>
          <w:tcPr>
            <w:tcW w:w="8635" w:type="dxa"/>
            <w:vAlign w:val="center"/>
          </w:tcPr>
          <w:p w14:paraId="58A48526" w14:textId="1E2F5D4B" w:rsidR="004F3876" w:rsidRPr="00506D3C" w:rsidRDefault="004F3876" w:rsidP="00B45862">
            <w:pPr>
              <w:ind w:firstLine="0"/>
              <w:jc w:val="center"/>
              <w:rPr>
                <w:iCs/>
                <w:sz w:val="24"/>
                <w:szCs w:val="24"/>
              </w:rPr>
            </w:pPr>
            <m:oMath>
              <m:r>
                <w:rPr>
                  <w:rFonts w:ascii="Cambria Math" w:hAnsi="Cambria Math"/>
                </w:rPr>
                <m:t>RMS_Innov=</m:t>
              </m:r>
              <m:rad>
                <m:radPr>
                  <m:ctrlPr>
                    <w:rPr>
                      <w:rFonts w:ascii="Cambria Math" w:hAnsi="Cambria Math"/>
                      <w:i/>
                    </w:rPr>
                  </m:ctrlPr>
                </m:radPr>
                <m:deg>
                  <m:r>
                    <w:rPr>
                      <w:rFonts w:ascii="Cambria Math" w:hAnsi="Cambria Math"/>
                    </w:rPr>
                    <m:t>2</m:t>
                  </m:r>
                </m:deg>
                <m:e>
                  <m:f>
                    <m:fPr>
                      <m:ctrlPr>
                        <w:rPr>
                          <w:rFonts w:ascii="Cambria Math" w:hAnsi="Cambria Math"/>
                          <w:i/>
                        </w:rPr>
                      </m:ctrlPr>
                    </m:fPr>
                    <m:num>
                      <m:r>
                        <w:rPr>
                          <w:rFonts w:ascii="Cambria Math" w:hAnsi="Cambria Math"/>
                        </w:rPr>
                        <m:t>1</m:t>
                      </m:r>
                    </m:num>
                    <m:den>
                      <m:r>
                        <w:rPr>
                          <w:rFonts w:ascii="Cambria Math" w:hAnsi="Cambria Math"/>
                        </w:rPr>
                        <m:t>N</m:t>
                      </m:r>
                    </m:den>
                  </m:f>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p>
                        <m:sSupPr>
                          <m:ctrlPr>
                            <w:rPr>
                              <w:rFonts w:ascii="Cambria Math" w:hAnsi="Cambria Math"/>
                              <w:i/>
                            </w:rPr>
                          </m:ctrlPr>
                        </m:sSup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y</m:t>
                                  </m:r>
                                </m:e>
                                <m:sub>
                                  <m:r>
                                    <w:rPr>
                                      <w:rFonts w:ascii="Cambria Math" w:hAnsi="Cambria Math"/>
                                    </w:rPr>
                                    <m:t>i</m:t>
                                  </m:r>
                                </m:sub>
                              </m:sSub>
                              <m:r>
                                <w:rPr>
                                  <w:rFonts w:ascii="Cambria Math" w:eastAsia="微软雅黑" w:hAnsi="Cambria Math" w:cs="微软雅黑" w:hint="eastAsia"/>
                                </w:rPr>
                                <m:t>-</m:t>
                              </m:r>
                              <m:r>
                                <w:rPr>
                                  <w:rFonts w:ascii="Cambria Math" w:eastAsia="微软雅黑" w:hAnsi="微软雅黑" w:cs="微软雅黑"/>
                                </w:rPr>
                                <m:t>H</m:t>
                              </m:r>
                              <m:d>
                                <m:dPr>
                                  <m:ctrlPr>
                                    <w:rPr>
                                      <w:rFonts w:ascii="Cambria Math" w:eastAsia="微软雅黑" w:hAnsi="微软雅黑" w:cs="微软雅黑"/>
                                      <w:i/>
                                    </w:rPr>
                                  </m:ctrlPr>
                                </m:dPr>
                                <m:e>
                                  <m:sSubSup>
                                    <m:sSubSupPr>
                                      <m:ctrlPr>
                                        <w:rPr>
                                          <w:rFonts w:ascii="Cambria Math" w:eastAsia="微软雅黑" w:hAnsi="微软雅黑" w:cs="微软雅黑"/>
                                          <w:i/>
                                        </w:rPr>
                                      </m:ctrlPr>
                                    </m:sSubSupPr>
                                    <m:e>
                                      <m:r>
                                        <w:rPr>
                                          <w:rFonts w:ascii="Cambria Math" w:eastAsia="微软雅黑" w:hAnsi="微软雅黑" w:cs="微软雅黑"/>
                                        </w:rPr>
                                        <m:t>x</m:t>
                                      </m:r>
                                    </m:e>
                                    <m:sub>
                                      <m:r>
                                        <w:rPr>
                                          <w:rFonts w:ascii="Cambria Math" w:eastAsia="微软雅黑" w:hAnsi="微软雅黑" w:cs="微软雅黑"/>
                                        </w:rPr>
                                        <m:t>i</m:t>
                                      </m:r>
                                    </m:sub>
                                    <m:sup>
                                      <m:r>
                                        <w:rPr>
                                          <w:rFonts w:ascii="Cambria Math" w:eastAsia="微软雅黑" w:hAnsi="微软雅黑" w:cs="微软雅黑"/>
                                        </w:rPr>
                                        <m:t>b</m:t>
                                      </m:r>
                                    </m:sup>
                                  </m:sSubSup>
                                </m:e>
                              </m:d>
                            </m:e>
                          </m:d>
                        </m:e>
                        <m:sup>
                          <m:r>
                            <w:rPr>
                              <w:rFonts w:ascii="Cambria Math" w:hAnsi="Cambria Math"/>
                            </w:rPr>
                            <m:t>2</m:t>
                          </m:r>
                        </m:sup>
                      </m:sSup>
                    </m:e>
                  </m:nary>
                </m:e>
              </m:rad>
            </m:oMath>
            <w:r w:rsidRPr="00506D3C">
              <w:rPr>
                <w:bCs/>
                <w:iCs/>
                <w:sz w:val="24"/>
                <w:szCs w:val="24"/>
              </w:rPr>
              <w:t>,</w:t>
            </w:r>
          </w:p>
        </w:tc>
        <w:tc>
          <w:tcPr>
            <w:tcW w:w="715" w:type="dxa"/>
            <w:vAlign w:val="center"/>
          </w:tcPr>
          <w:p w14:paraId="3A94E064" w14:textId="5A9AE0F8" w:rsidR="004F3876" w:rsidRPr="00506D3C" w:rsidRDefault="004F3876" w:rsidP="00B45862">
            <w:pPr>
              <w:ind w:firstLine="0"/>
              <w:jc w:val="center"/>
              <w:rPr>
                <w:iCs/>
                <w:sz w:val="24"/>
                <w:szCs w:val="24"/>
              </w:rPr>
            </w:pPr>
            <w:r w:rsidRPr="00506D3C">
              <w:rPr>
                <w:sz w:val="24"/>
                <w:szCs w:val="24"/>
              </w:rPr>
              <w:t>(</w:t>
            </w:r>
            <w:r>
              <w:rPr>
                <w:sz w:val="24"/>
                <w:szCs w:val="24"/>
              </w:rPr>
              <w:t>3</w:t>
            </w:r>
            <w:r w:rsidRPr="00506D3C">
              <w:rPr>
                <w:sz w:val="24"/>
                <w:szCs w:val="24"/>
              </w:rPr>
              <w:t>.</w:t>
            </w:r>
            <w:r>
              <w:rPr>
                <w:sz w:val="24"/>
                <w:szCs w:val="24"/>
              </w:rPr>
              <w:t>1</w:t>
            </w:r>
            <w:r w:rsidRPr="00506D3C">
              <w:rPr>
                <w:sz w:val="24"/>
                <w:szCs w:val="24"/>
              </w:rPr>
              <w:t>)</w:t>
            </w:r>
          </w:p>
        </w:tc>
      </w:tr>
      <w:tr w:rsidR="004F3876" w:rsidRPr="00506D3C" w14:paraId="23AADA99" w14:textId="77777777" w:rsidTr="00B45862">
        <w:tc>
          <w:tcPr>
            <w:tcW w:w="8635" w:type="dxa"/>
            <w:vAlign w:val="center"/>
          </w:tcPr>
          <w:p w14:paraId="37C9BBE1" w14:textId="76878076" w:rsidR="004F3876" w:rsidRDefault="004F3876" w:rsidP="00B45862">
            <w:pPr>
              <w:ind w:firstLine="0"/>
              <w:jc w:val="center"/>
              <w:rPr>
                <w:rFonts w:eastAsia="等线" w:cs="Times New Roman"/>
              </w:rPr>
            </w:pPr>
            <m:oMath>
              <m:r>
                <w:rPr>
                  <w:rFonts w:ascii="Cambria Math" w:hAnsi="Cambria Math"/>
                </w:rPr>
                <m:t>RMS_Res=</m:t>
              </m:r>
              <m:rad>
                <m:radPr>
                  <m:ctrlPr>
                    <w:rPr>
                      <w:rFonts w:ascii="Cambria Math" w:hAnsi="Cambria Math"/>
                      <w:i/>
                    </w:rPr>
                  </m:ctrlPr>
                </m:radPr>
                <m:deg>
                  <m:r>
                    <w:rPr>
                      <w:rFonts w:ascii="Cambria Math" w:hAnsi="Cambria Math"/>
                    </w:rPr>
                    <m:t>2</m:t>
                  </m:r>
                </m:deg>
                <m:e>
                  <m:f>
                    <m:fPr>
                      <m:ctrlPr>
                        <w:rPr>
                          <w:rFonts w:ascii="Cambria Math" w:hAnsi="Cambria Math"/>
                          <w:i/>
                        </w:rPr>
                      </m:ctrlPr>
                    </m:fPr>
                    <m:num>
                      <m:r>
                        <w:rPr>
                          <w:rFonts w:ascii="Cambria Math" w:hAnsi="Cambria Math"/>
                        </w:rPr>
                        <m:t>1</m:t>
                      </m:r>
                    </m:num>
                    <m:den>
                      <m:r>
                        <w:rPr>
                          <w:rFonts w:ascii="Cambria Math" w:hAnsi="Cambria Math"/>
                        </w:rPr>
                        <m:t>N</m:t>
                      </m:r>
                    </m:den>
                  </m:f>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p>
                        <m:sSupPr>
                          <m:ctrlPr>
                            <w:rPr>
                              <w:rFonts w:ascii="Cambria Math" w:hAnsi="Cambria Math"/>
                              <w:i/>
                            </w:rPr>
                          </m:ctrlPr>
                        </m:sSup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y</m:t>
                                  </m:r>
                                </m:e>
                                <m:sub>
                                  <m:r>
                                    <w:rPr>
                                      <w:rFonts w:ascii="Cambria Math" w:hAnsi="Cambria Math"/>
                                    </w:rPr>
                                    <m:t>i</m:t>
                                  </m:r>
                                </m:sub>
                              </m:sSub>
                              <m:r>
                                <w:rPr>
                                  <w:rFonts w:ascii="Cambria Math" w:eastAsia="微软雅黑" w:hAnsi="Cambria Math" w:cs="微软雅黑" w:hint="eastAsia"/>
                                </w:rPr>
                                <m:t>-</m:t>
                              </m:r>
                              <m:r>
                                <w:rPr>
                                  <w:rFonts w:ascii="Cambria Math" w:eastAsia="微软雅黑" w:hAnsi="微软雅黑" w:cs="微软雅黑"/>
                                </w:rPr>
                                <m:t>H</m:t>
                              </m:r>
                              <m:d>
                                <m:dPr>
                                  <m:ctrlPr>
                                    <w:rPr>
                                      <w:rFonts w:ascii="Cambria Math" w:eastAsia="微软雅黑" w:hAnsi="微软雅黑" w:cs="微软雅黑"/>
                                      <w:i/>
                                    </w:rPr>
                                  </m:ctrlPr>
                                </m:dPr>
                                <m:e>
                                  <m:sSubSup>
                                    <m:sSubSupPr>
                                      <m:ctrlPr>
                                        <w:rPr>
                                          <w:rFonts w:ascii="Cambria Math" w:eastAsia="微软雅黑" w:hAnsi="微软雅黑" w:cs="微软雅黑"/>
                                          <w:i/>
                                        </w:rPr>
                                      </m:ctrlPr>
                                    </m:sSubSupPr>
                                    <m:e>
                                      <m:r>
                                        <w:rPr>
                                          <w:rFonts w:ascii="Cambria Math" w:eastAsia="微软雅黑" w:hAnsi="微软雅黑" w:cs="微软雅黑"/>
                                        </w:rPr>
                                        <m:t>x</m:t>
                                      </m:r>
                                    </m:e>
                                    <m:sub>
                                      <m:r>
                                        <w:rPr>
                                          <w:rFonts w:ascii="Cambria Math" w:eastAsia="微软雅黑" w:hAnsi="微软雅黑" w:cs="微软雅黑"/>
                                        </w:rPr>
                                        <m:t>i</m:t>
                                      </m:r>
                                    </m:sub>
                                    <m:sup>
                                      <m:r>
                                        <w:rPr>
                                          <w:rFonts w:ascii="Cambria Math" w:eastAsia="微软雅黑" w:hAnsi="微软雅黑" w:cs="微软雅黑"/>
                                        </w:rPr>
                                        <m:t>a</m:t>
                                      </m:r>
                                    </m:sup>
                                  </m:sSubSup>
                                </m:e>
                              </m:d>
                            </m:e>
                          </m:d>
                        </m:e>
                        <m:sup>
                          <m:r>
                            <w:rPr>
                              <w:rFonts w:ascii="Cambria Math" w:hAnsi="Cambria Math"/>
                            </w:rPr>
                            <m:t>2</m:t>
                          </m:r>
                        </m:sup>
                      </m:sSup>
                    </m:e>
                  </m:nary>
                </m:e>
              </m:rad>
            </m:oMath>
            <w:r>
              <w:rPr>
                <w:rFonts w:eastAsia="等线" w:cs="Times New Roman"/>
              </w:rPr>
              <w:t>,</w:t>
            </w:r>
          </w:p>
        </w:tc>
        <w:tc>
          <w:tcPr>
            <w:tcW w:w="715" w:type="dxa"/>
            <w:vAlign w:val="center"/>
          </w:tcPr>
          <w:p w14:paraId="513970D7" w14:textId="69BCA1F1" w:rsidR="004F3876" w:rsidRPr="00506D3C" w:rsidRDefault="004F3876" w:rsidP="00B45862">
            <w:pPr>
              <w:ind w:firstLine="0"/>
              <w:jc w:val="center"/>
              <w:rPr>
                <w:szCs w:val="24"/>
              </w:rPr>
            </w:pPr>
            <w:r w:rsidRPr="00506D3C">
              <w:rPr>
                <w:sz w:val="24"/>
                <w:szCs w:val="24"/>
              </w:rPr>
              <w:t>(</w:t>
            </w:r>
            <w:r>
              <w:rPr>
                <w:sz w:val="24"/>
                <w:szCs w:val="24"/>
              </w:rPr>
              <w:t>3</w:t>
            </w:r>
            <w:r w:rsidRPr="00506D3C">
              <w:rPr>
                <w:sz w:val="24"/>
                <w:szCs w:val="24"/>
              </w:rPr>
              <w:t>.</w:t>
            </w:r>
            <w:r>
              <w:rPr>
                <w:sz w:val="24"/>
                <w:szCs w:val="24"/>
              </w:rPr>
              <w:t>2</w:t>
            </w:r>
            <w:r w:rsidRPr="00506D3C">
              <w:rPr>
                <w:sz w:val="24"/>
                <w:szCs w:val="24"/>
              </w:rPr>
              <w:t>)</w:t>
            </w:r>
          </w:p>
        </w:tc>
      </w:tr>
    </w:tbl>
    <w:p w14:paraId="7455CCBD" w14:textId="0B35460A" w:rsidR="004F3876" w:rsidRDefault="004F3876" w:rsidP="004F3876">
      <w:pPr>
        <w:ind w:firstLine="0"/>
      </w:pPr>
      <w:r>
        <w:lastRenderedPageBreak/>
        <w:t xml:space="preserve">where </w:t>
      </w:r>
      <m:oMath>
        <m:r>
          <w:rPr>
            <w:rFonts w:ascii="Cambria Math" w:hAnsi="Cambria Math"/>
          </w:rPr>
          <m:t>N</m:t>
        </m:r>
      </m:oMath>
      <w:r>
        <w:t xml:space="preserve"> is the number of observations, </w:t>
      </w:r>
      <m:oMath>
        <m:r>
          <w:rPr>
            <w:rFonts w:ascii="Cambria Math" w:hAnsi="Cambria Math"/>
          </w:rPr>
          <m:t>y</m:t>
        </m:r>
      </m:oMath>
      <w:r>
        <w:rPr>
          <w:rFonts w:hint="eastAsia"/>
        </w:rPr>
        <w:t xml:space="preserve"> </w:t>
      </w:r>
      <w:r>
        <w:t xml:space="preserve">is the observation, and </w:t>
      </w:r>
      <m:oMath>
        <m:r>
          <w:rPr>
            <w:rFonts w:ascii="Cambria Math" w:hAnsi="Cambria Math"/>
          </w:rPr>
          <m:t>H(x)</m:t>
        </m:r>
      </m:oMath>
      <w:r>
        <w:rPr>
          <w:rFonts w:hint="eastAsia"/>
        </w:rPr>
        <w:t xml:space="preserve"> </w:t>
      </w:r>
      <w:r>
        <w:t>is forward operators transferring the background fields (</w:t>
      </w:r>
      <m:oMath>
        <m:sSup>
          <m:sSupPr>
            <m:ctrlPr>
              <w:rPr>
                <w:rFonts w:ascii="Cambria Math" w:hAnsi="Cambria Math"/>
                <w:i/>
              </w:rPr>
            </m:ctrlPr>
          </m:sSupPr>
          <m:e>
            <m:r>
              <w:rPr>
                <w:rFonts w:ascii="Cambria Math" w:hAnsi="Cambria Math"/>
              </w:rPr>
              <m:t>x</m:t>
            </m:r>
          </m:e>
          <m:sup>
            <m:r>
              <w:rPr>
                <w:rFonts w:ascii="Cambria Math" w:hAnsi="Cambria Math"/>
              </w:rPr>
              <m:t>b</m:t>
            </m:r>
          </m:sup>
        </m:sSup>
      </m:oMath>
      <w:r>
        <w:t>) or the analysis field (</w:t>
      </w:r>
      <m:oMath>
        <m:sSup>
          <m:sSupPr>
            <m:ctrlPr>
              <w:rPr>
                <w:rFonts w:ascii="Cambria Math" w:hAnsi="Cambria Math"/>
                <w:i/>
              </w:rPr>
            </m:ctrlPr>
          </m:sSupPr>
          <m:e>
            <m:r>
              <w:rPr>
                <w:rFonts w:ascii="Cambria Math" w:hAnsi="Cambria Math"/>
              </w:rPr>
              <m:t>x</m:t>
            </m:r>
          </m:e>
          <m:sup>
            <m:r>
              <w:rPr>
                <w:rFonts w:ascii="Cambria Math" w:hAnsi="Cambria Math"/>
              </w:rPr>
              <m:t>a</m:t>
            </m:r>
          </m:sup>
        </m:sSup>
      </m:oMath>
      <w:r>
        <w:t>) from model space to observation space.</w:t>
      </w:r>
      <w:r>
        <w:rPr>
          <w:rFonts w:hint="eastAsia"/>
        </w:rPr>
        <w:t xml:space="preserve"> </w:t>
      </w:r>
      <w:r>
        <w:t xml:space="preserve">Moreover, the mean innovation and mean analysis residual are analyzed to determine if any biases are generated for control variables by the </w:t>
      </w:r>
      <w:r w:rsidR="003F0051">
        <w:t>DA</w:t>
      </w:r>
      <w:r>
        <w:t xml:space="preserve"> process:</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35"/>
        <w:gridCol w:w="715"/>
      </w:tblGrid>
      <w:tr w:rsidR="004F3876" w:rsidRPr="00506D3C" w14:paraId="1061E2E7" w14:textId="77777777" w:rsidTr="00B45862">
        <w:tc>
          <w:tcPr>
            <w:tcW w:w="8635" w:type="dxa"/>
            <w:vAlign w:val="center"/>
          </w:tcPr>
          <w:p w14:paraId="76B78E02" w14:textId="322C7433" w:rsidR="004F3876" w:rsidRPr="00506D3C" w:rsidRDefault="004F3876" w:rsidP="00B45862">
            <w:pPr>
              <w:ind w:firstLine="0"/>
              <w:jc w:val="center"/>
              <w:rPr>
                <w:iCs/>
                <w:sz w:val="24"/>
                <w:szCs w:val="24"/>
              </w:rPr>
            </w:pPr>
            <m:oMath>
              <m:r>
                <w:rPr>
                  <w:rFonts w:ascii="Cambria Math" w:hAnsi="Cambria Math"/>
                </w:rPr>
                <m:t>Mean_Innov=</m:t>
              </m:r>
              <m:f>
                <m:fPr>
                  <m:ctrlPr>
                    <w:rPr>
                      <w:rFonts w:ascii="Cambria Math" w:hAnsi="Cambria Math"/>
                      <w:i/>
                    </w:rPr>
                  </m:ctrlPr>
                </m:fPr>
                <m:num>
                  <m:r>
                    <w:rPr>
                      <w:rFonts w:ascii="Cambria Math" w:hAnsi="Cambria Math"/>
                    </w:rPr>
                    <m:t>1</m:t>
                  </m:r>
                </m:num>
                <m:den>
                  <m:r>
                    <w:rPr>
                      <w:rFonts w:ascii="Cambria Math" w:hAnsi="Cambria Math"/>
                    </w:rPr>
                    <m:t>N</m:t>
                  </m:r>
                </m:den>
              </m:f>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i</m:t>
                      </m:r>
                    </m:sub>
                  </m:sSub>
                  <m:r>
                    <w:rPr>
                      <w:rFonts w:ascii="Cambria Math" w:eastAsia="微软雅黑" w:hAnsi="Cambria Math" w:cs="微软雅黑" w:hint="eastAsia"/>
                    </w:rPr>
                    <m:t>-</m:t>
                  </m:r>
                  <m:r>
                    <w:rPr>
                      <w:rFonts w:ascii="Cambria Math" w:eastAsia="微软雅黑" w:hAnsi="微软雅黑" w:cs="微软雅黑"/>
                    </w:rPr>
                    <m:t>H(</m:t>
                  </m:r>
                  <m:sSubSup>
                    <m:sSubSupPr>
                      <m:ctrlPr>
                        <w:rPr>
                          <w:rFonts w:ascii="Cambria Math" w:eastAsia="微软雅黑" w:hAnsi="微软雅黑" w:cs="微软雅黑"/>
                          <w:i/>
                        </w:rPr>
                      </m:ctrlPr>
                    </m:sSubSupPr>
                    <m:e>
                      <m:r>
                        <w:rPr>
                          <w:rFonts w:ascii="Cambria Math" w:eastAsia="微软雅黑" w:hAnsi="微软雅黑" w:cs="微软雅黑"/>
                        </w:rPr>
                        <m:t>x</m:t>
                      </m:r>
                    </m:e>
                    <m:sub>
                      <m:r>
                        <w:rPr>
                          <w:rFonts w:ascii="Cambria Math" w:eastAsia="微软雅黑" w:hAnsi="微软雅黑" w:cs="微软雅黑"/>
                        </w:rPr>
                        <m:t>i</m:t>
                      </m:r>
                    </m:sub>
                    <m:sup>
                      <m:r>
                        <w:rPr>
                          <w:rFonts w:ascii="Cambria Math" w:eastAsia="微软雅黑" w:hAnsi="微软雅黑" w:cs="微软雅黑"/>
                        </w:rPr>
                        <m:t>b</m:t>
                      </m:r>
                    </m:sup>
                  </m:sSubSup>
                  <m:r>
                    <w:rPr>
                      <w:rFonts w:ascii="Cambria Math" w:eastAsia="微软雅黑" w:hAnsi="微软雅黑" w:cs="微软雅黑"/>
                    </w:rPr>
                    <m:t>)</m:t>
                  </m:r>
                  <m:r>
                    <w:rPr>
                      <w:rFonts w:ascii="Cambria Math" w:hAnsi="Cambria Math"/>
                    </w:rPr>
                    <m:t>]</m:t>
                  </m:r>
                </m:e>
              </m:nary>
            </m:oMath>
            <w:r w:rsidRPr="00506D3C">
              <w:rPr>
                <w:bCs/>
                <w:iCs/>
                <w:sz w:val="24"/>
                <w:szCs w:val="24"/>
              </w:rPr>
              <w:t>,</w:t>
            </w:r>
          </w:p>
        </w:tc>
        <w:tc>
          <w:tcPr>
            <w:tcW w:w="715" w:type="dxa"/>
            <w:vAlign w:val="center"/>
          </w:tcPr>
          <w:p w14:paraId="7ACFC913" w14:textId="2BABB949" w:rsidR="004F3876" w:rsidRPr="00506D3C" w:rsidRDefault="004F3876" w:rsidP="00B45862">
            <w:pPr>
              <w:ind w:firstLine="0"/>
              <w:jc w:val="center"/>
              <w:rPr>
                <w:iCs/>
                <w:sz w:val="24"/>
                <w:szCs w:val="24"/>
              </w:rPr>
            </w:pPr>
            <w:r w:rsidRPr="00506D3C">
              <w:rPr>
                <w:sz w:val="24"/>
                <w:szCs w:val="24"/>
              </w:rPr>
              <w:t>(</w:t>
            </w:r>
            <w:r>
              <w:rPr>
                <w:sz w:val="24"/>
                <w:szCs w:val="24"/>
              </w:rPr>
              <w:t>3</w:t>
            </w:r>
            <w:r w:rsidRPr="00506D3C">
              <w:rPr>
                <w:sz w:val="24"/>
                <w:szCs w:val="24"/>
              </w:rPr>
              <w:t>.</w:t>
            </w:r>
            <w:r>
              <w:rPr>
                <w:sz w:val="24"/>
                <w:szCs w:val="24"/>
              </w:rPr>
              <w:t>3</w:t>
            </w:r>
            <w:r w:rsidRPr="00506D3C">
              <w:rPr>
                <w:sz w:val="24"/>
                <w:szCs w:val="24"/>
              </w:rPr>
              <w:t>)</w:t>
            </w:r>
          </w:p>
        </w:tc>
      </w:tr>
      <w:tr w:rsidR="004F3876" w:rsidRPr="00506D3C" w14:paraId="333720FF" w14:textId="77777777" w:rsidTr="00B45862">
        <w:tc>
          <w:tcPr>
            <w:tcW w:w="8635" w:type="dxa"/>
            <w:vAlign w:val="center"/>
          </w:tcPr>
          <w:p w14:paraId="164A7B48" w14:textId="4E46C06E" w:rsidR="004F3876" w:rsidRDefault="004F3876" w:rsidP="00B45862">
            <w:pPr>
              <w:ind w:firstLine="0"/>
              <w:jc w:val="center"/>
              <w:rPr>
                <w:rFonts w:eastAsia="等线" w:cs="Times New Roman"/>
              </w:rPr>
            </w:pPr>
            <m:oMath>
              <m:r>
                <w:rPr>
                  <w:rFonts w:ascii="Cambria Math" w:hAnsi="Cambria Math"/>
                </w:rPr>
                <m:t>Mean_Res=</m:t>
              </m:r>
              <m:f>
                <m:fPr>
                  <m:ctrlPr>
                    <w:rPr>
                      <w:rFonts w:ascii="Cambria Math" w:hAnsi="Cambria Math"/>
                      <w:i/>
                    </w:rPr>
                  </m:ctrlPr>
                </m:fPr>
                <m:num>
                  <m:r>
                    <w:rPr>
                      <w:rFonts w:ascii="Cambria Math" w:hAnsi="Cambria Math"/>
                    </w:rPr>
                    <m:t>1</m:t>
                  </m:r>
                </m:num>
                <m:den>
                  <m:r>
                    <w:rPr>
                      <w:rFonts w:ascii="Cambria Math" w:hAnsi="Cambria Math"/>
                    </w:rPr>
                    <m:t>N</m:t>
                  </m:r>
                </m:den>
              </m:f>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y</m:t>
                          </m:r>
                        </m:e>
                        <m:sub>
                          <m:r>
                            <w:rPr>
                              <w:rFonts w:ascii="Cambria Math" w:hAnsi="Cambria Math"/>
                            </w:rPr>
                            <m:t>i</m:t>
                          </m:r>
                        </m:sub>
                      </m:sSub>
                      <m:r>
                        <w:rPr>
                          <w:rFonts w:ascii="Cambria Math" w:eastAsia="微软雅黑" w:hAnsi="Cambria Math" w:cs="微软雅黑" w:hint="eastAsia"/>
                        </w:rPr>
                        <m:t>-</m:t>
                      </m:r>
                      <m:r>
                        <w:rPr>
                          <w:rFonts w:ascii="Cambria Math" w:eastAsia="微软雅黑" w:hAnsi="微软雅黑" w:cs="微软雅黑"/>
                        </w:rPr>
                        <m:t>H</m:t>
                      </m:r>
                      <m:d>
                        <m:dPr>
                          <m:ctrlPr>
                            <w:rPr>
                              <w:rFonts w:ascii="Cambria Math" w:eastAsia="微软雅黑" w:hAnsi="微软雅黑" w:cs="微软雅黑"/>
                              <w:i/>
                            </w:rPr>
                          </m:ctrlPr>
                        </m:dPr>
                        <m:e>
                          <m:sSubSup>
                            <m:sSubSupPr>
                              <m:ctrlPr>
                                <w:rPr>
                                  <w:rFonts w:ascii="Cambria Math" w:eastAsia="微软雅黑" w:hAnsi="微软雅黑" w:cs="微软雅黑"/>
                                  <w:i/>
                                </w:rPr>
                              </m:ctrlPr>
                            </m:sSubSupPr>
                            <m:e>
                              <m:r>
                                <w:rPr>
                                  <w:rFonts w:ascii="Cambria Math" w:eastAsia="微软雅黑" w:hAnsi="微软雅黑" w:cs="微软雅黑"/>
                                </w:rPr>
                                <m:t>x</m:t>
                              </m:r>
                            </m:e>
                            <m:sub>
                              <m:r>
                                <w:rPr>
                                  <w:rFonts w:ascii="Cambria Math" w:eastAsia="微软雅黑" w:hAnsi="微软雅黑" w:cs="微软雅黑"/>
                                </w:rPr>
                                <m:t>i</m:t>
                              </m:r>
                            </m:sub>
                            <m:sup>
                              <m:r>
                                <w:rPr>
                                  <w:rFonts w:ascii="Cambria Math" w:eastAsia="微软雅黑" w:hAnsi="微软雅黑" w:cs="微软雅黑"/>
                                </w:rPr>
                                <m:t>a</m:t>
                              </m:r>
                            </m:sup>
                          </m:sSubSup>
                        </m:e>
                      </m:d>
                    </m:e>
                  </m:d>
                </m:e>
              </m:nary>
            </m:oMath>
            <w:r>
              <w:rPr>
                <w:rFonts w:eastAsia="等线" w:cs="Times New Roman"/>
              </w:rPr>
              <w:t>.</w:t>
            </w:r>
          </w:p>
        </w:tc>
        <w:tc>
          <w:tcPr>
            <w:tcW w:w="715" w:type="dxa"/>
            <w:vAlign w:val="center"/>
          </w:tcPr>
          <w:p w14:paraId="426837F2" w14:textId="0E0B38D0" w:rsidR="004F3876" w:rsidRPr="00506D3C" w:rsidRDefault="004F3876" w:rsidP="00B45862">
            <w:pPr>
              <w:ind w:firstLine="0"/>
              <w:jc w:val="center"/>
              <w:rPr>
                <w:szCs w:val="24"/>
              </w:rPr>
            </w:pPr>
            <w:r w:rsidRPr="00506D3C">
              <w:rPr>
                <w:sz w:val="24"/>
                <w:szCs w:val="24"/>
              </w:rPr>
              <w:t>(</w:t>
            </w:r>
            <w:r>
              <w:rPr>
                <w:sz w:val="24"/>
                <w:szCs w:val="24"/>
              </w:rPr>
              <w:t>3</w:t>
            </w:r>
            <w:r w:rsidRPr="00506D3C">
              <w:rPr>
                <w:sz w:val="24"/>
                <w:szCs w:val="24"/>
              </w:rPr>
              <w:t>.</w:t>
            </w:r>
            <w:r>
              <w:rPr>
                <w:sz w:val="24"/>
                <w:szCs w:val="24"/>
              </w:rPr>
              <w:t>4</w:t>
            </w:r>
            <w:r w:rsidRPr="00506D3C">
              <w:rPr>
                <w:sz w:val="24"/>
                <w:szCs w:val="24"/>
              </w:rPr>
              <w:t>)</w:t>
            </w:r>
          </w:p>
        </w:tc>
      </w:tr>
    </w:tbl>
    <w:p w14:paraId="77ACF252" w14:textId="5CCF41F6" w:rsidR="004F3876" w:rsidRDefault="004F3876" w:rsidP="004F3876">
      <w:pPr>
        <w:ind w:firstLine="0"/>
      </w:pPr>
      <w:r w:rsidRPr="004812B5">
        <w:t xml:space="preserve">Because the results </w:t>
      </w:r>
      <w:r>
        <w:t>of all three cases are</w:t>
      </w:r>
      <w:r w:rsidRPr="004812B5">
        <w:t xml:space="preserve"> qualitatively similar, only </w:t>
      </w:r>
      <w:r>
        <w:t>the first</w:t>
      </w:r>
      <w:r w:rsidRPr="004812B5">
        <w:t xml:space="preserve"> </w:t>
      </w:r>
      <w:r>
        <w:t>event (10 May 2017)</w:t>
      </w:r>
      <w:r w:rsidRPr="004812B5">
        <w:t xml:space="preserve"> is </w:t>
      </w:r>
      <w:r>
        <w:t>discussed</w:t>
      </w:r>
      <w:r w:rsidR="00125D87">
        <w:t xml:space="preserve"> here as an example</w:t>
      </w:r>
      <w:r w:rsidRPr="004812B5">
        <w:t>.</w:t>
      </w:r>
    </w:p>
    <w:p w14:paraId="16225782" w14:textId="5F98FEAD" w:rsidR="00125D87" w:rsidRPr="004812B5" w:rsidRDefault="00125D87" w:rsidP="00125D87">
      <w:r>
        <w:rPr>
          <w:rFonts w:hint="eastAsia"/>
        </w:rPr>
        <w:t>I</w:t>
      </w:r>
      <w:r>
        <w:t xml:space="preserve">n general, both RAD and RADSAT experiments show a </w:t>
      </w:r>
      <w:r>
        <w:rPr>
          <w:rFonts w:hint="eastAsia"/>
        </w:rPr>
        <w:t>decrease</w:t>
      </w:r>
      <w:r>
        <w:t xml:space="preserve"> </w:t>
      </w:r>
      <w:r>
        <w:rPr>
          <w:rFonts w:hint="eastAsia"/>
        </w:rPr>
        <w:t>in</w:t>
      </w:r>
      <w:r>
        <w:t xml:space="preserve"> the total cost function with the RAD experiment at various analysis times producing a reduction ranging between 50% and 80% at the end of the minimization process. The largest decrease (over 75%) is observed at initial analysis time 1800 UTC (Fig. 3.17 a). Given more observations being assimilated, RADSAT generally has 10% less reduction compared to RAD at the same analysis time (Fig. 3.17 b). RAD produces greater reduction (around 40%) of the total cost function at the first 3 iterations at 1800 and 1900 UTC, while the RAD experiment for the remaining analysis times and the RADSAT experiment for all analysis times have stable reduction rates between iterations.</w:t>
      </w:r>
    </w:p>
    <w:p w14:paraId="46BCE1E8" w14:textId="77777777" w:rsidR="004F3876" w:rsidRPr="00125D87" w:rsidRDefault="004F3876" w:rsidP="00125D87">
      <w:pPr>
        <w:pStyle w:val="NoSpacing"/>
      </w:pPr>
    </w:p>
    <w:p w14:paraId="4767E296" w14:textId="77777777" w:rsidR="004F3876" w:rsidRDefault="00A07C14" w:rsidP="00CC70A4">
      <w:pPr>
        <w:pStyle w:val="Caption"/>
        <w:spacing w:after="0"/>
        <w:ind w:firstLine="0"/>
        <w:jc w:val="center"/>
      </w:pPr>
      <w:r>
        <w:rPr>
          <w:noProof/>
        </w:rPr>
        <w:lastRenderedPageBreak/>
        <w:drawing>
          <wp:inline distT="0" distB="0" distL="0" distR="0" wp14:anchorId="36DF0B5E" wp14:editId="25C3DF8E">
            <wp:extent cx="5813975" cy="58139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ure3.tif"/>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813975" cy="5813975"/>
                    </a:xfrm>
                    <a:prstGeom prst="rect">
                      <a:avLst/>
                    </a:prstGeom>
                  </pic:spPr>
                </pic:pic>
              </a:graphicData>
            </a:graphic>
          </wp:inline>
        </w:drawing>
      </w:r>
    </w:p>
    <w:p w14:paraId="247853C5" w14:textId="3BCDDB3D" w:rsidR="00A07C14" w:rsidRPr="00D60A80" w:rsidRDefault="00A07C14" w:rsidP="004F3876">
      <w:pPr>
        <w:pStyle w:val="Captions"/>
        <w:rPr>
          <w:szCs w:val="24"/>
        </w:rPr>
      </w:pPr>
      <w:bookmarkStart w:id="85" w:name="_Toc134695278"/>
      <w:r w:rsidRPr="00D60A80">
        <w:rPr>
          <w:szCs w:val="24"/>
        </w:rPr>
        <w:t xml:space="preserve">Figure </w:t>
      </w:r>
      <w:r w:rsidR="00C96E3B" w:rsidRPr="00D60A80">
        <w:rPr>
          <w:szCs w:val="24"/>
        </w:rPr>
        <w:fldChar w:fldCharType="begin"/>
      </w:r>
      <w:r w:rsidR="00C96E3B" w:rsidRPr="00D60A80">
        <w:rPr>
          <w:szCs w:val="24"/>
        </w:rPr>
        <w:instrText xml:space="preserve"> STYLEREF 1 \s </w:instrText>
      </w:r>
      <w:r w:rsidR="00C96E3B" w:rsidRPr="00D60A80">
        <w:rPr>
          <w:szCs w:val="24"/>
        </w:rPr>
        <w:fldChar w:fldCharType="separate"/>
      </w:r>
      <w:r w:rsidR="00C77C87" w:rsidRPr="00D60A80">
        <w:rPr>
          <w:noProof/>
          <w:szCs w:val="24"/>
        </w:rPr>
        <w:t>3</w:t>
      </w:r>
      <w:r w:rsidR="00C96E3B" w:rsidRPr="00D60A80">
        <w:rPr>
          <w:noProof/>
          <w:szCs w:val="24"/>
        </w:rPr>
        <w:fldChar w:fldCharType="end"/>
      </w:r>
      <w:r w:rsidR="00C77C87" w:rsidRPr="00D60A80">
        <w:rPr>
          <w:szCs w:val="24"/>
        </w:rPr>
        <w:t>.</w:t>
      </w:r>
      <w:r w:rsidR="00C96E3B" w:rsidRPr="00D60A80">
        <w:rPr>
          <w:szCs w:val="24"/>
        </w:rPr>
        <w:fldChar w:fldCharType="begin"/>
      </w:r>
      <w:r w:rsidR="00C96E3B" w:rsidRPr="00D60A80">
        <w:rPr>
          <w:szCs w:val="24"/>
        </w:rPr>
        <w:instrText xml:space="preserve"> SEQ Figure \* ARABIC \s 1 </w:instrText>
      </w:r>
      <w:r w:rsidR="00C96E3B" w:rsidRPr="00D60A80">
        <w:rPr>
          <w:szCs w:val="24"/>
        </w:rPr>
        <w:fldChar w:fldCharType="separate"/>
      </w:r>
      <w:r w:rsidR="00C77C87" w:rsidRPr="00D60A80">
        <w:rPr>
          <w:noProof/>
          <w:szCs w:val="24"/>
        </w:rPr>
        <w:t>17</w:t>
      </w:r>
      <w:r w:rsidR="00C96E3B" w:rsidRPr="00D60A80">
        <w:rPr>
          <w:noProof/>
          <w:szCs w:val="24"/>
        </w:rPr>
        <w:fldChar w:fldCharType="end"/>
      </w:r>
      <w:r w:rsidRPr="00D60A80">
        <w:rPr>
          <w:szCs w:val="24"/>
        </w:rPr>
        <w:t xml:space="preserve"> Normalized cost function</w:t>
      </w:r>
      <w:r w:rsidRPr="00D60A80">
        <w:rPr>
          <w:rFonts w:hint="eastAsia"/>
          <w:szCs w:val="24"/>
        </w:rPr>
        <w:t xml:space="preserve"> </w:t>
      </w:r>
      <w:r w:rsidRPr="00D60A80">
        <w:rPr>
          <w:szCs w:val="24"/>
        </w:rPr>
        <w:t>(a-b) as a function of iteration number for the RAD and RADSAT experiments.</w:t>
      </w:r>
      <w:r w:rsidRPr="00D60A80">
        <w:rPr>
          <w:rFonts w:hint="eastAsia"/>
          <w:szCs w:val="24"/>
        </w:rPr>
        <w:t xml:space="preserve"> </w:t>
      </w:r>
      <w:r w:rsidRPr="00D60A80">
        <w:rPr>
          <w:szCs w:val="24"/>
        </w:rPr>
        <w:t xml:space="preserve">The cost function curves are shown in colors for </w:t>
      </w:r>
      <w:r w:rsidRPr="00D60A80">
        <w:rPr>
          <w:rFonts w:hint="eastAsia"/>
          <w:szCs w:val="24"/>
        </w:rPr>
        <w:t>different</w:t>
      </w:r>
      <w:r w:rsidRPr="00D60A80">
        <w:rPr>
          <w:szCs w:val="24"/>
        </w:rPr>
        <w:t xml:space="preserve"> analysis time following the legends in (b). Mean (c-d) for the innovation (solid lines) and analysis residual (dashed lines) for radial velocity (blue, in m s</w:t>
      </w:r>
      <w:r w:rsidRPr="00D60A80">
        <w:rPr>
          <w:szCs w:val="24"/>
          <w:vertAlign w:val="superscript"/>
        </w:rPr>
        <w:t>-1</w:t>
      </w:r>
      <w:r w:rsidRPr="00D60A80">
        <w:rPr>
          <w:szCs w:val="24"/>
        </w:rPr>
        <w:t>), reflectivity (red, in dBZ) and precipitable water (yellow, in 10</w:t>
      </w:r>
      <w:r w:rsidRPr="00D60A80">
        <w:rPr>
          <w:szCs w:val="24"/>
          <w:vertAlign w:val="superscript"/>
        </w:rPr>
        <w:t>-2</w:t>
      </w:r>
      <w:r w:rsidRPr="00D60A80">
        <w:rPr>
          <w:szCs w:val="24"/>
        </w:rPr>
        <w:t xml:space="preserve"> cm) as a function of analysis time for the RAD and RADSAT experiments. Dash-dotted lines in (c) and (d) are the reference lines for measuring biases. As in (c-d), RMS for the innovation and analysis residual are shown in (e) for RAD and (f) for RADSAT.</w:t>
      </w:r>
      <w:bookmarkEnd w:id="85"/>
    </w:p>
    <w:p w14:paraId="0EC3E1F8" w14:textId="7449D41D" w:rsidR="00A07C14" w:rsidRDefault="00A07C14" w:rsidP="00A07C14">
      <w:pPr>
        <w:pStyle w:val="NoSpacing"/>
      </w:pPr>
    </w:p>
    <w:p w14:paraId="4F5B5C4A" w14:textId="247D0EF9" w:rsidR="004F3876" w:rsidRDefault="005F7784" w:rsidP="005F7784">
      <w:r>
        <w:rPr>
          <w:rFonts w:hint="eastAsia"/>
        </w:rPr>
        <w:t>T</w:t>
      </w:r>
      <w:r>
        <w:t xml:space="preserve">he innovation biases for LPW are positive and largely depart from the reference line (exceeding 1 mm) for the first 30 minutes of the </w:t>
      </w:r>
      <w:r w:rsidR="003F0051">
        <w:t>DA</w:t>
      </w:r>
      <w:r>
        <w:t xml:space="preserve"> cycling (Fig. 3.17 d), indicating that the </w:t>
      </w:r>
      <w:r>
        <w:lastRenderedPageBreak/>
        <w:t>background fields initially</w:t>
      </w:r>
      <w:r w:rsidDel="003141B9">
        <w:t xml:space="preserve"> </w:t>
      </w:r>
      <w:r>
        <w:t xml:space="preserve">have dry biases compared to the observations over most part of the domain; especially over western Texas and southwestern Kansas (Fig. 3.6). Since the dry biases are ameliorated within 3 analysis timestamps by assimilating LPW observations, the innovation and analysis residual biases for LPW fluctuate around the reference line starting from 1830 UTC. The innovations for radial velocity have negative biases between 1800 and 2000 UTC, but both innovation and residual for radial velocity turn to be identical and close to zero since 2000 UTC for both RAD and RADSAT experiment (Figs. 3.17 c, d). This indicates that the analyzed radial velocity fields fit the observations very well. For reflectivity, the innovations are positive with largest bias ~ 13 dBZ at 1800 UTC and decreasing at later </w:t>
      </w:r>
      <w:r w:rsidR="003F0051">
        <w:t>DA</w:t>
      </w:r>
      <w:r>
        <w:t xml:space="preserve"> cycles. They finally alter to be negative since 2100 UTC and reach lowest value (~ -5 to -6 dBZ) near 2145 UTC. In contrast, the residuals for reflectivity are close to the reference line only between 1800 and 1900 UTC for RAD and between 1800 and 2000 UTC for RADSAT. Over the whole </w:t>
      </w:r>
      <w:r w:rsidR="003F0051">
        <w:t>DA</w:t>
      </w:r>
      <w:r>
        <w:t xml:space="preserve"> cycling period, they are consistently negatively biased. </w:t>
      </w:r>
      <w:bookmarkStart w:id="86" w:name="_Hlk47273915"/>
      <w:r>
        <w:t xml:space="preserve">This statistical feature suggests that the nonlinearity of reflectivity forward operators may prevent the </w:t>
      </w:r>
      <w:r w:rsidR="003F0051">
        <w:t>DA</w:t>
      </w:r>
      <w:r>
        <w:t xml:space="preserve"> system </w:t>
      </w:r>
      <w:r>
        <w:rPr>
          <w:rFonts w:hint="eastAsia"/>
        </w:rPr>
        <w:t>from</w:t>
      </w:r>
      <w:r>
        <w:t xml:space="preserve"> readily absorbing all the information from reflectivity observations.</w:t>
      </w:r>
      <w:bookmarkEnd w:id="86"/>
      <w:r>
        <w:t xml:space="preserve"> The rms statistics (Figs. 3.17 e, f) show that the values for analysis residual are typically smaller than the innovation values. T</w:t>
      </w:r>
      <w:r>
        <w:rPr>
          <w:rFonts w:hint="eastAsia"/>
        </w:rPr>
        <w:t>h</w:t>
      </w:r>
      <w:r>
        <w:t>e analysis is able to reasonably fit all kinds of observations during the whole cycling period. Moreover, the residual values for all types of observations are close to their corresponding observation errors respectively, indicating these observations are properly assimilated.</w:t>
      </w:r>
    </w:p>
    <w:p w14:paraId="041FD966" w14:textId="77777777" w:rsidR="00843D4E" w:rsidRDefault="00843D4E" w:rsidP="005F7784"/>
    <w:p w14:paraId="0D5E05BD" w14:textId="138535C4" w:rsidR="005F7784" w:rsidRDefault="005F7784">
      <w:pPr>
        <w:pStyle w:val="Heading2"/>
      </w:pPr>
      <w:bookmarkStart w:id="87" w:name="_Toc130995452"/>
      <w:bookmarkStart w:id="88" w:name="_Toc131018317"/>
      <w:r>
        <w:t>Summary and Conclusion</w:t>
      </w:r>
      <w:bookmarkEnd w:id="87"/>
      <w:bookmarkEnd w:id="88"/>
    </w:p>
    <w:p w14:paraId="417F751B" w14:textId="7977028E" w:rsidR="00843D4E" w:rsidRPr="00DD5D9E" w:rsidRDefault="00843D4E" w:rsidP="00843D4E">
      <w:r>
        <w:t xml:space="preserve">In this chapter, three experiments are conducted to investigate the impact of assimilating radar, surface, and satellite retrieved CWP and LPW observations on short-term </w:t>
      </w:r>
      <w:r w:rsidR="002C1860">
        <w:t>convective-scale</w:t>
      </w:r>
      <w:r>
        <w:t xml:space="preserve"> </w:t>
      </w:r>
      <w:r>
        <w:lastRenderedPageBreak/>
        <w:t xml:space="preserve">NWP </w:t>
      </w:r>
      <w:r>
        <w:rPr>
          <w:rFonts w:hint="eastAsia"/>
        </w:rPr>
        <w:t>with</w:t>
      </w:r>
      <w:r>
        <w:t xml:space="preserve"> three </w:t>
      </w:r>
      <w:r w:rsidR="00125D87">
        <w:t>high-impact w</w:t>
      </w:r>
      <w:r>
        <w:t>eather events that occurred in May 2017. The CTRL experiment does not assimilate any observations. The RAD experiment assimilates radar and surface observations, and the RADSAT experiment further assimilates satellite derived CWP and LPW products in addition to the radar and surface data. Generally, the comparison of results from three types of experiments indicates</w:t>
      </w:r>
      <w:r w:rsidRPr="00DD5D9E">
        <w:t xml:space="preserve"> </w:t>
      </w:r>
      <w:r>
        <w:t>the improvement</w:t>
      </w:r>
      <w:r w:rsidRPr="00DD5D9E">
        <w:t xml:space="preserve"> on model initial conditions </w:t>
      </w:r>
      <w:r>
        <w:t xml:space="preserve">and </w:t>
      </w:r>
      <w:r w:rsidRPr="00DD5D9E">
        <w:t>short-range forecasts for th</w:t>
      </w:r>
      <w:r>
        <w:t>ree</w:t>
      </w:r>
      <w:r w:rsidRPr="00DD5D9E">
        <w:t xml:space="preserve"> </w:t>
      </w:r>
      <w:r>
        <w:t>severe weather events when CWP and/or LPW are also assimilated in addition to radar and surface data</w:t>
      </w:r>
      <w:r w:rsidRPr="00DD5D9E">
        <w:t>.</w:t>
      </w:r>
    </w:p>
    <w:p w14:paraId="51BC63E0" w14:textId="77777777" w:rsidR="00843D4E" w:rsidRPr="00DD5D9E" w:rsidRDefault="00843D4E" w:rsidP="00843D4E">
      <w:r w:rsidRPr="00DD5D9E">
        <w:t>For the 10 May 2017 event, assimilating CWP improves the cloud property analysis, the downward shortwave radiation over the cloudy areas</w:t>
      </w:r>
      <w:r>
        <w:t>,</w:t>
      </w:r>
      <w:r w:rsidRPr="00DD5D9E">
        <w:t xml:space="preserve"> and therefore surface temperature </w:t>
      </w:r>
      <w:r>
        <w:t xml:space="preserve">and </w:t>
      </w:r>
      <w:r w:rsidRPr="00DD5D9E">
        <w:t xml:space="preserve">atmospheric instability. Spurious cells are mostly removed in later forecasts due to this improvement. </w:t>
      </w:r>
      <w:r>
        <w:t>Assimilating</w:t>
      </w:r>
      <w:r w:rsidRPr="00DD5D9E">
        <w:t xml:space="preserve"> </w:t>
      </w:r>
      <w:r>
        <w:t xml:space="preserve">the </w:t>
      </w:r>
      <w:r w:rsidRPr="00DD5D9E">
        <w:t>LPW product also yields positive results for CI by saturating</w:t>
      </w:r>
      <w:r>
        <w:t xml:space="preserve"> the</w:t>
      </w:r>
      <w:r w:rsidRPr="00DD5D9E">
        <w:t xml:space="preserve"> moist</w:t>
      </w:r>
      <w:r>
        <w:t>ure</w:t>
      </w:r>
      <w:r w:rsidRPr="00DD5D9E">
        <w:t xml:space="preserve"> </w:t>
      </w:r>
      <w:r>
        <w:t>fields</w:t>
      </w:r>
      <w:r w:rsidRPr="00DD5D9E">
        <w:t xml:space="preserve"> surrounding the ongoing convection. The improved analysis typically generates high UH swaths that are </w:t>
      </w:r>
      <w:r>
        <w:t>more appropriately placed</w:t>
      </w:r>
      <w:r w:rsidRPr="00DD5D9E">
        <w:t xml:space="preserve"> when compared against the SPC damage reports.</w:t>
      </w:r>
    </w:p>
    <w:p w14:paraId="786C4DE8" w14:textId="76710BF8" w:rsidR="00843D4E" w:rsidRPr="00843D4E" w:rsidRDefault="00843D4E" w:rsidP="00843D4E">
      <w:r w:rsidRPr="00DD5D9E">
        <w:t xml:space="preserve">Similar impacts of assimilating satellite products are observed for the </w:t>
      </w:r>
      <w:r>
        <w:t>other</w:t>
      </w:r>
      <w:r w:rsidRPr="00DD5D9E">
        <w:t xml:space="preserve"> two cases. For the 16 May 2017, RADSAT leads to intensified moisture gradient at</w:t>
      </w:r>
      <w:r>
        <w:t xml:space="preserve"> the</w:t>
      </w:r>
      <w:r w:rsidRPr="00DD5D9E">
        <w:t xml:space="preserve"> surface compared to CTRL and RAD. As a result, the storms of interest are </w:t>
      </w:r>
      <w:r>
        <w:t>better</w:t>
      </w:r>
      <w:r w:rsidRPr="00DD5D9E">
        <w:t xml:space="preserve"> analyzed and predicted when verified against the observations. </w:t>
      </w:r>
      <w:r>
        <w:t xml:space="preserve">For the 26 May 2017, RADSAT </w:t>
      </w:r>
      <w:r w:rsidRPr="00DD5D9E">
        <w:t>improve</w:t>
      </w:r>
      <w:r>
        <w:t>s</w:t>
      </w:r>
      <w:r w:rsidRPr="00DD5D9E">
        <w:t xml:space="preserve"> water vapor distribution </w:t>
      </w:r>
      <w:r>
        <w:t xml:space="preserve">at the surface </w:t>
      </w:r>
      <w:r w:rsidRPr="00DD5D9E">
        <w:t xml:space="preserve">and </w:t>
      </w:r>
      <w:r>
        <w:t>low-level</w:t>
      </w:r>
      <w:r w:rsidRPr="00DD5D9E">
        <w:t xml:space="preserve"> vertical wind shear</w:t>
      </w:r>
      <w:r>
        <w:t xml:space="preserve">, leading to better placed </w:t>
      </w:r>
      <w:r>
        <w:rPr>
          <w:rFonts w:hint="eastAsia"/>
        </w:rPr>
        <w:t>storms</w:t>
      </w:r>
      <w:r>
        <w:t xml:space="preserve"> in the model at times and locations consistent with the observations.</w:t>
      </w:r>
      <w:r w:rsidRPr="00DD5D9E">
        <w:t xml:space="preserve"> Again, the reflectivity</w:t>
      </w:r>
      <w:r>
        <w:t xml:space="preserve"> and UH track</w:t>
      </w:r>
      <w:r w:rsidRPr="00DD5D9E">
        <w:t xml:space="preserve"> forecast</w:t>
      </w:r>
      <w:r>
        <w:t>s</w:t>
      </w:r>
      <w:r w:rsidRPr="00DD5D9E">
        <w:t xml:space="preserve"> from RADSAT </w:t>
      </w:r>
      <w:r>
        <w:t>are</w:t>
      </w:r>
      <w:r w:rsidRPr="00DD5D9E">
        <w:t xml:space="preserve"> better than th</w:t>
      </w:r>
      <w:r>
        <w:t>ose</w:t>
      </w:r>
      <w:r w:rsidRPr="00DD5D9E">
        <w:t xml:space="preserve"> from the CTRL and RAD. </w:t>
      </w:r>
    </w:p>
    <w:p w14:paraId="2D9FAF59" w14:textId="20A2B47C" w:rsidR="00AD13C1" w:rsidRPr="00AD13C1" w:rsidRDefault="00AD13C1" w:rsidP="00AD13C1">
      <w:pPr>
        <w:pStyle w:val="Caption"/>
        <w:rPr>
          <w:rFonts w:cs="Times New Roman"/>
          <w:i w:val="0"/>
          <w:iCs w:val="0"/>
          <w:color w:val="000000" w:themeColor="text1"/>
          <w:sz w:val="24"/>
          <w:szCs w:val="24"/>
        </w:rPr>
      </w:pPr>
      <w:r w:rsidRPr="00AD13C1">
        <w:rPr>
          <w:rFonts w:cs="Times New Roman"/>
          <w:i w:val="0"/>
          <w:iCs w:val="0"/>
          <w:color w:val="000000" w:themeColor="text1"/>
          <w:sz w:val="24"/>
          <w:szCs w:val="24"/>
        </w:rPr>
        <w:br w:type="page"/>
      </w:r>
    </w:p>
    <w:p w14:paraId="4C8FF94C" w14:textId="77777777" w:rsidR="00843D4E" w:rsidRPr="00125D87" w:rsidRDefault="00843D4E" w:rsidP="00125D87">
      <w:pPr>
        <w:pStyle w:val="Heading1"/>
      </w:pPr>
      <w:bookmarkStart w:id="89" w:name="_Toc130995453"/>
      <w:bookmarkStart w:id="90" w:name="_Toc131018318"/>
      <w:r w:rsidRPr="00125D87">
        <w:lastRenderedPageBreak/>
        <w:t>The Development of Weather-dependent Background Error structures within a Convective Scale Radar Data Assimilation Scheme for Improving Short-Range Severe Weather Forecasts</w:t>
      </w:r>
      <w:bookmarkEnd w:id="89"/>
      <w:bookmarkEnd w:id="90"/>
    </w:p>
    <w:p w14:paraId="4ED51204" w14:textId="147705D9" w:rsidR="006C690B" w:rsidRDefault="006C690B">
      <w:pPr>
        <w:pStyle w:val="Heading2"/>
      </w:pPr>
      <w:bookmarkStart w:id="91" w:name="_Toc130995454"/>
      <w:bookmarkStart w:id="92" w:name="_Toc131018319"/>
      <w:r w:rsidRPr="00843D4E">
        <w:t>Introduction</w:t>
      </w:r>
      <w:bookmarkEnd w:id="91"/>
      <w:bookmarkEnd w:id="92"/>
    </w:p>
    <w:p w14:paraId="387257A0" w14:textId="083376FD" w:rsidR="00F10239" w:rsidRDefault="00F10239" w:rsidP="00F10239">
      <w:r>
        <w:t xml:space="preserve">To properly spread information from observation locations to nearby model grid points and to obtain a balanced analysis among all model control variables, all DA methods require either explicit or implicit estimation of background error covariances, i.e., </w:t>
      </w:r>
      <w:r w:rsidRPr="00CE74D4">
        <w:rPr>
          <w:b/>
          <w:bCs/>
        </w:rPr>
        <w:t>B</w:t>
      </w:r>
      <w:r>
        <w:t xml:space="preserve"> matrix. </w:t>
      </w:r>
      <w:r w:rsidRPr="00C86EAB">
        <w:t xml:space="preserve">A </w:t>
      </w:r>
      <w:r>
        <w:rPr>
          <w:rFonts w:hint="eastAsia"/>
        </w:rPr>
        <w:t>fundamental</w:t>
      </w:r>
      <w:r>
        <w:t xml:space="preserve"> issue in </w:t>
      </w:r>
      <w:r w:rsidRPr="00C86EAB">
        <w:t xml:space="preserve">estimating a </w:t>
      </w:r>
      <w:r w:rsidRPr="003F71E3">
        <w:rPr>
          <w:b/>
          <w:bCs/>
        </w:rPr>
        <w:t>B</w:t>
      </w:r>
      <w:r w:rsidRPr="00C86EAB">
        <w:t xml:space="preserve"> matrix, as </w:t>
      </w:r>
      <w:r>
        <w:t>described</w:t>
      </w:r>
      <w:r w:rsidRPr="00C86EAB">
        <w:t xml:space="preserve"> by </w:t>
      </w:r>
      <w:r>
        <w:fldChar w:fldCharType="begin"/>
      </w:r>
      <w:r>
        <w:instrText xml:space="preserve"> ADDIN ZOTERO_ITEM CSL_CITATION {"citationID":"CnoIRUT6","properties":{"formattedCitation":"(Bannister 2008)","plainCitation":"(Bannister 2008)","dontUpdate":true,"noteIndex":0},"citationItems":[{"id":295,"uris":["http://zotero.org/users/local/6VSApgKp/items/TAW5XI2J"],"itemData":{"id":295,"type":"article-journal","abstract":"This article reviews the characteristics of forecast error statistics in meteorological data assimilation from the substantial literature on this subject. It is shown how forecast error statistics appear in the data assimilation problem through the background error covariance matrix, B. The mathematical and physical properties of the covariances are surveyed in relation to a number of leading systems that are in use for operational weather forecasting. Different studies emphasize different aspects of B, and the known ways that B can impact the assimilation are brought together. Treating B practically in data assimilation is problematic. One such problem is in the numerical measurement of B, and five calibration methods are reviewed, including analysis of innovations, analysis of forecast differences and ensemble methods. Another problem is the prohibitive size of B. This needs special treatment in data assimilation, and is covered in a companion article (Part II). Examples are drawn from the literature that show the univariate and multivariate structure of the B-matrix, in terms of variances and correlations, which are interpreted in terms of the properties of the atmosphere. The need for an accurate quantification of forecast error statistics is emphasized. Copyright © 2008 Royal Meteorological Society","container-title":"Quarterly Journal of the Royal Meteorological Society","DOI":"10.1002/qj.339","ISSN":"1477-870X","issue":"637","language":"en","note":"_eprint: https://rmets.onlinelibrary.wiley.com/doi/pdf/10.1002/qj.339","page":"1951-1970","source":"Wiley Online Library","title":"A review of forecast error covariance statistics in atmospheric variational data assimilation. I: Characteristics and measurements of forecast error covariances","title-short":"A review of forecast error covariance statistics in atmospheric variational data assimilation. I","volume":"134","author":[{"family":"Bannister","given":"R. N."}],"issued":{"date-parts":[["2008"]]},"citation-key":"bannisterReviewForecastError2008"}}],"schema":"https://github.com/citation-style-language/schema/raw/master/csl-citation.json"} </w:instrText>
      </w:r>
      <w:r>
        <w:fldChar w:fldCharType="separate"/>
      </w:r>
      <w:r>
        <w:rPr>
          <w:noProof/>
        </w:rPr>
        <w:t>Bannister (2008)</w:t>
      </w:r>
      <w:r>
        <w:fldChar w:fldCharType="end"/>
      </w:r>
      <w:r>
        <w:t xml:space="preserve">, </w:t>
      </w:r>
      <w:r w:rsidRPr="00C86EAB">
        <w:t>i</w:t>
      </w:r>
      <w:r>
        <w:t>s</w:t>
      </w:r>
      <w:r w:rsidRPr="00C86EAB">
        <w:t xml:space="preserve"> that the </w:t>
      </w:r>
      <w:r>
        <w:t>real state</w:t>
      </w:r>
      <w:r w:rsidRPr="00C86EAB">
        <w:t xml:space="preserve"> of the atmosphere is unknown.</w:t>
      </w:r>
      <w:r>
        <w:t xml:space="preserve"> How to accurately and timely estimate background error statistics is always a major research topic in DA, particularly </w:t>
      </w:r>
      <w:r>
        <w:rPr>
          <w:rFonts w:hint="eastAsia"/>
        </w:rPr>
        <w:t>i</w:t>
      </w:r>
      <w:r>
        <w:t>n variational DA. In the case of</w:t>
      </w:r>
      <w:r w:rsidRPr="00A2583F">
        <w:t xml:space="preserve"> ensemble</w:t>
      </w:r>
      <w:r>
        <w:t xml:space="preserve"> DA (e.g., EnKF)</w:t>
      </w:r>
      <w:r w:rsidRPr="00A2583F">
        <w:t xml:space="preserve">, the flow-dependent </w:t>
      </w:r>
      <w:r w:rsidRPr="003F71E3">
        <w:rPr>
          <w:b/>
          <w:bCs/>
        </w:rPr>
        <w:t>B</w:t>
      </w:r>
      <w:r w:rsidRPr="00A2583F">
        <w:t xml:space="preserve"> matrix </w:t>
      </w:r>
      <w:r>
        <w:t>can</w:t>
      </w:r>
      <w:r w:rsidRPr="00A2583F">
        <w:t xml:space="preserve"> </w:t>
      </w:r>
      <w:r>
        <w:t xml:space="preserve">be </w:t>
      </w:r>
      <w:r w:rsidRPr="00A2583F">
        <w:t xml:space="preserve">calculated by assuming that the ensemble mean </w:t>
      </w:r>
      <w:r>
        <w:t>represents</w:t>
      </w:r>
      <w:r w:rsidRPr="00A2583F">
        <w:t xml:space="preserve"> the best estimate of the atmosphere and that the spreading of the ensemble </w:t>
      </w:r>
      <w:r>
        <w:t xml:space="preserve">members </w:t>
      </w:r>
      <w:r w:rsidRPr="00A2583F">
        <w:t xml:space="preserve">around </w:t>
      </w:r>
      <w:r>
        <w:t xml:space="preserve">represents model errors </w:t>
      </w:r>
      <w:r>
        <w:fldChar w:fldCharType="begin"/>
      </w:r>
      <w:r>
        <w:instrText xml:space="preserve"> ADDIN ZOTERO_ITEM CSL_CITATION {"citationID":"YpmR1jeY","properties":{"formattedCitation":"(Evensen 2003)","plainCitation":"(Evensen 2003)","noteIndex":0},"citationItems":[{"id":297,"uris":["http://zotero.org/users/local/6VSApgKp/items/DJQ7HHAD"],"itemData":{"id":297,"type":"article-journal","abstract":"The purpose of this paper is to provide a comprehensive presentation and interpretation of the Ensemble Kalman Filter (EnKF) and its numerical implementation. The EnKF has a large user group, and numerous publications have discussed applications and theoretical aspects of it. This paper reviews the important results from these studies and also presents new ideas and alternative interpretations which further explain the success of the EnKF. In addition to providing the theoretical framework needed for using the EnKF, there is also a focus on the algorithmic formulation and optimal numerical implementation. A program listing is given for some of the key subroutines. The paper also touches upon specific issues such as the use of nonlinear measurements, in situ profiles of temperature and salinity, and data which are available with high frequency in time. An ensemble based optimal interpolation (EnOI) scheme is presented as a cost-effective approach which may serve as an alternative to the EnKF in some applications. A fairly extensive discussion is devoted to the use of time correlated model errors and the estimation of model bias.","container-title":"Ocean Dynamics","DOI":"10.1007/s10236-003-0036-9","ISSN":"1616-7228","issue":"4","journalAbbreviation":"Ocean Dynamics","language":"en","page":"343-367","source":"Springer Link","title":"The Ensemble Kalman Filter: theoretical formulation and practical implementation","title-short":"The Ensemble Kalman Filter","volume":"53","author":[{"family":"Evensen","given":"Geir"}],"issued":{"date-parts":[["2003",11,1]]},"citation-key":"evensenEnsembleKalmanFilter2003"}}],"schema":"https://github.com/citation-style-language/schema/raw/master/csl-citation.json"} </w:instrText>
      </w:r>
      <w:r>
        <w:fldChar w:fldCharType="separate"/>
      </w:r>
      <w:r>
        <w:rPr>
          <w:noProof/>
        </w:rPr>
        <w:t>(Evensen 2003)</w:t>
      </w:r>
      <w:r>
        <w:fldChar w:fldCharType="end"/>
      </w:r>
      <w:r w:rsidRPr="00A2583F">
        <w:t>.</w:t>
      </w:r>
      <w:r>
        <w:t xml:space="preserve"> </w:t>
      </w:r>
      <w:r w:rsidRPr="00AF5621">
        <w:t>This approach allows flow-dependent background error (denoted as “</w:t>
      </w:r>
      <w:r w:rsidRPr="00AF5621">
        <w:rPr>
          <w:b/>
          <w:bCs/>
        </w:rPr>
        <w:t>P</w:t>
      </w:r>
      <w:r w:rsidRPr="00AF5621">
        <w:t>” in EnKF) to be calculated and used for assimilating observations without imposing homogeneous and isotropic assumptions, albeit it requires localization using the Schur product to reduce sampling noise related to spurious large-scale correlation</w:t>
      </w:r>
      <w:r>
        <w:t xml:space="preserve"> </w:t>
      </w:r>
      <w:r>
        <w:fldChar w:fldCharType="begin"/>
      </w:r>
      <w:r>
        <w:instrText xml:space="preserve"> ADDIN ZOTERO_ITEM CSL_CITATION {"citationID":"J0bKLjcm","properties":{"formattedCitation":"(Houtekamer and Mitchell 1998, 2001)","plainCitation":"(Houtekamer and Mitchell 1998, 2001)","noteIndex":0},"citationItems":[{"id":400,"uris":["http://zotero.org/users/local/6VSApgKp/items/STED5PIP"],"itemData":{"id":400,"type":"article-journal","abstract":"Abstract The possibility of performing data assimilation using the flow-dependent statistics calculated from an ensemble of short-range forecasts (a technique referred to as ensemble Kalman filtering) is examined in an idealized environment. Using a three-level, quasigeostrophic, T21 model and simulated observations, experiments are performed in a perfect-model context. By using forward interpolation operators from the model state to the observations, the ensemble Kalman filter is able to utilize nonconventional observations. In order to maintain a representative spread between the ensemble members and avoid a problem of inbreeding, a pair of ensemble Kalman filters is configured so that the assimilation of data using one ensemble of short-range forecasts as background fields employs the weights calculated from the other ensemble of short-range forecasts. This configuration is found to work well: the spread between the ensemble members resembles the difference between the ensemble mean and the true state, except in the case of the smallest ensembles. A series of 30-day data assimilation cycles is performed using ensembles of different sizes. The results indicate that (i) as the size of the ensembles increases, correlations are estimated more accurately and the root-mean-square analysis error decreases, as expected, and (ii) ensembles having on the order of 100 members are sufficient to accurately describe local anisotropic, baroclinic correlation structures. Due to the difficulty of accurately estimating the small correlations associated with remote observations, a cutoff radius beyond which observations are not used, is implemented. It is found that (a) for a given ensemble size there is an optimal value of this cutoff radius, and (b) the optimal cutoff radius increases as the ensemble size increases.","container-title":"Monthly Weather Review","DOI":"10.1175/1520-0493(1998)126&lt;0796:DAUAEK&gt;2.0.CO;2","ISSN":"1520-0493, 0027-0644","issue":"3","language":"EN","note":"publisher: American Meteorological Society\nsection: Monthly Weather Review","page":"796-811","source":"journals.ametsoc.org","title":"Data Assimilation Using an Ensemble Kalman Filter Technique","volume":"126","author":[{"family":"Houtekamer","given":"P. L."},{"family":"Mitchell","given":"Herschel L."}],"issued":{"date-parts":[["1998",3,1]]},"citation-key":"houtekamerDataAssimilationUsing1998"}},{"id":520,"uris":["http://zotero.org/users/local/6VSApgKp/items/N38GM5BM"],"itemData":{"id":520,"type":"article-journal","abstract":"Abstract An ensemble Kalman filter may be considered for the 4D assimilation of atmospheric data. In this paper, an efficient implementation of the analysis step of the filter is proposed. It employs a Schur (elementwise) product of the covariances of the background error calculated from the ensemble and a correlation function having local support to filter the small (and noisy) background-error covariances associated with remote observations. To solve the Kalman filter equations, the observations are organized into batches that are assimilated sequentially. For each batch, a Cholesky decomposition method is used to solve the system of linear equations. The ensemble of background fields is updated at each step of the sequential algorithm and, as more and more batches of observations are assimilated, evolves to eventually become the ensemble of analysis fields. A prototype sequential filter has been developed. Experiments are performed with a simulated observational network consisting of 542 radiosonde and 615 satellite-thickness profiles. Experimental results indicate that the quality of the analysis is almost independent of the number of batches (except when the ensemble is very small). This supports the use of a sequential algorithm. A parallel version of the algorithm is described and used to assimilate over 100 000 observations into a pair of 50-member ensembles. Its operation count is proportional to the number of observations, the number of analysis grid points, and the number of ensemble members. In view of the flexibility of the sequential filter and its encouraging performance on a NEC SX-4 computer, an application with a primitive equations model can now be envisioned.","container-title":"Monthly Weather Review","DOI":"10.1175/1520-0493(2001)129&lt;0123:ASEKFF&gt;2.0.CO;2","ISSN":"1520-0493, 0027-0644","issue":"1","language":"EN","note":"publisher: American Meteorological Society\nsection: Monthly Weather Review","page":"123-137","source":"journals.ametsoc.org","title":"A Sequential Ensemble Kalman Filter for Atmospheric Data Assimilation","volume":"129","author":[{"family":"Houtekamer","given":"P. L."},{"family":"Mitchell","given":"Herschel L."}],"issued":{"date-parts":[["2001",1,1]]},"citation-key":"houtekamerSequentialEnsembleKalman2001"}}],"schema":"https://github.com/citation-style-language/schema/raw/master/csl-citation.json"} </w:instrText>
      </w:r>
      <w:r>
        <w:fldChar w:fldCharType="separate"/>
      </w:r>
      <w:r>
        <w:rPr>
          <w:noProof/>
        </w:rPr>
        <w:t>(Houtekamer and Mitchell 1998, 2001)</w:t>
      </w:r>
      <w:r>
        <w:fldChar w:fldCharType="end"/>
      </w:r>
      <w:r>
        <w:t xml:space="preserve">. On the other hand, in variational DA, the static </w:t>
      </w:r>
      <w:r w:rsidRPr="003F71E3">
        <w:rPr>
          <w:b/>
          <w:bCs/>
        </w:rPr>
        <w:t>B</w:t>
      </w:r>
      <w:r w:rsidRPr="00A2583F">
        <w:t xml:space="preserve"> matrix</w:t>
      </w:r>
      <w:r>
        <w:t xml:space="preserve"> is commonly estimated using two different methods. The first is known as the “NMC” method </w:t>
      </w:r>
      <w:r>
        <w:fldChar w:fldCharType="begin"/>
      </w:r>
      <w:r>
        <w:instrText xml:space="preserve"> ADDIN ZOTERO_ITEM CSL_CITATION {"citationID":"hib5LHze","properties":{"formattedCitation":"(Parrish and Derber 1992)","plainCitation":"(Parrish and Derber 1992)","noteIndex":0},"citationItems":[{"id":299,"uris":["http://zotero.org/users/local/6VSApgKp/items/HJIPCYXS"],"itemData":{"id":299,"type":"article-journal","abstract":"Abstract At the National Meteorological Center (NMC), a new analysis system is being extensively tested for possible use in the operational global data assimilation system. This analysis system is called the spectral statistical- interpolation (SSI) analysis system because the spectral coefficients used in the NMC spectral model are analyzed directly using the same basic equations as statistical (optimal) interpolation. Results from several months of parallel testing with the NMC spectral model have been very encouraging. Favorable features include smoother analysis increments, greatly reduced changes from initialization, and significant improvement of 1-5-day forecasts. Although the analysis is formulated as a variational problem, the objective function being minimized is formally the same one that forms the basis of all existing optimal interpolation schemes. This objective function is a combination of forecast and observation deviations from the desired analysis, weighted by the invent of the corresponding forecast- and observation-error covariance matrices. There are two principal differences in how the SSI implements the minimization of this functional as compared to the current OI used at NMC. First, the analysis variables are spectral coefficients instead of gridpoint values. Second, all observations are used at once to solve a single global problem. No local approximations are made, and there is no special data selection. Because of these differences, it is straightforward to include unconventional data, such as radiances, in the analysis. Currently temperature, wind, surface pressure, mixing, ratio, and Special Sensor Microwave/lmager (SSM/I) total precipitable water can be used as the observation variables. Soon to be added are the scatterometer surface winds. This paper provides a detailed description of the SSI and presents a few results.","container-title":"Monthly Weather Review","DOI":"10.1175/1520-0493(1992)120&lt;1747:TNMCSS&gt;2.0.CO;2","ISSN":"1520-0493, 0027-0644","issue":"8","language":"EN","note":"publisher: American Meteorological Society\nsection: Monthly Weather Review","page":"1747-1763","source":"journals.ametsoc.org","title":"The National Meteorological Center's Spectral Statistical-Interpolation Analysis System","volume":"120","author":[{"family":"Parrish","given":"David F."},{"family":"Derber","given":"John C."}],"issued":{"date-parts":[["1992",8,1]]},"citation-key":"parrishNationalMeteorologicalCenter1992"}}],"schema":"https://github.com/citation-style-language/schema/raw/master/csl-citation.json"} </w:instrText>
      </w:r>
      <w:r>
        <w:fldChar w:fldCharType="separate"/>
      </w:r>
      <w:r>
        <w:rPr>
          <w:noProof/>
        </w:rPr>
        <w:t>(Parrish and Derber 1992)</w:t>
      </w:r>
      <w:r>
        <w:fldChar w:fldCharType="end"/>
      </w:r>
      <w:r>
        <w:t xml:space="preserve">. This method calculates the differences between forecasts of various </w:t>
      </w:r>
      <w:r w:rsidR="001367AC">
        <w:t xml:space="preserve">lengths </w:t>
      </w:r>
      <w:r>
        <w:t xml:space="preserve">valid at the same time, such as a 24-hour and a 48-hour forecast. The estimated background error covariances using such forecast lengths often work for synoptic-scale DA and NWP, but not for convective-scale DA and NWP. An alternative method, known as the ensemble method or Monte Carlo method, produces background error statistics by utilizing an existing ensemble of forecasts, as presented by </w:t>
      </w:r>
      <w:r>
        <w:fldChar w:fldCharType="begin"/>
      </w:r>
      <w:r>
        <w:instrText xml:space="preserve"> ADDIN ZOTERO_ITEM CSL_CITATION {"citationID":"g7u8nfsm","properties":{"formattedCitation":"(Buehner 2005)","plainCitation":"(Buehner 2005)","dontUpdate":true,"noteIndex":0},"citationItems":[{"id":194,"uris":["http://zotero.org/users/local/6VSApgKp/items/MYPFE53T"],"itemData":{"id":194,"type":"article-journal","abstract":"In this study several approaches for obtaining more accurate background-error covariances for atmospheric data assimilation are evaluated. Experiments are conducted by replacing the covariances in the operational three-dimensional variational analysis system at the Canadian Meteorological Centre. In the current system, these covariances are computed using the so-called NMC method that is known to suffer from several deficiencies. The approaches evaluated in this study attempt to more realistically sample the probability distribution of background error by simulating (using a Monte Carlo approach) the error generated at each stage of the forecast-analysis process. The ensemble Kalman filter and a simpler approach applied to an existing forecast-analysis system are both used to generate these error samples. In addition, error samples are generated directly from the covariances of the operational system to allow the effects of sampling error to be quantified. Several strategies for estimating the full covariance matrix from a relatively small number of error samples are then employed. Approaches include the use of a spatially localized ensemble representation of the correlations that allows the usual assumptions of homogeneity and isotropy to be relaxed. In addition, the use of a weighted average between such a covariance matrix and a covariance matrix with homogeneous and isotropic correlations is evaluated. Several diagnostic results from the estimated background-error covariances are presented in addition to verification statistics computed from two-week forecast-analysis experiments. Modest forecast improvements are obtained by using the new background-error covariance estimates, mostly in the southern hemisphere. However, additional results suggest that further improvements may be gained by increasing the number of error samples and a preliminary quantitative estimate of the expected gain is computed. © Crown copyright, 2005. Royal Meteorological Society","container-title":"Quarterly Journal of the Royal Meteorological Society","DOI":"10.1256/qj.04.15","ISSN":"1477-870X","issue":"607","language":"en","note":"_eprint: https://onlinelibrary.wiley.com/doi/pdf/10.1256/qj.04.15","page":"1013-1043","source":"Wiley Online Library","title":"Ensemble-derived stationary and flow-dependent background-error covariances: Evaluation in a quasi-operational NWP setting","title-short":"Ensemble-derived stationary and flow-dependent background-error covariances","volume":"131","author":[{"family":"Buehner","given":"Mark"}],"issued":{"date-parts":[["2005"]]},"citation-key":"buehnerEnsemblederivedStationaryFlowdependent2005"}}],"schema":"https://github.com/citation-style-language/schema/raw/master/csl-citation.json"} </w:instrText>
      </w:r>
      <w:r>
        <w:fldChar w:fldCharType="separate"/>
      </w:r>
      <w:r>
        <w:rPr>
          <w:noProof/>
        </w:rPr>
        <w:t xml:space="preserve">Buehner </w:t>
      </w:r>
      <w:r>
        <w:rPr>
          <w:noProof/>
        </w:rPr>
        <w:lastRenderedPageBreak/>
        <w:t>(2005)</w:t>
      </w:r>
      <w:r>
        <w:fldChar w:fldCharType="end"/>
      </w:r>
      <w:r>
        <w:t xml:space="preserve">. The static </w:t>
      </w:r>
      <w:r w:rsidRPr="003F71E3">
        <w:rPr>
          <w:b/>
          <w:bCs/>
        </w:rPr>
        <w:t>B</w:t>
      </w:r>
      <w:r w:rsidRPr="00A2583F">
        <w:t xml:space="preserve"> matrix</w:t>
      </w:r>
      <w:r>
        <w:t xml:space="preserve"> established by using ensemble forecasts avoids the shortcoming associated with the NMC method </w:t>
      </w:r>
      <w:r>
        <w:fldChar w:fldCharType="begin"/>
      </w:r>
      <w:r>
        <w:instrText xml:space="preserve"> ADDIN ZOTERO_ITEM CSL_CITATION {"citationID":"2jKDxOMR","properties":{"formattedCitation":"(Brousseau et al. 2011)","plainCitation":"(Brousseau et al. 2011)","noteIndex":0},"citationItems":[{"id":265,"uris":["http://zotero.org/users/local/6VSApgKp/items/9HKLLGFK"],"itemData":{"id":265,"type":"article-journal","abstract":"AROME–France is a convective-scale numerical weather prediction system running operationally at Météo-France since the end of 2008. It uses a 3D-Var assimilation scheme to determine its initial conditions. Climatological background-error covariances of such a system are calculated using differences between forecasts from an AROME ensemble assimilation. These statistics are compared with the lower-resolution ALADIN–France system ones: they provide 3D-Var analysis increments that are more intense and more localized, in accordance with the actual AROME model resolution. AROME ensemble-assimilation (ENS_DA) covariances have also been compared with covariances calculated with an AROME ensemble of forecasts run in spin-up mode (ENS_SU). On the one hand, ENS_SU appears to be a reasonable approximation of ENS_DA compared with ALADIN–France covariances, by representing a large part of the small-scale variance increase. On the other hand, ENS_DA allows for a fully cycled development of small-scale forecast perturbations, which leads to a further enhancement of small-scale covariances. This aspect is shown to be beneficial in terms of assimilation diagnostics and forecast performance and in a case study. Copyright © 2011 Royal Meteorological Society","container-title":"Quarterly Journal of the Royal Meteorological Society","DOI":"10.1002/qj.750","ISSN":"1477-870X","issue":"655","language":"en","note":"_eprint: https://rmets.onlinelibrary.wiley.com/doi/pdf/10.1002/qj.750","page":"409-422","source":"Wiley Online Library","title":"Background-error covariances for a convective-scale data-assimilation system: AROME–France 3D-Var","title-short":"Background-error covariances for a convective-scale data-assimilation system","volume":"137","author":[{"family":"Brousseau","given":"Pierre"},{"family":"Berre","given":"Loïk"},{"family":"Bouttier","given":"François"},{"family":"Desroziers","given":"Gérald"}],"issued":{"date-parts":[["2011"]]},"citation-key":"brousseauBackgrounderrorCovariancesConvectivescale2011"}}],"schema":"https://github.com/citation-style-language/schema/raw/master/csl-citation.json"} </w:instrText>
      </w:r>
      <w:r>
        <w:fldChar w:fldCharType="separate"/>
      </w:r>
      <w:r>
        <w:rPr>
          <w:noProof/>
        </w:rPr>
        <w:t>(Brousseau et al. 2011)</w:t>
      </w:r>
      <w:r>
        <w:fldChar w:fldCharType="end"/>
      </w:r>
      <w:r>
        <w:t xml:space="preserve">, and is more suitable for short length- and time-scale, or </w:t>
      </w:r>
      <w:r w:rsidR="002C1860">
        <w:t>convective-scale</w:t>
      </w:r>
      <w:r>
        <w:t xml:space="preserve"> DA. </w:t>
      </w:r>
    </w:p>
    <w:p w14:paraId="15987722" w14:textId="2EFC6D94" w:rsidR="00F10239" w:rsidRDefault="00F10239" w:rsidP="00F10239">
      <w:r w:rsidRPr="00E7621A">
        <w:t xml:space="preserve">Despite the advantages of the ensemble technique for constructing static </w:t>
      </w:r>
      <w:r w:rsidRPr="003F71E3">
        <w:rPr>
          <w:b/>
          <w:bCs/>
        </w:rPr>
        <w:t>B</w:t>
      </w:r>
      <w:r w:rsidRPr="00E7621A">
        <w:t xml:space="preserve"> matr</w:t>
      </w:r>
      <w:r>
        <w:t>ix</w:t>
      </w:r>
      <w:r w:rsidRPr="00E7621A">
        <w:t xml:space="preserve"> and the necessity of representing background error statistics with precision and low computing cost, limited </w:t>
      </w:r>
      <w:r>
        <w:t>studies</w:t>
      </w:r>
      <w:r w:rsidRPr="00E7621A">
        <w:t xml:space="preserve"> have been made, particularly for convective-scale </w:t>
      </w:r>
      <w:r>
        <w:t>DA</w:t>
      </w:r>
      <w:r w:rsidRPr="00E7621A">
        <w:t>.</w:t>
      </w:r>
      <w:r>
        <w:t xml:space="preserve"> </w:t>
      </w:r>
      <w:r>
        <w:fldChar w:fldCharType="begin"/>
      </w:r>
      <w:r>
        <w:instrText xml:space="preserve"> ADDIN ZOTERO_ITEM CSL_CITATION {"citationID":"KhBVdx3w","properties":{"formattedCitation":"(Monteiro and Berre 2010)","plainCitation":"(Monteiro and Berre 2010)","dontUpdate":true,"noteIndex":0},"citationItems":[{"id":303,"uris":["http://zotero.org/users/local/6VSApgKp/items/L9KBQCTR"],"itemData":{"id":303,"type":"article-journal","abstract":"In variational data assimilation systems, background error covariances are often estimated from a temporal and spatial average. For a limited area model such as the Aire Limited Adaptation Dynamique Developpment International (ALADIN)/France, the spatial average is calculated over the regional computation domain, which covers western Europe. The purpose of this study is to revise the temporal stationarity assumption by diagnosing time variations of such regionally averaged covariances. This is done through examination of covariance changes as a function of season (winter versus summer), day (in connection with the synoptic situation), and hour (related to the diurnal cycle), with the ALADIN/France regional ensemble Three-Dimensional Variational analysis (3D-Var) system. In summer, compared to winter, average error variances are larger, and spatial correlation functions are sharper horizontally but broader vertically. Daily changes in covariances are particularly strong during the winter period, with larger variances and smaller-scale error structures when an unstable low-pressure system is present in the regional domain. Diurnal variations are also significant in the boundary layer in particular, and, as expected, they tend to be more pronounced in summer. Moreover, the comparison between estimates provided by two independent ensembles indicates that these covariance time variations are estimated in a robust way from a six-member ensemble. All these results support the idea of representing these time variations by using a real-time ensemble assimilation system.","container-title":"Journal of Geophysical Research: Atmospheres","DOI":"10.1029/2010JD014095","ISSN":"2156-2202","issue":"D23","language":"en","note":"_eprint: https://agupubs.onlinelibrary.wiley.com/doi/pdf/10.1029/2010JD014095","source":"Wiley Online Library","title":"A diagnostic study of time variations of regionally averaged background error covariances","URL":"http://onlinelibrary.wiley.com/doi/abs/10.1029/2010JD014095","volume":"115","author":[{"family":"Monteiro","given":"Maria"},{"family":"Berre","given":"Loïk"}],"accessed":{"date-parts":[["2022",11,21]]},"issued":{"date-parts":[["2010"]]},"citation-key":"monteiroDiagnosticStudyTime2010"}}],"schema":"https://github.com/citation-style-language/schema/raw/master/csl-citation.json"} </w:instrText>
      </w:r>
      <w:r>
        <w:fldChar w:fldCharType="separate"/>
      </w:r>
      <w:r>
        <w:rPr>
          <w:noProof/>
        </w:rPr>
        <w:t>Monteiro and Berre (2010)</w:t>
      </w:r>
      <w:r>
        <w:fldChar w:fldCharType="end"/>
      </w:r>
      <w:r>
        <w:t xml:space="preserve"> investigated the error variance of the model variables over seasons, days, and hours. Their research revealed that background error structure differs (i) between seasons, i.e., summer versus winter; (ii) under various meteorological </w:t>
      </w:r>
      <w:r w:rsidR="002A67A7">
        <w:t>situations</w:t>
      </w:r>
      <w:r>
        <w:t xml:space="preserve">, i.e., day-to-day synoptic situation changes and hour-to-hour meso- or convective-scale situation changes. As pointed out </w:t>
      </w:r>
      <w:r w:rsidR="002A67A7">
        <w:t xml:space="preserve">by </w:t>
      </w:r>
      <w:r>
        <w:t>their research, error standard deviations are much larger and horizontal correlation length scales are much smaller with a winter unstable low-pressure system, and t</w:t>
      </w:r>
      <w:r w:rsidRPr="004E2315">
        <w:t xml:space="preserve">he correlation length scales are </w:t>
      </w:r>
      <w:r>
        <w:t>smallest</w:t>
      </w:r>
      <w:r w:rsidRPr="004E2315">
        <w:t xml:space="preserve"> in the horizontal direction and </w:t>
      </w:r>
      <w:r>
        <w:t>largest</w:t>
      </w:r>
      <w:r w:rsidRPr="004E2315">
        <w:t xml:space="preserve"> in the vertical direction during convective activity in the summer afternoon</w:t>
      </w:r>
      <w:r>
        <w:t xml:space="preserve">. </w:t>
      </w:r>
      <w:r>
        <w:fldChar w:fldCharType="begin"/>
      </w:r>
      <w:r>
        <w:instrText xml:space="preserve"> ADDIN ZOTERO_ITEM CSL_CITATION {"citationID":"ZAvcjFR6","properties":{"formattedCitation":"(Montmerle and Berre 2010)","plainCitation":"(Montmerle and Berre 2010)","dontUpdate":true,"noteIndex":0},"citationItems":[{"id":198,"uris":["http://zotero.org/users/local/6VSApgKp/items/VKCCT5HR"],"itemData":{"id":198,"type":"article-journal","abstract":"This study focuses on diagnosing variations of background-error covariances between precipitating and non-precipitating areas, and on presenting a heterogeneous covariance formulation to represent these variations in a variational framework. The context of this work is the assimilation of observations linked to precipitation (radar data especially) in the AROME model, which has been running operationally at Météo-France since December 2008 over French territory with a 2.5 km horizontal resolution. This system uses multivariate background-error covariances deduced from an ensemble-based method. At first, such statistics have been computed for 17 precipitating cases using an ensemble of AROME forecasts coupled with an ALADIN ensemble assimilation. Results, obtained from 3 h forecast differences performed separately for non-precipitating and precipitating columns, display large discrepancies in error variances, correlation lengths and the correlations between humidity, temperature and divergence errors. These results argue in favour of including heterogeneous background-error covariances in AROME incremental 3D-Var, allowing different covariances to be used in regions with different meteorological patterns. Such a method enables us to get increments more adequately structured in those regions, and thus potentially to make better use of observations in a data assimilation system. The implementation consists of expressing the analysis increment as the sum of two terms, one for precipitating areas and the other for non-precipitating areas, making use of a mask that defines rainy regions. This implies a doubling in the size of the control variable and of the gradient of the cost function. The feasibility of this method is shown through experiments with four isolated observations. Copyright © 2010 Royal Meteorological Society","container-title":"Quarterly Journal of the Royal Meteorological Society","DOI":"10.1002/qj.655","ISSN":"1477-870X","issue":"651","language":"en","note":"_eprint: https://onlinelibrary.wiley.com/doi/pdf/10.1002/qj.655","page":"1408-1420","source":"Wiley Online Library","title":"Diagnosis and formulation of heterogeneous background-error covariances at the mesoscale","volume":"136","author":[{"family":"Montmerle","given":"Thibaut"},{"family":"Berre","given":"Loïk"}],"issued":{"date-parts":[["2010"]]},"citation-key":"montmerleDiagnosisFormulationHeterogeneous2010"}}],"schema":"https://github.com/citation-style-language/schema/raw/master/csl-citation.json"} </w:instrText>
      </w:r>
      <w:r>
        <w:fldChar w:fldCharType="separate"/>
      </w:r>
      <w:r>
        <w:rPr>
          <w:noProof/>
        </w:rPr>
        <w:t>Montmerle and Berre (2010)</w:t>
      </w:r>
      <w:r>
        <w:fldChar w:fldCharType="end"/>
      </w:r>
      <w:r>
        <w:t xml:space="preserve"> conducted a similar study. They </w:t>
      </w:r>
      <w:r w:rsidRPr="004E2315">
        <w:t xml:space="preserve">used a convective-scale NWP to identify </w:t>
      </w:r>
      <w:r>
        <w:t>differences</w:t>
      </w:r>
      <w:r w:rsidRPr="004E2315">
        <w:t xml:space="preserve"> in background error structure between precipitating and nonprecipitating </w:t>
      </w:r>
      <w:r>
        <w:t>areas</w:t>
      </w:r>
      <w:r w:rsidRPr="004E2315">
        <w:t>.</w:t>
      </w:r>
      <w:r>
        <w:t xml:space="preserve"> Larger standard deviations for variables except water vapor, smaller horizontal correlation length scale, and greater vertical correlation in the mid-troposphere were found in precipitating area compared to nonprecipitating area. Consequently, a methodology for creating heterogeneous </w:t>
      </w:r>
      <w:r w:rsidRPr="003F71E3">
        <w:rPr>
          <w:b/>
          <w:bCs/>
        </w:rPr>
        <w:t>B</w:t>
      </w:r>
      <w:r w:rsidRPr="00A2583F">
        <w:t xml:space="preserve"> matrix</w:t>
      </w:r>
      <w:r>
        <w:t xml:space="preserve"> using the ensemble method was suggested so that the impact of observations would be optimized for precipitating and nonprecipitating areas in the DA process. </w:t>
      </w:r>
      <w:r w:rsidRPr="00D47455">
        <w:t>Although flow-dependent covariances can be naturally represented by the hybrid method in a variational framework, the heterogeneous</w:t>
      </w:r>
      <w:r w:rsidR="00E832D4">
        <w:t xml:space="preserve"> static</w:t>
      </w:r>
      <w:r w:rsidRPr="00D47455">
        <w:t xml:space="preserve"> </w:t>
      </w:r>
      <w:r w:rsidRPr="00D47455">
        <w:rPr>
          <w:b/>
          <w:bCs/>
        </w:rPr>
        <w:t>B</w:t>
      </w:r>
      <w:r w:rsidRPr="00D47455">
        <w:t xml:space="preserve"> matrix may also be beneficial in situations when </w:t>
      </w:r>
      <w:r w:rsidRPr="00D47455">
        <w:lastRenderedPageBreak/>
        <w:t xml:space="preserve">flow-dependent </w:t>
      </w:r>
      <w:r>
        <w:t>error covariances</w:t>
      </w:r>
      <w:r w:rsidRPr="00D47455">
        <w:t xml:space="preserve"> are insufficiently sampled</w:t>
      </w:r>
      <w:r>
        <w:t xml:space="preserve"> </w:t>
      </w:r>
      <w:r>
        <w:fldChar w:fldCharType="begin"/>
      </w:r>
      <w:r w:rsidR="00E3378E">
        <w:instrText xml:space="preserve"> ADDIN ZOTERO_ITEM CSL_CITATION {"citationID":"29pMsTNh","properties":{"formattedCitation":"(Wang et al. 2007, 2009; Buehner et al. 2010a,b, 2015)","plainCitation":"(Wang et al. 2007, 2009; Buehner et al. 2010a,b, 2015)","noteIndex":0},"citationItems":[{"id":307,"uris":["http://zotero.org/users/local/6VSApgKp/items/9MLMPPQJ"],"itemData":{"id":307,"type":"article-journal","abstract":"Abstract Hybrid ensemble–three-dimensional variational analysis schemes incorporate flow-dependent, ensemble-estimated background-error covariances into the three-dimensional variational data assimilation (3DVAR) framework. Typically the 3DVAR background-error covariance estimate is assumed to be stationary, nearly homogeneous, and isotropic. A hybrid scheme can be achieved by 1) directly replacing the background-error covariance term in the cost function by a linear combination of the original background-error covariance with the ensemble covariance or 2) through augmenting the state vector with another set of control variables preconditioned upon the square root of the ensemble covariance. These differently proposed hybrid schemes are proven to be equivalent. The latter framework may be a simpler way to incorporate ensemble information into operational 3DVAR schemes, where the preconditioning is performed with respect to the background term.","container-title":"Monthly Weather Review","DOI":"10.1175/MWR3282.1","ISSN":"1520-0493, 0027-0644","issue":"1","language":"EN","note":"publisher: American Meteorological Society\nsection: Monthly Weather Review","page":"222-227","source":"journals.ametsoc.org","title":"On the Theoretical Equivalence of Differently Proposed Ensemble–3DVAR Hybrid Analysis Schemes","volume":"135","author":[{"family":"Wang","given":"Xuguang"},{"family":"Snyder","given":"Chris"},{"family":"Hamill","given":"Thomas M."}],"issued":{"date-parts":[["2007",1,1]]},"citation-key":"wangTheoreticalEquivalenceDifferently2007"}},{"id":309,"uris":["http://zotero.org/users/local/6VSApgKp/items/UFR4KCMW"],"itemData":{"id":309,"type":"article-journal","abstract":"Abstract A hybrid analysis scheme is compared with an ensemble square root filter (EnSRF) analysis scheme in the presence of model errors as a follow-up to a previous perfect-model comparison. In the hybrid scheme, the ensemble perturbations are updated by the ensemble transform Kalman filter (ETKF) and the ensemble mean is updated with a hybrid ensemble and static background-error covariance. The experiments were conducted with a two-layer primitive equation model. The true state was a T127 simulation. Data assimilation experiments were conducted at T31 resolution (3168 complex spectral coefficients), assimilating imperfect observations drawn from the T127 nature run. By design, the magnitude of the truncation error was large, which provided a test on the ability of both schemes to deal with model error. Additive noise was used to parameterize model errors in the background ensemble for both schemes. In the first set of experiments, additive noise was drawn from a large inventory of historical forecast errors; in the second set of experiments, additive noise was drawn from a large inventory of differences between forecasts and analyses. The static covariance was computed correspondingly from the two inventories. The hybrid analysis was statistically significantly more accurate than the EnSRF analysis. The improvement of the hybrid over the EnSRF was smaller when differences of forecasts and analyses were used to form the random noise and the static covariance. The EnSRF analysis was more sensitive to the size of the ensemble than the hybrid. A series of tests was conducted to understand why the EnSRF performed worse than the hybrid. It was shown that the inferior performance of the EnSRF was likely due to the sampling error in the estimation of the model-error covariance in the mean update and the less-balanced EnSRF initial conditions resulting from the extra localizations used in the EnSRF.","container-title":"Monthly Weather Review","DOI":"10.1175/2009MWR2923.1","ISSN":"1520-0493, 0027-0644","issue":"10","language":"EN","note":"publisher: American Meteorological Society\nsection: Monthly Weather Review","page":"3219-3232","source":"journals.ametsoc.org","title":"A Comparison of the Hybrid and EnSRF Analysis Schemes in the Presence of Model Errors due to Unresolved Scales","volume":"137","author":[{"family":"Wang","given":"Xuguang"},{"family":"Hamill","given":"Thomas M."},{"family":"Whitaker","given":"Jeffrey S."},{"family":"Bishop","given":"Craig H."}],"issued":{"date-parts":[["2009",10,1]]},"citation-key":"wangComparisonHybridEnSRF2009"}},{"id":311,"uris":["http://zotero.org/users/local/6VSApgKp/items/3VCCW3RE"],"itemData":{"id":311,"type":"article-journal","abstract":"Abstract An intercomparison of the Environment Canada variational and ensemble Kalman filter (EnKF) data assimilation systems is presented in the context of global deterministic NWP. In an EnKF experiment having the same spatial resolution as the inner loop in the four-dimensional variational data assimilation system (4D-Var), the mean of each analysis ensemble is used to initialize the higher-resolution deterministic forecasts. Five different variational data assimilation experiments are also conducted. These include both 4D-Var and 3D-Var (with first guess at appropriate time) experiments using either (i) prescribed background-error covariances similar to those used operationally, which are static in time and include horizontally homogeneous and isotropic correlations; or (ii) flow-dependent covariances computed from the EnKF background ensembles with spatial covariance localization applied. The fifth variational data assimilation experiment is a new approach called the Ensemble-4D-Var (En-4D-Var). This approach uses 4D flow-dependent background-error covariances estimated from EnKF ensembles to produce a 4D analysis without the need for tangent-linear or adjoint versions of the forecast model. In this first part of a two-part paper, results from a series of idealized assimilation experiments are presented. In these experiments, only a single observation or vertical profile of observations is assimilated to explore the impact of various fundamental differences among the EnKF and the various variational data assimilation approaches considered. In particular, differences in the application of covariance localization in the EnKF and variational approaches are shown to have a significant impact on the assimilation of satellite radiance observations. The results also demonstrate that 4D-Var and the EnKF can both produce similar 4D background-error covariances within a 6-h assimilation window. In the second part, results from medium-range deterministic forecasts for the study period of February 2007 are presented for the EnKF and the five variational data assimilation approaches considered.","container-title":"Monthly Weather Review","DOI":"10.1175/2009MWR3157.1","ISSN":"1520-0493, 0027-0644","issue":"5","language":"EN","note":"publisher: American Meteorological Society\nsection: Monthly Weather Review","page":"1550-1566","source":"journals.ametsoc.org","title":"Intercomparison of Variational Data Assimilation and the Ensemble Kalman Filter for Global Deterministic NWP. Part I: Description and Single-Observation Experiments","title-short":"Intercomparison of Variational Data Assimilation and the Ensemble Kalman Filter for Global Deterministic NWP. Part I","volume":"138","author":[{"family":"Buehner","given":"Mark"},{"family":"Houtekamer","given":"P. L."},{"family":"Charette","given":"Cecilien"},{"family":"Mitchell","given":"Herschel L."},{"family":"He","given":"Bin"}],"issued":{"date-parts":[["2010",5,1]]},"citation-key":"buehnerIntercomparisonVariationalData2010"}},{"id":315,"uris":["http://zotero.org/users/local/6VSApgKp/items/7BTUZATH"],"itemData":{"id":315,"type":"article-journal","abstract":"Abstract An intercomparison of the Environment Canada variational and ensemble Kalman filter (EnKF) data assimilation systems is presented in the context of producing global deterministic numerical weather forecasts. Five different variational data assimilation approaches are considered including four-dimensional variational data assimilation (4D-Var) and three-dimensional variational data assimilation (3D-Var) with first guess at the appropriate time (3D-FGAT). Also included among these is a new approach, called Ensemble-4D-Var (En-4D-Var), that uses 4D ensemble background-error covariances from the EnKF. A description of the experimental configurations and results from single-observation experiments are presented in the first part of this two-part paper. The present paper focuses on results from medium-range deterministic forecasts initialized with analyses from the EnKF and the five variational data assimilation approaches for the period of February 2007. All experiments assimilate exactly the same full set of meteorological observations and use the same configuration of the forecast model to produce global deterministic medium-range forecasts. The quality of forecasts in the short (medium) range obtained by using the EnKF ensemble mean analysis is slightly degraded (improved) in the extratropics relative to using the 4D-Var analysis with background-error covariances similar to those used operationally. The use of the EnKF flow-dependent error covariances in the variational system (4D-Var or 3D-FGAT) leads to large (modest) forecast improvements in the southern extratropics (tropics) as compared with using covariances similar to the operational system (a gain of up to 9 h at day 5). The En-4D-Var approach leads to (i) either improved or similar forecast quality when compared with the 4D-Var experiment similar to the currently operational system, (ii) slightly worse forecast quality when compared with the 4D-Var experiment with EnKF error covariances, and (iii) generally similar forecast quality when compared with the EnKF experiment.","container-title":"Monthly Weather Review","DOI":"10.1175/2009MWR3158.1","ISSN":"1520-0493, 0027-0644","issue":"5","language":"EN","note":"publisher: American Meteorological Society\nsection: Monthly Weather Review","page":"1567-1586","source":"journals.ametsoc.org","title":"Intercomparison of Variational Data Assimilation and the Ensemble Kalman Filter for Global Deterministic NWP. Part II: One-Month Experiments with Real Observations","title-short":"Intercomparison of Variational Data Assimilation and the Ensemble Kalman Filter for Global Deterministic NWP. Part II","volume":"138","author":[{"family":"Buehner","given":"Mark"},{"family":"Houtekamer","given":"P. L."},{"family":"Charette","given":"Cecilien"},{"family":"Mitchell","given":"Herschel L."},{"family":"He","given":"Bin"}],"issued":{"date-parts":[["2010",5,1]]},"citation-key":"buehnerIntercomparisonVariationalData2010a"}},{"id":313,"uris":["http://zotero.org/users/local/6VSApgKp/items/KN3J7KN8"],"itemData":{"id":313,"type":"article-journal","abstract":"Abstract A major set of changes was made to the Environment Canada global deterministic prediction system during the fall of 2014, including the replacement of four-dimensional variational data assimilation (4DVar) by four-dimensional ensemble–variational data assimilation (4DEnVar). The new system provides improved forecast accuracy relative to the previous system, based on results from two sets of two-month data assimilation and forecast experiments. The improvements are largest at shorter lead times, but significant improvements are maintained in the 120-h forecasts for most regions and vertical levels. The improvements result from the combined impact of numerous changes, in addition to the use of 4DEnVar. These include an improved treatment of radiosonde and aircraft observations, an improved radiance bias correction procedure, the assimilation of ground-based GPS data, a doubling of the number of assimilated channels from hyperspectral infrared sounders, and an improved approach for initializing model forecasts. Because of the replacement of 4DVar with 4DEnVar, the new system is also more computationally efficient and easier to parallelize, facilitating a doubling of the analysis increment horizontal resolution. Replacement of a full-field digital filter with the 4D incremental analysis update approach, and the recycling of several key variables that are not directly analyzed significantly reduced the model spinup during both the data assimilation cycle and in medium-range forecasts.","container-title":"Monthly Weather Review","DOI":"10.1175/MWR-D-14-00354.1","ISSN":"1520-0493, 0027-0644","issue":"7","language":"EN","note":"publisher: American Meteorological Society\nsection: Monthly Weather Review","page":"2532-2559","source":"journals.ametsoc.org","title":"Implementation of Deterministic Weather Forecasting Systems Based on Ensemble–Variational Data Assimilation at Environment Canada. Part I: The Global System","title-short":"Implementation of Deterministic Weather Forecasting Systems Based on Ensemble–Variational Data Assimilation at Environment Canada. Part I","volume":"143","author":[{"family":"Buehner","given":"Mark"},{"family":"McTaggart-Cowan","given":"Ron"},{"family":"Beaulne","given":"Alain"},{"family":"Charette","given":"Cécilien"},{"family":"Garand","given":"Louis"},{"family":"Heilliette","given":"Sylvain"},{"family":"Lapalme","given":"Ervig"},{"family":"Laroche","given":"Stéphane"},{"family":"Macpherson","given":"Stephen R."},{"family":"Morneau","given":"Josée"},{"family":"Zadra","given":"Ayrton"}],"issued":{"date-parts":[["2015",7,1]]},"citation-key":"buehnerImplementationDeterministicWeather2015"}}],"schema":"https://github.com/citation-style-language/schema/raw/master/csl-citation.json"} </w:instrText>
      </w:r>
      <w:r>
        <w:fldChar w:fldCharType="separate"/>
      </w:r>
      <w:r w:rsidR="00E3378E">
        <w:rPr>
          <w:noProof/>
        </w:rPr>
        <w:t>(Wang et al. 2007, 2009; Buehner et al. 2010a,b, 2015)</w:t>
      </w:r>
      <w:r>
        <w:fldChar w:fldCharType="end"/>
      </w:r>
      <w:r w:rsidRPr="00D47455">
        <w:t>, for instance, the use of limited ensemble members in a hybrid system.</w:t>
      </w:r>
    </w:p>
    <w:p w14:paraId="151F1D4F" w14:textId="7538A8C8" w:rsidR="00F10239" w:rsidRDefault="00F10239" w:rsidP="00F10239">
      <w:r>
        <w:t xml:space="preserve">Following these efforts, </w:t>
      </w:r>
      <w:r>
        <w:fldChar w:fldCharType="begin"/>
      </w:r>
      <w:r>
        <w:instrText xml:space="preserve"> ADDIN ZOTERO_ITEM CSL_CITATION {"citationID":"ngwkGUCa","properties":{"formattedCitation":"(Michel et al. 2011)","plainCitation":"(Michel et al. 2011)","dontUpdate":true,"noteIndex":0},"citationItems":[{"id":272,"uris":["http://zotero.org/users/local/6VSApgKp/items/E2VYXJ5I"],"itemData":{"id":272,"type":"article-journal","abstract":"Abstract Convective-scale models used in NWP nowadays include detailed realistic parameterization for the representation of cloud and precipitation processes. Yet they still lack advanced data assimilation schemes able to efficiently use observations to initialize hydrometeor fields. This challenging task may benefit from a better understanding of the statistical structure of background errors in precipitating areas for both traditional and hydrometeor variables, which is the goal of this study. A special binning has been devised to compute separate background error covariance matrices for precipitating and nonprecipitating areas. This binning is based on bidimensional geographical masks defined by the vertical averaged rain content of the background error perturbations. The sample for computing the covariances is taken from an ensemble of short range forecasts run at 3-km resolution for the prediction of two specific cases of convective storms over the United States. The covariance matrices and associated diagnostics are built on the control variable transform formulation typical of variational data assimilation. The comparison especially highlights the strong coupling of specific humidity, cloud, and rain content with divergence. Shorter horizontal correlations have been obtained in precipitating areas. Vertical correlations mostly reflect the cloud vertical extension due to the convective processes. The statistics for hydrometeor variables show physically meaningful autocovariances and statistical couplings with other variables. Issues for data assimilation of radar reflectivity or more generally of observations linked to cloud and rain content with this kind of background error matrix formulation are thereon briefly discussed.","container-title":"Monthly Weather Review","DOI":"10.1175/2011MWR3632.1","ISSN":"1520-0493, 0027-0644","issue":"9","language":"EN","note":"publisher: American Meteorological Society\nsection: Monthly Weather Review","page":"2994-3015","source":"journals.ametsoc.org","title":"Heterogeneous Convective-Scale Background Error Covariances with the Inclusion of Hydrometeor Variables","volume":"139","author":[{"family":"Michel","given":"Yann"},{"family":"Auligné","given":"Thomas"},{"family":"Montmerle","given":"Thibaut"}],"issued":{"date-parts":[["2011",9,1]]},"citation-key":"michelHeterogeneousConvectiveScaleBackground2011"}}],"schema":"https://github.com/citation-style-language/schema/raw/master/csl-citation.json"} </w:instrText>
      </w:r>
      <w:r>
        <w:fldChar w:fldCharType="separate"/>
      </w:r>
      <w:r>
        <w:rPr>
          <w:noProof/>
        </w:rPr>
        <w:t>Michel et al. (2011)</w:t>
      </w:r>
      <w:r>
        <w:fldChar w:fldCharType="end"/>
      </w:r>
      <w:r>
        <w:t xml:space="preserve"> </w:t>
      </w:r>
      <w:r w:rsidRPr="00EE07C3">
        <w:t xml:space="preserve">proposed a synthetic description of calculating heterogeneous </w:t>
      </w:r>
      <w:r w:rsidRPr="00EE07C3">
        <w:rPr>
          <w:b/>
          <w:bCs/>
        </w:rPr>
        <w:t>B</w:t>
      </w:r>
      <w:r w:rsidRPr="00EE07C3">
        <w:t xml:space="preserve"> matrix</w:t>
      </w:r>
      <w:r>
        <w:t xml:space="preserve"> from short-term ensemble forecasts at convection-allowing scale</w:t>
      </w:r>
      <w:r w:rsidRPr="00EE07C3">
        <w:t>, and implemented the method in a 3DV</w:t>
      </w:r>
      <w:r w:rsidR="00EA1DF0">
        <w:t>AR</w:t>
      </w:r>
      <w:r w:rsidRPr="00EE07C3">
        <w:t xml:space="preserve"> system for both traditional and hydrometeor variables.</w:t>
      </w:r>
      <w:r>
        <w:t xml:space="preserve"> </w:t>
      </w:r>
      <w:r w:rsidRPr="00BE0851">
        <w:t xml:space="preserve">The </w:t>
      </w:r>
      <w:r>
        <w:t>method</w:t>
      </w:r>
      <w:r w:rsidRPr="00BE0851">
        <w:t xml:space="preserve"> </w:t>
      </w:r>
      <w:r>
        <w:t>classified</w:t>
      </w:r>
      <w:r w:rsidRPr="00BE0851">
        <w:t xml:space="preserve"> precipitating and nonprecipitating </w:t>
      </w:r>
      <w:r>
        <w:t>areas</w:t>
      </w:r>
      <w:r w:rsidRPr="00BE0851">
        <w:t xml:space="preserve"> using geographic masks based on rain content,</w:t>
      </w:r>
      <w:r>
        <w:t xml:space="preserve"> and then applied these masks to the devised </w:t>
      </w:r>
      <w:r w:rsidRPr="00EE07C3">
        <w:rPr>
          <w:b/>
          <w:bCs/>
        </w:rPr>
        <w:t>B</w:t>
      </w:r>
      <w:r>
        <w:t xml:space="preserve"> for precipitating and nonprecipitating areas. </w:t>
      </w:r>
      <w:r>
        <w:fldChar w:fldCharType="begin"/>
      </w:r>
      <w:r>
        <w:instrText xml:space="preserve"> ADDIN ZOTERO_ITEM CSL_CITATION {"citationID":"oqSN2Xcm","properties":{"formattedCitation":"(Wang and Wang 2021)","plainCitation":"(Wang and Wang 2021)","dontUpdate":true,"noteIndex":0},"citationItems":[{"id":200,"uris":["http://zotero.org/users/local/6VSApgKp/items/CEJYAR6W"],"itemData":{"id":200,"type":"article-journal","abstract":"Abstract A convective-scale static background-error covariance (BEC) matrix is further developed to include the capability of direct reflectivity assimilation and evaluated within the GSI-based three-dimensional variational (3DVar) and hybrid ensemble–variational (EnVar) methods. Specific developments are summarized as follows: 1) Control variables (CVs) are extended to include reflectivity, vertical velocity, and all hydrometeor types. Various horizontal momentum and moisture CV options are included. 2) Cross correlations between all CVs are established. 3) A storm intensity-dependent binning method is adopted to separately calculate static error matrices for clear-air and storms with varying intensities. The resultant static BEC matrices are simultaneously applied at proper locations guided by the observed reflectivity. 4) The EnVar is extended to adaptively incorporate static BECs based on the quality of ensemble covariances. Evaluation and examination of the new static BECs are first performed on the 8 May 2003 Oklahoma City supercell. Detailed diagnostics and 3DVar examinations suggest zonal/meridional winds and pseudo–relative humidity are selected as horizontal momentum and moisture CVs for direct reflectivity assimilation, respectively; inclusion of cross correlations favors spin up and maintains the analyzed storms; application of binning improves characteristics and persistence of the simulated storm. Relative to an experiment using the full ensemble BECs (Exp-PureEnVar), incorporating static BECs in hybrid EnVar reduces spinup time and better analyzes reflectivity distributions while the background ensemble is deficient in sampling errors. Compared to both pure 3DVar and Exp-PureEnVar, hybrid EnVar better predicts reflectivity distributions and better maintains a strong mesocyclone. Further examination through the 20 May 2013 Oklahoma supercells confirms these results and additionally demonstrates the effectiveness of adaptive hybridization.","container-title":"Monthly Weather Review","DOI":"10.1175/MWR-D-20-0215.1","ISSN":"1520-0493, 0027-0644","issue":"8","language":"EN","note":"publisher: American Meteorological Society\nsection: Monthly Weather Review","page":"2713-2736","source":"journals.ametsoc.org","title":"Development of Convective-Scale Static Background Error Covariance within GSI-Based Hybrid EnVar System for Direct Radar Reflectivity Data Assimilation","volume":"149","author":[{"family":"Wang","given":"Yongming"},{"family":"Wang","given":"Xuguang"}],"issued":{"date-parts":[["2021",8,1]]},"citation-key":"wangDevelopmentConvectiveScaleStatic2021"}}],"schema":"https://github.com/citation-style-language/schema/raw/master/csl-citation.json"} </w:instrText>
      </w:r>
      <w:r>
        <w:fldChar w:fldCharType="separate"/>
      </w:r>
      <w:r>
        <w:rPr>
          <w:noProof/>
        </w:rPr>
        <w:t>Wang and Wang (2021)</w:t>
      </w:r>
      <w:r>
        <w:fldChar w:fldCharType="end"/>
      </w:r>
      <w:r>
        <w:t xml:space="preserve"> extended </w:t>
      </w:r>
      <w:r>
        <w:rPr>
          <w:noProof/>
        </w:rPr>
        <w:t xml:space="preserve">Michel’s work to develop a </w:t>
      </w:r>
      <w:r w:rsidRPr="00EE07C3">
        <w:t xml:space="preserve">heterogeneous </w:t>
      </w:r>
      <w:r w:rsidRPr="00EE07C3">
        <w:rPr>
          <w:b/>
          <w:bCs/>
        </w:rPr>
        <w:t>B</w:t>
      </w:r>
      <w:r w:rsidRPr="00EE07C3">
        <w:t xml:space="preserve"> matrix</w:t>
      </w:r>
      <w:r>
        <w:t xml:space="preserve"> for clear-air, weak storm, and strong storm conditions using similar technique based on reflectivity thresholds in conjunction with a hybrid En</w:t>
      </w:r>
      <w:r w:rsidR="00526E7B">
        <w:t>VAR</w:t>
      </w:r>
      <w:r>
        <w:t xml:space="preserve"> DA system. </w:t>
      </w:r>
      <w:r w:rsidRPr="00C340D4">
        <w:t xml:space="preserve">The results demonstrated that the heterogeneous </w:t>
      </w:r>
      <w:r w:rsidRPr="00C340D4">
        <w:rPr>
          <w:b/>
          <w:bCs/>
        </w:rPr>
        <w:t>B</w:t>
      </w:r>
      <w:r w:rsidRPr="00C340D4">
        <w:t xml:space="preserve"> matrix </w:t>
      </w:r>
      <w:r>
        <w:t>improved the accuracy of both</w:t>
      </w:r>
      <w:r w:rsidRPr="00C340D4">
        <w:t xml:space="preserve"> </w:t>
      </w:r>
      <w:r>
        <w:t>analyses and short-term severe weather forecasts</w:t>
      </w:r>
      <w:r w:rsidRPr="00C340D4">
        <w:t>.</w:t>
      </w:r>
    </w:p>
    <w:p w14:paraId="65B41DE3" w14:textId="2A615D8A" w:rsidR="00F10239" w:rsidRDefault="00F10239" w:rsidP="00F10239">
      <w:r>
        <w:t xml:space="preserve">On top of those earlier </w:t>
      </w:r>
      <w:r w:rsidR="002A67A7">
        <w:t>studies</w:t>
      </w:r>
      <w:r>
        <w:t xml:space="preserve">, this study further explores the effectiveness of </w:t>
      </w:r>
      <w:r w:rsidRPr="00C340D4">
        <w:t xml:space="preserve">heterogeneous </w:t>
      </w:r>
      <w:r w:rsidRPr="00C340D4">
        <w:rPr>
          <w:b/>
          <w:bCs/>
        </w:rPr>
        <w:t>B</w:t>
      </w:r>
      <w:r>
        <w:rPr>
          <w:b/>
          <w:bCs/>
        </w:rPr>
        <w:t xml:space="preserve"> </w:t>
      </w:r>
      <w:r w:rsidRPr="004C6A18">
        <w:t>matrix</w:t>
      </w:r>
      <w:r>
        <w:t xml:space="preserve"> tested in </w:t>
      </w:r>
      <w:r w:rsidR="00E3378E">
        <w:t>the WoF-Var</w:t>
      </w:r>
      <w:r w:rsidR="00552BB5">
        <w:t xml:space="preserve"> – variational component of WoF-Hybrid</w:t>
      </w:r>
      <w:r>
        <w:t xml:space="preserve"> </w:t>
      </w:r>
      <w:r w:rsidR="00E3378E">
        <w:fldChar w:fldCharType="begin"/>
      </w:r>
      <w:r w:rsidR="00E3378E">
        <w:instrText xml:space="preserve"> ADDIN ZOTERO_ITEM CSL_CITATION {"citationID":"M5R5LshA","properties":{"formattedCitation":"(Gao et al. 2013; Hu et al. 2021)","plainCitation":"(Gao et al. 2013; Hu et al. 2021)","noteIndex":0},"citationItems":[{"id":359,"uris":["http://zotero.org/users/local/6VSApgKp/items/5X8IN2IW"],"itemData":{"id":359,"type":"article-journal","abstract":"Abstract A real-time, weather-adaptive three-dimensional variational data assimilation (3DVAR) system has been adapted for the NOAA Warn-on-Forecast (WoF) project to incorporate all available radar observations within a moveable analysis domain. The key features of the system include 1) incorporating radar observations from multiple Weather Surveillance Radars-1988 Doppler (WSR-88Ds) with NCEP forecast products as a background state, 2) the ability to automatically detect and analyze severe local hazardous weather events at 1-km horizontal resolution every 5 min in real time based on the current weather situation, and 3) the identification of strong circulation patterns embedded in thunderstorms. Although still in the early development stage, the system performed very well within the NOAA's Hazardous Weather Testbed (HWT) Experimental Warning Program during preliminary testing in spring 2010 when many severe weather events were successfully detected and analyzed. This study represents a first step in the assessment of this type of 3DVAR analysis for use in severe weather warnings. The eventual goal of this real-time 3DVAR system is to help meteorologists better track severe weather events and eventually provide better warning information to the public, ultimately saving lives and reducing property damage.","container-title":"Weather and Forecasting","DOI":"10.1175/WAF-D-12-00093.1","ISSN":"1520-0434, 0882-8156","issue":"3","language":"EN","note":"publisher: American Meteorological Society\nsection: Weather and Forecasting","page":"727-745","source":"journals.ametsoc.org","title":"A Real-Time Weather-Adaptive 3DVAR Analysis System for Severe Weather Detections and Warnings","volume":"28","author":[{"family":"Gao","given":"Jidong"},{"family":"Smith","given":"Travis M."},{"family":"Stensrud","given":"David J."},{"family":"Fu","given":"Chenghao"},{"family":"Calhoun","given":"Kristin"},{"family":"Manross","given":"Kevin L."},{"family":"Brogden","given":"Jeffrey"},{"family":"Lakshmanan","given":"Valliappa"},{"family":"Wang","given":"Yunheng"},{"family":"Thomas","given":"Kevin W."},{"family":"Brewster","given":"Keith"},{"family":"Xue","given":"Ming"}],"issued":{"date-parts":[["2013",6,1]]},"citation-key":"gaoRealTimeWeatherAdaptive3DVAR2013"}},{"id":213,"uris":["http://zotero.org/users/local/6VSApgKp/items/76UGQQAL"],"itemData":{"id":213,"type":"article-journal","abstract":"The purpose of this study is to demonstrate the capability of an experimental, weather-adaptive, high-resolution, deterministic Warn-on-Forecast (WoF) analysis and forecast system (WoF3DVAR-AFS) for predicting high-impact severe weather events that occurred during the Hazardous Weather Testbed 2019 Spring Forecast Experiments. WoF3DVAR-AFS uses a three-dimensional variational (3DVAR) method as its core data assimilation system and the Advanced Research Version of the Weather Research and Forecasting (WRF-ARW) model as its forward model. Surface measurements provided in meteorological aviation reports and the Oklahoma Mesonet, Doppler radar data, and spaceborne total lightning observations provided by the Geostationary Lightning Mapper are assimilated at 15-min frequency over a target domain determined by the “Day 1” Convective Outlook product from the Storm Prediction Center. The chief goal of this system is to complement probabilistic forecasts generated by ensemble analysis and forecast systems, such as the experimental Warn-on-Forecast System (WoFS) with a higher-resolution deterministic member to aid forecasters' decision-making. We performed both qualitative and quantitative evaluations on 0–6 hr forecasts launched hourly from 1900 to 0300 UTC the next day for each of the 12 cases. Aggregated subjective forecast evaluation metrics from each individual case, as well as detailed comparison against available verification datasets, suggest that the forecasts are generally skillful in terms of composite reflectivity fields, quantitative precipitation forecasts, and the strength and location of rotation tracks and damaging winds. This study presents initial efforts to assess the performance of WoF3DVAR-AFS and provides possible directions for further improvements, including the development of a weather-adaptive, dual-resolution analysis and forecast system hybrid with an ensemble system, such as the experimental Warn-on-Forecast system.","container-title":"Quarterly Journal of the Royal Meteorological Society","DOI":"10.1002/qj.4168","ISSN":"1477-870X","issue":"741","language":"en","note":"_eprint: https://onlinelibrary.wiley.com/doi/pdf/10.1002/qj.4168","page":"4063-4082","source":"Wiley Online Library","title":"Evaluation of an experimental Warn-on-Forecast 3DVAR analysis and forecast system on quasi-real-time short-term forecasts of high-impact weather events","volume":"147","author":[{"family":"Hu","given":"Junjun"},{"family":"Gao","given":"Jidong"},{"family":"Wang","given":"Yunheng"},{"family":"Pan","given":"Sijie"},{"family":"Fierro","given":"Alexandre O."},{"family":"Skinner","given":"Patrick S."},{"family":"Knopfmeier","given":"Kent"},{"family":"Mansell","given":"Edward R."},{"family":"Heinselman","given":"Pamela L."}],"issued":{"date-parts":[["2021"]]},"citation-key":"huEvaluationExperimentalWarnonForecast2021"}}],"schema":"https://github.com/citation-style-language/schema/raw/master/csl-citation.json"} </w:instrText>
      </w:r>
      <w:r w:rsidR="00E3378E">
        <w:fldChar w:fldCharType="separate"/>
      </w:r>
      <w:r w:rsidR="00E3378E">
        <w:rPr>
          <w:noProof/>
        </w:rPr>
        <w:t>(Gao et al. 2013; Hu et al. 2021)</w:t>
      </w:r>
      <w:r w:rsidR="00E3378E">
        <w:fldChar w:fldCharType="end"/>
      </w:r>
      <w:r w:rsidR="00E3378E">
        <w:t xml:space="preserve"> </w:t>
      </w:r>
      <w:r>
        <w:t>at convective-scale by incorporating a</w:t>
      </w:r>
      <w:r w:rsidRPr="00735A05">
        <w:t xml:space="preserve"> more detailed classification of </w:t>
      </w:r>
      <w:r>
        <w:t xml:space="preserve">geographic masks based on composite reflectivity intensities. The improved </w:t>
      </w:r>
      <w:r w:rsidRPr="00C340D4">
        <w:rPr>
          <w:b/>
          <w:bCs/>
        </w:rPr>
        <w:t>B</w:t>
      </w:r>
      <w:r>
        <w:t xml:space="preserve"> matri</w:t>
      </w:r>
      <w:r w:rsidR="00E832D4">
        <w:t>x</w:t>
      </w:r>
      <w:r>
        <w:t>, named weather-dependent background error covariance</w:t>
      </w:r>
      <w:r w:rsidR="00F35DB8">
        <w:t xml:space="preserve"> matri</w:t>
      </w:r>
      <w:r w:rsidR="00E832D4">
        <w:t>x</w:t>
      </w:r>
      <w:r>
        <w:t xml:space="preserve">, </w:t>
      </w:r>
      <w:r w:rsidR="00F35DB8">
        <w:t>are</w:t>
      </w:r>
      <w:r>
        <w:t xml:space="preserve"> constructed within a variational framework without hybridization with an ensemble system. This</w:t>
      </w:r>
      <w:r>
        <w:rPr>
          <w:color w:val="000000" w:themeColor="text1"/>
        </w:rPr>
        <w:t xml:space="preserve"> new development on analysis and short-term forecast is evaluated through a single observation experiment and two severe weather events: the 5 May 2020 linear complex and the 10 Dec 2021 long-lived supercell, </w:t>
      </w:r>
      <w:r w:rsidRPr="00B94D53">
        <w:rPr>
          <w:color w:val="000000" w:themeColor="text1"/>
        </w:rPr>
        <w:t>both</w:t>
      </w:r>
      <w:r>
        <w:rPr>
          <w:color w:val="000000" w:themeColor="text1"/>
        </w:rPr>
        <w:t xml:space="preserve"> of which produced significant property damage and fatalities. Thus, improving the accuracy and efficiency of predicting these high</w:t>
      </w:r>
      <w:r w:rsidR="00101AEA">
        <w:rPr>
          <w:color w:val="000000" w:themeColor="text1"/>
        </w:rPr>
        <w:t>-</w:t>
      </w:r>
      <w:r>
        <w:rPr>
          <w:color w:val="000000" w:themeColor="text1"/>
        </w:rPr>
        <w:t xml:space="preserve">impact severe weather events could have </w:t>
      </w:r>
      <w:r w:rsidR="00F60E08">
        <w:rPr>
          <w:rFonts w:hint="eastAsia"/>
          <w:color w:val="000000" w:themeColor="text1"/>
        </w:rPr>
        <w:t>valuable</w:t>
      </w:r>
      <w:r w:rsidR="00F60E08">
        <w:rPr>
          <w:color w:val="000000" w:themeColor="text1"/>
        </w:rPr>
        <w:t xml:space="preserve"> </w:t>
      </w:r>
      <w:r>
        <w:rPr>
          <w:color w:val="000000" w:themeColor="text1"/>
        </w:rPr>
        <w:t>societal impacts.</w:t>
      </w:r>
    </w:p>
    <w:p w14:paraId="49EB8487" w14:textId="68BDEAED" w:rsidR="00F10239" w:rsidRPr="00AF6370" w:rsidRDefault="00F10239" w:rsidP="00F10239">
      <w:r>
        <w:lastRenderedPageBreak/>
        <w:t xml:space="preserve">This </w:t>
      </w:r>
      <w:r w:rsidR="00E3378E">
        <w:t>chapter</w:t>
      </w:r>
      <w:r>
        <w:t xml:space="preserve"> is further organized as follows. Section </w:t>
      </w:r>
      <w:r w:rsidR="007F70B5">
        <w:t>4</w:t>
      </w:r>
      <w:r w:rsidR="00E3378E">
        <w:t>.2</w:t>
      </w:r>
      <w:r>
        <w:t xml:space="preserve"> describes </w:t>
      </w:r>
      <w:r w:rsidR="00E3378E">
        <w:t>the method for estimating the error standard deviations</w:t>
      </w:r>
      <w:r>
        <w:t xml:space="preserve">, while section </w:t>
      </w:r>
      <w:r w:rsidR="007F70B5">
        <w:t>4</w:t>
      </w:r>
      <w:r w:rsidR="00E3378E">
        <w:t>.3</w:t>
      </w:r>
      <w:r>
        <w:t xml:space="preserve"> outlines the experimental design and configurations. The impact of the weather-dependent</w:t>
      </w:r>
      <w:r w:rsidRPr="00C340D4">
        <w:t xml:space="preserve"> </w:t>
      </w:r>
      <w:r w:rsidRPr="00C340D4">
        <w:rPr>
          <w:b/>
          <w:bCs/>
        </w:rPr>
        <w:t>B</w:t>
      </w:r>
      <w:r>
        <w:t xml:space="preserve"> matrix on a single observation experiment is analyzed in section </w:t>
      </w:r>
      <w:r w:rsidR="007F70B5">
        <w:t>4</w:t>
      </w:r>
      <w:r w:rsidR="00E3378E">
        <w:t>.4</w:t>
      </w:r>
      <w:r>
        <w:t xml:space="preserve">. Section </w:t>
      </w:r>
      <w:r w:rsidR="007F70B5">
        <w:t>4</w:t>
      </w:r>
      <w:r w:rsidR="00E3378E">
        <w:t>.5</w:t>
      </w:r>
      <w:r>
        <w:t xml:space="preserve"> discusses the results of the analyses and forecasts of two high-impact severe weather events, both with and without the use of the weather-dependent</w:t>
      </w:r>
      <w:r w:rsidRPr="00C340D4">
        <w:t xml:space="preserve"> </w:t>
      </w:r>
      <w:r w:rsidRPr="00C340D4">
        <w:rPr>
          <w:b/>
          <w:bCs/>
        </w:rPr>
        <w:t>B</w:t>
      </w:r>
      <w:r>
        <w:t xml:space="preserve"> matrix, using qualitative and quantitative verification methods. The conclusion and discussions are given in the final section.</w:t>
      </w:r>
    </w:p>
    <w:p w14:paraId="373F636D" w14:textId="6B47FA92" w:rsidR="00F10239" w:rsidRDefault="00F10239" w:rsidP="00F10239"/>
    <w:p w14:paraId="73C8B8FC" w14:textId="77777777" w:rsidR="00E3378E" w:rsidRPr="006B2F37" w:rsidRDefault="00E3378E">
      <w:pPr>
        <w:pStyle w:val="Heading2"/>
      </w:pPr>
      <w:bookmarkStart w:id="93" w:name="_Toc130995455"/>
      <w:bookmarkStart w:id="94" w:name="_Toc131018320"/>
      <w:r w:rsidRPr="006B2F37">
        <w:t>Method for Error Standard Deviation Estimation with a Reflectivity-based Bin</w:t>
      </w:r>
      <w:bookmarkEnd w:id="93"/>
      <w:bookmarkEnd w:id="94"/>
    </w:p>
    <w:p w14:paraId="5C0DBA3E" w14:textId="6FF79F01" w:rsidR="00E3378E" w:rsidRPr="007C7D74" w:rsidRDefault="00E3378E" w:rsidP="00E3378E">
      <w:r w:rsidRPr="007C7D74">
        <w:t xml:space="preserve">Some previous studies utilized ensemble spread as a proxy for the background error standard deviations, </w:t>
      </w:r>
      <w:r w:rsidRPr="007C7D74">
        <w:rPr>
          <w:b/>
          <w:bCs/>
        </w:rPr>
        <w:t>D</w:t>
      </w:r>
      <w:r w:rsidRPr="007C7D74">
        <w:t xml:space="preserve">, mainly for synoptic or mesoscale applications </w:t>
      </w:r>
      <w:r w:rsidRPr="007C7D74">
        <w:fldChar w:fldCharType="begin"/>
      </w:r>
      <w:r w:rsidR="005C44F5">
        <w:instrText xml:space="preserve"> ADDIN ZOTERO_ITEM CSL_CITATION {"citationID":"Q1kCFjx9","properties":{"formattedCitation":"(Kucukkaraca and Fisher 2006; Fisher 2007; Isaksen et al. 2007)","plainCitation":"(Kucukkaraca and Fisher 2006; Fisher 2007; Isaksen et al. 2007)","dontUpdate":true,"noteIndex":0},"citationItems":[{"id":"El88fenb/FOIfDmAa","uris":["http://zotero.org/users/local/6VSApgKp/items/CEYFVQUP"],"itemData":{"id":188,"type":"webpage","note":"DOI: 10.21957/36n2z0p1p\npage: 16\npublisher-place: Shinfield Park, Reading\npublisher: ECMWF","title":"Use of analysis ensembles in estimating flow-dependent background error variances","author":[{"family":"Kucukkaraca","given":"E."},{"family":"Fisher","given":"Mike"}],"issued":{"date-parts":[["2006"]]},"citation-key":"kucukkaracaUseAnalysisEnsembles2006"}},{"id":189,"uris":["http://zotero.org/users/local/6VSApgKp/items/B44ZMCHN"],"itemData":{"id":189,"type":"webpage","title":"The sensitivity of analysis errors to the specification of background error covariances","author":[{"family":"Fisher","given":"Mike"}],"issued":{"date-parts":[["2007"]]},"citation-key":"fisherSensitivityAnalysisErrors2007"}},{"id":"El88fenb/aHlTgxtz","uris":["http://zotero.org/users/local/6VSApgKp/items/WE4FL576"],"itemData":{"id":191,"type":"article-journal","abstract":"This paper will describe the present status of the ensemble data assimilation (EnDA) work at ECMWF. We will first give a brief description of the EnDA method, with special emphasis on the spectral backscatter (SPBS) scheme that recently has been included. The impact of SPBS on analysis error estimates and short range forecast error will be presented. Next we investigate the ensemble spread in detail. We compare the background error variances for the control assimilation that use the randomization method with the ensemble data assimilation based method. We discuss how the ensemble spread can be increased to more realistic values. Despite the large differences in background error estimates from the two methods, applying “Errors of The Day” modifications of variances have little impact on analyses and forecasts. We try to explain why the impact on the general forecast scores of the flow dependent background errors is so small.","language":"en","page":"22","source":"Zotero","title":"Use of analysis ensembles in estimating flow-dependent background error variance","author":[{"family":"Isaksen","given":"Lars"},{"family":"Fisher","given":"Mike"},{"family":"Berner","given":"Judith"}],"issued":{"date-parts":[["2007"]]},"citation-key":"isaksenUseAnalysisEnsembles2007"}}],"schema":"https://github.com/citation-style-language/schema/raw/master/csl-citation.json"} </w:instrText>
      </w:r>
      <w:r w:rsidRPr="007C7D74">
        <w:fldChar w:fldCharType="separate"/>
      </w:r>
      <w:r w:rsidRPr="007C7D74">
        <w:rPr>
          <w:noProof/>
        </w:rPr>
        <w:t xml:space="preserve">(e.g., Isaksen </w:t>
      </w:r>
      <w:r w:rsidRPr="007C7D74">
        <w:rPr>
          <w:i/>
          <w:noProof/>
        </w:rPr>
        <w:t>et al.</w:t>
      </w:r>
      <w:r w:rsidRPr="007C7D74">
        <w:rPr>
          <w:noProof/>
        </w:rPr>
        <w:t xml:space="preserve"> 2007, Bonavita </w:t>
      </w:r>
      <w:r w:rsidRPr="007C7D74">
        <w:rPr>
          <w:i/>
          <w:noProof/>
        </w:rPr>
        <w:t>et al.</w:t>
      </w:r>
      <w:r w:rsidRPr="007C7D74">
        <w:rPr>
          <w:noProof/>
        </w:rPr>
        <w:t xml:space="preserve"> 2012)</w:t>
      </w:r>
      <w:r w:rsidRPr="007C7D74">
        <w:fldChar w:fldCharType="end"/>
      </w:r>
      <w:r w:rsidRPr="007C7D74">
        <w:t>.</w:t>
      </w:r>
      <w:r>
        <w:t xml:space="preserve"> </w:t>
      </w:r>
      <w:r>
        <w:fldChar w:fldCharType="begin"/>
      </w:r>
      <w:r w:rsidR="00186B73">
        <w:instrText xml:space="preserve"> ADDIN ZOTERO_ITEM CSL_CITATION {"citationID":"V8g5K1Fn","properties":{"formattedCitation":"(Montmerle and Berre 2010)","plainCitation":"(Montmerle and Berre 2010)","dontUpdate":true,"noteIndex":0},"citationItems":[{"id":198,"uris":["http://zotero.org/users/local/6VSApgKp/items/VKCCT5HR"],"itemData":{"id":198,"type":"article-journal","abstract":"This study focuses on diagnosing variations of background-error covariances between precipitating and non-precipitating areas, and on presenting a heterogeneous covariance formulation to represent these variations in a variational framework. The context of this work is the assimilation of observations linked to precipitation (radar data especially) in the AROME model, which has been running operationally at Météo-France since December 2008 over French territory with a 2.5 km horizontal resolution. This system uses multivariate background-error covariances deduced from an ensemble-based method. At first, such statistics have been computed for 17 precipitating cases using an ensemble of AROME forecasts coupled with an ALADIN ensemble assimilation. Results, obtained from 3 h forecast differences performed separately for non-precipitating and precipitating columns, display large discrepancies in error variances, correlation lengths and the correlations between humidity, temperature and divergence errors. These results argue in favour of including heterogeneous background-error covariances in AROME incremental 3D-Var, allowing different covariances to be used in regions with different meteorological patterns. Such a method enables us to get increments more adequately structured in those regions, and thus potentially to make better use of observations in a data assimilation system. The implementation consists of expressing the analysis increment as the sum of two terms, one for precipitating areas and the other for non-precipitating areas, making use of a mask that defines rainy regions. This implies a doubling in the size of the control variable and of the gradient of the cost function. The feasibility of this method is shown through experiments with four isolated observations. Copyright © 2010 Royal Meteorological Society","container-title":"Quarterly Journal of the Royal Meteorological Society","DOI":"10.1002/qj.655","ISSN":"1477-870X","issue":"651","language":"en","note":"_eprint: https://onlinelibrary.wiley.com/doi/pdf/10.1002/qj.655","page":"1408-1420","source":"Wiley Online Library","title":"Diagnosis and formulation of heterogeneous background-error covariances at the mesoscale","volume":"136","author":[{"family":"Montmerle","given":"Thibaut"},{"family":"Berre","given":"Loïk"}],"issued":{"date-parts":[["2010"]]},"citation-key":"montmerleDiagnosisFormulationHeterogeneous2010"}}],"schema":"https://github.com/citation-style-language/schema/raw/master/csl-citation.json"} </w:instrText>
      </w:r>
      <w:r>
        <w:fldChar w:fldCharType="separate"/>
      </w:r>
      <w:r>
        <w:rPr>
          <w:noProof/>
        </w:rPr>
        <w:t>Montmerle and Berre (2010)</w:t>
      </w:r>
      <w:r>
        <w:fldChar w:fldCharType="end"/>
      </w:r>
      <w:r w:rsidRPr="007C7D74">
        <w:t xml:space="preserve"> employed geographic masks based on vertically averaged rain content to diagnose background error statistics</w:t>
      </w:r>
      <w:r>
        <w:t xml:space="preserve"> u</w:t>
      </w:r>
      <w:r w:rsidRPr="007C7D74">
        <w:t xml:space="preserve">sing a </w:t>
      </w:r>
      <w:r w:rsidR="002C1860">
        <w:t>convective-scale</w:t>
      </w:r>
      <w:r w:rsidRPr="007C7D74">
        <w:t xml:space="preserve"> nonhydrostatic model</w:t>
      </w:r>
      <w:r>
        <w:t xml:space="preserve"> and</w:t>
      </w:r>
      <w:r w:rsidRPr="007C7D74">
        <w:t xml:space="preserve"> </w:t>
      </w:r>
      <w:r w:rsidRPr="007C7D74">
        <w:rPr>
          <w:color w:val="333333"/>
          <w:shd w:val="clear" w:color="auto" w:fill="FFFFFF"/>
        </w:rPr>
        <w:t xml:space="preserve">found that </w:t>
      </w:r>
      <w:r w:rsidRPr="007C7D74">
        <w:t xml:space="preserve">such statistics, including error </w:t>
      </w:r>
      <w:r w:rsidRPr="007C7D74">
        <w:rPr>
          <w:iCs/>
        </w:rPr>
        <w:t>standard deviation</w:t>
      </w:r>
      <w:r w:rsidRPr="007C7D74">
        <w:t xml:space="preserve">s and correlation length scales, </w:t>
      </w:r>
      <w:r>
        <w:t>vary</w:t>
      </w:r>
      <w:r w:rsidRPr="007C7D74">
        <w:t xml:space="preserve"> considerably in precipitating and nonprecipitating areas. Other </w:t>
      </w:r>
      <w:r>
        <w:t>related studies</w:t>
      </w:r>
      <w:r w:rsidRPr="007C7D74">
        <w:t xml:space="preserve"> at the convective scale include </w:t>
      </w:r>
      <w:r>
        <w:t>those</w:t>
      </w:r>
      <w:r w:rsidRPr="007C7D74">
        <w:t xml:space="preserve"> by </w:t>
      </w:r>
      <w:r>
        <w:fldChar w:fldCharType="begin"/>
      </w:r>
      <w:r w:rsidR="00186B73">
        <w:instrText xml:space="preserve"> ADDIN ZOTERO_ITEM CSL_CITATION {"citationID":"mHa6XODH","properties":{"formattedCitation":"(Caron and Fillion 2010)","plainCitation":"(Caron and Fillion 2010)","dontUpdate":true,"noteIndex":0},"citationItems":[{"id":301,"uris":["http://zotero.org/users/local/6VSApgKp/items/VZ7BKBLC"],"itemData":{"id":301,"type":"article-journal","abstract":"Abstract The differences in the balance characteristics between dry and precipitation areas in estimated short-term forecast error fields are investigated. The motivation is to see if dry and precipitation areas need to be treated differently in atmospheric data assimilation systems. Using an ensemble of lagged forecast differences, it is shown that perturbations are, on average, farther away from geostrophic balance over precipitation areas than over dry areas and that the deviation from geostrophic balance is proportional to the intensity of precipitation. Following these results, the authors investigate whether some improvements in the coupling between mass and rotational wind increments over precipitation areas can be achieved by using only the precipitation points within an ensemble of estimated forecast errors to construct a so-called diabatic balance operator by linear regression. Comparisons with a traditional approach to construct balance operators by linear regression show that the new approach leads to a gradually significant improvement (related to the intensity of the diabatic processes) of the accuracy of the coupling over precipitation areas as judged from an ensemble of lagged forecast differences. Results from a series of simplified data assimilation experiments show that the new balance operators can produce analysis increments that are substantially different from those associated with the traditional balance operator, particularly for observations located in the lower atmosphere. Issues concerning the implementation of this new approach in a full-fledged analysis system are briefly discussed but their investigations are left for a following study.","container-title":"Monthly Weather Review","DOI":"10.1175/2009MWR2998.1","ISSN":"1520-0493, 0027-0644","issue":"2","language":"EN","note":"publisher: American Meteorological Society\nsection: Monthly Weather Review","page":"563-578","source":"journals.ametsoc.org","title":"An Examination of Background Error Correlations between Mass and Rotational Wind over Precipitation Regions","volume":"138","author":[{"family":"Caron","given":"Jean-François"},{"family":"Fillion","given":"Luc"}],"issued":{"date-parts":[["2010",2,1]]},"citation-key":"caronExaminationBackgroundError2010"}}],"schema":"https://github.com/citation-style-language/schema/raw/master/csl-citation.json"} </w:instrText>
      </w:r>
      <w:r>
        <w:fldChar w:fldCharType="separate"/>
      </w:r>
      <w:r>
        <w:rPr>
          <w:noProof/>
        </w:rPr>
        <w:t xml:space="preserve">Caron and Fillion </w:t>
      </w:r>
      <w:r w:rsidR="00490444">
        <w:rPr>
          <w:noProof/>
        </w:rPr>
        <w:t>(</w:t>
      </w:r>
      <w:r>
        <w:rPr>
          <w:noProof/>
        </w:rPr>
        <w:t>2010)</w:t>
      </w:r>
      <w:r>
        <w:fldChar w:fldCharType="end"/>
      </w:r>
      <w:r w:rsidRPr="007C7D74">
        <w:t>,</w:t>
      </w:r>
      <w:r w:rsidR="00490444">
        <w:t xml:space="preserve"> and </w:t>
      </w:r>
      <w:r w:rsidR="00490444">
        <w:fldChar w:fldCharType="begin"/>
      </w:r>
      <w:r w:rsidR="00B75643">
        <w:instrText xml:space="preserve"> ADDIN ZOTERO_ITEM CSL_CITATION {"citationID":"MgjTmmWr","properties":{"formattedCitation":"(Michel et al. 2011)","plainCitation":"(Michel et al. 2011)","dontUpdate":true,"noteIndex":0},"citationItems":[{"id":272,"uris":["http://zotero.org/users/local/6VSApgKp/items/E2VYXJ5I"],"itemData":{"id":272,"type":"article-journal","abstract":"Abstract Convective-scale models used in NWP nowadays include detailed realistic parameterization for the representation of cloud and precipitation processes. Yet they still lack advanced data assimilation schemes able to efficiently use observations to initialize hydrometeor fields. This challenging task may benefit from a better understanding of the statistical structure of background errors in precipitating areas for both traditional and hydrometeor variables, which is the goal of this study. A special binning has been devised to compute separate background error covariance matrices for precipitating and nonprecipitating areas. This binning is based on bidimensional geographical masks defined by the vertical averaged rain content of the background error perturbations. The sample for computing the covariances is taken from an ensemble of short range forecasts run at 3-km resolution for the prediction of two specific cases of convective storms over the United States. The covariance matrices and associated diagnostics are built on the control variable transform formulation typical of variational data assimilation. The comparison especially highlights the strong coupling of specific humidity, cloud, and rain content with divergence. Shorter horizontal correlations have been obtained in precipitating areas. Vertical correlations mostly reflect the cloud vertical extension due to the convective processes. The statistics for hydrometeor variables show physically meaningful autocovariances and statistical couplings with other variables. Issues for data assimilation of radar reflectivity or more generally of observations linked to cloud and rain content with this kind of background error matrix formulation are thereon briefly discussed.","container-title":"Monthly Weather Review","DOI":"10.1175/2011MWR3632.1","ISSN":"1520-0493, 0027-0644","issue":"9","language":"EN","note":"publisher: American Meteorological Society\nsection: Monthly Weather Review","page":"2994-3015","source":"journals.ametsoc.org","title":"Heterogeneous Convective-Scale Background Error Covariances with the Inclusion of Hydrometeor Variables","volume":"139","author":[{"family":"Michel","given":"Yann"},{"family":"Auligné","given":"Thomas"},{"family":"Montmerle","given":"Thibaut"}],"issued":{"date-parts":[["2011",9,1]]},"citation-key":"michelHeterogeneousConvectiveScaleBackground2011"}}],"schema":"https://github.com/citation-style-language/schema/raw/master/csl-citation.json"} </w:instrText>
      </w:r>
      <w:r w:rsidR="00490444">
        <w:fldChar w:fldCharType="separate"/>
      </w:r>
      <w:r w:rsidR="00490444">
        <w:rPr>
          <w:noProof/>
        </w:rPr>
        <w:t>Michel et al. (2011)</w:t>
      </w:r>
      <w:r w:rsidR="00490444">
        <w:fldChar w:fldCharType="end"/>
      </w:r>
      <w:r w:rsidR="00490444">
        <w:t>.</w:t>
      </w:r>
      <w:r w:rsidRPr="007C7D74">
        <w:t xml:space="preserve">These studies inspired </w:t>
      </w:r>
      <w:r>
        <w:t>the development of</w:t>
      </w:r>
      <w:r w:rsidRPr="007C7D74">
        <w:t xml:space="preserve"> a more flexible method based upon short-term ensemble forecasts. </w:t>
      </w:r>
    </w:p>
    <w:p w14:paraId="15AEB983" w14:textId="66159518" w:rsidR="00E3378E" w:rsidRDefault="00E3378E" w:rsidP="00E3378E">
      <w:r w:rsidRPr="007C7D74">
        <w:t xml:space="preserve">Specifically, the </w:t>
      </w:r>
      <w:r>
        <w:t xml:space="preserve">proposed </w:t>
      </w:r>
      <w:r w:rsidRPr="007C7D74">
        <w:t xml:space="preserve">approach </w:t>
      </w:r>
      <w:r>
        <w:t>involves the</w:t>
      </w:r>
      <w:r w:rsidRPr="007C7D74">
        <w:t xml:space="preserve"> </w:t>
      </w:r>
      <w:r>
        <w:t>calculation of</w:t>
      </w:r>
      <w:r w:rsidRPr="007C7D74">
        <w:t xml:space="preserve"> </w:t>
      </w:r>
      <w:r w:rsidRPr="007C7D74">
        <w:rPr>
          <w:b/>
          <w:bCs/>
        </w:rPr>
        <w:t>D</w:t>
      </w:r>
      <w:r w:rsidRPr="007C7D74">
        <w:t xml:space="preserve"> by deriving vertical background error profiles using the ensemble forecast</w:t>
      </w:r>
      <w:r>
        <w:t>s</w:t>
      </w:r>
      <w:r w:rsidRPr="007C7D74">
        <w:t xml:space="preserve"> from the experimental NSSL </w:t>
      </w:r>
      <w:r w:rsidR="00490444">
        <w:t>WoFS</w:t>
      </w:r>
      <w:r>
        <w:t>.</w:t>
      </w:r>
      <w:r w:rsidRPr="007C7D74">
        <w:t xml:space="preserve"> </w:t>
      </w:r>
      <w:r>
        <w:t>This system has been in</w:t>
      </w:r>
      <w:r w:rsidRPr="007C7D74">
        <w:t xml:space="preserve"> operat</w:t>
      </w:r>
      <w:r>
        <w:t>ion</w:t>
      </w:r>
      <w:r w:rsidRPr="007C7D74">
        <w:t xml:space="preserve"> during the </w:t>
      </w:r>
      <w:r w:rsidR="00490444">
        <w:rPr>
          <w:color w:val="000000" w:themeColor="text1"/>
        </w:rPr>
        <w:t>HWT SFE</w:t>
      </w:r>
      <w:r>
        <w:t xml:space="preserve"> </w:t>
      </w:r>
      <w:r w:rsidRPr="007C7D74">
        <w:t>for several years</w:t>
      </w:r>
      <w:r>
        <w:rPr>
          <w:color w:val="000000"/>
        </w:rPr>
        <w:t xml:space="preserve"> and</w:t>
      </w:r>
      <w:r w:rsidRPr="007C7D74">
        <w:rPr>
          <w:color w:val="FF0000"/>
        </w:rPr>
        <w:t xml:space="preserve"> </w:t>
      </w:r>
      <w:r>
        <w:t>consists of</w:t>
      </w:r>
      <w:r w:rsidRPr="007C7D74">
        <w:t xml:space="preserve"> a 36-member ensemble </w:t>
      </w:r>
      <w:r>
        <w:t>created using the</w:t>
      </w:r>
      <w:r w:rsidRPr="007C7D74">
        <w:t xml:space="preserve"> </w:t>
      </w:r>
      <w:r w:rsidR="00490444">
        <w:t>GSI-EnSRF</w:t>
      </w:r>
      <w:r w:rsidRPr="007C7D74">
        <w:t xml:space="preserve"> </w:t>
      </w:r>
      <w:r>
        <w:t xml:space="preserve">and the </w:t>
      </w:r>
      <w:r w:rsidR="00490444">
        <w:t>WRF-ARW</w:t>
      </w:r>
      <w:r>
        <w:t xml:space="preserve"> model</w:t>
      </w:r>
      <w:r w:rsidRPr="007C7D74">
        <w:t xml:space="preserve">. </w:t>
      </w:r>
      <w:r>
        <w:t>The study uses a</w:t>
      </w:r>
      <w:r w:rsidRPr="007C7D74">
        <w:t>ll ensemble</w:t>
      </w:r>
      <w:r>
        <w:t xml:space="preserve"> forecasts</w:t>
      </w:r>
      <w:r w:rsidRPr="007C7D74">
        <w:t xml:space="preserve"> </w:t>
      </w:r>
      <w:r>
        <w:t xml:space="preserve">from 25 events of </w:t>
      </w:r>
      <w:r w:rsidRPr="007C7D74">
        <w:t xml:space="preserve">the NOAA HWT </w:t>
      </w:r>
      <w:r>
        <w:t>SFE 2019</w:t>
      </w:r>
      <w:r w:rsidRPr="007C7D74">
        <w:t xml:space="preserve"> </w:t>
      </w:r>
      <w:r>
        <w:t>to compute</w:t>
      </w:r>
      <w:r w:rsidRPr="007C7D74">
        <w:t xml:space="preserve"> background error statistics. </w:t>
      </w:r>
      <w:r>
        <w:t>T</w:t>
      </w:r>
      <w:r w:rsidRPr="007C7D74">
        <w:t>he vertical error structure for different weather situations</w:t>
      </w:r>
      <w:r>
        <w:t xml:space="preserve"> is estimated using</w:t>
      </w:r>
      <w:r w:rsidRPr="007C7D74">
        <w:t xml:space="preserve"> </w:t>
      </w:r>
      <w:r>
        <w:t>e</w:t>
      </w:r>
      <w:r w:rsidRPr="007C7D74">
        <w:t xml:space="preserve">nsemble </w:t>
      </w:r>
      <w:r w:rsidRPr="007C7D74">
        <w:lastRenderedPageBreak/>
        <w:t>perturbations from 3</w:t>
      </w:r>
      <w:r>
        <w:t>-</w:t>
      </w:r>
      <w:r w:rsidRPr="007C7D74">
        <w:t>h</w:t>
      </w:r>
      <w:r>
        <w:t>our</w:t>
      </w:r>
      <w:r w:rsidRPr="007C7D74">
        <w:t xml:space="preserve"> forecasts at each grid point</w:t>
      </w:r>
      <w:r>
        <w:t>, classified</w:t>
      </w:r>
      <w:r w:rsidRPr="007C7D74">
        <w:t xml:space="preserve"> based on </w:t>
      </w:r>
      <w:r>
        <w:t>the strength of simulated</w:t>
      </w:r>
      <w:r w:rsidRPr="007C7D74">
        <w:t xml:space="preserve"> </w:t>
      </w:r>
      <w:r w:rsidRPr="00682A3B">
        <w:t xml:space="preserve">composite reflectivity. To facilitate the use of these error standard deviation profiles for general purpose application in convective-scale DA, a new scheme is developed in this study. This scheme includes the following three steps: (1) classifying the ensemble perturbations based on reflectivity to preliminarily construct vertical error profiles, (2) filtering outliers for each reflectivity category, and (3) applying Gaussian smoothing to the vertical error profiles (Fig. </w:t>
      </w:r>
      <w:r w:rsidR="00490444">
        <w:t>4.</w:t>
      </w:r>
      <w:r w:rsidRPr="00682A3B">
        <w:t>1).</w:t>
      </w:r>
    </w:p>
    <w:p w14:paraId="6505A40A" w14:textId="4A452BBB" w:rsidR="00490444" w:rsidRDefault="00490444" w:rsidP="00490444">
      <w:pPr>
        <w:pStyle w:val="NoSpacing"/>
      </w:pPr>
    </w:p>
    <w:p w14:paraId="001444A4" w14:textId="77777777" w:rsidR="00490444" w:rsidRDefault="00490444" w:rsidP="00CC70A4">
      <w:pPr>
        <w:spacing w:line="240" w:lineRule="auto"/>
        <w:ind w:firstLine="0"/>
        <w:jc w:val="center"/>
      </w:pPr>
      <w:r>
        <w:rPr>
          <w:noProof/>
        </w:rPr>
        <w:drawing>
          <wp:inline distT="0" distB="0" distL="0" distR="0" wp14:anchorId="4160E3D9" wp14:editId="5B605518">
            <wp:extent cx="5806860" cy="3189968"/>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806860" cy="3189968"/>
                    </a:xfrm>
                    <a:prstGeom prst="rect">
                      <a:avLst/>
                    </a:prstGeom>
                  </pic:spPr>
                </pic:pic>
              </a:graphicData>
            </a:graphic>
          </wp:inline>
        </w:drawing>
      </w:r>
    </w:p>
    <w:p w14:paraId="2499F536" w14:textId="5448B67E" w:rsidR="00490444" w:rsidRPr="00D60A80" w:rsidRDefault="00490444" w:rsidP="00490444">
      <w:pPr>
        <w:pStyle w:val="Captions"/>
        <w:rPr>
          <w:szCs w:val="24"/>
        </w:rPr>
      </w:pPr>
      <w:bookmarkStart w:id="95" w:name="_Toc134695279"/>
      <w:r w:rsidRPr="00D60A80">
        <w:rPr>
          <w:szCs w:val="24"/>
        </w:rPr>
        <w:t xml:space="preserve">Figure </w:t>
      </w:r>
      <w:r w:rsidR="00C96E3B" w:rsidRPr="00D60A80">
        <w:rPr>
          <w:szCs w:val="24"/>
        </w:rPr>
        <w:fldChar w:fldCharType="begin"/>
      </w:r>
      <w:r w:rsidR="00C96E3B" w:rsidRPr="00D60A80">
        <w:rPr>
          <w:szCs w:val="24"/>
        </w:rPr>
        <w:instrText xml:space="preserve"> STYLEREF 1 \s </w:instrText>
      </w:r>
      <w:r w:rsidR="00C96E3B" w:rsidRPr="00D60A80">
        <w:rPr>
          <w:szCs w:val="24"/>
        </w:rPr>
        <w:fldChar w:fldCharType="separate"/>
      </w:r>
      <w:r w:rsidR="00C77C87" w:rsidRPr="00D60A80">
        <w:rPr>
          <w:noProof/>
          <w:szCs w:val="24"/>
        </w:rPr>
        <w:t>4</w:t>
      </w:r>
      <w:r w:rsidR="00C96E3B" w:rsidRPr="00D60A80">
        <w:rPr>
          <w:noProof/>
          <w:szCs w:val="24"/>
        </w:rPr>
        <w:fldChar w:fldCharType="end"/>
      </w:r>
      <w:r w:rsidR="00C77C87" w:rsidRPr="00D60A80">
        <w:rPr>
          <w:szCs w:val="24"/>
        </w:rPr>
        <w:t>.</w:t>
      </w:r>
      <w:r w:rsidR="00C96E3B" w:rsidRPr="00D60A80">
        <w:rPr>
          <w:szCs w:val="24"/>
        </w:rPr>
        <w:fldChar w:fldCharType="begin"/>
      </w:r>
      <w:r w:rsidR="00C96E3B" w:rsidRPr="00D60A80">
        <w:rPr>
          <w:szCs w:val="24"/>
        </w:rPr>
        <w:instrText xml:space="preserve"> SEQ Figure \* ARABIC \s 1 </w:instrText>
      </w:r>
      <w:r w:rsidR="00C96E3B" w:rsidRPr="00D60A80">
        <w:rPr>
          <w:szCs w:val="24"/>
        </w:rPr>
        <w:fldChar w:fldCharType="separate"/>
      </w:r>
      <w:r w:rsidR="00C77C87" w:rsidRPr="00D60A80">
        <w:rPr>
          <w:noProof/>
          <w:szCs w:val="24"/>
        </w:rPr>
        <w:t>1</w:t>
      </w:r>
      <w:r w:rsidR="00C96E3B" w:rsidRPr="00D60A80">
        <w:rPr>
          <w:noProof/>
          <w:szCs w:val="24"/>
        </w:rPr>
        <w:fldChar w:fldCharType="end"/>
      </w:r>
      <w:r w:rsidRPr="00D60A80">
        <w:rPr>
          <w:szCs w:val="24"/>
        </w:rPr>
        <w:t xml:space="preserve"> The workflow for estimating background error profiles from WoFS ensemble perturbations.</w:t>
      </w:r>
      <w:bookmarkEnd w:id="95"/>
    </w:p>
    <w:p w14:paraId="5AAB7E2C" w14:textId="77777777" w:rsidR="00490444" w:rsidRPr="00490444" w:rsidRDefault="00490444" w:rsidP="00490444">
      <w:pPr>
        <w:pStyle w:val="NoSpacing"/>
      </w:pPr>
    </w:p>
    <w:p w14:paraId="6B0F9A06" w14:textId="2821F6A5" w:rsidR="00E3378E" w:rsidRDefault="00E3378E" w:rsidP="00E3378E">
      <w:r>
        <w:t xml:space="preserve">Similar to </w:t>
      </w:r>
      <w:r w:rsidR="00490444">
        <w:fldChar w:fldCharType="begin"/>
      </w:r>
      <w:r w:rsidR="00B75643">
        <w:instrText xml:space="preserve"> ADDIN ZOTERO_ITEM CSL_CITATION {"citationID":"Dpzg0XrJ","properties":{"formattedCitation":"(Michel et al. 2011)","plainCitation":"(Michel et al. 2011)","dontUpdate":true,"noteIndex":0},"citationItems":[{"id":272,"uris":["http://zotero.org/users/local/6VSApgKp/items/E2VYXJ5I"],"itemData":{"id":272,"type":"article-journal","abstract":"Abstract Convective-scale models used in NWP nowadays include detailed realistic parameterization for the representation of cloud and precipitation processes. Yet they still lack advanced data assimilation schemes able to efficiently use observations to initialize hydrometeor fields. This challenging task may benefit from a better understanding of the statistical structure of background errors in precipitating areas for both traditional and hydrometeor variables, which is the goal of this study. A special binning has been devised to compute separate background error covariance matrices for precipitating and nonprecipitating areas. This binning is based on bidimensional geographical masks defined by the vertical averaged rain content of the background error perturbations. The sample for computing the covariances is taken from an ensemble of short range forecasts run at 3-km resolution for the prediction of two specific cases of convective storms over the United States. The covariance matrices and associated diagnostics are built on the control variable transform formulation typical of variational data assimilation. The comparison especially highlights the strong coupling of specific humidity, cloud, and rain content with divergence. Shorter horizontal correlations have been obtained in precipitating areas. Vertical correlations mostly reflect the cloud vertical extension due to the convective processes. The statistics for hydrometeor variables show physically meaningful autocovariances and statistical couplings with other variables. Issues for data assimilation of radar reflectivity or more generally of observations linked to cloud and rain content with this kind of background error matrix formulation are thereon briefly discussed.","container-title":"Monthly Weather Review","DOI":"10.1175/2011MWR3632.1","ISSN":"1520-0493, 0027-0644","issue":"9","language":"EN","note":"publisher: American Meteorological Society\nsection: Monthly Weather Review","page":"2994-3015","source":"journals.ametsoc.org","title":"Heterogeneous Convective-Scale Background Error Covariances with the Inclusion of Hydrometeor Variables","volume":"139","author":[{"family":"Michel","given":"Yann"},{"family":"Auligné","given":"Thomas"},{"family":"Montmerle","given":"Thibaut"}],"issued":{"date-parts":[["2011",9,1]]},"citation-key":"michelHeterogeneousConvectiveScaleBackground2011"}}],"schema":"https://github.com/citation-style-language/schema/raw/master/csl-citation.json"} </w:instrText>
      </w:r>
      <w:r w:rsidR="00490444">
        <w:fldChar w:fldCharType="separate"/>
      </w:r>
      <w:r w:rsidR="00490444">
        <w:rPr>
          <w:noProof/>
        </w:rPr>
        <w:t>Michel et al. (2011)</w:t>
      </w:r>
      <w:r w:rsidR="00490444">
        <w:fldChar w:fldCharType="end"/>
      </w:r>
      <w:r>
        <w:t xml:space="preserve">, in the first step, the computational domain </w:t>
      </w:r>
      <w:r w:rsidR="00D8617E">
        <w:t xml:space="preserve">is separated </w:t>
      </w:r>
      <w:r>
        <w:t>based on geographic masks and then the profile</w:t>
      </w:r>
      <w:r w:rsidR="00D8617E">
        <w:t>s</w:t>
      </w:r>
      <w:r>
        <w:t xml:space="preserve"> of static error statistics</w:t>
      </w:r>
      <w:r w:rsidR="00D8617E">
        <w:t xml:space="preserve"> are retrieved</w:t>
      </w:r>
      <w:r>
        <w:t xml:space="preserve"> for different regions. The geographic masks are defined as locations where the value of probability matched mean reflectivity (pmm_ref) from the WoFS ensemble is in between the lower and upper thresholds. More specifically, we set the thresholds at every 10 dBZ between 0 dBZ and 50 dBZ, separating the error standard deviations into 7 classes: pmm_ref</w:t>
      </w:r>
      <w:r w:rsidRPr="008F6D78">
        <w:t xml:space="preserve"> </w:t>
      </w:r>
      <w:r>
        <w:t>= 0</w:t>
      </w:r>
      <w:r w:rsidRPr="008F6D78">
        <w:t xml:space="preserve"> dBZ (clear air); 0 &lt; </w:t>
      </w:r>
      <w:r>
        <w:t>pmm_ref</w:t>
      </w:r>
      <w:r w:rsidRPr="008F6D78">
        <w:t xml:space="preserve"> &lt;=10 dBZ; </w:t>
      </w:r>
      <w:r w:rsidRPr="008F6D78">
        <w:lastRenderedPageBreak/>
        <w:t xml:space="preserve">10 &lt; </w:t>
      </w:r>
      <w:r>
        <w:t>pmm_ref</w:t>
      </w:r>
      <w:r w:rsidRPr="008F6D78">
        <w:t xml:space="preserve"> &lt;= 20 dBZ; </w:t>
      </w:r>
      <w:r>
        <w:t>2</w:t>
      </w:r>
      <w:r w:rsidRPr="008F6D78">
        <w:t xml:space="preserve">0 &lt; </w:t>
      </w:r>
      <w:r>
        <w:t>pmm_ref</w:t>
      </w:r>
      <w:r w:rsidRPr="008F6D78">
        <w:t xml:space="preserve"> &lt;= </w:t>
      </w:r>
      <w:r>
        <w:t>3</w:t>
      </w:r>
      <w:r w:rsidRPr="008F6D78">
        <w:t>0 dBZ;</w:t>
      </w:r>
      <w:r>
        <w:t xml:space="preserve"> </w:t>
      </w:r>
      <w:r w:rsidRPr="008F6D78">
        <w:t xml:space="preserve">30 &lt; </w:t>
      </w:r>
      <w:r>
        <w:t>pmm_ref</w:t>
      </w:r>
      <w:r w:rsidRPr="008F6D78">
        <w:t xml:space="preserve"> &lt;= 40 dBZ; 40 &lt; </w:t>
      </w:r>
      <w:r>
        <w:t>pmm_ref</w:t>
      </w:r>
      <w:r w:rsidRPr="008F6D78">
        <w:t xml:space="preserve"> &lt;= 50 dBZ; and </w:t>
      </w:r>
      <w:r>
        <w:t>pmm_ref</w:t>
      </w:r>
      <w:r w:rsidRPr="008F6D78">
        <w:t xml:space="preserve"> &gt; 50 dBZ</w:t>
      </w:r>
      <w:r>
        <w:t xml:space="preserve">. Therefore, </w:t>
      </w:r>
      <w:r w:rsidRPr="008A7513">
        <w:t>7 error profiles will derive from those W</w:t>
      </w:r>
      <w:r w:rsidR="00D8617E">
        <w:t>o</w:t>
      </w:r>
      <w:r w:rsidRPr="008A7513">
        <w:t xml:space="preserve">FS ensemble </w:t>
      </w:r>
      <w:r>
        <w:t>outputs.</w:t>
      </w:r>
    </w:p>
    <w:p w14:paraId="48CC1521" w14:textId="1C5D7D89" w:rsidR="00B75643" w:rsidRDefault="00B75643" w:rsidP="00B75643">
      <w:pPr>
        <w:pStyle w:val="NoSpacing"/>
      </w:pPr>
    </w:p>
    <w:p w14:paraId="773E0125" w14:textId="77777777" w:rsidR="00B75643" w:rsidRDefault="00B75643" w:rsidP="00CC70A4">
      <w:pPr>
        <w:spacing w:line="240" w:lineRule="auto"/>
        <w:ind w:firstLine="0"/>
        <w:jc w:val="center"/>
      </w:pPr>
      <w:r w:rsidRPr="00052CA0">
        <w:rPr>
          <w:noProof/>
        </w:rPr>
        <w:drawing>
          <wp:inline distT="0" distB="0" distL="0" distR="0" wp14:anchorId="54C50CB9" wp14:editId="32AE0097">
            <wp:extent cx="5892163" cy="3099152"/>
            <wp:effectExtent l="0" t="0" r="1270" b="0"/>
            <wp:docPr id="11" name="Picture 3">
              <a:extLst xmlns:a="http://schemas.openxmlformats.org/drawingml/2006/main">
                <a:ext uri="{FF2B5EF4-FFF2-40B4-BE49-F238E27FC236}">
                  <a16:creationId xmlns:a16="http://schemas.microsoft.com/office/drawing/2014/main" id="{508E779E-FB0A-44BD-9853-1316FA1675C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3">
                      <a:extLst>
                        <a:ext uri="{FF2B5EF4-FFF2-40B4-BE49-F238E27FC236}">
                          <a16:creationId xmlns:a16="http://schemas.microsoft.com/office/drawing/2014/main" id="{508E779E-FB0A-44BD-9853-1316FA1675CA}"/>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892163" cy="3099152"/>
                    </a:xfrm>
                    <a:prstGeom prst="rect">
                      <a:avLst/>
                    </a:prstGeom>
                  </pic:spPr>
                </pic:pic>
              </a:graphicData>
            </a:graphic>
          </wp:inline>
        </w:drawing>
      </w:r>
    </w:p>
    <w:p w14:paraId="3D7D71AF" w14:textId="602A789B" w:rsidR="00B75643" w:rsidRPr="00D60A80" w:rsidRDefault="00B75643" w:rsidP="00B75643">
      <w:pPr>
        <w:pStyle w:val="Captions"/>
        <w:rPr>
          <w:szCs w:val="24"/>
        </w:rPr>
      </w:pPr>
      <w:bookmarkStart w:id="96" w:name="_Toc134695280"/>
      <w:r w:rsidRPr="00D60A80">
        <w:rPr>
          <w:szCs w:val="24"/>
        </w:rPr>
        <w:t xml:space="preserve">Figure </w:t>
      </w:r>
      <w:r w:rsidR="00C96E3B" w:rsidRPr="00D60A80">
        <w:rPr>
          <w:szCs w:val="24"/>
        </w:rPr>
        <w:fldChar w:fldCharType="begin"/>
      </w:r>
      <w:r w:rsidR="00C96E3B" w:rsidRPr="00D60A80">
        <w:rPr>
          <w:szCs w:val="24"/>
        </w:rPr>
        <w:instrText xml:space="preserve"> STYLEREF 1 \s </w:instrText>
      </w:r>
      <w:r w:rsidR="00C96E3B" w:rsidRPr="00D60A80">
        <w:rPr>
          <w:szCs w:val="24"/>
        </w:rPr>
        <w:fldChar w:fldCharType="separate"/>
      </w:r>
      <w:r w:rsidR="00C77C87" w:rsidRPr="00D60A80">
        <w:rPr>
          <w:noProof/>
          <w:szCs w:val="24"/>
        </w:rPr>
        <w:t>4</w:t>
      </w:r>
      <w:r w:rsidR="00C96E3B" w:rsidRPr="00D60A80">
        <w:rPr>
          <w:noProof/>
          <w:szCs w:val="24"/>
        </w:rPr>
        <w:fldChar w:fldCharType="end"/>
      </w:r>
      <w:r w:rsidR="00C77C87" w:rsidRPr="00D60A80">
        <w:rPr>
          <w:szCs w:val="24"/>
        </w:rPr>
        <w:t>.</w:t>
      </w:r>
      <w:r w:rsidR="00C96E3B" w:rsidRPr="00D60A80">
        <w:rPr>
          <w:szCs w:val="24"/>
        </w:rPr>
        <w:fldChar w:fldCharType="begin"/>
      </w:r>
      <w:r w:rsidR="00C96E3B" w:rsidRPr="00D60A80">
        <w:rPr>
          <w:szCs w:val="24"/>
        </w:rPr>
        <w:instrText xml:space="preserve"> SEQ Figure \* ARABIC \s 1 </w:instrText>
      </w:r>
      <w:r w:rsidR="00C96E3B" w:rsidRPr="00D60A80">
        <w:rPr>
          <w:szCs w:val="24"/>
        </w:rPr>
        <w:fldChar w:fldCharType="separate"/>
      </w:r>
      <w:r w:rsidR="00C77C87" w:rsidRPr="00D60A80">
        <w:rPr>
          <w:noProof/>
          <w:szCs w:val="24"/>
        </w:rPr>
        <w:t>2</w:t>
      </w:r>
      <w:r w:rsidR="00C96E3B" w:rsidRPr="00D60A80">
        <w:rPr>
          <w:noProof/>
          <w:szCs w:val="24"/>
        </w:rPr>
        <w:fldChar w:fldCharType="end"/>
      </w:r>
      <w:r w:rsidRPr="00D60A80">
        <w:rPr>
          <w:szCs w:val="24"/>
        </w:rPr>
        <w:t xml:space="preserve"> The distribution of the error variance for (a) zonal wind, (b) meridional wind, (c) vertical velocity, (d)</w:t>
      </w:r>
      <w:r w:rsidR="00E506D7" w:rsidRPr="00D60A80">
        <w:rPr>
          <w:szCs w:val="24"/>
        </w:rPr>
        <w:t xml:space="preserve"> potential</w:t>
      </w:r>
      <w:r w:rsidRPr="00D60A80">
        <w:rPr>
          <w:szCs w:val="24"/>
        </w:rPr>
        <w:t xml:space="preserve"> temperature and (e) water vapor content within specific pressure bins for the area with 40 &lt; Z &lt;= 50 dBZ before outlier filtering.</w:t>
      </w:r>
      <w:bookmarkEnd w:id="96"/>
    </w:p>
    <w:p w14:paraId="49A5C331" w14:textId="107F2B95" w:rsidR="00B75643" w:rsidRPr="00B75643" w:rsidRDefault="00B75643" w:rsidP="00B75643">
      <w:pPr>
        <w:pStyle w:val="Caption"/>
      </w:pPr>
    </w:p>
    <w:p w14:paraId="5094C44D" w14:textId="34F6AAD9" w:rsidR="00E3378E" w:rsidRDefault="00E3378E" w:rsidP="00E3378E">
      <w:r>
        <w:t xml:space="preserve">The second step is to remove the outliers. </w:t>
      </w:r>
      <w:r w:rsidRPr="008A7513">
        <w:t xml:space="preserve">To estimate the static background error profiles that typically work for all likely convective-scale circumstances, error </w:t>
      </w:r>
      <w:r>
        <w:t>standard deviation</w:t>
      </w:r>
      <w:r w:rsidRPr="008A7513">
        <w:t xml:space="preserve">s in each class are subsequently binned into pressure levels with 1 hPa intervals vertically. </w:t>
      </w:r>
      <w:r>
        <w:t xml:space="preserve">Figure </w:t>
      </w:r>
      <w:r w:rsidR="00B75643">
        <w:t>3.</w:t>
      </w:r>
      <w:r>
        <w:t xml:space="preserve">2 shows the distribution of the error standard deviations within specific pressure bins for the area with </w:t>
      </w:r>
      <w:r w:rsidRPr="008F6D78">
        <w:t xml:space="preserve">40 &lt; </w:t>
      </w:r>
      <w:r>
        <w:t>pmm_ref</w:t>
      </w:r>
      <w:r w:rsidRPr="008F6D78">
        <w:t xml:space="preserve"> &lt;= 50 dBZ</w:t>
      </w:r>
      <w:r>
        <w:t>. I</w:t>
      </w:r>
      <w:r w:rsidRPr="008A7513">
        <w:t xml:space="preserve">t is </w:t>
      </w:r>
      <w:r>
        <w:t>obvious</w:t>
      </w:r>
      <w:r w:rsidRPr="008A7513">
        <w:t xml:space="preserve"> that some data points could be outliers since their values may surpass the upper</w:t>
      </w:r>
      <w:r>
        <w:t xml:space="preserve"> (lower)</w:t>
      </w:r>
      <w:r w:rsidRPr="008A7513">
        <w:t xml:space="preserve"> bound defined in the third</w:t>
      </w:r>
      <w:r>
        <w:t xml:space="preserve"> (first)</w:t>
      </w:r>
      <w:r w:rsidRPr="008A7513">
        <w:t xml:space="preserve"> quartile plus</w:t>
      </w:r>
      <w:r>
        <w:t xml:space="preserve"> (minus)</w:t>
      </w:r>
      <w:r w:rsidRPr="008A7513">
        <w:t xml:space="preserve"> 1.5 times interquartile range. If a dataset is normally distributed, an outlier is also considered as a data point that lies beyond </w:t>
      </w:r>
      <w:r>
        <w:t>~</w:t>
      </w:r>
      <w:r w:rsidRPr="008A7513">
        <w:t>2.7 times the standard deviation from the mean and significantly departs from other data points. As a result, these outliers are eliminated before the next step.</w:t>
      </w:r>
    </w:p>
    <w:p w14:paraId="763B9C01" w14:textId="688BD393" w:rsidR="00E3378E" w:rsidRDefault="00E3378E" w:rsidP="00E3378E">
      <w:r w:rsidRPr="008A7513">
        <w:lastRenderedPageBreak/>
        <w:t>Finally, a Gaussian kernel is utilized to smooth the retained data points for each reflectivity class</w:t>
      </w:r>
      <w:r w:rsidR="00B75643">
        <w:t xml:space="preserve"> </w:t>
      </w:r>
      <w:r w:rsidR="00B75643">
        <w:fldChar w:fldCharType="begin"/>
      </w:r>
      <w:r w:rsidR="00B75643">
        <w:instrText xml:space="preserve"> ADDIN ZOTERO_ITEM CSL_CITATION {"citationID":"gBv1HUiA","properties":{"formattedCitation":"(Davies 2005)","plainCitation":"(Davies 2005)","noteIndex":0},"citationItems":[{"id":205,"uris":["http://zotero.org/users/local/6VSApgKp/items/9CWP6K2G"],"itemData":{"id":205,"type":"chapter","event-place":"Burlington","ISBN":"978-0-12-206093-9","language":"en","note":"DOI: 10.1016/B978-012206093-9/50006-X","page":"47-101","publisher":"Morgan Kaufmann","publisher-place":"Burlington","source":"ScienceDirect","title":"Machine Vision: Theory, Algorithms and Practicalities","URL":"https://www.sciencedirect.com/science/article/pii/B978012206093950006X","author":[{"family":"Davies","given":"E. R."}],"editor":[{"family":"Davies","given":"E. R."}],"accessed":{"date-parts":[["2022",5,3]]},"issued":{"date-parts":[["2005",1,1]]},"citation-key":"daviesMachineVisionTheory2005"}}],"schema":"https://github.com/citation-style-language/schema/raw/master/csl-citation.json"} </w:instrText>
      </w:r>
      <w:r w:rsidR="00B75643">
        <w:fldChar w:fldCharType="separate"/>
      </w:r>
      <w:r w:rsidR="00B75643">
        <w:rPr>
          <w:noProof/>
        </w:rPr>
        <w:t>(Davies 2005)</w:t>
      </w:r>
      <w:r w:rsidR="00B75643">
        <w:fldChar w:fldCharType="end"/>
      </w:r>
      <w:r w:rsidRPr="008A7513">
        <w:t xml:space="preserve">. The pressure-error pairs are sorted </w:t>
      </w:r>
      <w:r>
        <w:t>based on their</w:t>
      </w:r>
      <w:r w:rsidRPr="008A7513">
        <w:t xml:space="preserve"> pressure values </w:t>
      </w:r>
      <w:r>
        <w:t>and then</w:t>
      </w:r>
      <w:r w:rsidRPr="008A7513">
        <w:t xml:space="preserve"> convolved with a one-dimensional finite impulse response kernel </w:t>
      </w:r>
      <w:r>
        <w:t>that uses</w:t>
      </w:r>
      <w:r w:rsidRPr="008A7513">
        <w:t xml:space="preserve"> Gaussian values. Because the size of the dataset </w:t>
      </w:r>
      <w:r>
        <w:t>differs</w:t>
      </w:r>
      <w:r w:rsidRPr="008A7513">
        <w:t xml:space="preserve"> remarkably between classes, the smoothing employ</w:t>
      </w:r>
      <w:r>
        <w:t>s</w:t>
      </w:r>
      <w:r w:rsidRPr="008A7513">
        <w:t xml:space="preserve"> a Gaussian kernel with variable window size and standard deviation.</w:t>
      </w:r>
      <w:r>
        <w:t xml:space="preserve"> For</w:t>
      </w:r>
      <w:r w:rsidRPr="008A7513">
        <w:t xml:space="preserve"> </w:t>
      </w:r>
      <w:r>
        <w:t>the</w:t>
      </w:r>
      <w:r w:rsidRPr="008A7513">
        <w:t xml:space="preserve"> class</w:t>
      </w:r>
      <w:r>
        <w:t xml:space="preserve"> of decreasing reflectivity</w:t>
      </w:r>
      <w:r w:rsidRPr="008A7513">
        <w:t>, the window size and standard deviation of the Gaussian kernel increase monotonically</w:t>
      </w:r>
      <w:r>
        <w:t xml:space="preserve"> because of </w:t>
      </w:r>
      <w:r w:rsidR="002A67A7">
        <w:t xml:space="preserve">the </w:t>
      </w:r>
      <w:r>
        <w:t>increased amount of data points</w:t>
      </w:r>
      <w:r w:rsidRPr="008A7513">
        <w:t xml:space="preserve">. </w:t>
      </w:r>
      <w:r>
        <w:t>Data</w:t>
      </w:r>
      <w:r w:rsidRPr="002C6A62">
        <w:t xml:space="preserve"> points within strong convection zones (&gt; 40 dBZ) </w:t>
      </w:r>
      <w:r>
        <w:t>constitute</w:t>
      </w:r>
      <w:r w:rsidRPr="002C6A62">
        <w:t xml:space="preserve"> approximately 16% of the non-zero reflectivity data, </w:t>
      </w:r>
      <w:r>
        <w:t>while</w:t>
      </w:r>
      <w:r w:rsidRPr="002C6A62">
        <w:t xml:space="preserve"> grid points in weak convection zones account for the remaining 84%. The clear-air region has roughly 4.5 times the number of grid points </w:t>
      </w:r>
      <w:r>
        <w:t>compared to</w:t>
      </w:r>
      <w:r w:rsidRPr="002C6A62">
        <w:t xml:space="preserve"> the non-zero reflectivity region. Even in places with severe convection, over a million data points are available for providing a </w:t>
      </w:r>
      <w:r>
        <w:t>robust estimate</w:t>
      </w:r>
      <w:r w:rsidRPr="002C6A62">
        <w:t xml:space="preserve"> of error </w:t>
      </w:r>
      <w:r>
        <w:t>standard deviation</w:t>
      </w:r>
      <w:r w:rsidRPr="002C6A62">
        <w:t>s.</w:t>
      </w:r>
      <w:r>
        <w:t xml:space="preserve"> </w:t>
      </w:r>
      <w:r w:rsidRPr="008A7513">
        <w:t xml:space="preserve">As a result, the kernel for the “&gt; 50 dBZ” reflectivity class has the smallest window size and standard deviation, whereas the kernel for “clear-air” has the biggest window size and standard deviation. The smoothed vertical profile is </w:t>
      </w:r>
      <w:r>
        <w:t xml:space="preserve">then </w:t>
      </w:r>
      <w:r w:rsidRPr="008A7513">
        <w:t xml:space="preserve">linearly interpolated in the WoF-Var system to obtain an error at a given pressure level </w:t>
      </w:r>
      <w:r>
        <w:t xml:space="preserve">for a specific </w:t>
      </w:r>
      <w:r w:rsidRPr="008A7513">
        <w:t>variable.</w:t>
      </w:r>
    </w:p>
    <w:p w14:paraId="67DCD0FD" w14:textId="2981318E" w:rsidR="00E3378E" w:rsidRDefault="00E3378E" w:rsidP="00E3378E">
      <w:r>
        <w:t xml:space="preserve">Figure </w:t>
      </w:r>
      <w:r w:rsidR="00B75643">
        <w:t>4.</w:t>
      </w:r>
      <w:r>
        <w:t xml:space="preserve">3 shows vertical profiles of the standard deviation of background error for traditional variables (zonal wind, meridional wind, vertical velocity, temperature and water vapor content). </w:t>
      </w:r>
      <w:r w:rsidRPr="008F6D78">
        <w:t>For comparison, standard deviations inferred from the WoFS ensemble of 2019 HWT events are displayed.</w:t>
      </w:r>
      <w:r>
        <w:t xml:space="preserve"> </w:t>
      </w:r>
      <w:r w:rsidRPr="008F6D78">
        <w:t xml:space="preserve">For the subdomain with </w:t>
      </w:r>
      <w:r>
        <w:t>reflectivity greater than 0</w:t>
      </w:r>
      <w:r w:rsidRPr="008F6D78">
        <w:t>, errors in the wind field</w:t>
      </w:r>
      <w:r>
        <w:t>s</w:t>
      </w:r>
      <w:r w:rsidRPr="008F6D78">
        <w:t xml:space="preserve"> are substantially bigger at all </w:t>
      </w:r>
      <w:r>
        <w:t>levels</w:t>
      </w:r>
      <w:r w:rsidRPr="008F6D78">
        <w:t>. Th</w:t>
      </w:r>
      <w:r>
        <w:t>e</w:t>
      </w:r>
      <w:r w:rsidRPr="008F6D78">
        <w:t xml:space="preserve"> rise in standard deviation for </w:t>
      </w:r>
      <w:r>
        <w:t xml:space="preserve">wind fields </w:t>
      </w:r>
      <w:r w:rsidRPr="008F6D78">
        <w:t>may imply</w:t>
      </w:r>
      <w:r>
        <w:t xml:space="preserve"> small-scale dynamical circulation </w:t>
      </w:r>
      <w:r w:rsidRPr="008F6D78">
        <w:t>within convection of various</w:t>
      </w:r>
      <w:r>
        <w:t xml:space="preserve"> </w:t>
      </w:r>
      <w:r w:rsidRPr="008F6D78">
        <w:t>intensities</w:t>
      </w:r>
      <w:r>
        <w:t>.</w:t>
      </w:r>
      <w:r>
        <w:rPr>
          <w:rFonts w:hint="eastAsia"/>
        </w:rPr>
        <w:t xml:space="preserve"> </w:t>
      </w:r>
      <w:r>
        <w:t>The profiles of horizontal wind fields (Fig</w:t>
      </w:r>
      <w:r w:rsidR="00B75643">
        <w:t>s</w:t>
      </w:r>
      <w:r>
        <w:t xml:space="preserve">. </w:t>
      </w:r>
      <w:r w:rsidR="00B75643">
        <w:t>4.</w:t>
      </w:r>
      <w:r>
        <w:t>3</w:t>
      </w:r>
      <w:r w:rsidR="00B75643">
        <w:t xml:space="preserve"> </w:t>
      </w:r>
      <w:r>
        <w:t>a</w:t>
      </w:r>
      <w:r w:rsidR="00B75643">
        <w:t>,</w:t>
      </w:r>
      <w:r>
        <w:t xml:space="preserve"> b) show two extremes at 800 hPa and 200 hPa that could be related to low level convergence at cloud base and upper-level jet stream at cloud top. </w:t>
      </w:r>
      <w:r w:rsidRPr="008F6D78">
        <w:t xml:space="preserve">The greater </w:t>
      </w:r>
      <w:r>
        <w:lastRenderedPageBreak/>
        <w:t>value</w:t>
      </w:r>
      <w:r w:rsidRPr="008F6D78">
        <w:t xml:space="preserve"> of vertical velocity error</w:t>
      </w:r>
      <w:r>
        <w:t xml:space="preserve"> (Fig. </w:t>
      </w:r>
      <w:r w:rsidR="00B75643">
        <w:t>4.</w:t>
      </w:r>
      <w:r>
        <w:t>3</w:t>
      </w:r>
      <w:r w:rsidR="00B75643">
        <w:t xml:space="preserve"> </w:t>
      </w:r>
      <w:r>
        <w:t>c)</w:t>
      </w:r>
      <w:r w:rsidRPr="008F6D78">
        <w:t xml:space="preserve"> between 800 hPa and 200 hPa may be explained by </w:t>
      </w:r>
      <w:r>
        <w:t xml:space="preserve">the </w:t>
      </w:r>
      <w:r w:rsidRPr="008F6D78">
        <w:t>rotating updraft within convective clouds.</w:t>
      </w:r>
      <w:r>
        <w:t xml:space="preserve"> For potential temperatures </w:t>
      </w:r>
      <w:r w:rsidRPr="008F6D78">
        <w:t xml:space="preserve">(Fig. </w:t>
      </w:r>
      <w:r w:rsidR="00B75643">
        <w:t>4.</w:t>
      </w:r>
      <w:r>
        <w:t>3</w:t>
      </w:r>
      <w:r w:rsidR="00B75643">
        <w:t xml:space="preserve"> </w:t>
      </w:r>
      <w:r>
        <w:t>d</w:t>
      </w:r>
      <w:r w:rsidRPr="008F6D78">
        <w:t>)</w:t>
      </w:r>
      <w:r>
        <w:t xml:space="preserve"> below 200 hPa and water vapor mass </w:t>
      </w:r>
      <w:r w:rsidRPr="008F6D78">
        <w:t xml:space="preserve">(Fig. </w:t>
      </w:r>
      <w:r w:rsidR="00B75643">
        <w:t>4.</w:t>
      </w:r>
      <w:r>
        <w:t>3</w:t>
      </w:r>
      <w:r w:rsidR="00B75643">
        <w:t xml:space="preserve"> </w:t>
      </w:r>
      <w:r>
        <w:t>e</w:t>
      </w:r>
      <w:r w:rsidRPr="008F6D78">
        <w:t>)</w:t>
      </w:r>
      <w:r>
        <w:t xml:space="preserve"> at all levels, error standard deviation</w:t>
      </w:r>
      <w:r w:rsidRPr="008F6D78">
        <w:t xml:space="preserve"> derived </w:t>
      </w:r>
      <w:r>
        <w:t>from the area covered by convection</w:t>
      </w:r>
      <w:r w:rsidRPr="008F6D78">
        <w:t xml:space="preserve"> </w:t>
      </w:r>
      <w:r>
        <w:t>is</w:t>
      </w:r>
      <w:r w:rsidRPr="008F6D78">
        <w:t xml:space="preserve"> close to </w:t>
      </w:r>
      <w:r>
        <w:t>that obtained from the clear sky area</w:t>
      </w:r>
      <w:r w:rsidRPr="008F6D78">
        <w:t>.</w:t>
      </w:r>
      <w:r>
        <w:t xml:space="preserve"> </w:t>
      </w:r>
      <w:r w:rsidR="00256DD6" w:rsidRPr="00256DD6">
        <w:t>The extreme in the potential temperature profile at 150 hPa may indicate the uncertainty at the level of the tropopause due to the sudden cessation of the lapse rate</w:t>
      </w:r>
      <w:r>
        <w:t>, whereas water vapor error profile reveals a maximum at 800 hPa that could be connected with water vapor entrainment at cloud base.</w:t>
      </w:r>
    </w:p>
    <w:p w14:paraId="2A6C65B3" w14:textId="6202C9BE" w:rsidR="00B75643" w:rsidRDefault="00B75643" w:rsidP="00B75643">
      <w:pPr>
        <w:pStyle w:val="NoSpacing"/>
      </w:pPr>
    </w:p>
    <w:p w14:paraId="173350F7" w14:textId="77777777" w:rsidR="00B75643" w:rsidRDefault="00B75643" w:rsidP="00CC70A4">
      <w:pPr>
        <w:spacing w:line="240" w:lineRule="auto"/>
        <w:ind w:firstLine="0"/>
        <w:jc w:val="center"/>
      </w:pPr>
      <w:r>
        <w:rPr>
          <w:noProof/>
        </w:rPr>
        <w:drawing>
          <wp:inline distT="0" distB="0" distL="0" distR="0" wp14:anchorId="28EF93AD" wp14:editId="0A010E4C">
            <wp:extent cx="5943600" cy="3957123"/>
            <wp:effectExtent l="0" t="0" r="0" b="0"/>
            <wp:docPr id="13" name="Picture 1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943600" cy="3957123"/>
                    </a:xfrm>
                    <a:prstGeom prst="rect">
                      <a:avLst/>
                    </a:prstGeom>
                  </pic:spPr>
                </pic:pic>
              </a:graphicData>
            </a:graphic>
          </wp:inline>
        </w:drawing>
      </w:r>
    </w:p>
    <w:p w14:paraId="26B5D66B" w14:textId="7DEA7ED0" w:rsidR="00B75643" w:rsidRPr="00D60A80" w:rsidRDefault="00B75643" w:rsidP="00B75643">
      <w:pPr>
        <w:pStyle w:val="Captions"/>
        <w:rPr>
          <w:szCs w:val="24"/>
        </w:rPr>
      </w:pPr>
      <w:bookmarkStart w:id="97" w:name="_Toc134695281"/>
      <w:r w:rsidRPr="00D60A80">
        <w:rPr>
          <w:szCs w:val="24"/>
        </w:rPr>
        <w:t xml:space="preserve">Figure </w:t>
      </w:r>
      <w:r w:rsidR="00C96E3B" w:rsidRPr="00D60A80">
        <w:rPr>
          <w:szCs w:val="24"/>
        </w:rPr>
        <w:fldChar w:fldCharType="begin"/>
      </w:r>
      <w:r w:rsidR="00C96E3B" w:rsidRPr="00D60A80">
        <w:rPr>
          <w:szCs w:val="24"/>
        </w:rPr>
        <w:instrText xml:space="preserve"> STYLEREF 1 \s </w:instrText>
      </w:r>
      <w:r w:rsidR="00C96E3B" w:rsidRPr="00D60A80">
        <w:rPr>
          <w:szCs w:val="24"/>
        </w:rPr>
        <w:fldChar w:fldCharType="separate"/>
      </w:r>
      <w:r w:rsidR="00C77C87" w:rsidRPr="00D60A80">
        <w:rPr>
          <w:noProof/>
          <w:szCs w:val="24"/>
        </w:rPr>
        <w:t>4</w:t>
      </w:r>
      <w:r w:rsidR="00C96E3B" w:rsidRPr="00D60A80">
        <w:rPr>
          <w:noProof/>
          <w:szCs w:val="24"/>
        </w:rPr>
        <w:fldChar w:fldCharType="end"/>
      </w:r>
      <w:r w:rsidR="00C77C87" w:rsidRPr="00D60A80">
        <w:rPr>
          <w:szCs w:val="24"/>
        </w:rPr>
        <w:t>.</w:t>
      </w:r>
      <w:r w:rsidR="00C96E3B" w:rsidRPr="00D60A80">
        <w:rPr>
          <w:szCs w:val="24"/>
        </w:rPr>
        <w:fldChar w:fldCharType="begin"/>
      </w:r>
      <w:r w:rsidR="00C96E3B" w:rsidRPr="00D60A80">
        <w:rPr>
          <w:szCs w:val="24"/>
        </w:rPr>
        <w:instrText xml:space="preserve"> SEQ Figure \* ARABIC \s 1 </w:instrText>
      </w:r>
      <w:r w:rsidR="00C96E3B" w:rsidRPr="00D60A80">
        <w:rPr>
          <w:szCs w:val="24"/>
        </w:rPr>
        <w:fldChar w:fldCharType="separate"/>
      </w:r>
      <w:r w:rsidR="00C77C87" w:rsidRPr="00D60A80">
        <w:rPr>
          <w:noProof/>
          <w:szCs w:val="24"/>
        </w:rPr>
        <w:t>3</w:t>
      </w:r>
      <w:r w:rsidR="00C96E3B" w:rsidRPr="00D60A80">
        <w:rPr>
          <w:noProof/>
          <w:szCs w:val="24"/>
        </w:rPr>
        <w:fldChar w:fldCharType="end"/>
      </w:r>
      <w:r w:rsidR="00E506D7" w:rsidRPr="00D60A80">
        <w:rPr>
          <w:noProof/>
          <w:szCs w:val="24"/>
        </w:rPr>
        <w:t xml:space="preserve"> </w:t>
      </w:r>
      <w:r w:rsidRPr="00D60A80">
        <w:rPr>
          <w:szCs w:val="24"/>
        </w:rPr>
        <w:t xml:space="preserve">Vertical profiles of background error standard deviations for several model variables (a) zonal wind, (b) meridional wind, (c) vertical velocity, (d) </w:t>
      </w:r>
      <w:r w:rsidR="00256DD6" w:rsidRPr="00D60A80">
        <w:rPr>
          <w:szCs w:val="24"/>
        </w:rPr>
        <w:t xml:space="preserve">potential </w:t>
      </w:r>
      <w:r w:rsidRPr="00D60A80">
        <w:rPr>
          <w:szCs w:val="24"/>
        </w:rPr>
        <w:t>temperature and (e) water vapor content.</w:t>
      </w:r>
      <w:bookmarkEnd w:id="97"/>
    </w:p>
    <w:p w14:paraId="200266ED" w14:textId="77777777" w:rsidR="00B75643" w:rsidRDefault="00B75643" w:rsidP="00B75643">
      <w:pPr>
        <w:pStyle w:val="NoSpacing"/>
      </w:pPr>
    </w:p>
    <w:p w14:paraId="5C41629D" w14:textId="77777777" w:rsidR="00B75643" w:rsidRDefault="00B75643" w:rsidP="00CC70A4">
      <w:pPr>
        <w:spacing w:line="240" w:lineRule="auto"/>
        <w:ind w:firstLine="0"/>
        <w:jc w:val="center"/>
      </w:pPr>
      <w:r>
        <w:rPr>
          <w:noProof/>
        </w:rPr>
        <w:lastRenderedPageBreak/>
        <w:drawing>
          <wp:inline distT="0" distB="0" distL="0" distR="0" wp14:anchorId="3434E86E" wp14:editId="6CC59B06">
            <wp:extent cx="5943600" cy="3962400"/>
            <wp:effectExtent l="0" t="0" r="0" b="0"/>
            <wp:docPr id="15" name="Picture 1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iagram&#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p>
    <w:p w14:paraId="19F73546" w14:textId="280FF750" w:rsidR="00B75643" w:rsidRPr="00D60A80" w:rsidRDefault="00B75643" w:rsidP="00B75643">
      <w:pPr>
        <w:pStyle w:val="Captions"/>
        <w:rPr>
          <w:szCs w:val="24"/>
        </w:rPr>
      </w:pPr>
      <w:bookmarkStart w:id="98" w:name="_Toc134695282"/>
      <w:r w:rsidRPr="00D60A80">
        <w:rPr>
          <w:szCs w:val="24"/>
        </w:rPr>
        <w:t xml:space="preserve">Figure </w:t>
      </w:r>
      <w:r w:rsidR="00C96E3B" w:rsidRPr="00D60A80">
        <w:rPr>
          <w:szCs w:val="24"/>
        </w:rPr>
        <w:fldChar w:fldCharType="begin"/>
      </w:r>
      <w:r w:rsidR="00C96E3B" w:rsidRPr="00D60A80">
        <w:rPr>
          <w:szCs w:val="24"/>
        </w:rPr>
        <w:instrText xml:space="preserve"> STYLEREF 1 \s </w:instrText>
      </w:r>
      <w:r w:rsidR="00C96E3B" w:rsidRPr="00D60A80">
        <w:rPr>
          <w:szCs w:val="24"/>
        </w:rPr>
        <w:fldChar w:fldCharType="separate"/>
      </w:r>
      <w:r w:rsidR="00C77C87" w:rsidRPr="00D60A80">
        <w:rPr>
          <w:noProof/>
          <w:szCs w:val="24"/>
        </w:rPr>
        <w:t>4</w:t>
      </w:r>
      <w:r w:rsidR="00C96E3B" w:rsidRPr="00D60A80">
        <w:rPr>
          <w:noProof/>
          <w:szCs w:val="24"/>
        </w:rPr>
        <w:fldChar w:fldCharType="end"/>
      </w:r>
      <w:r w:rsidR="00C77C87" w:rsidRPr="00D60A80">
        <w:rPr>
          <w:szCs w:val="24"/>
        </w:rPr>
        <w:t>.</w:t>
      </w:r>
      <w:r w:rsidR="00C96E3B" w:rsidRPr="00D60A80">
        <w:rPr>
          <w:szCs w:val="24"/>
        </w:rPr>
        <w:fldChar w:fldCharType="begin"/>
      </w:r>
      <w:r w:rsidR="00C96E3B" w:rsidRPr="00D60A80">
        <w:rPr>
          <w:szCs w:val="24"/>
        </w:rPr>
        <w:instrText xml:space="preserve"> SEQ Figure \* ARABIC \s 1 </w:instrText>
      </w:r>
      <w:r w:rsidR="00C96E3B" w:rsidRPr="00D60A80">
        <w:rPr>
          <w:szCs w:val="24"/>
        </w:rPr>
        <w:fldChar w:fldCharType="separate"/>
      </w:r>
      <w:r w:rsidR="00C77C87" w:rsidRPr="00D60A80">
        <w:rPr>
          <w:noProof/>
          <w:szCs w:val="24"/>
        </w:rPr>
        <w:t>4</w:t>
      </w:r>
      <w:r w:rsidR="00C96E3B" w:rsidRPr="00D60A80">
        <w:rPr>
          <w:noProof/>
          <w:szCs w:val="24"/>
        </w:rPr>
        <w:fldChar w:fldCharType="end"/>
      </w:r>
      <w:r w:rsidR="00E506D7" w:rsidRPr="00D60A80">
        <w:rPr>
          <w:noProof/>
          <w:szCs w:val="24"/>
        </w:rPr>
        <w:t xml:space="preserve"> </w:t>
      </w:r>
      <w:r w:rsidRPr="00D60A80">
        <w:rPr>
          <w:szCs w:val="24"/>
        </w:rPr>
        <w:t>Same as Fig. 4.3, but for hydrometeor related variables (a) cloud droplet, (b) rain, (c) snow, (d) ice, (e) graupel and (f) hail.</w:t>
      </w:r>
      <w:bookmarkEnd w:id="98"/>
    </w:p>
    <w:p w14:paraId="6FB6191E" w14:textId="77777777" w:rsidR="00B75643" w:rsidRDefault="00B75643" w:rsidP="00B75643">
      <w:pPr>
        <w:pStyle w:val="NoSpacing"/>
      </w:pPr>
    </w:p>
    <w:p w14:paraId="51B2519D" w14:textId="39118160" w:rsidR="00F10239" w:rsidRDefault="00E3378E" w:rsidP="00E3378E">
      <w:r>
        <w:t>As for the shape of the distribution of hydrometeor themselves, all standard deviations of hydrometeor errors (Fig. 4</w:t>
      </w:r>
      <w:r w:rsidR="00B75643">
        <w:t>.4</w:t>
      </w:r>
      <w:r>
        <w:t xml:space="preserve">) have single poles at different </w:t>
      </w:r>
      <w:r w:rsidR="005222BF">
        <w:t>altitudes</w:t>
      </w:r>
      <w:r>
        <w:t xml:space="preserve">. For example, both cloud </w:t>
      </w:r>
      <w:r w:rsidR="005222BF">
        <w:t xml:space="preserve">droplets </w:t>
      </w:r>
      <w:r>
        <w:t>(Fig. 4</w:t>
      </w:r>
      <w:r w:rsidR="00B75643">
        <w:t xml:space="preserve">.4 </w:t>
      </w:r>
      <w:r>
        <w:t>a) and rain (Fig. 4</w:t>
      </w:r>
      <w:r w:rsidR="00B75643">
        <w:t xml:space="preserve">.4 </w:t>
      </w:r>
      <w:r>
        <w:t xml:space="preserve">b) errors have the maximums around 800 hPa. These maximums are typically near the level of cloud base and are below the freezing level. Snow and ice errors have the maximums above 400 hPa with a broader vertical extension and are located above the freezing level. Similar to three-dimensional wind fields, the background error standard deviations for hydrometeors are increasing with composite reflectivity. Compared to the errors in low reflectivity zones, errors in high reflectivity zones are much larger at all </w:t>
      </w:r>
      <w:r w:rsidR="005222BF">
        <w:t xml:space="preserve">altitudes </w:t>
      </w:r>
      <w:r>
        <w:t>for rain, snow, graupel and hail (Fig</w:t>
      </w:r>
      <w:r w:rsidR="00B75643">
        <w:t>s</w:t>
      </w:r>
      <w:r>
        <w:t xml:space="preserve">. </w:t>
      </w:r>
      <w:r w:rsidR="00B75643">
        <w:t>4.</w:t>
      </w:r>
      <w:r>
        <w:t>4</w:t>
      </w:r>
      <w:r w:rsidR="00B75643">
        <w:t xml:space="preserve"> </w:t>
      </w:r>
      <w:r>
        <w:t>b, c, e</w:t>
      </w:r>
      <w:r w:rsidR="00B75643">
        <w:t>,</w:t>
      </w:r>
      <w:r>
        <w:t xml:space="preserve"> f), and to a lesser extent for cloud and ice (Fig</w:t>
      </w:r>
      <w:r w:rsidR="00B75643">
        <w:t>s</w:t>
      </w:r>
      <w:r>
        <w:t>. 4</w:t>
      </w:r>
      <w:r w:rsidR="00B75643">
        <w:t xml:space="preserve">.4 </w:t>
      </w:r>
      <w:r>
        <w:t>a</w:t>
      </w:r>
      <w:r w:rsidR="00B75643">
        <w:t>,</w:t>
      </w:r>
      <w:r>
        <w:t xml:space="preserve"> d). Nonzero error standard deviations for precipitating particles (rain, snow, graupel and hail) are also </w:t>
      </w:r>
      <w:r>
        <w:lastRenderedPageBreak/>
        <w:t xml:space="preserve">observed in the area with pmm_ref = 0, </w:t>
      </w:r>
      <w:r w:rsidRPr="008F6D78">
        <w:t>showing that phase errors of convective clouds exist in the WoFS ensemble.</w:t>
      </w:r>
      <w:r>
        <w:t xml:space="preserve"> After these error standard deviations are derived, they can be easily incorporated into</w:t>
      </w:r>
      <w:r w:rsidR="005222BF">
        <w:t xml:space="preserve"> the</w:t>
      </w:r>
      <w:r>
        <w:t xml:space="preserve"> WoF-Var system described in the last section.</w:t>
      </w:r>
    </w:p>
    <w:p w14:paraId="15E16E28" w14:textId="568C0CC1" w:rsidR="00F10239" w:rsidRDefault="00F10239" w:rsidP="00B75643">
      <w:pPr>
        <w:ind w:firstLine="0"/>
      </w:pPr>
    </w:p>
    <w:p w14:paraId="55D231C3" w14:textId="58EA77C3" w:rsidR="00B75643" w:rsidRDefault="00B75643">
      <w:pPr>
        <w:pStyle w:val="Heading2"/>
      </w:pPr>
      <w:bookmarkStart w:id="99" w:name="_Toc130995456"/>
      <w:bookmarkStart w:id="100" w:name="_Toc131018321"/>
      <w:r w:rsidRPr="00FB6E70">
        <w:t>Experiment Design and Configurations</w:t>
      </w:r>
      <w:bookmarkEnd w:id="99"/>
      <w:bookmarkEnd w:id="100"/>
    </w:p>
    <w:p w14:paraId="75525154" w14:textId="6F9D2327" w:rsidR="007F70B5" w:rsidRDefault="007F70B5" w:rsidP="007F70B5">
      <w:r>
        <w:t>The</w:t>
      </w:r>
      <w:r w:rsidRPr="00042836">
        <w:t xml:space="preserve"> impact of </w:t>
      </w:r>
      <w:r>
        <w:t xml:space="preserve">the newly developed weather-dependent error standard deviations in </w:t>
      </w:r>
      <w:r>
        <w:rPr>
          <w:rFonts w:eastAsia="宋体"/>
        </w:rPr>
        <w:t>the 3DV</w:t>
      </w:r>
      <w:r w:rsidR="00EA1DF0">
        <w:rPr>
          <w:rFonts w:eastAsia="宋体"/>
        </w:rPr>
        <w:t>AR</w:t>
      </w:r>
      <w:r w:rsidRPr="00042836">
        <w:rPr>
          <w:rFonts w:eastAsia="宋体"/>
        </w:rPr>
        <w:t xml:space="preserve"> method</w:t>
      </w:r>
      <w:r>
        <w:rPr>
          <w:rFonts w:eastAsia="宋体"/>
        </w:rPr>
        <w:t xml:space="preserve"> on short-term convective NWP</w:t>
      </w:r>
      <w:r>
        <w:t xml:space="preserve"> is evaluated through the analyses and forecasts of</w:t>
      </w:r>
      <w:r w:rsidRPr="00042836">
        <w:t xml:space="preserve"> two </w:t>
      </w:r>
      <w:r>
        <w:t>severe weather events: the</w:t>
      </w:r>
      <w:r w:rsidRPr="00042836">
        <w:t xml:space="preserve"> </w:t>
      </w:r>
      <w:r>
        <w:t>5 May 2020 event over the boundary of North Carolina and South Carolina (Event #1, Figs. 4.7, 4.8</w:t>
      </w:r>
      <w:r w:rsidRPr="00042836">
        <w:t>) and</w:t>
      </w:r>
      <w:r w:rsidRPr="00042836">
        <w:rPr>
          <w:rFonts w:eastAsia="宋体"/>
        </w:rPr>
        <w:t xml:space="preserve"> </w:t>
      </w:r>
      <w:r w:rsidRPr="00042836">
        <w:t xml:space="preserve">the </w:t>
      </w:r>
      <w:r>
        <w:t>10</w:t>
      </w:r>
      <w:r w:rsidRPr="00042836">
        <w:t xml:space="preserve"> </w:t>
      </w:r>
      <w:r>
        <w:t>December</w:t>
      </w:r>
      <w:r w:rsidRPr="00042836">
        <w:t xml:space="preserve"> 20</w:t>
      </w:r>
      <w:r>
        <w:t>2</w:t>
      </w:r>
      <w:r w:rsidRPr="00042836">
        <w:t xml:space="preserve">1 </w:t>
      </w:r>
      <w:r>
        <w:t xml:space="preserve">rare winter </w:t>
      </w:r>
      <w:r w:rsidRPr="00042836">
        <w:t>tornado outbreak</w:t>
      </w:r>
      <w:r>
        <w:t xml:space="preserve"> (Event</w:t>
      </w:r>
      <w:r w:rsidRPr="00042836">
        <w:rPr>
          <w:rFonts w:eastAsia="宋体"/>
        </w:rPr>
        <w:t xml:space="preserve"> </w:t>
      </w:r>
      <w:r>
        <w:rPr>
          <w:rFonts w:eastAsia="宋体"/>
        </w:rPr>
        <w:t>#</w:t>
      </w:r>
      <w:r w:rsidRPr="00042836">
        <w:rPr>
          <w:rFonts w:eastAsia="宋体"/>
        </w:rPr>
        <w:t>2</w:t>
      </w:r>
      <w:r>
        <w:t>, Figs. 4.14, 4.15</w:t>
      </w:r>
      <w:r w:rsidRPr="00042836">
        <w:t>)</w:t>
      </w:r>
      <w:r>
        <w:t xml:space="preserve">. For the first event, two EF-2 tornadoes touched down in Chester and Lancaster Counties, northern South Carolina, producing some property damage. The second </w:t>
      </w:r>
      <w:r w:rsidR="00A3683E">
        <w:t>event</w:t>
      </w:r>
      <w:r>
        <w:t xml:space="preserve"> was a</w:t>
      </w:r>
      <w:r w:rsidRPr="008B6DB7">
        <w:rPr>
          <w:color w:val="2A2A2A"/>
        </w:rPr>
        <w:t xml:space="preserve"> devastating outbreak, which included more than 30 tornado reports </w:t>
      </w:r>
      <w:r>
        <w:rPr>
          <w:color w:val="2A2A2A"/>
        </w:rPr>
        <w:t>in</w:t>
      </w:r>
      <w:r w:rsidRPr="008B6DB7">
        <w:rPr>
          <w:color w:val="2A2A2A"/>
        </w:rPr>
        <w:t xml:space="preserve"> six states stretching across the Mississippi Valley, Southeast and Midwest</w:t>
      </w:r>
      <w:r>
        <w:rPr>
          <w:color w:val="2A2A2A"/>
        </w:rPr>
        <w:t>.</w:t>
      </w:r>
      <w:r>
        <w:t xml:space="preserve"> </w:t>
      </w:r>
      <w:r w:rsidRPr="008B6DB7">
        <w:rPr>
          <w:color w:val="2A2A2A"/>
        </w:rPr>
        <w:t xml:space="preserve">One tornado, </w:t>
      </w:r>
      <w:r>
        <w:rPr>
          <w:color w:val="2A2A2A"/>
        </w:rPr>
        <w:t xml:space="preserve">which is famously called </w:t>
      </w:r>
      <w:r w:rsidRPr="008B6DB7">
        <w:rPr>
          <w:color w:val="2A2A2A"/>
        </w:rPr>
        <w:t>the "Quad-State Tornado"</w:t>
      </w:r>
      <w:r>
        <w:rPr>
          <w:color w:val="2A2A2A"/>
        </w:rPr>
        <w:t>,</w:t>
      </w:r>
      <w:r w:rsidRPr="008B6DB7">
        <w:rPr>
          <w:color w:val="2A2A2A"/>
        </w:rPr>
        <w:t xml:space="preserve"> ripped across four states (Arkansas, Missouri, Tennessee and Kentucky)</w:t>
      </w:r>
      <w:r>
        <w:rPr>
          <w:color w:val="2A2A2A"/>
        </w:rPr>
        <w:t xml:space="preserve"> </w:t>
      </w:r>
      <w:r w:rsidR="00A3683E">
        <w:rPr>
          <w:color w:val="2A2A2A"/>
        </w:rPr>
        <w:t>within</w:t>
      </w:r>
      <w:r>
        <w:rPr>
          <w:color w:val="2A2A2A"/>
        </w:rPr>
        <w:t xml:space="preserve"> four hours</w:t>
      </w:r>
      <w:r w:rsidRPr="008B6DB7">
        <w:rPr>
          <w:color w:val="2A2A2A"/>
        </w:rPr>
        <w:t xml:space="preserve">, </w:t>
      </w:r>
      <w:r w:rsidR="005222BF">
        <w:rPr>
          <w:color w:val="2A2A2A"/>
        </w:rPr>
        <w:t xml:space="preserve">and </w:t>
      </w:r>
      <w:r>
        <w:rPr>
          <w:color w:val="2A2A2A"/>
        </w:rPr>
        <w:t>produced huge damage</w:t>
      </w:r>
      <w:r w:rsidRPr="008B6DB7">
        <w:rPr>
          <w:color w:val="2A2A2A"/>
        </w:rPr>
        <w:t xml:space="preserve"> </w:t>
      </w:r>
      <w:r>
        <w:rPr>
          <w:color w:val="2A2A2A"/>
        </w:rPr>
        <w:t xml:space="preserve">in </w:t>
      </w:r>
      <w:r w:rsidRPr="008B6DB7">
        <w:rPr>
          <w:color w:val="2A2A2A"/>
        </w:rPr>
        <w:t xml:space="preserve">Mayfield, Kentucky, which </w:t>
      </w:r>
      <w:r>
        <w:rPr>
          <w:color w:val="2A2A2A"/>
        </w:rPr>
        <w:t>was</w:t>
      </w:r>
      <w:r w:rsidRPr="008B6DB7">
        <w:rPr>
          <w:color w:val="2A2A2A"/>
        </w:rPr>
        <w:t xml:space="preserve"> </w:t>
      </w:r>
      <w:r>
        <w:rPr>
          <w:color w:val="2A2A2A"/>
        </w:rPr>
        <w:t xml:space="preserve">the </w:t>
      </w:r>
      <w:r w:rsidRPr="008B6DB7">
        <w:rPr>
          <w:color w:val="2A2A2A"/>
        </w:rPr>
        <w:t>hardest hit town</w:t>
      </w:r>
      <w:r>
        <w:rPr>
          <w:color w:val="2A2A2A"/>
        </w:rPr>
        <w:t xml:space="preserve"> in this event</w:t>
      </w:r>
      <w:r w:rsidRPr="008B6DB7">
        <w:rPr>
          <w:color w:val="2A2A2A"/>
        </w:rPr>
        <w:t>.</w:t>
      </w:r>
    </w:p>
    <w:p w14:paraId="7206E718" w14:textId="48B9E545" w:rsidR="007F70B5" w:rsidRDefault="007F70B5" w:rsidP="007F70B5">
      <w:r>
        <w:t>In this study, t</w:t>
      </w:r>
      <w:r w:rsidRPr="00042836">
        <w:t xml:space="preserve">he </w:t>
      </w:r>
      <w:r>
        <w:t xml:space="preserve">selected </w:t>
      </w:r>
      <w:r w:rsidRPr="00042836">
        <w:t xml:space="preserve">forecast model is </w:t>
      </w:r>
      <w:r>
        <w:t>the</w:t>
      </w:r>
      <w:r w:rsidRPr="00FC1609">
        <w:t xml:space="preserve"> WRF</w:t>
      </w:r>
      <w:r w:rsidR="00A3683E">
        <w:t>-ARW</w:t>
      </w:r>
      <w:r w:rsidRPr="00FC1609">
        <w:t xml:space="preserve"> version 3.</w:t>
      </w:r>
      <w:r>
        <w:t>9</w:t>
      </w:r>
      <w:r w:rsidRPr="00FC1609">
        <w:t>.1</w:t>
      </w:r>
      <w:r w:rsidR="00A3683E">
        <w:t xml:space="preserve">. </w:t>
      </w:r>
      <w:r w:rsidRPr="00042836">
        <w:t xml:space="preserve">The model physics configuration includes the </w:t>
      </w:r>
      <w:r>
        <w:t>NSSL two-moment microphysics</w:t>
      </w:r>
      <w:r w:rsidRPr="00042836">
        <w:t xml:space="preserve"> scheme</w:t>
      </w:r>
      <w:r w:rsidR="00A3683E">
        <w:t xml:space="preserve"> </w:t>
      </w:r>
      <w:r w:rsidR="00A3683E">
        <w:fldChar w:fldCharType="begin"/>
      </w:r>
      <w:r w:rsidR="00A3683E">
        <w:instrText xml:space="preserve"> ADDIN ZOTERO_ITEM CSL_CITATION {"citationID":"bUuXuvX1","properties":{"formattedCitation":"(Mansell et al. 2010)","plainCitation":"(Mansell et al. 2010)","noteIndex":0},"citationItems":[{"id":161,"uris":["http://zotero.org/users/local/6VSApgKp/items/3EP5K4KA"],"itemData":{"id":161,"type":"article-journal","abstract":"&lt;section class=\"abstract\"&gt;&lt;h2 class=\"abstractTitle text-title my-1\" id=\"d132267571e75\"&gt;Abstract&lt;/h2&gt;&lt;p&gt;Electrification and lightning are simulated for a small continental multicell storm. The results are consistent with observations and thus provide additional understanding of the charging processes and evolution of this storm. The first six observed lightning flashes were all negative cloud-to-ground (CG) flashes, after which intracloud (IC) flashes also occurred between middle and upper levels of the storm. The model simulation reproduces the basic evolution of lightning from low and middle levels to upper levels. The observed lightning indicated an initial charge structure of at least an inverted dipole (negative charge above positive). The simulations show that noninductive charge separation higher in the storm can enhance the main negative charge sufficiently to produce negative CG flashes before upper-level IC flashes commence. The result is a “bottom-heavy” tripole charge structure with midlevel negative charge and a lower positive charge region that is more significant than the upper positive region, in contrast to the traditional tripole structure that has a less significant lower positive charge region. Additionally, the occurrence of cloud-to-ground lightning is not necessarily a result of excess net charge carried by the storm, but it is primarily caused by the local potential imbalance between the lowest charge regions.&lt;/p&gt;&lt;p&gt;The two-moment microphysics scheme used for this study predicted mass mixing ratio and number concentration of cloud droplets, rain, ice crystals, snow, and graupel. Bulk particle density of graupel was also predicted, which allows a single category to represent a greater range of particle characteristics. (An additional hail category is available but was not needed for the present study.) The prediction of hydrometeor number concentration is particularly critical for charge separation at higher temperatures (−5° &amp;lt; &lt;em&gt;T&lt;/em&gt; &amp;lt; −20°C) in the mixed phase region, where ice crystals are produced by rime fracturing (Hallett–Mossop process) and by splintering of freezing drops. Cloud droplet concentration prediction also affected the rates of inductive charge separation between graupel and droplets.&lt;/p&gt;&lt;/section&gt;","container-title":"Journal of the Atmospheric Sciences","DOI":"10.1175/2009JAS2965.1","ISSN":"0022-4928, 1520-0469","issue":"1","language":"EN","note":"publisher: American Meteorological Society\nsection: Journal of the Atmospheric Sciences","page":"171-194","source":"journals.ametsoc.org","title":"Simulated Electrification of a Small Thunderstorm with Two-Moment Bulk Microphysics","volume":"67","author":[{"family":"Mansell","given":"Edward R."},{"family":"Ziegler","given":"Conrad L."},{"family":"Bruning","given":"Eric C."}],"issued":{"date-parts":[["2010",1,1]]},"citation-key":"mansellSimulatedElectrificationSmall2010"}}],"schema":"https://github.com/citation-style-language/schema/raw/master/csl-citation.json"} </w:instrText>
      </w:r>
      <w:r w:rsidR="00A3683E">
        <w:fldChar w:fldCharType="separate"/>
      </w:r>
      <w:r w:rsidR="00A3683E">
        <w:rPr>
          <w:noProof/>
        </w:rPr>
        <w:t>(Mansell et al. 2010)</w:t>
      </w:r>
      <w:r w:rsidR="00A3683E">
        <w:fldChar w:fldCharType="end"/>
      </w:r>
      <w:r w:rsidRPr="00042836">
        <w:t>,</w:t>
      </w:r>
      <w:r w:rsidRPr="00042836">
        <w:rPr>
          <w:rFonts w:eastAsia="宋体"/>
        </w:rPr>
        <w:t xml:space="preserve"> </w:t>
      </w:r>
      <w:r w:rsidRPr="00042836">
        <w:t>the Dudhia shortwave radiation scheme</w:t>
      </w:r>
      <w:r w:rsidR="00A3683E">
        <w:t xml:space="preserve"> </w:t>
      </w:r>
      <w:r w:rsidR="00A3683E">
        <w:fldChar w:fldCharType="begin"/>
      </w:r>
      <w:r w:rsidR="00A3683E">
        <w:instrText xml:space="preserve"> ADDIN ZOTERO_ITEM CSL_CITATION {"citationID":"TAbbvBLh","properties":{"formattedCitation":"(Dudhia 1989)","plainCitation":"(Dudhia 1989)","noteIndex":0},"citationItems":[{"id":483,"uris":["http://zotero.org/users/local/6VSApgKp/items/DI7ZF9MQ"],"itemData":{"id":483,"type":"article-journal","abstract":"Abstract A two-dimensional version of the Pennsylvania State University mesoscale model has been applied to Winter Monsoon Experiment data in order to simulate the diurnally occurring convection observed over the South China Sea. The domain includes a representation of part of Borneo as well as the sea so that the model can simulate the initiation of convection. Also included in the model are parameterizations of mesoscale ice phase and moisture processes and longwave and shortwave radiation with a diurnal cycle. This allows use of the model to test the relative importance of various heating mechanisms to the stratiform cloud deck, which typically occupies several hundred kilometers of the domain. Frank and Cohen's cumulus parameterization scheme is employed to represent vital unresolved vertical transports in the convective area. The major conclusions are: Ice phase processes are important in determining the level of maximum large-scale heating and vertical motion because there is a strong anvil component. The heating is initiated by a thermodynamic adjustment that takes place after the air leaves the updrafts and is associated with the difference between water and ice saturation. Melting and evaporation contribute to a 1ocalized mesoscale subsidence in a 50 km region to the rear of the moving convective area. The cooling associated with this almost cancels the cumulus heating in the lower to midtroposphere. Radiative heating was found to be the main ascent-forcing influence at high levels occupied by the widespread cirrus outflow. Additionally, radiative clear-air cooling helped the convection by continuously destabilizing the troposphere and countering the warming effect of convective updrafts. The overall structure and development of the system were well simulated, particularly the growth near the coast, and the propagation and decay in the cooler boundary layer further off-shore, but the rainfall may have been underestimated because of the two-dimensional assumptions of the model.","container-title":"Journal of the Atmospheric Sciences","DOI":"10.1175/1520-0469(1989)046&lt;3077:NSOCOD&gt;2.0.CO;2","ISSN":"0022-4928, 1520-0469","issue":"20","language":"EN","note":"publisher: American Meteorological Society\nsection: Journal of the Atmospheric Sciences","page":"3077-3107","source":"journals.ametsoc.org","title":"Numerical Study of Convection Observed during the Winter Monsoon Experiment Using a Mesoscale Two-Dimensional Model","volume":"46","author":[{"family":"Dudhia","given":"Jimy"}],"issued":{"date-parts":[["1989",10,15]]},"citation-key":"dudhiaNumericalStudyConvection1989"}}],"schema":"https://github.com/citation-style-language/schema/raw/master/csl-citation.json"} </w:instrText>
      </w:r>
      <w:r w:rsidR="00A3683E">
        <w:fldChar w:fldCharType="separate"/>
      </w:r>
      <w:r w:rsidR="00A3683E">
        <w:rPr>
          <w:noProof/>
        </w:rPr>
        <w:t>(Dudhia 1989)</w:t>
      </w:r>
      <w:r w:rsidR="00A3683E">
        <w:fldChar w:fldCharType="end"/>
      </w:r>
      <w:r w:rsidRPr="00042836">
        <w:t>,</w:t>
      </w:r>
      <w:r w:rsidRPr="00042836">
        <w:rPr>
          <w:rFonts w:eastAsia="宋体"/>
        </w:rPr>
        <w:t xml:space="preserve"> </w:t>
      </w:r>
      <w:r w:rsidRPr="00042836">
        <w:t>the Yonsei University planetary boundary layer scheme</w:t>
      </w:r>
      <w:r w:rsidR="007164E2">
        <w:t xml:space="preserve"> </w:t>
      </w:r>
      <w:r w:rsidR="007164E2">
        <w:fldChar w:fldCharType="begin"/>
      </w:r>
      <w:r w:rsidR="007164E2">
        <w:instrText xml:space="preserve"> ADDIN ZOTERO_ITEM CSL_CITATION {"citationID":"PAXYyd6e","properties":{"formattedCitation":"(Hong et al. 2006)","plainCitation":"(Hong et al. 2006)","noteIndex":0},"citationItems":[{"id":415,"uris":["http://zotero.org/users/local/6VSApgKp/items/LCNTU2KB"],"itemData":{"id":415,"type":"article-journal","abstract":"Abstract This paper proposes a revised vertical diffusion package with a nonlocal turbulent mixing coefficient in the planetary boundary layer (PBL). Based on the study of Noh et al. and accumulated results of the behavior of the Hong and Pan algorithm, a revised vertical diffusion algorithm that is suitable for weather forecasting and climate prediction models is developed. The major ingredient of the revision is the inclusion of an explicit treatment of entrainment processes at the top of the PBL. The new diffusion package is called the Yonsei University PBL (YSU PBL). In a one-dimensional offline test framework, the revised scheme is found to improve several features compared with the Hong and Pan implementation. The YSU PBL increases boundary layer mixing in the thermally induced free convection regime and decreases it in the mechanically induced forced convection regime, which alleviates the well-known problems in the Medium-Range Forecast (MRF) PBL. Excessive mixing in the mixed layer in the presence of strong winds is resolved. Overly rapid growth of the PBL in the case of the Hong and Pan is also rectified. The scheme has been successfully implemented in the Weather Research and Forecast model producing a more realistic structure of the PBL and its development. In a case study of a frontal tornado outbreak, it is found that some systematic biases of the large-scale features such as an afternoon cold bias at 850 hPa in the MRF PBL are resolved. Consequently, the new scheme does a better job in reproducing the convective inhibition. Because the convective inhibition is accurately predicted, widespread light precipitation ahead of a front, in the case of the MRF PBL, is reduced. In the frontal region, the YSU PBL scheme improves some characteristics, such as a double line of intense convection. This is because the boundary layer from the YSU PBL scheme remains less diluted by entrainment leaving more fuel for severe convection when the front triggers it.","container-title":"Monthly Weather Review","DOI":"10.1175/MWR3199.1","ISSN":"1520-0493, 0027-0644","issue":"9","language":"EN","note":"publisher: American Meteorological Society\nsection: Monthly Weather Review","page":"2318-2341","source":"journals.ametsoc.org","title":"A New Vertical Diffusion Package with an Explicit Treatment of Entrainment Processes","volume":"134","author":[{"family":"Hong","given":"Song-You"},{"family":"Noh","given":"Yign"},{"family":"Dudhia","given":"Jimy"}],"issued":{"date-parts":[["2006",9,1]]},"citation-key":"hongNewVerticalDiffusion2006"}}],"schema":"https://github.com/citation-style-language/schema/raw/master/csl-citation.json"} </w:instrText>
      </w:r>
      <w:r w:rsidR="007164E2">
        <w:fldChar w:fldCharType="separate"/>
      </w:r>
      <w:r w:rsidR="007164E2">
        <w:rPr>
          <w:noProof/>
        </w:rPr>
        <w:t>(Hong et al. 2006)</w:t>
      </w:r>
      <w:r w:rsidR="007164E2">
        <w:fldChar w:fldCharType="end"/>
      </w:r>
      <w:r w:rsidR="007164E2">
        <w:t>,</w:t>
      </w:r>
      <w:r>
        <w:t xml:space="preserve"> </w:t>
      </w:r>
      <w:r w:rsidRPr="00042836">
        <w:t xml:space="preserve">and the </w:t>
      </w:r>
      <w:r w:rsidRPr="00042836">
        <w:rPr>
          <w:rFonts w:eastAsia="宋体"/>
        </w:rPr>
        <w:t>r</w:t>
      </w:r>
      <w:r w:rsidRPr="00042836">
        <w:t xml:space="preserve">apid </w:t>
      </w:r>
      <w:r w:rsidRPr="00042836">
        <w:rPr>
          <w:rFonts w:eastAsia="宋体"/>
        </w:rPr>
        <w:t>r</w:t>
      </w:r>
      <w:r w:rsidRPr="00042836">
        <w:t xml:space="preserve">adiative </w:t>
      </w:r>
      <w:r w:rsidRPr="00042836">
        <w:rPr>
          <w:rFonts w:eastAsia="宋体"/>
        </w:rPr>
        <w:t>t</w:t>
      </w:r>
      <w:r>
        <w:t xml:space="preserve">ransfer </w:t>
      </w:r>
      <w:r w:rsidRPr="00042836">
        <w:rPr>
          <w:rFonts w:eastAsia="宋体"/>
        </w:rPr>
        <w:t>m</w:t>
      </w:r>
      <w:r w:rsidRPr="00042836">
        <w:t>odel</w:t>
      </w:r>
      <w:r>
        <w:t xml:space="preserve"> </w:t>
      </w:r>
      <w:r w:rsidRPr="00042836">
        <w:t>longwave radiation scheme</w:t>
      </w:r>
      <w:r>
        <w:t xml:space="preserve"> </w:t>
      </w:r>
      <w:r w:rsidR="007164E2">
        <w:fldChar w:fldCharType="begin"/>
      </w:r>
      <w:r w:rsidR="007164E2">
        <w:instrText xml:space="preserve"> ADDIN ZOTERO_ITEM CSL_CITATION {"citationID":"iWJarLkY","properties":{"formattedCitation":"(Mlawer et al. 1997)","plainCitation":"(Mlawer et al. 1997)","noteIndex":0},"citationItems":[{"id":485,"uris":["http://zotero.org/users/local/6VSApgKp/items/XG38VTAF"],"itemData":{"id":485,"type":"article-journal","abstract":"A rapid and accurate radiative transfer model (RRTM) for climate applications has been developed and the results extensively evaluated. The current version of RRTM calculates fluxes and cooling rates for the longwave spectral region (10–3000 cm−1) for an arbitrary clear atmosphere. The molecular species treated in the model are water vapor, carbon dioxide, ozone, methane, nitrous oxide, and the common halocarbons. The radiative transfer in RRTM is performed using the correlated-k method: the k distributions are attained directly from the LBLRTM line-by-line model, which connects the absorption coefficients used by RRTM to high-resolution radiance validations done with observations. Refined methods have been developed for treating bands containing gases with overlapping absorption, for the determination of values of the Planck function appropriate for use in the correlated-k approach, and for the inclusion of minor absorbing species in a band. The flux and cooling rate results of RRTM are linked to measurement through the use of LBLRTM, which has been substantially validated with observations. Validations of RRTM using LBLRTM have been performed for the midlatitude summer, tropical, midlatitude winter, subarctic winter, and four atmospheres from the Spectral Radiance Experiment campaign. On the basis of these validations the longwave accuracy of RRTM for any atmosphere is as follows: 0.6 W m−2 (relative to LBLRTM) for net flux in each band at all altitudes, with a total (10–3000 cm−1) error of less than 1.0 W m−2 at any altitude; 0.07 K d−1 for total cooling rate error in the troposphere and lower stratosphere, and 0.75 K d−1 in the upper stratosphere and above. Other comparisons have been performed on RRTM using LBLRTM to gauge its sensitivity to changes in the abundance of specific species, including the halocarbons and carbon dioxide. The radiative forcing due to doubling the concentration of carbon dioxide is attained with an accuracy of 0.24 W m−2, an error of less than 5%. The speed of execution of RRTM compares favorably with that of other rapid radiation models, indicating that the model is suitable for use in general circulation models.","container-title":"Journal of Geophysical Research: Atmospheres","DOI":"10.1029/97JD00237","ISSN":"2156-2202","issue":"D14","language":"en","note":"_eprint: https://onlinelibrary.wiley.com/doi/pdf/10.1029/97JD00237","page":"16663-16682","source":"Wiley Online Library","title":"Radiative transfer for inhomogeneous atmospheres: RRTM, a validated correlated-k model for the longwave","title-short":"Radiative transfer for inhomogeneous atmospheres","volume":"102","author":[{"family":"Mlawer","given":"Eli J."},{"family":"Taubman","given":"Steven J."},{"family":"Brown","given":"Patrick D."},{"family":"Iacono","given":"Michael J."},{"family":"Clough","given":"Shepard A."}],"issued":{"date-parts":[["1997"]]},"citation-key":"mlawerRadiativeTransferInhomogeneous1997"}}],"schema":"https://github.com/citation-style-language/schema/raw/master/csl-citation.json"} </w:instrText>
      </w:r>
      <w:r w:rsidR="007164E2">
        <w:fldChar w:fldCharType="separate"/>
      </w:r>
      <w:r w:rsidR="007164E2">
        <w:rPr>
          <w:noProof/>
        </w:rPr>
        <w:t>(Mlawer et al. 1997)</w:t>
      </w:r>
      <w:r w:rsidR="007164E2">
        <w:fldChar w:fldCharType="end"/>
      </w:r>
      <w:r w:rsidRPr="00042836">
        <w:t xml:space="preserve">. </w:t>
      </w:r>
      <w:r>
        <w:t>The</w:t>
      </w:r>
      <w:r>
        <w:rPr>
          <w:rFonts w:eastAsia="宋体"/>
        </w:rPr>
        <w:t xml:space="preserve"> model domain</w:t>
      </w:r>
      <w:r w:rsidRPr="00042836">
        <w:rPr>
          <w:rFonts w:eastAsia="宋体"/>
        </w:rPr>
        <w:t xml:space="preserve"> size </w:t>
      </w:r>
      <w:r>
        <w:rPr>
          <w:rFonts w:eastAsia="宋体"/>
        </w:rPr>
        <w:t>for both</w:t>
      </w:r>
      <w:r w:rsidRPr="00042836">
        <w:rPr>
          <w:rFonts w:eastAsia="宋体"/>
        </w:rPr>
        <w:t xml:space="preserve"> cases </w:t>
      </w:r>
      <w:r>
        <w:rPr>
          <w:rFonts w:eastAsia="宋体"/>
        </w:rPr>
        <w:t>is</w:t>
      </w:r>
      <w:r w:rsidRPr="00042836">
        <w:rPr>
          <w:rFonts w:eastAsia="宋体"/>
        </w:rPr>
        <w:t xml:space="preserve"> </w:t>
      </w:r>
      <w:r>
        <w:t>90</w:t>
      </w:r>
      <w:r w:rsidRPr="00042836">
        <w:t xml:space="preserve">0 </w:t>
      </w:r>
      <w:r>
        <w:sym w:font="Symbol" w:char="F0B4"/>
      </w:r>
      <w:r w:rsidRPr="00042836">
        <w:t xml:space="preserve"> </w:t>
      </w:r>
      <w:r>
        <w:t>90</w:t>
      </w:r>
      <w:r w:rsidRPr="00042836">
        <w:t>0 km</w:t>
      </w:r>
      <w:r w:rsidR="007164E2">
        <w:rPr>
          <w:vertAlign w:val="superscript"/>
        </w:rPr>
        <w:t>2</w:t>
      </w:r>
      <w:r w:rsidRPr="00042836">
        <w:rPr>
          <w:rFonts w:eastAsia="宋体"/>
        </w:rPr>
        <w:t xml:space="preserve">, </w:t>
      </w:r>
      <w:r>
        <w:t>with</w:t>
      </w:r>
      <w:r w:rsidRPr="00042836">
        <w:t xml:space="preserve"> </w:t>
      </w:r>
      <w:r>
        <w:t>a</w:t>
      </w:r>
      <w:r w:rsidRPr="00042836">
        <w:t xml:space="preserve"> </w:t>
      </w:r>
      <w:r w:rsidRPr="00042836">
        <w:rPr>
          <w:rFonts w:eastAsia="宋体"/>
        </w:rPr>
        <w:t xml:space="preserve">horizontal </w:t>
      </w:r>
      <w:r>
        <w:rPr>
          <w:rFonts w:eastAsia="宋体"/>
        </w:rPr>
        <w:t>grid spacing</w:t>
      </w:r>
      <w:r w:rsidRPr="00042836">
        <w:rPr>
          <w:rFonts w:eastAsia="宋体"/>
        </w:rPr>
        <w:t xml:space="preserve"> of </w:t>
      </w:r>
      <w:r w:rsidRPr="00042836">
        <w:t>1.5 km</w:t>
      </w:r>
      <w:r>
        <w:rPr>
          <w:rFonts w:eastAsia="宋体"/>
        </w:rPr>
        <w:t>.</w:t>
      </w:r>
      <w:r w:rsidRPr="00042836">
        <w:rPr>
          <w:rFonts w:eastAsia="宋体"/>
        </w:rPr>
        <w:t xml:space="preserve"> </w:t>
      </w:r>
      <w:r w:rsidRPr="00042836">
        <w:t xml:space="preserve">The </w:t>
      </w:r>
      <w:r>
        <w:t xml:space="preserve">stretched </w:t>
      </w:r>
      <w:r w:rsidRPr="00042836">
        <w:t xml:space="preserve">vertical grid </w:t>
      </w:r>
      <w:r>
        <w:t>consists of</w:t>
      </w:r>
      <w:r w:rsidRPr="00042836">
        <w:t xml:space="preserve"> 51 levels with </w:t>
      </w:r>
      <w:r>
        <w:t xml:space="preserve">a </w:t>
      </w:r>
      <w:r w:rsidRPr="00042836">
        <w:t xml:space="preserve">top </w:t>
      </w:r>
      <w:r>
        <w:t xml:space="preserve">set </w:t>
      </w:r>
      <w:r w:rsidRPr="00042836">
        <w:t xml:space="preserve">at </w:t>
      </w:r>
      <w:r w:rsidR="007164E2">
        <w:t>2</w:t>
      </w:r>
      <w:r w:rsidRPr="00042836">
        <w:t>0</w:t>
      </w:r>
      <w:r>
        <w:t xml:space="preserve"> </w:t>
      </w:r>
      <w:r w:rsidRPr="00042836">
        <w:t>hPa</w:t>
      </w:r>
      <w:r w:rsidRPr="00042836">
        <w:rPr>
          <w:rFonts w:eastAsia="宋体"/>
        </w:rPr>
        <w:t>.</w:t>
      </w:r>
      <w:r>
        <w:rPr>
          <w:rFonts w:eastAsia="宋体"/>
        </w:rPr>
        <w:t xml:space="preserve"> </w:t>
      </w:r>
      <w:r w:rsidRPr="00042836">
        <w:t xml:space="preserve">The time step </w:t>
      </w:r>
      <w:r>
        <w:t>for the integration of the prognostic equations</w:t>
      </w:r>
      <w:r w:rsidRPr="00042836">
        <w:t xml:space="preserve"> </w:t>
      </w:r>
      <w:r>
        <w:t xml:space="preserve">is set to </w:t>
      </w:r>
      <w:r w:rsidRPr="00042836">
        <w:t>6</w:t>
      </w:r>
      <w:r>
        <w:t xml:space="preserve"> </w:t>
      </w:r>
      <w:r w:rsidRPr="00042836">
        <w:t>s</w:t>
      </w:r>
      <w:r>
        <w:t>econds</w:t>
      </w:r>
      <w:r w:rsidRPr="00042836">
        <w:t>.</w:t>
      </w:r>
    </w:p>
    <w:p w14:paraId="0DDC6CFF" w14:textId="459C3399" w:rsidR="007F70B5" w:rsidRPr="00DD27DC" w:rsidRDefault="000C65EE" w:rsidP="007F70B5">
      <w:r w:rsidRPr="000C65EE">
        <w:lastRenderedPageBreak/>
        <w:t>The configurations used here are identical to those used in the hybrid ensemble Kalman filter and variational data assimilation schemes implemented in the HWT SFE 2021 real-time operational environment</w:t>
      </w:r>
      <w:r>
        <w:t xml:space="preserve"> </w:t>
      </w:r>
      <w:r w:rsidR="007164E2">
        <w:fldChar w:fldCharType="begin"/>
      </w:r>
      <w:r w:rsidR="00186B73">
        <w:instrText xml:space="preserve"> ADDIN ZOTERO_ITEM CSL_CITATION {"citationID":"HXClaKHi","properties":{"formattedCitation":"(Gao and Coauthors 2022; Carpenter 2022)","plainCitation":"(Gao and Coauthors 2022; Carpenter 2022)","dontUpdate":true,"noteIndex":0},"citationItems":[{"id":468,"uris":["http://zotero.org/users/local/6VSApgKp/items/TMCE7VYS"],"itemData":{"id":468,"type":"webpage","container-title":"AMS - 30th Conference on Severe Local Storms","title":"The Performance of the Warn-on-Forecast Hybrid Data Assimilation and Forecasting System During the HWT Spring Forecast Experiment in 2021","URL":"https://ams.confex.com/ams/30SLS/meetingapp.cgi/Home/0","author":[{"family":"Gao","given":"Jidong"},{"family":"Coauthors","given":""}],"accessed":{"date-parts":[["2023",3,22]]},"issued":{"date-parts":[["2022"]]},"citation-key":"gaoPerformanceWarnonForecastHybrid2022"}},{"id":394,"uris":["http://zotero.org/users/local/6VSApgKp/items/94LGTI6D"],"itemData":{"id":394,"type":"article-journal","abstract":"Over the last few decades, it has become more important than ever to provide accurate forecasts for severe hazards that have become more common due to climate change effects. Over this time, several forecasting experiments have been performed with increasing computer power to better our understanding of these hazards. Currently, severe thunderstorms are diagnosed through a Warn-on-Detection paradigm, which bases severe warnings on storm reports or live radar data. To increase severe warning lead times, a Warn-on-Forecast has been developed, which focuses on the forecast evolution of ensemble systems to focus on probabilistic guidance of individual thunderstorm hazards. From this, the Warn-on-Forecast System (WoFS, defined in Section 1.3) and Warn-on-Forecast Hybrid System (WoF-Hybrid, defined in Section 1.5) have been developed. \r\n\r\nThe purpose of this study is to demonstrate and evaluate the capability of WoFS and WoF-Hybrid for predicting short-term severe weather forecasts that occurred during 2021 and help to identify room for future improvement. In addition to the 3 km grid-spacing, 18-member Experimental Warn-on-Forecast System (WoFS), which uses a Gridpoint Statistical Interpolation- Ensemble Kalman Filter (GSI-EnKF) data assimilation method, a 1.5 km grid-spacing, single member hybrid three-dimensional ensemble–variational data assimilation (3DEnVar System; referred to hereafter as WoF-Hybrid) has been tested for several years in NOAA Hazardous Weather Testbed (HWT) Spring Forecasting Experiments (SFE). Whether WoF-Hybrid exhibits attributes that complement WoFS is an open question. This is addressed by applying a spatial verification method, Fractions Skill Score (FSS), and object-based verification measures to 31 cases between April–December 2021. For the spatial verification method, WoF-Hybrid reflectivity FSSs are significantly lower than the WoFS member average at forecast initialization. Scores converge after one hour and are higher for WoF-Hybrid through the rest of the period. The difference in skill at initialization may be attributed to a higher reflectivity bias and a greater number of spurious convective cells in WoF-Hybrid. \r\n\r\nThe object-based method applied to reflectivity shows similar probability of detections (PODs) and false alarm ratios (FARs) for both systems. For updraft helicity (UH), however, WoF-Hybrid yields better PODs at all lead times. WoF-Hybrid better resolves UH swaths seen in plan-view analysis of forecast output, which tend to be narrow in the verification dataset. Partitioning cases based on event severity per the number of local storm reports, this study shows WoF-Hybrid has higher PODs and lower FARs than the WoFS member average for both reflectivity and UH in eight high-end events. WoF-Hybrid forecast reflectivity objects are both closer in size and location to observed objects than are WoFS objects. \r\n\r\nThree severe weather events of 26 May and 27 May (multi-mode severe and heavy rain), and 10 December (rare winter tornado outbreak) are selected for detailed investigation. In each May case, PODs and FARs for both prediction systems were similar; however, for 10 December, WoF-Hybrid far outperformed WoFS in forecasts of the single most impactful thunderstorm in the dataset (quad-state tornadic supercell). These results suggest that using both WoF-Hybrid and WoFS forecast guidance may better support NWS forecasters' warning and forecast decisions.","language":"en","note":"Accepted: 2022-12-12T15:24:28Z","source":"shareok.org","title":"Evaluation of the experimental warn-on-forecast system and WoF-hybrid 3DEnVar system on short-term forecasts for 2021 real-time cases","URL":"https://shareok.org/handle/11244/336918","author":[{"family":"Carpenter","given":"Noah"}],"accessed":{"date-parts":[["2023",2,8]]},"issued":{"date-parts":[["2022",12,16]]},"citation-key":"carpenterEvaluationExperimentalWarnonforecast2022"}}],"schema":"https://github.com/citation-style-language/schema/raw/master/csl-citation.json"} </w:instrText>
      </w:r>
      <w:r w:rsidR="007164E2">
        <w:fldChar w:fldCharType="separate"/>
      </w:r>
      <w:r w:rsidR="007164E2">
        <w:rPr>
          <w:noProof/>
        </w:rPr>
        <w:t>(Gao et al. 2022; Carpenter 2022)</w:t>
      </w:r>
      <w:r w:rsidR="007164E2">
        <w:fldChar w:fldCharType="end"/>
      </w:r>
      <w:r w:rsidR="007F70B5">
        <w:t xml:space="preserve">, except that the assimilation of radar and satellite observations starts from 1800 UTC and ends at 0300 UTC, the next day for both cases. </w:t>
      </w:r>
      <w:r w:rsidR="007F70B5">
        <w:rPr>
          <w:color w:val="000000" w:themeColor="text1"/>
        </w:rPr>
        <w:t>T</w:t>
      </w:r>
      <w:r w:rsidR="007F70B5" w:rsidRPr="000A3D61">
        <w:rPr>
          <w:color w:val="000000" w:themeColor="text1"/>
        </w:rPr>
        <w:t xml:space="preserve">he 3-km </w:t>
      </w:r>
      <w:r w:rsidR="00682CE2">
        <w:rPr>
          <w:color w:val="000000" w:themeColor="text1"/>
        </w:rPr>
        <w:t>HRRR</w:t>
      </w:r>
      <w:r w:rsidR="007F70B5">
        <w:rPr>
          <w:color w:val="000000" w:themeColor="text1"/>
        </w:rPr>
        <w:t xml:space="preserve"> </w:t>
      </w:r>
      <w:r w:rsidR="007F70B5" w:rsidRPr="000A3D61">
        <w:rPr>
          <w:color w:val="000000" w:themeColor="text1"/>
        </w:rPr>
        <w:t xml:space="preserve">forecast </w:t>
      </w:r>
      <w:r w:rsidR="007F70B5">
        <w:rPr>
          <w:color w:val="000000" w:themeColor="text1"/>
        </w:rPr>
        <w:t xml:space="preserve">products are used for </w:t>
      </w:r>
      <w:r w:rsidR="007F70B5" w:rsidRPr="000A3D61">
        <w:rPr>
          <w:color w:val="000000" w:themeColor="text1"/>
        </w:rPr>
        <w:t>provid</w:t>
      </w:r>
      <w:r w:rsidR="007F70B5">
        <w:rPr>
          <w:color w:val="000000" w:themeColor="text1"/>
        </w:rPr>
        <w:t>ing</w:t>
      </w:r>
      <w:r w:rsidR="007F70B5" w:rsidRPr="000A3D61">
        <w:rPr>
          <w:color w:val="000000" w:themeColor="text1"/>
        </w:rPr>
        <w:t xml:space="preserve"> the initial background for the </w:t>
      </w:r>
      <w:r w:rsidR="003F0051">
        <w:rPr>
          <w:color w:val="000000" w:themeColor="text1"/>
        </w:rPr>
        <w:t>DA</w:t>
      </w:r>
      <w:r w:rsidR="007F70B5" w:rsidRPr="000A3D61">
        <w:rPr>
          <w:color w:val="000000" w:themeColor="text1"/>
        </w:rPr>
        <w:t xml:space="preserve"> cycles and the lateral boundary conditions for forecasts. For each case, the radar observations are assimilated every 15 minutes, and the conventional observations (e.g., soundings, surface stations) are assimilated hourly. </w:t>
      </w:r>
      <w:r w:rsidR="007F70B5">
        <w:rPr>
          <w:color w:val="000000" w:themeColor="text1"/>
        </w:rPr>
        <w:t>Six-hour</w:t>
      </w:r>
      <w:r w:rsidR="007F70B5" w:rsidRPr="000A3D61">
        <w:rPr>
          <w:color w:val="000000" w:themeColor="text1"/>
        </w:rPr>
        <w:t xml:space="preserve"> forecasts are launched hourly until </w:t>
      </w:r>
      <w:r w:rsidR="007F70B5">
        <w:rPr>
          <w:color w:val="000000" w:themeColor="text1"/>
        </w:rPr>
        <w:t>0</w:t>
      </w:r>
      <w:r w:rsidR="007F70B5" w:rsidRPr="000A3D61">
        <w:rPr>
          <w:color w:val="000000" w:themeColor="text1"/>
        </w:rPr>
        <w:t xml:space="preserve">300 UTC. </w:t>
      </w:r>
      <w:r w:rsidR="007F70B5">
        <w:rPr>
          <w:color w:val="000000" w:themeColor="text1"/>
        </w:rPr>
        <w:t>T</w:t>
      </w:r>
      <w:r w:rsidR="007F70B5" w:rsidRPr="000A3D61">
        <w:rPr>
          <w:color w:val="000000" w:themeColor="text1"/>
        </w:rPr>
        <w:t xml:space="preserve">he </w:t>
      </w:r>
      <w:r w:rsidR="00682CE2">
        <w:rPr>
          <w:color w:val="000000" w:themeColor="text1"/>
        </w:rPr>
        <w:t>MRMS</w:t>
      </w:r>
      <w:r w:rsidR="007F70B5" w:rsidRPr="000A3D61">
        <w:rPr>
          <w:color w:val="000000" w:themeColor="text1"/>
        </w:rPr>
        <w:t xml:space="preserve"> composite radar reflectivity dataset</w:t>
      </w:r>
      <w:r w:rsidR="007F70B5">
        <w:rPr>
          <w:color w:val="000000" w:themeColor="text1"/>
        </w:rPr>
        <w:t xml:space="preserve">, and </w:t>
      </w:r>
      <w:r w:rsidR="00682CE2">
        <w:rPr>
          <w:color w:val="000000" w:themeColor="text1"/>
        </w:rPr>
        <w:t>NWS/SPC</w:t>
      </w:r>
      <w:r w:rsidR="007F70B5">
        <w:rPr>
          <w:color w:val="000000" w:themeColor="text1"/>
        </w:rPr>
        <w:t xml:space="preserve"> storm reports</w:t>
      </w:r>
      <w:r w:rsidR="007F70B5" w:rsidRPr="000A3D61">
        <w:rPr>
          <w:color w:val="000000" w:themeColor="text1"/>
        </w:rPr>
        <w:t xml:space="preserve"> </w:t>
      </w:r>
      <w:r w:rsidR="007F70B5">
        <w:rPr>
          <w:color w:val="000000" w:themeColor="text1"/>
        </w:rPr>
        <w:t>(</w:t>
      </w:r>
      <w:r w:rsidR="007F70B5" w:rsidRPr="009432C0">
        <w:rPr>
          <w:color w:val="000000" w:themeColor="text1"/>
        </w:rPr>
        <w:t>https://www.spc.noaa.gov/climo/online/</w:t>
      </w:r>
      <w:r w:rsidR="007F70B5">
        <w:rPr>
          <w:color w:val="000000" w:themeColor="text1"/>
        </w:rPr>
        <w:t xml:space="preserve">) </w:t>
      </w:r>
      <w:r w:rsidR="007F70B5" w:rsidRPr="000A3D61">
        <w:rPr>
          <w:color w:val="000000" w:themeColor="text1"/>
        </w:rPr>
        <w:t>are used to verify the forecast</w:t>
      </w:r>
      <w:r w:rsidR="007F70B5">
        <w:rPr>
          <w:color w:val="000000" w:themeColor="text1"/>
        </w:rPr>
        <w:t xml:space="preserve"> performance</w:t>
      </w:r>
      <w:r w:rsidR="007F70B5" w:rsidRPr="000A3D61">
        <w:rPr>
          <w:color w:val="000000" w:themeColor="text1"/>
        </w:rPr>
        <w:t>.</w:t>
      </w:r>
    </w:p>
    <w:p w14:paraId="360162BC" w14:textId="5FABDBE4" w:rsidR="007F70B5" w:rsidRDefault="007F70B5" w:rsidP="007F70B5">
      <w:pPr>
        <w:rPr>
          <w:color w:val="000000" w:themeColor="text1"/>
        </w:rPr>
      </w:pPr>
      <w:r w:rsidRPr="000175F8">
        <w:rPr>
          <w:color w:val="000000"/>
        </w:rPr>
        <w:t xml:space="preserve">Prior to conducting real data case studies, the impact of a single observation on nearby grid points </w:t>
      </w:r>
      <w:r>
        <w:rPr>
          <w:color w:val="000000"/>
        </w:rPr>
        <w:t>is</w:t>
      </w:r>
      <w:r w:rsidRPr="000175F8">
        <w:rPr>
          <w:color w:val="000000"/>
        </w:rPr>
        <w:t xml:space="preserve"> evaluated through the analysis increments.</w:t>
      </w:r>
      <w:r>
        <w:rPr>
          <w:color w:val="000000"/>
        </w:rPr>
        <w:t xml:space="preserve"> Two</w:t>
      </w:r>
      <w:r w:rsidRPr="006C632E">
        <w:rPr>
          <w:color w:val="000000"/>
        </w:rPr>
        <w:t xml:space="preserve"> single observation experiments are performed to </w:t>
      </w:r>
      <w:r>
        <w:rPr>
          <w:color w:val="000000"/>
        </w:rPr>
        <w:t>compare</w:t>
      </w:r>
      <w:r w:rsidRPr="006C632E">
        <w:rPr>
          <w:color w:val="000000"/>
        </w:rPr>
        <w:t xml:space="preserve"> the behavior of the </w:t>
      </w:r>
      <w:r>
        <w:rPr>
          <w:color w:val="000000"/>
        </w:rPr>
        <w:t xml:space="preserve">analysis with the use of the newly developed weather-dependent background error </w:t>
      </w:r>
      <w:r w:rsidR="00F35DB8">
        <w:rPr>
          <w:color w:val="000000"/>
        </w:rPr>
        <w:t>covariances</w:t>
      </w:r>
      <w:r>
        <w:rPr>
          <w:color w:val="000000"/>
        </w:rPr>
        <w:t xml:space="preserve"> to the original scheme without using the weather-dependent error</w:t>
      </w:r>
      <w:r w:rsidR="0090213A">
        <w:rPr>
          <w:color w:val="000000"/>
        </w:rPr>
        <w:t xml:space="preserve"> covariances</w:t>
      </w:r>
      <w:r>
        <w:rPr>
          <w:color w:val="000000"/>
        </w:rPr>
        <w:t xml:space="preserve">. </w:t>
      </w:r>
      <w:r>
        <w:rPr>
          <w:color w:val="000000" w:themeColor="text1"/>
        </w:rPr>
        <w:t>Following the single observation experiment, two</w:t>
      </w:r>
      <w:r w:rsidRPr="000A3D61">
        <w:rPr>
          <w:color w:val="000000" w:themeColor="text1"/>
        </w:rPr>
        <w:t xml:space="preserve"> types of experiments</w:t>
      </w:r>
      <w:r>
        <w:rPr>
          <w:color w:val="000000" w:themeColor="text1"/>
        </w:rPr>
        <w:t xml:space="preserve"> are conducted for each real-data case,</w:t>
      </w:r>
      <w:r w:rsidRPr="000A3D61">
        <w:rPr>
          <w:color w:val="000000" w:themeColor="text1"/>
        </w:rPr>
        <w:t xml:space="preserve"> </w:t>
      </w:r>
      <w:r>
        <w:rPr>
          <w:color w:val="000000" w:themeColor="text1"/>
        </w:rPr>
        <w:t xml:space="preserve">one with the original </w:t>
      </w:r>
      <w:r>
        <w:t>homogeneous</w:t>
      </w:r>
      <w:r w:rsidRPr="000A3D61">
        <w:rPr>
          <w:color w:val="000000" w:themeColor="text1"/>
        </w:rPr>
        <w:t xml:space="preserve"> </w:t>
      </w:r>
      <w:r>
        <w:rPr>
          <w:color w:val="000000" w:themeColor="text1"/>
        </w:rPr>
        <w:t xml:space="preserve">background error </w:t>
      </w:r>
      <w:r w:rsidRPr="000A3D61">
        <w:rPr>
          <w:color w:val="000000" w:themeColor="text1"/>
        </w:rPr>
        <w:t>labeled</w:t>
      </w:r>
      <w:r>
        <w:rPr>
          <w:color w:val="000000" w:themeColor="text1"/>
        </w:rPr>
        <w:t xml:space="preserve"> as</w:t>
      </w:r>
      <w:r w:rsidRPr="000A3D61">
        <w:rPr>
          <w:color w:val="000000" w:themeColor="text1"/>
        </w:rPr>
        <w:t xml:space="preserve"> </w:t>
      </w:r>
      <w:r>
        <w:rPr>
          <w:color w:val="000000" w:themeColor="text1"/>
        </w:rPr>
        <w:t>“Retro”,</w:t>
      </w:r>
      <w:r w:rsidRPr="000A3D61">
        <w:rPr>
          <w:color w:val="000000" w:themeColor="text1"/>
        </w:rPr>
        <w:t xml:space="preserve"> and </w:t>
      </w:r>
      <w:r>
        <w:rPr>
          <w:color w:val="000000" w:themeColor="text1"/>
        </w:rPr>
        <w:t>another with the weather-dependent error structure labeled as “WD”</w:t>
      </w:r>
      <w:r w:rsidRPr="000A3D61">
        <w:rPr>
          <w:color w:val="000000" w:themeColor="text1"/>
        </w:rPr>
        <w:t xml:space="preserve">, are performed for each case. </w:t>
      </w:r>
      <w:r>
        <w:rPr>
          <w:color w:val="000000" w:themeColor="text1"/>
        </w:rPr>
        <w:t>The results of these two experiments</w:t>
      </w:r>
      <w:r w:rsidRPr="000A3D61">
        <w:rPr>
          <w:color w:val="000000" w:themeColor="text1"/>
        </w:rPr>
        <w:t xml:space="preserve"> are compared to investigate the impact of the </w:t>
      </w:r>
      <w:r>
        <w:rPr>
          <w:color w:val="000000" w:themeColor="text1"/>
        </w:rPr>
        <w:t>newly constructed weather-dependent error standard deviations</w:t>
      </w:r>
      <w:r w:rsidRPr="000A3D61">
        <w:rPr>
          <w:color w:val="000000" w:themeColor="text1"/>
        </w:rPr>
        <w:t xml:space="preserve"> on short-term convective</w:t>
      </w:r>
      <w:r>
        <w:rPr>
          <w:color w:val="000000" w:themeColor="text1"/>
        </w:rPr>
        <w:t>-</w:t>
      </w:r>
      <w:r w:rsidRPr="000A3D61">
        <w:rPr>
          <w:color w:val="000000" w:themeColor="text1"/>
        </w:rPr>
        <w:t>scale severe weather forecast</w:t>
      </w:r>
      <w:r>
        <w:rPr>
          <w:color w:val="000000" w:themeColor="text1"/>
        </w:rPr>
        <w:t>s</w:t>
      </w:r>
      <w:r w:rsidRPr="000A3D61">
        <w:rPr>
          <w:color w:val="000000" w:themeColor="text1"/>
        </w:rPr>
        <w:t xml:space="preserve"> within the </w:t>
      </w:r>
      <w:r>
        <w:rPr>
          <w:color w:val="000000" w:themeColor="text1"/>
        </w:rPr>
        <w:t xml:space="preserve">pure </w:t>
      </w:r>
      <w:r w:rsidRPr="000A3D61">
        <w:rPr>
          <w:color w:val="000000" w:themeColor="text1"/>
        </w:rPr>
        <w:t xml:space="preserve">variational </w:t>
      </w:r>
      <w:r w:rsidR="003F0051">
        <w:rPr>
          <w:color w:val="000000" w:themeColor="text1"/>
        </w:rPr>
        <w:t>DA</w:t>
      </w:r>
      <w:r w:rsidRPr="000A3D61">
        <w:rPr>
          <w:color w:val="000000" w:themeColor="text1"/>
        </w:rPr>
        <w:t xml:space="preserve"> framework.</w:t>
      </w:r>
    </w:p>
    <w:p w14:paraId="48DB4481" w14:textId="1EDFF091" w:rsidR="00682CE2" w:rsidRDefault="00682CE2" w:rsidP="00682CE2">
      <w:pPr>
        <w:ind w:firstLine="0"/>
        <w:rPr>
          <w:color w:val="000000" w:themeColor="text1"/>
        </w:rPr>
      </w:pPr>
    </w:p>
    <w:p w14:paraId="372AF5FA" w14:textId="77777777" w:rsidR="00682CE2" w:rsidRDefault="00682CE2">
      <w:pPr>
        <w:pStyle w:val="Heading2"/>
      </w:pPr>
      <w:bookmarkStart w:id="101" w:name="_Toc130995457"/>
      <w:bookmarkStart w:id="102" w:name="_Toc131018322"/>
      <w:r>
        <w:lastRenderedPageBreak/>
        <w:t>Results for Single Observation Experiments</w:t>
      </w:r>
      <w:bookmarkEnd w:id="101"/>
      <w:bookmarkEnd w:id="102"/>
    </w:p>
    <w:p w14:paraId="062B3EA2" w14:textId="05C0BC41" w:rsidR="00682CE2" w:rsidRDefault="00682CE2" w:rsidP="00682CE2">
      <w:r w:rsidRPr="008F6D78">
        <w:t xml:space="preserve">A single-observation experiment is </w:t>
      </w:r>
      <w:r>
        <w:t xml:space="preserve">first </w:t>
      </w:r>
      <w:r w:rsidRPr="008F6D78">
        <w:t xml:space="preserve">carried out to investigate the </w:t>
      </w:r>
      <w:r>
        <w:t>behavior</w:t>
      </w:r>
      <w:r w:rsidRPr="008F6D78">
        <w:t xml:space="preserve"> of </w:t>
      </w:r>
      <w:r>
        <w:t>the storm-scale analysis using weather-dependent</w:t>
      </w:r>
      <w:r w:rsidRPr="008F6D78">
        <w:t xml:space="preserve"> error </w:t>
      </w:r>
      <w:r>
        <w:t>profiles</w:t>
      </w:r>
      <w:r w:rsidRPr="008F6D78">
        <w:t>.</w:t>
      </w:r>
      <w:r>
        <w:t xml:space="preserve"> </w:t>
      </w:r>
      <w:r w:rsidRPr="008F6D78">
        <w:t xml:space="preserve">The experiment is based on </w:t>
      </w:r>
      <w:r>
        <w:t>the</w:t>
      </w:r>
      <w:r w:rsidRPr="008F6D78">
        <w:t xml:space="preserve"> </w:t>
      </w:r>
      <w:r>
        <w:t>event</w:t>
      </w:r>
      <w:r w:rsidRPr="008F6D78">
        <w:t xml:space="preserve"> that occurred at 2330</w:t>
      </w:r>
      <w:r>
        <w:t xml:space="preserve"> UTC</w:t>
      </w:r>
      <w:r w:rsidRPr="008F6D78">
        <w:t xml:space="preserve"> on </w:t>
      </w:r>
      <w:r w:rsidR="00EE0630">
        <w:t xml:space="preserve">15 </w:t>
      </w:r>
      <w:r w:rsidRPr="008F6D78">
        <w:t>May 2020</w:t>
      </w:r>
      <w:r>
        <w:t xml:space="preserve"> because of the complicated weather situation provided by this particular case</w:t>
      </w:r>
      <w:r w:rsidRPr="008F6D78">
        <w:t>.</w:t>
      </w:r>
      <w:r>
        <w:t xml:space="preserve"> In this experiment, several meridional wind observations within the analysis domain, whose locations are grid points (271, 389), (403, 369), (351, 250), (533, 324), (343, 403), (132, 159), (577, 455), (200, 371), (125, 60) at 800 hPa and 500 hPa are assimilated. These locations </w:t>
      </w:r>
      <w:r w:rsidRPr="008F6D78">
        <w:t>depict various weather conditions</w:t>
      </w:r>
      <w:r>
        <w:t xml:space="preserve"> in the 15 May 2020 event. The pseudo-observations are generated as a result of 3 m s</w:t>
      </w:r>
      <w:r w:rsidRPr="008F6D78">
        <w:rPr>
          <w:vertAlign w:val="superscript"/>
        </w:rPr>
        <w:t>-1</w:t>
      </w:r>
      <w:r>
        <w:t xml:space="preserve"> meridional wind innovation at these locations. </w:t>
      </w:r>
    </w:p>
    <w:p w14:paraId="4E02BF7C" w14:textId="4409DF95" w:rsidR="00EE0630" w:rsidRDefault="00EE0630" w:rsidP="00EE0630">
      <w:pPr>
        <w:pStyle w:val="NoSpacing"/>
      </w:pPr>
    </w:p>
    <w:p w14:paraId="4643E92E" w14:textId="77777777" w:rsidR="00EE0630" w:rsidRDefault="00EE0630" w:rsidP="00CC70A4">
      <w:pPr>
        <w:spacing w:line="240" w:lineRule="auto"/>
        <w:ind w:firstLine="0"/>
        <w:jc w:val="center"/>
      </w:pPr>
      <w:r>
        <w:rPr>
          <w:noProof/>
        </w:rPr>
        <w:drawing>
          <wp:inline distT="0" distB="0" distL="0" distR="0" wp14:anchorId="03ED3481" wp14:editId="3E03E48C">
            <wp:extent cx="5943600" cy="2218944"/>
            <wp:effectExtent l="0" t="0" r="0" b="0"/>
            <wp:docPr id="18" name="Picture 18" descr="A picture containing 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whiteboard&#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943600" cy="2218944"/>
                    </a:xfrm>
                    <a:prstGeom prst="rect">
                      <a:avLst/>
                    </a:prstGeom>
                  </pic:spPr>
                </pic:pic>
              </a:graphicData>
            </a:graphic>
          </wp:inline>
        </w:drawing>
      </w:r>
    </w:p>
    <w:p w14:paraId="49D33277" w14:textId="35A9DC49" w:rsidR="00EE0630" w:rsidRPr="00D60A80" w:rsidRDefault="00EE0630" w:rsidP="00EE0630">
      <w:pPr>
        <w:pStyle w:val="Captions"/>
        <w:rPr>
          <w:szCs w:val="24"/>
        </w:rPr>
      </w:pPr>
      <w:bookmarkStart w:id="103" w:name="_Toc134695283"/>
      <w:r w:rsidRPr="00D60A80">
        <w:rPr>
          <w:szCs w:val="24"/>
        </w:rPr>
        <w:t xml:space="preserve">Figure </w:t>
      </w:r>
      <w:r w:rsidR="00C96E3B" w:rsidRPr="00D60A80">
        <w:rPr>
          <w:szCs w:val="24"/>
        </w:rPr>
        <w:fldChar w:fldCharType="begin"/>
      </w:r>
      <w:r w:rsidR="00C96E3B" w:rsidRPr="00D60A80">
        <w:rPr>
          <w:szCs w:val="24"/>
        </w:rPr>
        <w:instrText xml:space="preserve"> STYLEREF 1 \s </w:instrText>
      </w:r>
      <w:r w:rsidR="00C96E3B" w:rsidRPr="00D60A80">
        <w:rPr>
          <w:szCs w:val="24"/>
        </w:rPr>
        <w:fldChar w:fldCharType="separate"/>
      </w:r>
      <w:r w:rsidR="00C77C87" w:rsidRPr="00D60A80">
        <w:rPr>
          <w:noProof/>
          <w:szCs w:val="24"/>
        </w:rPr>
        <w:t>4</w:t>
      </w:r>
      <w:r w:rsidR="00C96E3B" w:rsidRPr="00D60A80">
        <w:rPr>
          <w:noProof/>
          <w:szCs w:val="24"/>
        </w:rPr>
        <w:fldChar w:fldCharType="end"/>
      </w:r>
      <w:r w:rsidR="00C77C87" w:rsidRPr="00D60A80">
        <w:rPr>
          <w:szCs w:val="24"/>
        </w:rPr>
        <w:t>.</w:t>
      </w:r>
      <w:r w:rsidR="00C96E3B" w:rsidRPr="00D60A80">
        <w:rPr>
          <w:szCs w:val="24"/>
        </w:rPr>
        <w:fldChar w:fldCharType="begin"/>
      </w:r>
      <w:r w:rsidR="00C96E3B" w:rsidRPr="00D60A80">
        <w:rPr>
          <w:szCs w:val="24"/>
        </w:rPr>
        <w:instrText xml:space="preserve"> SEQ Figure \* ARABIC \s 1 </w:instrText>
      </w:r>
      <w:r w:rsidR="00C96E3B" w:rsidRPr="00D60A80">
        <w:rPr>
          <w:szCs w:val="24"/>
        </w:rPr>
        <w:fldChar w:fldCharType="separate"/>
      </w:r>
      <w:r w:rsidR="00C77C87" w:rsidRPr="00D60A80">
        <w:rPr>
          <w:noProof/>
          <w:szCs w:val="24"/>
        </w:rPr>
        <w:t>5</w:t>
      </w:r>
      <w:r w:rsidR="00C96E3B" w:rsidRPr="00D60A80">
        <w:rPr>
          <w:noProof/>
          <w:szCs w:val="24"/>
        </w:rPr>
        <w:fldChar w:fldCharType="end"/>
      </w:r>
      <w:r w:rsidRPr="00D60A80">
        <w:rPr>
          <w:szCs w:val="24"/>
        </w:rPr>
        <w:t xml:space="preserve"> The (a) MRMS composite reflectivity and the 500 hPa analysis increments of meridional wind field for (b) the single observation experiment with homogeneous background errors and (c) the single observation experiment with weather-dependent background errors at 2330 UTC on May 15, 2020. The blue and magenta lines indicate where the vertical cross sections are plotted in Fig. 4.6.</w:t>
      </w:r>
      <w:bookmarkEnd w:id="103"/>
    </w:p>
    <w:p w14:paraId="0AE4CBD5" w14:textId="77777777" w:rsidR="00EE0630" w:rsidRPr="008F6D78" w:rsidRDefault="00EE0630" w:rsidP="00EE0630">
      <w:pPr>
        <w:pStyle w:val="NoSpacing"/>
      </w:pPr>
    </w:p>
    <w:p w14:paraId="440E72EA" w14:textId="727BCE89" w:rsidR="00682CE2" w:rsidRDefault="00682CE2" w:rsidP="00682CE2">
      <w:r>
        <w:t xml:space="preserve">Figure </w:t>
      </w:r>
      <w:r w:rsidR="00EE0630">
        <w:t>4.</w:t>
      </w:r>
      <w:r>
        <w:t xml:space="preserve">5 </w:t>
      </w:r>
      <w:r w:rsidRPr="008F6D78">
        <w:t xml:space="preserve">illustrates the impact of </w:t>
      </w:r>
      <w:r>
        <w:t>weather-dependent background errors</w:t>
      </w:r>
      <w:r w:rsidRPr="008F6D78">
        <w:t xml:space="preserve"> on the analysis increments of </w:t>
      </w:r>
      <w:r>
        <w:t>meridional wind field</w:t>
      </w:r>
      <w:r w:rsidRPr="008F6D78">
        <w:t xml:space="preserve"> </w:t>
      </w:r>
      <w:r>
        <w:t>at 500 hPa when 9 pseudo meridional wind observations are assimilated</w:t>
      </w:r>
      <w:r w:rsidRPr="008F6D78">
        <w:t xml:space="preserve"> </w:t>
      </w:r>
      <w:r>
        <w:t>using the 3DV</w:t>
      </w:r>
      <w:r w:rsidR="00EA1DF0">
        <w:t>AR</w:t>
      </w:r>
      <w:r>
        <w:t xml:space="preserve"> approach</w:t>
      </w:r>
      <w:r w:rsidRPr="008F6D78">
        <w:t xml:space="preserve">. </w:t>
      </w:r>
      <w:r>
        <w:t>It is obvious that the</w:t>
      </w:r>
      <w:r w:rsidRPr="008F6D78">
        <w:t xml:space="preserve"> structure of meridional wind increments all exhibit isotropic Gaussian forms</w:t>
      </w:r>
      <w:r>
        <w:t xml:space="preserve"> (Fig. </w:t>
      </w:r>
      <w:r w:rsidR="00EE0630">
        <w:t>4.</w:t>
      </w:r>
      <w:r>
        <w:t>5</w:t>
      </w:r>
      <w:r w:rsidR="00EE0630">
        <w:t xml:space="preserve"> </w:t>
      </w:r>
      <w:r>
        <w:t xml:space="preserve">a) when using homogeneous background </w:t>
      </w:r>
      <w:r>
        <w:lastRenderedPageBreak/>
        <w:t>error profiles</w:t>
      </w:r>
      <w:r w:rsidRPr="008F6D78">
        <w:t xml:space="preserve">. As expected, the areas of the analysis increments influenced by each observation are comparable, with a </w:t>
      </w:r>
      <w:r>
        <w:t xml:space="preserve">similar </w:t>
      </w:r>
      <w:r w:rsidRPr="008F6D78">
        <w:t>maximum increment in the range of 1.8 to 2.1 m s</w:t>
      </w:r>
      <w:r w:rsidRPr="008F6D78">
        <w:rPr>
          <w:vertAlign w:val="superscript"/>
        </w:rPr>
        <w:t>-1</w:t>
      </w:r>
      <w:r w:rsidRPr="008F6D78">
        <w:t xml:space="preserve"> </w:t>
      </w:r>
      <w:r>
        <w:t>at</w:t>
      </w:r>
      <w:r w:rsidRPr="008F6D78">
        <w:t xml:space="preserve"> all pseudo-observation locations.</w:t>
      </w:r>
      <w:r>
        <w:t xml:space="preserve"> When applying the weather-dependent background error profiles (Fig. </w:t>
      </w:r>
      <w:r w:rsidR="00EE0630">
        <w:t>4.</w:t>
      </w:r>
      <w:r>
        <w:t>5</w:t>
      </w:r>
      <w:r w:rsidR="00EE0630">
        <w:t xml:space="preserve"> </w:t>
      </w:r>
      <w:r>
        <w:t xml:space="preserve">b), the analysis increment structures are remarkably changed </w:t>
      </w:r>
      <w:r w:rsidRPr="008F6D78">
        <w:t xml:space="preserve">resulting from the spread of the information from </w:t>
      </w:r>
      <w:r>
        <w:t>these pseudo-</w:t>
      </w:r>
      <w:r w:rsidRPr="008F6D78">
        <w:t>observation</w:t>
      </w:r>
      <w:r>
        <w:t>s</w:t>
      </w:r>
      <w:r w:rsidRPr="008F6D78">
        <w:t>.</w:t>
      </w:r>
      <w:r>
        <w:t xml:space="preserve"> It clearly shows that the analysis increment near the center of the analysis domain, which is associated with the pseudo-observation at grid point (351, 250), </w:t>
      </w:r>
      <w:r w:rsidRPr="008F6D78">
        <w:t>maintains</w:t>
      </w:r>
      <w:r>
        <w:t xml:space="preserve"> a semi-isotropic Gaussian shape with a smaller peak value in the range of 1.5 to 1.8 </w:t>
      </w:r>
      <w:r w:rsidRPr="008F6D78">
        <w:t>m s</w:t>
      </w:r>
      <w:r w:rsidRPr="008F6D78">
        <w:rPr>
          <w:vertAlign w:val="superscript"/>
        </w:rPr>
        <w:t>-1</w:t>
      </w:r>
      <w:r>
        <w:t xml:space="preserve"> when compared to the single observation experiment using homogeneous background error profiles. However</w:t>
      </w:r>
      <w:r w:rsidRPr="008F6D78">
        <w:t>, with the exception of</w:t>
      </w:r>
      <w:r>
        <w:t xml:space="preserve"> the increment at the domain’s center</w:t>
      </w:r>
      <w:r w:rsidRPr="008F6D78">
        <w:t xml:space="preserve">, all of the analysis increments have </w:t>
      </w:r>
      <w:r>
        <w:t>weather-dependent</w:t>
      </w:r>
      <w:r w:rsidRPr="008F6D78">
        <w:t xml:space="preserve"> </w:t>
      </w:r>
      <w:r>
        <w:t>characteristics</w:t>
      </w:r>
      <w:r w:rsidRPr="008F6D78">
        <w:t>, as indicated by the fact that higher analysis increments are extended along the higher composite reflectivity.</w:t>
      </w:r>
      <w:r>
        <w:t xml:space="preserve"> The maximum increments at these places are generally increased to a value greater than 2.4 </w:t>
      </w:r>
      <w:r w:rsidRPr="008F6D78">
        <w:t>m s</w:t>
      </w:r>
      <w:r w:rsidRPr="008F6D78">
        <w:rPr>
          <w:vertAlign w:val="superscript"/>
        </w:rPr>
        <w:t>-1</w:t>
      </w:r>
      <w:r>
        <w:t xml:space="preserve"> and are typically correlated to the convective core.</w:t>
      </w:r>
    </w:p>
    <w:p w14:paraId="795B5F55" w14:textId="152C9EC6" w:rsidR="00682CE2" w:rsidRDefault="00682CE2" w:rsidP="00682CE2">
      <w:r>
        <w:t xml:space="preserve">Figure </w:t>
      </w:r>
      <w:r w:rsidR="00EE0630">
        <w:t>4.</w:t>
      </w:r>
      <w:r>
        <w:t xml:space="preserve">6 displays vertical cross sections of meridional wind increment along the axis defined by the blue and magenta lines in Fig. </w:t>
      </w:r>
      <w:r w:rsidR="00EE0630">
        <w:t>4.</w:t>
      </w:r>
      <w:r>
        <w:t xml:space="preserve">5. </w:t>
      </w:r>
      <w:r w:rsidRPr="009D5E29">
        <w:t xml:space="preserve">The blue line </w:t>
      </w:r>
      <w:r>
        <w:t xml:space="preserve">in </w:t>
      </w:r>
      <w:r w:rsidRPr="009D5E29">
        <w:t xml:space="preserve">Fig. </w:t>
      </w:r>
      <w:r w:rsidR="00EE0630">
        <w:t>4.</w:t>
      </w:r>
      <w:r>
        <w:t>5</w:t>
      </w:r>
      <w:r w:rsidRPr="009D5E29">
        <w:t xml:space="preserve"> passes across two </w:t>
      </w:r>
      <w:r>
        <w:t>concurrent</w:t>
      </w:r>
      <w:r w:rsidRPr="009D5E29">
        <w:t xml:space="preserve"> strong convecti</w:t>
      </w:r>
      <w:r w:rsidR="006D5691">
        <w:t xml:space="preserve">ve </w:t>
      </w:r>
      <w:r w:rsidRPr="009D5E29">
        <w:t>s</w:t>
      </w:r>
      <w:r w:rsidR="006D5691">
        <w:t>torms</w:t>
      </w:r>
      <w:r w:rsidRPr="009D5E29">
        <w:t xml:space="preserve"> as well as the anvil area of another convection in the </w:t>
      </w:r>
      <w:r>
        <w:t>middle</w:t>
      </w:r>
      <w:r w:rsidRPr="009D5E29">
        <w:t xml:space="preserve"> of the two</w:t>
      </w:r>
      <w:r>
        <w:t xml:space="preserve"> and the magenta line passes across two adjacent intense convecti</w:t>
      </w:r>
      <w:r w:rsidR="006D5691">
        <w:t>ve cells</w:t>
      </w:r>
      <w:r>
        <w:t xml:space="preserve"> and the clear sky area where a </w:t>
      </w:r>
      <w:r w:rsidR="000C65EE">
        <w:t>pseudo-observation</w:t>
      </w:r>
      <w:r>
        <w:t xml:space="preserve"> is assimilated. </w:t>
      </w:r>
      <w:r w:rsidR="00385B64" w:rsidRPr="00385B64">
        <w:t xml:space="preserve">In the comparison of two single observation experiments (Fig. 4.6 a vs b), it </w:t>
      </w:r>
      <w:r w:rsidR="007834BC">
        <w:t>is</w:t>
      </w:r>
      <w:r w:rsidR="00385B64" w:rsidRPr="00385B64">
        <w:t xml:space="preserve"> observed that the use of weather-dependent background errors result</w:t>
      </w:r>
      <w:r w:rsidR="007834BC">
        <w:t>s</w:t>
      </w:r>
      <w:r w:rsidR="00385B64" w:rsidRPr="00385B64">
        <w:t xml:space="preserve"> in significantly higher increments. Additionally, the increment pattern in areas with composite reflectivity greater than 0 </w:t>
      </w:r>
      <w:r w:rsidR="007834BC">
        <w:t>is</w:t>
      </w:r>
      <w:r w:rsidR="00385B64" w:rsidRPr="00385B64">
        <w:t xml:space="preserve"> found to be tighter horizontally and stretched vertically in the experiment with weather-dependent background errors. The vertical cross sections along the magenta line (Fig. 4.6 c vs d) show</w:t>
      </w:r>
      <w:r w:rsidR="007834BC">
        <w:t>s</w:t>
      </w:r>
      <w:r w:rsidR="00385B64" w:rsidRPr="00385B64">
        <w:t xml:space="preserve"> similar increment variations for ongoing convection zones in </w:t>
      </w:r>
      <w:r w:rsidR="00385B64" w:rsidRPr="00385B64">
        <w:lastRenderedPageBreak/>
        <w:t xml:space="preserve">both single observation experiments. Notably, the increments in the clear sky area (around 32.47 N, 97.75W) </w:t>
      </w:r>
      <w:r w:rsidR="007834BC">
        <w:t>are</w:t>
      </w:r>
      <w:r w:rsidR="00385B64" w:rsidRPr="00385B64">
        <w:t xml:space="preserve"> seen to shrink in both horizontal and vertical directions, with peak values also decreasing when using weather-dependent background errors.</w:t>
      </w:r>
      <w:r>
        <w:t xml:space="preserve"> In summary, the single observation experiments demonstrate what was expected: </w:t>
      </w:r>
      <w:r w:rsidRPr="009D5E29">
        <w:t xml:space="preserve">increments with obviously different characteristics in terms of </w:t>
      </w:r>
      <w:r>
        <w:t xml:space="preserve">weather </w:t>
      </w:r>
      <w:r w:rsidRPr="009D5E29">
        <w:t xml:space="preserve">intensities and patterns </w:t>
      </w:r>
      <w:r>
        <w:t>are shown</w:t>
      </w:r>
      <w:r w:rsidRPr="009D5E29">
        <w:t xml:space="preserve"> by</w:t>
      </w:r>
      <w:r>
        <w:t xml:space="preserve"> comparing experiment</w:t>
      </w:r>
      <w:r w:rsidR="006D5691">
        <w:t>s</w:t>
      </w:r>
      <w:r>
        <w:t xml:space="preserve"> with or without</w:t>
      </w:r>
      <w:r w:rsidRPr="009D5E29">
        <w:t xml:space="preserve"> using the </w:t>
      </w:r>
      <w:r>
        <w:t>weather-dependent</w:t>
      </w:r>
      <w:r w:rsidRPr="009D5E29">
        <w:t xml:space="preserve"> background error</w:t>
      </w:r>
      <w:r>
        <w:t>s</w:t>
      </w:r>
      <w:r w:rsidRPr="009D5E29">
        <w:t>.</w:t>
      </w:r>
      <w:r>
        <w:t xml:space="preserve"> </w:t>
      </w:r>
    </w:p>
    <w:p w14:paraId="40A164F7" w14:textId="6CAFE736" w:rsidR="00EE0630" w:rsidRDefault="00EE0630" w:rsidP="00EE0630">
      <w:pPr>
        <w:pStyle w:val="NoSpacing"/>
      </w:pPr>
    </w:p>
    <w:p w14:paraId="1C4F2D6C" w14:textId="77777777" w:rsidR="00EE0630" w:rsidRDefault="00EE0630" w:rsidP="00CC70A4">
      <w:pPr>
        <w:spacing w:line="240" w:lineRule="auto"/>
        <w:ind w:firstLine="0"/>
        <w:jc w:val="center"/>
      </w:pPr>
      <w:r>
        <w:rPr>
          <w:noProof/>
        </w:rPr>
        <w:lastRenderedPageBreak/>
        <w:drawing>
          <wp:inline distT="0" distB="0" distL="0" distR="0" wp14:anchorId="02B782B6" wp14:editId="4DF6A367">
            <wp:extent cx="5203532" cy="6263640"/>
            <wp:effectExtent l="0" t="0" r="3810" b="0"/>
            <wp:docPr id="19" name="Picture 19"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shape&#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203532" cy="6263640"/>
                    </a:xfrm>
                    <a:prstGeom prst="rect">
                      <a:avLst/>
                    </a:prstGeom>
                  </pic:spPr>
                </pic:pic>
              </a:graphicData>
            </a:graphic>
          </wp:inline>
        </w:drawing>
      </w:r>
    </w:p>
    <w:p w14:paraId="41654866" w14:textId="7C649A93" w:rsidR="00682CE2" w:rsidRPr="00D60A80" w:rsidRDefault="00EE0630" w:rsidP="007D42E9">
      <w:pPr>
        <w:pStyle w:val="Captions"/>
        <w:rPr>
          <w:szCs w:val="24"/>
        </w:rPr>
      </w:pPr>
      <w:bookmarkStart w:id="104" w:name="_Toc134695284"/>
      <w:r w:rsidRPr="00D60A80">
        <w:rPr>
          <w:szCs w:val="24"/>
        </w:rPr>
        <w:t xml:space="preserve">Figure </w:t>
      </w:r>
      <w:r w:rsidR="00C96E3B" w:rsidRPr="00D60A80">
        <w:rPr>
          <w:szCs w:val="24"/>
        </w:rPr>
        <w:fldChar w:fldCharType="begin"/>
      </w:r>
      <w:r w:rsidR="00C96E3B" w:rsidRPr="00D60A80">
        <w:rPr>
          <w:szCs w:val="24"/>
        </w:rPr>
        <w:instrText xml:space="preserve"> STYLEREF 1 \s </w:instrText>
      </w:r>
      <w:r w:rsidR="00C96E3B" w:rsidRPr="00D60A80">
        <w:rPr>
          <w:szCs w:val="24"/>
        </w:rPr>
        <w:fldChar w:fldCharType="separate"/>
      </w:r>
      <w:r w:rsidR="00C77C87" w:rsidRPr="00D60A80">
        <w:rPr>
          <w:noProof/>
          <w:szCs w:val="24"/>
        </w:rPr>
        <w:t>4</w:t>
      </w:r>
      <w:r w:rsidR="00C96E3B" w:rsidRPr="00D60A80">
        <w:rPr>
          <w:noProof/>
          <w:szCs w:val="24"/>
        </w:rPr>
        <w:fldChar w:fldCharType="end"/>
      </w:r>
      <w:r w:rsidR="00C77C87" w:rsidRPr="00D60A80">
        <w:rPr>
          <w:szCs w:val="24"/>
        </w:rPr>
        <w:t>.</w:t>
      </w:r>
      <w:r w:rsidR="00C96E3B" w:rsidRPr="00D60A80">
        <w:rPr>
          <w:szCs w:val="24"/>
        </w:rPr>
        <w:fldChar w:fldCharType="begin"/>
      </w:r>
      <w:r w:rsidR="00C96E3B" w:rsidRPr="00D60A80">
        <w:rPr>
          <w:szCs w:val="24"/>
        </w:rPr>
        <w:instrText xml:space="preserve"> SEQ Figure \* ARABIC \s 1 </w:instrText>
      </w:r>
      <w:r w:rsidR="00C96E3B" w:rsidRPr="00D60A80">
        <w:rPr>
          <w:szCs w:val="24"/>
        </w:rPr>
        <w:fldChar w:fldCharType="separate"/>
      </w:r>
      <w:r w:rsidR="00C77C87" w:rsidRPr="00D60A80">
        <w:rPr>
          <w:noProof/>
          <w:szCs w:val="24"/>
        </w:rPr>
        <w:t>6</w:t>
      </w:r>
      <w:r w:rsidR="00C96E3B" w:rsidRPr="00D60A80">
        <w:rPr>
          <w:noProof/>
          <w:szCs w:val="24"/>
        </w:rPr>
        <w:fldChar w:fldCharType="end"/>
      </w:r>
      <w:r w:rsidRPr="00D60A80">
        <w:rPr>
          <w:szCs w:val="24"/>
        </w:rPr>
        <w:t xml:space="preserve"> The vertical cross sections of meridional wind increment along the axis defined by the blue and magenta lines in Fig. 4.5 for (a, c) the single observation experiment with homogeneous background errors</w:t>
      </w:r>
      <w:r w:rsidRPr="00D60A80" w:rsidDel="0039582C">
        <w:rPr>
          <w:szCs w:val="24"/>
        </w:rPr>
        <w:t xml:space="preserve"> </w:t>
      </w:r>
      <w:r w:rsidRPr="00D60A80">
        <w:rPr>
          <w:szCs w:val="24"/>
        </w:rPr>
        <w:t>and (b, d) the single observation experiment with weather-dependent background errors.</w:t>
      </w:r>
      <w:bookmarkEnd w:id="104"/>
    </w:p>
    <w:p w14:paraId="3A8AFF73" w14:textId="77777777" w:rsidR="00E87008" w:rsidRPr="00DD5D9E" w:rsidRDefault="00E87008" w:rsidP="00E87008"/>
    <w:p w14:paraId="65974918" w14:textId="77777777" w:rsidR="00682CE2" w:rsidRDefault="00682CE2">
      <w:pPr>
        <w:pStyle w:val="Heading2"/>
      </w:pPr>
      <w:bookmarkStart w:id="105" w:name="_Toc130995458"/>
      <w:bookmarkStart w:id="106" w:name="_Toc131018323"/>
      <w:r>
        <w:lastRenderedPageBreak/>
        <w:t>Results</w:t>
      </w:r>
      <w:bookmarkEnd w:id="105"/>
      <w:bookmarkEnd w:id="106"/>
    </w:p>
    <w:p w14:paraId="77DC07F7" w14:textId="22ECC60B" w:rsidR="00682CE2" w:rsidRPr="008F6D78" w:rsidRDefault="00682CE2" w:rsidP="00682CE2">
      <w:r w:rsidRPr="009448C5">
        <w:t xml:space="preserve">Experiments </w:t>
      </w:r>
      <w:r>
        <w:t>involving</w:t>
      </w:r>
      <w:r w:rsidRPr="009448C5">
        <w:t xml:space="preserve"> </w:t>
      </w:r>
      <w:r>
        <w:t>two</w:t>
      </w:r>
      <w:r w:rsidRPr="009448C5">
        <w:t xml:space="preserve"> </w:t>
      </w:r>
      <w:r>
        <w:t>events occurred</w:t>
      </w:r>
      <w:r w:rsidRPr="009448C5">
        <w:t xml:space="preserve"> on 5 May 2020, and 10 December 2021 are </w:t>
      </w:r>
      <w:r>
        <w:t>performed</w:t>
      </w:r>
      <w:r w:rsidRPr="009448C5">
        <w:t xml:space="preserve"> to further examine the impact of </w:t>
      </w:r>
      <w:r>
        <w:t>weather-dependent</w:t>
      </w:r>
      <w:r w:rsidRPr="009448C5">
        <w:t xml:space="preserve"> background </w:t>
      </w:r>
      <w:r>
        <w:t xml:space="preserve">errors </w:t>
      </w:r>
      <w:r w:rsidRPr="009448C5">
        <w:t>on storm-scale DA and NWP.</w:t>
      </w:r>
      <w:r>
        <w:t xml:space="preserve"> </w:t>
      </w:r>
      <w:r w:rsidRPr="009448C5">
        <w:t>The results of analys</w:t>
      </w:r>
      <w:r>
        <w:t>e</w:t>
      </w:r>
      <w:r w:rsidRPr="009448C5">
        <w:t>s and forecast</w:t>
      </w:r>
      <w:r>
        <w:t xml:space="preserve">s for Retro and WD </w:t>
      </w:r>
      <w:r w:rsidRPr="009448C5">
        <w:t>are discussed during the severe weather active period</w:t>
      </w:r>
      <w:r>
        <w:t>s</w:t>
      </w:r>
      <w:r w:rsidRPr="009448C5">
        <w:t>.</w:t>
      </w:r>
      <w:r>
        <w:t xml:space="preserve"> </w:t>
      </w:r>
      <w:r w:rsidRPr="009448C5">
        <w:t xml:space="preserve">For each event, qualitative forecast </w:t>
      </w:r>
      <w:r>
        <w:t>evaluations</w:t>
      </w:r>
      <w:r w:rsidRPr="009448C5">
        <w:t xml:space="preserve"> in terms of composite reflectivity and updraft helicity (UH) tracks are </w:t>
      </w:r>
      <w:r>
        <w:t>conducted</w:t>
      </w:r>
      <w:r w:rsidRPr="009448C5">
        <w:t>, followed by subjective diagnostic</w:t>
      </w:r>
      <w:r>
        <w:t xml:space="preserve"> analyses at some initial times</w:t>
      </w:r>
      <w:r w:rsidRPr="009448C5">
        <w:t>.</w:t>
      </w:r>
      <w:r>
        <w:t xml:space="preserve"> </w:t>
      </w:r>
      <w:r w:rsidRPr="009448C5">
        <w:t>Simulated composite reflectivity will be compared to observed composite reflectivity</w:t>
      </w:r>
      <w:r>
        <w:t xml:space="preserve"> product</w:t>
      </w:r>
      <w:r w:rsidRPr="009448C5">
        <w:t xml:space="preserve"> from the </w:t>
      </w:r>
      <w:r>
        <w:t xml:space="preserve">NSSL </w:t>
      </w:r>
      <w:r w:rsidR="00EE0630">
        <w:t xml:space="preserve">MRMS </w:t>
      </w:r>
      <w:r w:rsidRPr="009448C5">
        <w:t xml:space="preserve">and simulated UH </w:t>
      </w:r>
      <w:r>
        <w:t>tracks</w:t>
      </w:r>
      <w:r w:rsidRPr="009448C5">
        <w:t xml:space="preserve"> will be compared to </w:t>
      </w:r>
      <w:r w:rsidR="00EE0630">
        <w:t>NWS/</w:t>
      </w:r>
      <w:r w:rsidRPr="009448C5">
        <w:t>SPC storm reports across the forecast period.</w:t>
      </w:r>
      <w:r>
        <w:t xml:space="preserve"> </w:t>
      </w:r>
      <w:r w:rsidRPr="00D677D8">
        <w:t xml:space="preserve">Finally, quantitative </w:t>
      </w:r>
      <w:r>
        <w:t xml:space="preserve">verifications </w:t>
      </w:r>
      <w:r w:rsidRPr="00D677D8">
        <w:t>of forecast skill</w:t>
      </w:r>
      <w:r>
        <w:t xml:space="preserve">, </w:t>
      </w:r>
      <w:r w:rsidRPr="00D677D8">
        <w:t xml:space="preserve">known as neighborhood </w:t>
      </w:r>
      <w:r w:rsidR="00EE0630">
        <w:t>ETS</w:t>
      </w:r>
      <w:r>
        <w:t xml:space="preserve"> and performance diagram</w:t>
      </w:r>
      <w:r w:rsidR="00EE0630">
        <w:t xml:space="preserve"> </w:t>
      </w:r>
      <w:r w:rsidR="00EE0630">
        <w:fldChar w:fldCharType="begin"/>
      </w:r>
      <w:r w:rsidR="0021452B">
        <w:instrText xml:space="preserve"> ADDIN ZOTERO_ITEM CSL_CITATION {"citationID":"ONcStcGn","properties":{"formattedCitation":"(Roebber 2009)","plainCitation":"(Roebber 2009)","noteIndex":0},"citationItems":[{"id":335,"uris":["http://zotero.org/users/local/6VSApgKp/items/YGJH6DHN"],"itemData":{"id":335,"type":"article-journal","abstract":"Abstract A method for visually representing multiple measures of dichotomous (yes–no) forecast quality (probability of detection, false alarm ratio, bias, and critical success index) in a single diagram is presented. Illustration of the method is provided using performance statistics from two previously published forecast verification studies (snowfall density and convective initiation) and a verification of several new forecast datasets: Storm Prediction Center forecasts of severe storms (nontornadic and tornadic), Hydrometeorological Prediction Center forecasts of heavy precipitation (greater than 12.5 mm in a 6-h period), National Weather Service Forecast Office terminal aviation forecasts (ceiling and visibility), and medium-range ensemble forecasts of 500-hPa height anomalies. The use of such verification metrics in concert with more detailed investigations to advance forecasting is briefly discussed.","container-title":"Weather and Forecasting","DOI":"10.1175/2008WAF2222159.1","ISSN":"1520-0434, 0882-8156","issue":"2","language":"EN","note":"publisher: American Meteorological Society\nsection: Weather and Forecasting","page":"601-608","source":"journals-ametsoc-org.ezproxy.lib.ou.edu","title":"Visualizing Multiple Measures of Forecast Quality","volume":"24","author":[{"family":"Roebber","given":"Paul J."}],"issued":{"date-parts":[["2009",4,1]]},"citation-key":"roebberVisualizingMultipleMeasures2009"}}],"schema":"https://github.com/citation-style-language/schema/raw/master/csl-citation.json"} </w:instrText>
      </w:r>
      <w:r w:rsidR="00EE0630">
        <w:fldChar w:fldCharType="separate"/>
      </w:r>
      <w:r w:rsidR="0021452B">
        <w:rPr>
          <w:noProof/>
        </w:rPr>
        <w:t>(Roebber 2009)</w:t>
      </w:r>
      <w:r w:rsidR="00EE0630">
        <w:fldChar w:fldCharType="end"/>
      </w:r>
      <w:r>
        <w:t>,</w:t>
      </w:r>
      <w:r w:rsidRPr="00D677D8">
        <w:t xml:space="preserve"> will be undertaken using alternative composite reflectivity </w:t>
      </w:r>
      <w:r>
        <w:t xml:space="preserve">thresholds. </w:t>
      </w:r>
      <w:r w:rsidRPr="001C08BC">
        <w:rPr>
          <w:color w:val="000000" w:themeColor="text1"/>
        </w:rPr>
        <w:t>The</w:t>
      </w:r>
      <w:r>
        <w:rPr>
          <w:color w:val="000000" w:themeColor="text1"/>
        </w:rPr>
        <w:t xml:space="preserve"> statistical</w:t>
      </w:r>
      <w:r w:rsidRPr="001C08BC">
        <w:rPr>
          <w:color w:val="000000" w:themeColor="text1"/>
        </w:rPr>
        <w:t xml:space="preserve"> significance of the differences in skill scores </w:t>
      </w:r>
      <w:r>
        <w:rPr>
          <w:color w:val="000000" w:themeColor="text1"/>
        </w:rPr>
        <w:t>is</w:t>
      </w:r>
      <w:r w:rsidRPr="001C08BC">
        <w:rPr>
          <w:color w:val="000000" w:themeColor="text1"/>
        </w:rPr>
        <w:t xml:space="preserve"> determined through a permutation test, as proposed by</w:t>
      </w:r>
      <w:r w:rsidR="00EE0630">
        <w:rPr>
          <w:color w:val="000000" w:themeColor="text1"/>
        </w:rPr>
        <w:t xml:space="preserve"> </w:t>
      </w:r>
      <w:r w:rsidR="00EE0630">
        <w:rPr>
          <w:color w:val="000000" w:themeColor="text1"/>
        </w:rPr>
        <w:fldChar w:fldCharType="begin"/>
      </w:r>
      <w:r w:rsidR="00EE0630">
        <w:rPr>
          <w:color w:val="000000" w:themeColor="text1"/>
        </w:rPr>
        <w:instrText xml:space="preserve"> ADDIN ZOTERO_ITEM CSL_CITATION {"citationID":"Bcsv4pXs","properties":{"formattedCitation":"(Hamill 1999)","plainCitation":"(Hamill 1999)","noteIndex":0},"citationItems":[{"id":227,"uris":["http://zotero.org/users/local/6VSApgKp/items/SNS2LKH5"],"itemData":{"id":227,"type":"article-journal","abstract":"Abstract When evaluating differences between competing precipitation forecasts, formal hypothesis testing is rarely performed. This may be due to the difficulty in applying common tests given the spatial correlation of and non-normality of errors. Possible ways around these difficulties are explored here. Two datasets of precipitation forecasts are evaluated, a set of two competing gridded precipitation forecasts from operational weather prediction models and sets of competing probabilistic quantitative precipitation forecasts from model output statistics and from an ensemble of forecasts. For each test, data from each competing forecast are collected into one sample for each case day to avoid problems with spatial correlation. Next, several possible hypothesis test methods are evaluated: the paired t test, the nonparametric Wilcoxon signed-rank test, and two resampling tests. The more involved resampling test methodology is the most appropriate when testing threat scores from nonprobabilistic forecasts. The simpler paired t test or Wilcoxon test is appropriate to use in testing the skill of probabilistic forecasts evaluated with the ranked probability score.","container-title":"Weather and Forecasting","DOI":"10.1175/1520-0434(1999)014&lt;0155:HTFENP&gt;2.0.CO;2","ISSN":"1520-0434, 0882-8156","issue":"2","language":"EN","note":"publisher: American Meteorological Society\nsection: Weather and Forecasting","page":"155-167","source":"journals.ametsoc.org","title":"Hypothesis Tests for Evaluating Numerical Precipitation Forecasts","volume":"14","author":[{"family":"Hamill","given":"Thomas M."}],"issued":{"date-parts":[["1999",4,1]]},"citation-key":"hamillHypothesisTestsEvaluating1999"}}],"schema":"https://github.com/citation-style-language/schema/raw/master/csl-citation.json"} </w:instrText>
      </w:r>
      <w:r w:rsidR="00EE0630">
        <w:rPr>
          <w:color w:val="000000" w:themeColor="text1"/>
        </w:rPr>
        <w:fldChar w:fldCharType="separate"/>
      </w:r>
      <w:r w:rsidR="00EE0630">
        <w:rPr>
          <w:noProof/>
          <w:color w:val="000000" w:themeColor="text1"/>
        </w:rPr>
        <w:t>(Hamill 1999)</w:t>
      </w:r>
      <w:r w:rsidR="00EE0630">
        <w:rPr>
          <w:color w:val="000000" w:themeColor="text1"/>
        </w:rPr>
        <w:fldChar w:fldCharType="end"/>
      </w:r>
      <w:r w:rsidRPr="001C08BC">
        <w:rPr>
          <w:color w:val="000000" w:themeColor="text1"/>
        </w:rPr>
        <w:t>.</w:t>
      </w:r>
    </w:p>
    <w:p w14:paraId="4F2A7E4C" w14:textId="38E79FE7" w:rsidR="00682CE2" w:rsidRDefault="00682CE2">
      <w:pPr>
        <w:pStyle w:val="Heading3"/>
      </w:pPr>
      <w:bookmarkStart w:id="107" w:name="_Toc130995459"/>
      <w:bookmarkStart w:id="108" w:name="_Toc131018324"/>
      <w:r>
        <w:t>5 May 2020</w:t>
      </w:r>
      <w:r w:rsidR="00706543">
        <w:t xml:space="preserve"> event</w:t>
      </w:r>
      <w:bookmarkEnd w:id="107"/>
      <w:bookmarkEnd w:id="108"/>
    </w:p>
    <w:p w14:paraId="2C3C1548" w14:textId="7076613F" w:rsidR="00682CE2" w:rsidRDefault="00682CE2" w:rsidP="00682CE2">
      <w:r>
        <w:t>On 5 May 2020, t</w:t>
      </w:r>
      <w:r w:rsidRPr="003B4082">
        <w:t xml:space="preserve">hunderstorms were developing along a </w:t>
      </w:r>
      <w:r>
        <w:t xml:space="preserve">weak west-to-east warm </w:t>
      </w:r>
      <w:r w:rsidRPr="003B4082">
        <w:rPr>
          <w:rFonts w:hint="eastAsia"/>
        </w:rPr>
        <w:t>f</w:t>
      </w:r>
      <w:r w:rsidRPr="003B4082">
        <w:t>ront</w:t>
      </w:r>
      <w:r>
        <w:t xml:space="preserve"> </w:t>
      </w:r>
      <w:r w:rsidRPr="004A7EAD">
        <w:t xml:space="preserve">that </w:t>
      </w:r>
      <w:r>
        <w:t>moved</w:t>
      </w:r>
      <w:r w:rsidRPr="004A7EAD">
        <w:t xml:space="preserve"> across an area ranging from northern Georgia to northern South Carolina</w:t>
      </w:r>
      <w:r>
        <w:t xml:space="preserve">. </w:t>
      </w:r>
      <w:r w:rsidRPr="004A7EAD">
        <w:t>A buoyant airmass with temperatures in the 70s F and dewpoints in the mid 60s F heat</w:t>
      </w:r>
      <w:r>
        <w:t>ed</w:t>
      </w:r>
      <w:r w:rsidRPr="004A7EAD">
        <w:t xml:space="preserve"> up along the front, resulting in a 1000 to 2000 J kg</w:t>
      </w:r>
      <w:r w:rsidRPr="00706543">
        <w:rPr>
          <w:vertAlign w:val="superscript"/>
        </w:rPr>
        <w:t>-1</w:t>
      </w:r>
      <w:r w:rsidRPr="004A7EAD">
        <w:t xml:space="preserve"> mixed-layer CAPE.</w:t>
      </w:r>
      <w:r>
        <w:t xml:space="preserve"> Basically</w:t>
      </w:r>
      <w:r w:rsidRPr="00A5446D">
        <w:t xml:space="preserve">, the environment </w:t>
      </w:r>
      <w:r>
        <w:t>is considered to be favorable</w:t>
      </w:r>
      <w:r w:rsidRPr="00A5446D">
        <w:t xml:space="preserve"> to initiation and persistence of convection.</w:t>
      </w:r>
      <w:r>
        <w:t xml:space="preserve"> As a result, a </w:t>
      </w:r>
      <w:r w:rsidR="00706543">
        <w:t>mesoscale</w:t>
      </w:r>
      <w:r w:rsidRPr="00A5446D">
        <w:t xml:space="preserve"> convective complex </w:t>
      </w:r>
      <w:r>
        <w:t xml:space="preserve">started to initiate around 1900 UTC, </w:t>
      </w:r>
      <w:r w:rsidRPr="00A5446D">
        <w:t xml:space="preserve">drifted eastward and </w:t>
      </w:r>
      <w:r>
        <w:t xml:space="preserve">arrived </w:t>
      </w:r>
      <w:r w:rsidR="006D5691">
        <w:t xml:space="preserve">at </w:t>
      </w:r>
      <w:r w:rsidRPr="00A5446D">
        <w:t xml:space="preserve">the eastern North Carolina coast at </w:t>
      </w:r>
      <w:r>
        <w:t>0300 UTC</w:t>
      </w:r>
      <w:r w:rsidRPr="00A5446D">
        <w:t>.</w:t>
      </w:r>
    </w:p>
    <w:p w14:paraId="6AA73916" w14:textId="1DA9B3E3" w:rsidR="00706543" w:rsidRDefault="00706543" w:rsidP="00706543">
      <w:pPr>
        <w:pStyle w:val="NoSpacing"/>
      </w:pPr>
    </w:p>
    <w:p w14:paraId="0CE62363" w14:textId="77777777" w:rsidR="00706543" w:rsidRDefault="00706543" w:rsidP="00CC70A4">
      <w:pPr>
        <w:spacing w:line="240" w:lineRule="auto"/>
        <w:ind w:firstLine="0"/>
      </w:pPr>
      <w:r>
        <w:rPr>
          <w:noProof/>
        </w:rPr>
        <w:lastRenderedPageBreak/>
        <w:drawing>
          <wp:inline distT="0" distB="0" distL="0" distR="0" wp14:anchorId="2E705292" wp14:editId="261C7DB0">
            <wp:extent cx="5943600" cy="2953226"/>
            <wp:effectExtent l="0" t="0" r="0" b="6350"/>
            <wp:docPr id="21" name="Picture 2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picture containing diagram&#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943600" cy="2953226"/>
                    </a:xfrm>
                    <a:prstGeom prst="rect">
                      <a:avLst/>
                    </a:prstGeom>
                  </pic:spPr>
                </pic:pic>
              </a:graphicData>
            </a:graphic>
          </wp:inline>
        </w:drawing>
      </w:r>
    </w:p>
    <w:p w14:paraId="73E83619" w14:textId="56477EB2" w:rsidR="00706543" w:rsidRPr="00D60A80" w:rsidRDefault="00706543" w:rsidP="00706543">
      <w:pPr>
        <w:pStyle w:val="Captions"/>
        <w:rPr>
          <w:szCs w:val="24"/>
        </w:rPr>
      </w:pPr>
      <w:bookmarkStart w:id="109" w:name="_Toc134695285"/>
      <w:r w:rsidRPr="00D60A80">
        <w:rPr>
          <w:szCs w:val="24"/>
        </w:rPr>
        <w:t xml:space="preserve">Figure </w:t>
      </w:r>
      <w:r w:rsidR="00C96E3B" w:rsidRPr="00D60A80">
        <w:rPr>
          <w:szCs w:val="24"/>
        </w:rPr>
        <w:fldChar w:fldCharType="begin"/>
      </w:r>
      <w:r w:rsidR="00C96E3B" w:rsidRPr="00D60A80">
        <w:rPr>
          <w:szCs w:val="24"/>
        </w:rPr>
        <w:instrText xml:space="preserve"> STYLEREF 1 \s </w:instrText>
      </w:r>
      <w:r w:rsidR="00C96E3B" w:rsidRPr="00D60A80">
        <w:rPr>
          <w:szCs w:val="24"/>
        </w:rPr>
        <w:fldChar w:fldCharType="separate"/>
      </w:r>
      <w:r w:rsidR="00C77C87" w:rsidRPr="00D60A80">
        <w:rPr>
          <w:noProof/>
          <w:szCs w:val="24"/>
        </w:rPr>
        <w:t>4</w:t>
      </w:r>
      <w:r w:rsidR="00C96E3B" w:rsidRPr="00D60A80">
        <w:rPr>
          <w:noProof/>
          <w:szCs w:val="24"/>
        </w:rPr>
        <w:fldChar w:fldCharType="end"/>
      </w:r>
      <w:r w:rsidR="00C77C87" w:rsidRPr="00D60A80">
        <w:rPr>
          <w:szCs w:val="24"/>
        </w:rPr>
        <w:t>.</w:t>
      </w:r>
      <w:r w:rsidR="00C96E3B" w:rsidRPr="00D60A80">
        <w:rPr>
          <w:szCs w:val="24"/>
        </w:rPr>
        <w:fldChar w:fldCharType="begin"/>
      </w:r>
      <w:r w:rsidR="00C96E3B" w:rsidRPr="00D60A80">
        <w:rPr>
          <w:szCs w:val="24"/>
        </w:rPr>
        <w:instrText xml:space="preserve"> SEQ Figure \* ARABIC \s 1 </w:instrText>
      </w:r>
      <w:r w:rsidR="00C96E3B" w:rsidRPr="00D60A80">
        <w:rPr>
          <w:szCs w:val="24"/>
        </w:rPr>
        <w:fldChar w:fldCharType="separate"/>
      </w:r>
      <w:r w:rsidR="00C77C87" w:rsidRPr="00D60A80">
        <w:rPr>
          <w:noProof/>
          <w:szCs w:val="24"/>
        </w:rPr>
        <w:t>7</w:t>
      </w:r>
      <w:r w:rsidR="00C96E3B" w:rsidRPr="00D60A80">
        <w:rPr>
          <w:noProof/>
          <w:szCs w:val="24"/>
        </w:rPr>
        <w:fldChar w:fldCharType="end"/>
      </w:r>
      <w:r w:rsidRPr="00D60A80">
        <w:rPr>
          <w:szCs w:val="24"/>
        </w:rPr>
        <w:t xml:space="preserve"> (from top to bottom) The (o) composite reflectivity from MRMS and the forecasted composite reflectivity for (a) Retro, and (b) WD. (1) The analysis at 2000 UTC 5 May 2020. The (2) 1-, (3) 2-, (4) 3-, (5) 4-, (6) 5-, and (7) 6-hour forecasts initiated at 2000 UTC.</w:t>
      </w:r>
      <w:bookmarkEnd w:id="109"/>
    </w:p>
    <w:p w14:paraId="1266CED4" w14:textId="77777777" w:rsidR="00706543" w:rsidRDefault="00706543" w:rsidP="00706543">
      <w:pPr>
        <w:pStyle w:val="NoSpacing"/>
      </w:pPr>
    </w:p>
    <w:p w14:paraId="180945AC" w14:textId="545C4A6A" w:rsidR="00682CE2" w:rsidRDefault="00682CE2" w:rsidP="00682CE2">
      <w:r>
        <w:t xml:space="preserve">Figure </w:t>
      </w:r>
      <w:r w:rsidR="00706543">
        <w:t>4.</w:t>
      </w:r>
      <w:r>
        <w:t xml:space="preserve">7 explores the impact of using homogeneous and weather-dependent background errors in the </w:t>
      </w:r>
      <w:r w:rsidR="00706543">
        <w:t>WoF-Var</w:t>
      </w:r>
      <w:r>
        <w:t xml:space="preserve"> system on the locations and patterns of the 5 May 2020 convective complex, which produced two EF-2 tornadoes along its way. </w:t>
      </w:r>
      <w:r w:rsidRPr="008D6613">
        <w:t xml:space="preserve">The </w:t>
      </w:r>
      <w:r>
        <w:t>analyses</w:t>
      </w:r>
      <w:r w:rsidRPr="008D6613">
        <w:t xml:space="preserve"> successfully capture the mode and orientation of the storm in both experiments, as demonstrated by the analyzed composite reflectivities at 2000 UTC (Figs. </w:t>
      </w:r>
      <w:r w:rsidR="00706543">
        <w:t>4.</w:t>
      </w:r>
      <w:r w:rsidRPr="008D6613">
        <w:t>7 a1 and b1) compared to the observ</w:t>
      </w:r>
      <w:r>
        <w:t>ations</w:t>
      </w:r>
      <w:r w:rsidRPr="008D6613">
        <w:t xml:space="preserve"> (Fig. </w:t>
      </w:r>
      <w:r w:rsidR="00706543">
        <w:t>4.</w:t>
      </w:r>
      <w:r w:rsidRPr="008D6613">
        <w:t>7 o1).</w:t>
      </w:r>
      <w:r>
        <w:t xml:space="preserve"> For the subsequent forecasts, </w:t>
      </w:r>
      <w:r w:rsidRPr="00E83B57">
        <w:t xml:space="preserve">the </w:t>
      </w:r>
      <w:r>
        <w:t xml:space="preserve">primary </w:t>
      </w:r>
      <w:r w:rsidRPr="00E83B57">
        <w:t xml:space="preserve">linear shape convective complex </w:t>
      </w:r>
      <w:r>
        <w:t>maintains</w:t>
      </w:r>
      <w:r w:rsidRPr="00E83B57">
        <w:t xml:space="preserve"> and propagates </w:t>
      </w:r>
      <w:r>
        <w:t xml:space="preserve">pretty well in the forecast from the </w:t>
      </w:r>
      <w:r w:rsidRPr="00E83B57">
        <w:t>WD</w:t>
      </w:r>
      <w:r>
        <w:t xml:space="preserve"> experiment</w:t>
      </w:r>
      <w:r w:rsidRPr="00E83B57">
        <w:t xml:space="preserve"> (Figs. </w:t>
      </w:r>
      <w:r w:rsidR="00706543">
        <w:t>4.</w:t>
      </w:r>
      <w:r w:rsidRPr="00E83B57">
        <w:t xml:space="preserve">7 b2 </w:t>
      </w:r>
      <w:r>
        <w:t>-</w:t>
      </w:r>
      <w:r w:rsidRPr="00E83B57">
        <w:t xml:space="preserve"> b7</w:t>
      </w:r>
      <w:r>
        <w:t xml:space="preserve"> vs o2 - o7)</w:t>
      </w:r>
      <w:r w:rsidRPr="00E83B57">
        <w:t xml:space="preserve">. </w:t>
      </w:r>
      <w:r>
        <w:t xml:space="preserve">In the </w:t>
      </w:r>
      <w:r w:rsidRPr="00E83B57">
        <w:t xml:space="preserve">Retro </w:t>
      </w:r>
      <w:r>
        <w:t xml:space="preserve">run, </w:t>
      </w:r>
      <w:r w:rsidRPr="00E83B57">
        <w:t>some convecti</w:t>
      </w:r>
      <w:r>
        <w:t xml:space="preserve">ve storms maintain and propagate to the east direction </w:t>
      </w:r>
      <w:r w:rsidRPr="00E83B57">
        <w:t xml:space="preserve">(Fig. </w:t>
      </w:r>
      <w:r w:rsidR="00706543">
        <w:t>4.</w:t>
      </w:r>
      <w:r w:rsidRPr="00E83B57">
        <w:t>7 a3</w:t>
      </w:r>
      <w:r>
        <w:t xml:space="preserve"> vs o3</w:t>
      </w:r>
      <w:r w:rsidRPr="00E83B57">
        <w:t>)</w:t>
      </w:r>
      <w:r>
        <w:t xml:space="preserve"> </w:t>
      </w:r>
      <w:r w:rsidRPr="00E83B57">
        <w:t xml:space="preserve">that </w:t>
      </w:r>
      <w:r>
        <w:t>correspond</w:t>
      </w:r>
      <w:r w:rsidRPr="00E83B57">
        <w:t xml:space="preserve"> well to the observations, </w:t>
      </w:r>
      <w:r w:rsidR="00706543">
        <w:t>however,</w:t>
      </w:r>
      <w:r w:rsidR="00706543" w:rsidRPr="00E83B57">
        <w:t xml:space="preserve"> </w:t>
      </w:r>
      <w:r w:rsidRPr="00E83B57">
        <w:t xml:space="preserve">they soon disorganize and </w:t>
      </w:r>
      <w:r>
        <w:t xml:space="preserve">then </w:t>
      </w:r>
      <w:r w:rsidRPr="00E83B57">
        <w:t xml:space="preserve">vanish after </w:t>
      </w:r>
      <w:r>
        <w:t>3</w:t>
      </w:r>
      <w:r w:rsidRPr="00E83B57">
        <w:t xml:space="preserve"> hours </w:t>
      </w:r>
      <w:r>
        <w:t xml:space="preserve">into the forecast </w:t>
      </w:r>
      <w:r w:rsidRPr="00E83B57">
        <w:t xml:space="preserve">(Figs. </w:t>
      </w:r>
      <w:r w:rsidR="00706543">
        <w:t>4.</w:t>
      </w:r>
      <w:r w:rsidRPr="00E83B57">
        <w:t>7 a</w:t>
      </w:r>
      <w:r>
        <w:t>4</w:t>
      </w:r>
      <w:r w:rsidRPr="00E83B57">
        <w:t xml:space="preserve"> </w:t>
      </w:r>
      <w:r>
        <w:t>-</w:t>
      </w:r>
      <w:r w:rsidRPr="00E83B57">
        <w:t xml:space="preserve"> a</w:t>
      </w:r>
      <w:r>
        <w:t>7 vs o4 - o7</w:t>
      </w:r>
      <w:r w:rsidRPr="00E83B57">
        <w:t xml:space="preserve">). The </w:t>
      </w:r>
      <w:r>
        <w:t xml:space="preserve">simulated </w:t>
      </w:r>
      <w:r w:rsidRPr="00E83B57">
        <w:t>composite reflectivity values within the deeper convecti</w:t>
      </w:r>
      <w:r>
        <w:t>ve storms</w:t>
      </w:r>
      <w:r w:rsidRPr="00E83B57">
        <w:t xml:space="preserve"> along the front in the WD experiment are greater than the observed values in the first two hours (Figs. </w:t>
      </w:r>
      <w:r w:rsidR="00706543">
        <w:t>4.</w:t>
      </w:r>
      <w:r w:rsidRPr="00E83B57">
        <w:t>7 b2</w:t>
      </w:r>
      <w:r>
        <w:t xml:space="preserve"> - b3</w:t>
      </w:r>
      <w:r w:rsidRPr="00E83B57">
        <w:t xml:space="preserve">) and become comparable to the observed values </w:t>
      </w:r>
      <w:r>
        <w:t>at</w:t>
      </w:r>
      <w:r w:rsidRPr="00E83B57">
        <w:t xml:space="preserve"> </w:t>
      </w:r>
      <w:r w:rsidRPr="00E83B57">
        <w:lastRenderedPageBreak/>
        <w:t xml:space="preserve">the </w:t>
      </w:r>
      <w:r>
        <w:t>later</w:t>
      </w:r>
      <w:r w:rsidRPr="00E83B57">
        <w:t xml:space="preserve"> </w:t>
      </w:r>
      <w:r>
        <w:t>foreca</w:t>
      </w:r>
      <w:r w:rsidRPr="00E83B57">
        <w:t>s</w:t>
      </w:r>
      <w:r>
        <w:t>t hours</w:t>
      </w:r>
      <w:r w:rsidRPr="00E83B57">
        <w:t xml:space="preserve"> (Figs. </w:t>
      </w:r>
      <w:r w:rsidR="00706543">
        <w:t>4.</w:t>
      </w:r>
      <w:r w:rsidRPr="00E83B57">
        <w:t xml:space="preserve">7 b4 </w:t>
      </w:r>
      <w:r>
        <w:t>-</w:t>
      </w:r>
      <w:r w:rsidRPr="00E83B57">
        <w:t xml:space="preserve"> b7).</w:t>
      </w:r>
      <w:r>
        <w:t xml:space="preserve"> It is worth noting that both Retro and WD produce spurious convective cells near the border of Kentucky and Virginia at 2000 UTC. Between 2000 and 0200 UTC, these convecti</w:t>
      </w:r>
      <w:r w:rsidR="00BB5C89">
        <w:t>ve cell</w:t>
      </w:r>
      <w:r>
        <w:t xml:space="preserve">s are developing and propagating near the boundary of Virginia and Tennessee, then the boundary of Virginia and North Carolina. When compared to observations, these convective cells initiate earlier, propagate faster on average and exhibit a slightly northeastward displacement bias and </w:t>
      </w:r>
      <w:r w:rsidR="00BB5C89">
        <w:t xml:space="preserve">are </w:t>
      </w:r>
      <w:r>
        <w:t xml:space="preserve">much stronger than observed cells after 2300 UTC. In general, the composite reflectivity values are over-forecasted. This implies that the WoF-Var analysis and forecast system is less capable of predicting weaker convection than stronger convection. This is possibly related to high biases </w:t>
      </w:r>
      <w:r w:rsidR="00BB5C89">
        <w:t xml:space="preserve">that </w:t>
      </w:r>
      <w:r>
        <w:t xml:space="preserve">are easy to present in </w:t>
      </w:r>
      <w:r w:rsidR="00BB5C89">
        <w:t xml:space="preserve">the </w:t>
      </w:r>
      <w:r>
        <w:t xml:space="preserve">first half hour forecast in a 1.5 km deterministic forecast using a WoFS member configuration, compared to the 3 km WoFS forecast </w:t>
      </w:r>
      <w:r w:rsidR="00706543">
        <w:fldChar w:fldCharType="begin"/>
      </w:r>
      <w:r w:rsidR="00706543">
        <w:instrText xml:space="preserve"> ADDIN ZOTERO_ITEM CSL_CITATION {"citationID":"NaZrBySe","properties":{"formattedCitation":"(Miller et al. 2022)","plainCitation":"(Miller et al. 2022)","noteIndex":0},"citationItems":[{"id":402,"uris":["http://zotero.org/users/local/6VSApgKp/items/8MYIV247"],"itemData":{"id":402,"type":"article-journal","abstract":"Abstract The National Severe Storms Laboratory (NSSL) Warn-on-Forecast System (WoFS) is an experimental real-time rapidly updating convection-allowing ensemble that provides probabilistic short-term thunderstorm forecasts. This study evaluates the impacts of reducing the forecast model horizontal grid spacing Δx from 3 to 1.5 km on the WoFS deterministic and probabilistic forecast skill, using 11 case days selected from the 2020 NOAA Hazardous Weather Testbed (HWT) Spring Forecasting Experiment (SFE). Verification methods include (i) subjective forecaster impressions; (ii) a deterministic object-based technique that identifies forecast reflectivity and rotation track storm objects as contiguous local maxima in the composite reflectivity and updraft helicity fields, respectively, and matches them to observed storm objects; and (iii) a recently developed algorithm that matches observed mesocyclones to mesocyclone probability swath objects constructed from the full ensemble of rotation track objects. Reducing Δx fails to systematically improve deterministic skill in forecasting reflectivity object occurrence, as measured by critical success index (CSIDET), a metric that incorporates both probability of detection (PODDET) and false alarm ratio (FARDET). However, compared to the Δx = 3 km configuration, the Δx = 1.5 km WoFS shows improved midlevel mesocyclone detection, as evidenced by its statistically significant (i) higher CSIDET for deterministic midlevel rotation track objects and (ii) higher normalized area under the performance diagram curve (NAUPDC) score for probability swath objects. Comparison between Δx = 3 km and Δx = 1.5 km reflectivity object properties reveals that the latter have 30% stronger mean updraft speeds, 17% stronger median 80-m winds, 67% larger median hail diameter, and 28% higher median near-storm-maximum 0–3-km storm-relative helicity.","container-title":"Weather and Forecasting","DOI":"10.1175/WAF-D-21-0079.1","ISSN":"1520-0434, 0882-8156","issue":"2","language":"EN","note":"publisher: American Meteorological Society\nsection: Weather and Forecasting","page":"181-203","source":"journals.ametsoc.org","title":"Exploring the Usefulness of Downscaling Free Forecasts from the Warn-on-Forecast System","volume":"37","author":[{"family":"Miller","given":"William J. S."},{"family":"Potvin","given":"Corey K."},{"family":"Flora","given":"Montgomery L."},{"family":"Gallo","given":"Burkely T."},{"family":"Wicker","given":"Louis J."},{"family":"Jones","given":"Thomas A."},{"family":"Skinner","given":"Patrick S."},{"family":"Matilla","given":"Brian C."},{"family":"Knopfmeier","given":"Kent H."}],"issued":{"date-parts":[["2022",2,1]]},"citation-key":"millerExploringUsefulnessDownscaling2022"}}],"schema":"https://github.com/citation-style-language/schema/raw/master/csl-citation.json"} </w:instrText>
      </w:r>
      <w:r w:rsidR="00706543">
        <w:fldChar w:fldCharType="separate"/>
      </w:r>
      <w:r w:rsidR="00706543">
        <w:rPr>
          <w:noProof/>
        </w:rPr>
        <w:t>(Miller et al. 2022)</w:t>
      </w:r>
      <w:r w:rsidR="00706543">
        <w:fldChar w:fldCharType="end"/>
      </w:r>
      <w:r>
        <w:t>.</w:t>
      </w:r>
    </w:p>
    <w:p w14:paraId="36C29B25" w14:textId="15AE59E5" w:rsidR="00682CE2" w:rsidRDefault="00682CE2" w:rsidP="00682CE2">
      <w:r w:rsidRPr="00892D7C">
        <w:t>Severe weather events, including those that can result in hail and tornadoes, are often associated with strong rotation and updraft</w:t>
      </w:r>
      <w:r w:rsidR="00256DD6">
        <w:t>s</w:t>
      </w:r>
      <w:r w:rsidRPr="00892D7C">
        <w:t>, which can be indicated by the UH tracks.</w:t>
      </w:r>
      <w:r>
        <w:t xml:space="preserve"> Figure </w:t>
      </w:r>
      <w:r w:rsidR="00FB5992">
        <w:t>4.</w:t>
      </w:r>
      <w:r>
        <w:t>8 shows the 2 – 5</w:t>
      </w:r>
      <w:r w:rsidR="00FB5992">
        <w:t xml:space="preserve"> </w:t>
      </w:r>
      <w:r>
        <w:t xml:space="preserve">km UH tracks for 6-hour forecasts released from 1900, 2000, 2100 UTC on </w:t>
      </w:r>
      <w:r w:rsidR="000A02A6">
        <w:t>5 May</w:t>
      </w:r>
      <w:r>
        <w:t xml:space="preserve"> </w:t>
      </w:r>
      <w:r w:rsidR="000A02A6">
        <w:t>2020</w:t>
      </w:r>
      <w:r>
        <w:t xml:space="preserve"> overlaid with the NWS severe weather reports. </w:t>
      </w:r>
      <w:r w:rsidRPr="003777BF">
        <w:t xml:space="preserve">For a given horizontal grid point, the stronger the </w:t>
      </w:r>
      <w:r>
        <w:t>UH values</w:t>
      </w:r>
      <w:r w:rsidRPr="003777BF">
        <w:t xml:space="preserve">, the greater the </w:t>
      </w:r>
      <w:r w:rsidR="00755919">
        <w:t>midlevel</w:t>
      </w:r>
      <w:r w:rsidRPr="003777BF">
        <w:t xml:space="preserve"> vertical</w:t>
      </w:r>
      <w:r>
        <w:t xml:space="preserve"> </w:t>
      </w:r>
      <w:r w:rsidRPr="003777BF">
        <w:t xml:space="preserve">motion and </w:t>
      </w:r>
      <w:r w:rsidR="00755919">
        <w:t>midlevel</w:t>
      </w:r>
      <w:r w:rsidRPr="003777BF">
        <w:t xml:space="preserve"> rotation.</w:t>
      </w:r>
      <w:r>
        <w:t xml:space="preserve"> </w:t>
      </w:r>
      <w:r w:rsidRPr="003777BF">
        <w:t xml:space="preserve">In comparison to the </w:t>
      </w:r>
      <w:r>
        <w:t>NWS storm</w:t>
      </w:r>
      <w:r w:rsidRPr="003777BF">
        <w:t xml:space="preserve"> reports, both </w:t>
      </w:r>
      <w:r>
        <w:t>experiments</w:t>
      </w:r>
      <w:r w:rsidRPr="003777BF">
        <w:t xml:space="preserve"> exhibit fairly good 6-h</w:t>
      </w:r>
      <w:r>
        <w:t>our</w:t>
      </w:r>
      <w:r w:rsidRPr="003777BF">
        <w:t xml:space="preserve"> forecast</w:t>
      </w:r>
      <w:r>
        <w:t>s</w:t>
      </w:r>
      <w:r w:rsidRPr="003777BF">
        <w:t xml:space="preserve"> initia</w:t>
      </w:r>
      <w:r>
        <w:t>lized</w:t>
      </w:r>
      <w:r w:rsidRPr="003777BF">
        <w:t xml:space="preserve"> from </w:t>
      </w:r>
      <w:r>
        <w:t xml:space="preserve">three different times at </w:t>
      </w:r>
      <w:r w:rsidRPr="003777BF">
        <w:t>1900</w:t>
      </w:r>
      <w:r>
        <w:t xml:space="preserve"> (Fig</w:t>
      </w:r>
      <w:r w:rsidR="000A02A6">
        <w:t>s</w:t>
      </w:r>
      <w:r>
        <w:t xml:space="preserve">. </w:t>
      </w:r>
      <w:r w:rsidR="000A02A6">
        <w:t>4.</w:t>
      </w:r>
      <w:r>
        <w:t>8</w:t>
      </w:r>
      <w:r w:rsidR="000A02A6">
        <w:t xml:space="preserve"> </w:t>
      </w:r>
      <w:r>
        <w:t>a, d)</w:t>
      </w:r>
      <w:r w:rsidRPr="003777BF">
        <w:t>, 2000</w:t>
      </w:r>
      <w:r>
        <w:t xml:space="preserve"> (Fig</w:t>
      </w:r>
      <w:r w:rsidR="000A02A6">
        <w:t>s</w:t>
      </w:r>
      <w:r>
        <w:t xml:space="preserve">. </w:t>
      </w:r>
      <w:r w:rsidR="000A02A6">
        <w:t>4.</w:t>
      </w:r>
      <w:r>
        <w:t>8</w:t>
      </w:r>
      <w:r w:rsidR="000A02A6">
        <w:t xml:space="preserve"> </w:t>
      </w:r>
      <w:r>
        <w:t>b</w:t>
      </w:r>
      <w:r w:rsidR="000A02A6">
        <w:t>,</w:t>
      </w:r>
      <w:r>
        <w:t xml:space="preserve"> e)</w:t>
      </w:r>
      <w:r w:rsidRPr="003777BF">
        <w:t>, and 2100</w:t>
      </w:r>
      <w:r>
        <w:t xml:space="preserve"> (Fig</w:t>
      </w:r>
      <w:r w:rsidR="000A02A6">
        <w:t>s</w:t>
      </w:r>
      <w:r>
        <w:t xml:space="preserve">. </w:t>
      </w:r>
      <w:r w:rsidR="000A02A6">
        <w:t>4.</w:t>
      </w:r>
      <w:r>
        <w:t>8c, f)</w:t>
      </w:r>
      <w:r w:rsidRPr="003777BF">
        <w:t xml:space="preserve"> UTC </w:t>
      </w:r>
      <w:r>
        <w:t>respectively</w:t>
      </w:r>
      <w:r w:rsidR="000A02A6">
        <w:t xml:space="preserve">. </w:t>
      </w:r>
      <w:r w:rsidRPr="003777BF">
        <w:t>Each experiment generates a UH track along or south of the reported tornado</w:t>
      </w:r>
      <w:r>
        <w:t>es (purple triangles)</w:t>
      </w:r>
      <w:r w:rsidRPr="003777BF">
        <w:t xml:space="preserve"> and hail events</w:t>
      </w:r>
      <w:r>
        <w:t xml:space="preserve"> (cyan </w:t>
      </w:r>
      <w:r>
        <w:rPr>
          <w:rFonts w:hint="eastAsia"/>
        </w:rPr>
        <w:t>d</w:t>
      </w:r>
      <w:r>
        <w:t>iamonds)</w:t>
      </w:r>
      <w:r w:rsidRPr="003777BF">
        <w:t xml:space="preserve"> near the North Carolina/South Carolina </w:t>
      </w:r>
      <w:r>
        <w:t>border</w:t>
      </w:r>
      <w:r w:rsidRPr="003777BF">
        <w:t xml:space="preserve">. However, </w:t>
      </w:r>
      <w:r>
        <w:t>several</w:t>
      </w:r>
      <w:r w:rsidRPr="003777BF">
        <w:t xml:space="preserve"> significant </w:t>
      </w:r>
      <w:r>
        <w:t>improvements</w:t>
      </w:r>
      <w:r w:rsidRPr="003777BF">
        <w:t xml:space="preserve"> provided in WD should be recognized</w:t>
      </w:r>
      <w:r>
        <w:t xml:space="preserve"> below</w:t>
      </w:r>
      <w:r w:rsidRPr="003777BF">
        <w:t>.</w:t>
      </w:r>
    </w:p>
    <w:p w14:paraId="04C87AE3" w14:textId="4B3B631C" w:rsidR="000A02A6" w:rsidRDefault="000A02A6" w:rsidP="000A02A6">
      <w:pPr>
        <w:pStyle w:val="NoSpacing"/>
      </w:pPr>
    </w:p>
    <w:p w14:paraId="3F79335B" w14:textId="77777777" w:rsidR="000A02A6" w:rsidRDefault="000A02A6" w:rsidP="00CC70A4">
      <w:pPr>
        <w:spacing w:line="240" w:lineRule="auto"/>
        <w:ind w:firstLine="0"/>
        <w:jc w:val="center"/>
      </w:pPr>
      <w:r>
        <w:rPr>
          <w:noProof/>
        </w:rPr>
        <w:lastRenderedPageBreak/>
        <w:drawing>
          <wp:inline distT="0" distB="0" distL="0" distR="0" wp14:anchorId="400EFFD7" wp14:editId="1A79A822">
            <wp:extent cx="5943600" cy="4208145"/>
            <wp:effectExtent l="0" t="0" r="0" b="0"/>
            <wp:docPr id="26" name="Picture 26"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Map&#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943600" cy="4208145"/>
                    </a:xfrm>
                    <a:prstGeom prst="rect">
                      <a:avLst/>
                    </a:prstGeom>
                  </pic:spPr>
                </pic:pic>
              </a:graphicData>
            </a:graphic>
          </wp:inline>
        </w:drawing>
      </w:r>
    </w:p>
    <w:p w14:paraId="27B40420" w14:textId="44CA33DB" w:rsidR="000A02A6" w:rsidRPr="00D60A80" w:rsidRDefault="000A02A6" w:rsidP="000A02A6">
      <w:pPr>
        <w:pStyle w:val="Captions"/>
        <w:rPr>
          <w:szCs w:val="24"/>
        </w:rPr>
      </w:pPr>
      <w:bookmarkStart w:id="110" w:name="_Toc134695286"/>
      <w:r w:rsidRPr="00D60A80">
        <w:rPr>
          <w:szCs w:val="24"/>
        </w:rPr>
        <w:t xml:space="preserve">Figure </w:t>
      </w:r>
      <w:r w:rsidR="00C96E3B" w:rsidRPr="00D60A80">
        <w:rPr>
          <w:szCs w:val="24"/>
        </w:rPr>
        <w:fldChar w:fldCharType="begin"/>
      </w:r>
      <w:r w:rsidR="00C96E3B" w:rsidRPr="00D60A80">
        <w:rPr>
          <w:szCs w:val="24"/>
        </w:rPr>
        <w:instrText xml:space="preserve"> STYLEREF 1 \s </w:instrText>
      </w:r>
      <w:r w:rsidR="00C96E3B" w:rsidRPr="00D60A80">
        <w:rPr>
          <w:szCs w:val="24"/>
        </w:rPr>
        <w:fldChar w:fldCharType="separate"/>
      </w:r>
      <w:r w:rsidR="00C77C87" w:rsidRPr="00D60A80">
        <w:rPr>
          <w:noProof/>
          <w:szCs w:val="24"/>
        </w:rPr>
        <w:t>4</w:t>
      </w:r>
      <w:r w:rsidR="00C96E3B" w:rsidRPr="00D60A80">
        <w:rPr>
          <w:noProof/>
          <w:szCs w:val="24"/>
        </w:rPr>
        <w:fldChar w:fldCharType="end"/>
      </w:r>
      <w:r w:rsidR="00C77C87" w:rsidRPr="00D60A80">
        <w:rPr>
          <w:szCs w:val="24"/>
        </w:rPr>
        <w:t>.</w:t>
      </w:r>
      <w:r w:rsidR="00C96E3B" w:rsidRPr="00D60A80">
        <w:rPr>
          <w:szCs w:val="24"/>
        </w:rPr>
        <w:fldChar w:fldCharType="begin"/>
      </w:r>
      <w:r w:rsidR="00C96E3B" w:rsidRPr="00D60A80">
        <w:rPr>
          <w:szCs w:val="24"/>
        </w:rPr>
        <w:instrText xml:space="preserve"> SEQ Figure \* ARABIC \s 1 </w:instrText>
      </w:r>
      <w:r w:rsidR="00C96E3B" w:rsidRPr="00D60A80">
        <w:rPr>
          <w:szCs w:val="24"/>
        </w:rPr>
        <w:fldChar w:fldCharType="separate"/>
      </w:r>
      <w:r w:rsidR="00C77C87" w:rsidRPr="00D60A80">
        <w:rPr>
          <w:noProof/>
          <w:szCs w:val="24"/>
        </w:rPr>
        <w:t>8</w:t>
      </w:r>
      <w:r w:rsidR="00C96E3B" w:rsidRPr="00D60A80">
        <w:rPr>
          <w:noProof/>
          <w:szCs w:val="24"/>
        </w:rPr>
        <w:fldChar w:fldCharType="end"/>
      </w:r>
      <w:r w:rsidR="007325D2" w:rsidRPr="00D60A80">
        <w:rPr>
          <w:szCs w:val="24"/>
        </w:rPr>
        <w:t xml:space="preserve"> </w:t>
      </w:r>
      <w:r w:rsidRPr="00D60A80">
        <w:rPr>
          <w:szCs w:val="24"/>
        </w:rPr>
        <w:t>The UH tracks between 2 and 5 km above ground (filled contours) drawn from 6-hour forecasts initiated at (a, d) 1900, (b, e) 2000 and (c, f) 2100 UTC 5 May 2020 for the (top) Retro and (bottom) WD experiments. The composite reflectivities valid at the end of each forecast period are depicted by the black contour lines. The purple, cyan, and blue markers indicate reports of tornadoes, hail and damaging wind, respectively.</w:t>
      </w:r>
      <w:bookmarkEnd w:id="110"/>
    </w:p>
    <w:p w14:paraId="405607E2" w14:textId="77777777" w:rsidR="000A02A6" w:rsidRPr="000A02A6" w:rsidRDefault="000A02A6" w:rsidP="000A02A6">
      <w:pPr>
        <w:pStyle w:val="NoSpacing"/>
      </w:pPr>
    </w:p>
    <w:p w14:paraId="62C6B51A" w14:textId="289BD02A" w:rsidR="00682CE2" w:rsidRDefault="00682CE2" w:rsidP="00682CE2">
      <w:r>
        <w:t xml:space="preserve">First, the most significant improvement </w:t>
      </w:r>
      <w:r w:rsidRPr="00AB70EC">
        <w:t xml:space="preserve">is associated with the </w:t>
      </w:r>
      <w:r>
        <w:t>primary</w:t>
      </w:r>
      <w:r w:rsidRPr="00AB70EC">
        <w:t xml:space="preserve"> tornadic supercell</w:t>
      </w:r>
      <w:r>
        <w:t xml:space="preserve"> which produced the strong UH track directly overlaid by most hail and tornado reports. WD produces </w:t>
      </w:r>
      <w:r w:rsidR="00597144">
        <w:t xml:space="preserve">a </w:t>
      </w:r>
      <w:r>
        <w:t>closer 2 – 5</w:t>
      </w:r>
      <w:r w:rsidR="007325D2">
        <w:t xml:space="preserve"> </w:t>
      </w:r>
      <w:r>
        <w:t>km UH track with stronger intensity for the tornadic supercell</w:t>
      </w:r>
      <w:r w:rsidRPr="00AB70EC">
        <w:t xml:space="preserve"> </w:t>
      </w:r>
      <w:r>
        <w:t>compared</w:t>
      </w:r>
      <w:r w:rsidRPr="00AB70EC">
        <w:t xml:space="preserve"> </w:t>
      </w:r>
      <w:r>
        <w:t>to Retro, particularly for the forecasts starting from 2000 and 2100 UTC. Retro clearly misses some hail events that occur at later time</w:t>
      </w:r>
      <w:r w:rsidR="00BB5C89">
        <w:t>s</w:t>
      </w:r>
      <w:r>
        <w:t xml:space="preserve"> in the forecast from 2000 UTC (Fig. </w:t>
      </w:r>
      <w:r w:rsidR="007325D2">
        <w:t>4.</w:t>
      </w:r>
      <w:r>
        <w:t>8</w:t>
      </w:r>
      <w:r w:rsidR="007325D2">
        <w:t xml:space="preserve"> </w:t>
      </w:r>
      <w:r>
        <w:t>b vs e) and UH values are weak at earlier time</w:t>
      </w:r>
      <w:r w:rsidR="00BB5C89">
        <w:t>s</w:t>
      </w:r>
      <w:r>
        <w:t xml:space="preserve"> in the forecast from 2100 UTC in comparison with WD (Fig. </w:t>
      </w:r>
      <w:r w:rsidR="007325D2">
        <w:t>4.</w:t>
      </w:r>
      <w:r>
        <w:t>8</w:t>
      </w:r>
      <w:r w:rsidR="007325D2">
        <w:t xml:space="preserve"> </w:t>
      </w:r>
      <w:r>
        <w:t xml:space="preserve">c vs f). Furthermore, the forecast </w:t>
      </w:r>
      <w:r w:rsidR="00BB5C89">
        <w:t xml:space="preserve">initialized </w:t>
      </w:r>
      <w:r>
        <w:t xml:space="preserve">from 2100 UTC (Fig. </w:t>
      </w:r>
      <w:r w:rsidR="007325D2">
        <w:t>4.</w:t>
      </w:r>
      <w:r>
        <w:t>8</w:t>
      </w:r>
      <w:r w:rsidR="007325D2">
        <w:t xml:space="preserve"> </w:t>
      </w:r>
      <w:r>
        <w:t>c) and the later initiation time</w:t>
      </w:r>
      <w:r w:rsidR="00BB5C89">
        <w:t>s</w:t>
      </w:r>
      <w:r>
        <w:t xml:space="preserve"> (not shown) in Retro </w:t>
      </w:r>
      <w:r w:rsidRPr="00300071">
        <w:t xml:space="preserve">yield lower UHs </w:t>
      </w:r>
      <w:r>
        <w:t>near</w:t>
      </w:r>
      <w:r w:rsidRPr="00300071">
        <w:t xml:space="preserve"> </w:t>
      </w:r>
      <w:r>
        <w:t>tornado</w:t>
      </w:r>
      <w:r w:rsidRPr="00300071">
        <w:t xml:space="preserve"> touchdown location</w:t>
      </w:r>
      <w:r>
        <w:t>s. In addition to</w:t>
      </w:r>
      <w:r w:rsidRPr="00F04DC8">
        <w:t xml:space="preserve"> </w:t>
      </w:r>
      <w:r>
        <w:lastRenderedPageBreak/>
        <w:t xml:space="preserve">improvements associated with the intensity of storm rotations (UH tracks), the </w:t>
      </w:r>
      <w:r w:rsidRPr="00A812E0">
        <w:t>mitigation</w:t>
      </w:r>
      <w:r>
        <w:t xml:space="preserve"> of spurious convection is another benefit of employing weather-dependent background errors with the WD experiment</w:t>
      </w:r>
      <w:r w:rsidRPr="00F04DC8">
        <w:t>.</w:t>
      </w:r>
      <w:r>
        <w:t xml:space="preserve"> </w:t>
      </w:r>
      <w:r w:rsidRPr="006E6566">
        <w:t xml:space="preserve">WD clearly </w:t>
      </w:r>
      <w:r>
        <w:rPr>
          <w:rFonts w:hint="eastAsia"/>
        </w:rPr>
        <w:t>weakens</w:t>
      </w:r>
      <w:r>
        <w:t xml:space="preserve"> </w:t>
      </w:r>
      <w:r w:rsidRPr="006E6566">
        <w:t xml:space="preserve">the </w:t>
      </w:r>
      <w:r>
        <w:t xml:space="preserve">UH swaths </w:t>
      </w:r>
      <w:r w:rsidRPr="006E6566">
        <w:t>of</w:t>
      </w:r>
      <w:r>
        <w:t xml:space="preserve"> the</w:t>
      </w:r>
      <w:r w:rsidRPr="006E6566">
        <w:t xml:space="preserve"> spurious convection in North Carolina in the forecasts starting from 1900 and 2000 UTC, despite producing false simulated composite reflectivity</w:t>
      </w:r>
      <w:r>
        <w:t xml:space="preserve"> (i.e.</w:t>
      </w:r>
      <w:r w:rsidR="007325D2">
        <w:t>,</w:t>
      </w:r>
      <w:r>
        <w:t xml:space="preserve"> in Fig. </w:t>
      </w:r>
      <w:r w:rsidR="007325D2">
        <w:t>4.</w:t>
      </w:r>
      <w:r>
        <w:t>7)</w:t>
      </w:r>
      <w:r w:rsidRPr="006E6566">
        <w:t>.</w:t>
      </w:r>
      <w:r>
        <w:t xml:space="preserve"> </w:t>
      </w:r>
      <w:r w:rsidRPr="002F560C">
        <w:t xml:space="preserve">Last but not least, </w:t>
      </w:r>
      <w:r>
        <w:t xml:space="preserve">for the forecast </w:t>
      </w:r>
      <w:r w:rsidRPr="002F560C">
        <w:t xml:space="preserve">beginning at 2100 UTC, WD </w:t>
      </w:r>
      <w:r>
        <w:t>enhanced</w:t>
      </w:r>
      <w:r w:rsidRPr="002F560C">
        <w:t xml:space="preserve"> the simulated UH over </w:t>
      </w:r>
      <w:r>
        <w:t>northern</w:t>
      </w:r>
      <w:r w:rsidRPr="002F560C">
        <w:t xml:space="preserve"> </w:t>
      </w:r>
      <w:r>
        <w:t xml:space="preserve">Georgia </w:t>
      </w:r>
      <w:r w:rsidRPr="002F560C">
        <w:t>where wind damage</w:t>
      </w:r>
      <w:r>
        <w:t>s</w:t>
      </w:r>
      <w:r w:rsidRPr="002F560C">
        <w:t xml:space="preserve"> </w:t>
      </w:r>
      <w:r>
        <w:t>are</w:t>
      </w:r>
      <w:r w:rsidRPr="002F560C">
        <w:t xml:space="preserve"> reported.</w:t>
      </w:r>
    </w:p>
    <w:p w14:paraId="2A1D1BA2" w14:textId="75567B8E" w:rsidR="007325D2" w:rsidRDefault="007325D2" w:rsidP="007325D2">
      <w:pPr>
        <w:pStyle w:val="NoSpacing"/>
        <w:rPr>
          <w:shd w:val="clear" w:color="auto" w:fill="FFFFFF"/>
        </w:rPr>
      </w:pPr>
    </w:p>
    <w:p w14:paraId="4CCFEA44" w14:textId="77777777" w:rsidR="007325D2" w:rsidRDefault="007325D2" w:rsidP="00CC70A4">
      <w:pPr>
        <w:spacing w:line="240" w:lineRule="auto"/>
        <w:ind w:firstLine="0"/>
        <w:jc w:val="center"/>
      </w:pPr>
      <w:r>
        <w:rPr>
          <w:noProof/>
        </w:rPr>
        <w:drawing>
          <wp:inline distT="0" distB="0" distL="0" distR="0" wp14:anchorId="43D49878" wp14:editId="4DEA0ACF">
            <wp:extent cx="5943600" cy="4297680"/>
            <wp:effectExtent l="0" t="0" r="0" b="0"/>
            <wp:docPr id="27" name="Picture 27" descr="A picture containing text, tree, green, wind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 tree, green, window&#10;&#10;Description automatically generated"/>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943600" cy="4297680"/>
                    </a:xfrm>
                    <a:prstGeom prst="rect">
                      <a:avLst/>
                    </a:prstGeom>
                  </pic:spPr>
                </pic:pic>
              </a:graphicData>
            </a:graphic>
          </wp:inline>
        </w:drawing>
      </w:r>
    </w:p>
    <w:p w14:paraId="5F5B1229" w14:textId="0BA8583C" w:rsidR="007325D2" w:rsidRPr="00D60A80" w:rsidRDefault="007325D2" w:rsidP="007325D2">
      <w:pPr>
        <w:pStyle w:val="Captions"/>
        <w:rPr>
          <w:szCs w:val="24"/>
        </w:rPr>
      </w:pPr>
      <w:bookmarkStart w:id="111" w:name="_Toc134695287"/>
      <w:r w:rsidRPr="00D60A80">
        <w:rPr>
          <w:szCs w:val="24"/>
        </w:rPr>
        <w:t xml:space="preserve">Figure </w:t>
      </w:r>
      <w:r w:rsidR="00C96E3B" w:rsidRPr="00D60A80">
        <w:rPr>
          <w:szCs w:val="24"/>
        </w:rPr>
        <w:fldChar w:fldCharType="begin"/>
      </w:r>
      <w:r w:rsidR="00C96E3B" w:rsidRPr="00D60A80">
        <w:rPr>
          <w:szCs w:val="24"/>
        </w:rPr>
        <w:instrText xml:space="preserve"> STYLEREF 1 \s </w:instrText>
      </w:r>
      <w:r w:rsidR="00C96E3B" w:rsidRPr="00D60A80">
        <w:rPr>
          <w:szCs w:val="24"/>
        </w:rPr>
        <w:fldChar w:fldCharType="separate"/>
      </w:r>
      <w:r w:rsidR="00C77C87" w:rsidRPr="00D60A80">
        <w:rPr>
          <w:noProof/>
          <w:szCs w:val="24"/>
        </w:rPr>
        <w:t>4</w:t>
      </w:r>
      <w:r w:rsidR="00C96E3B" w:rsidRPr="00D60A80">
        <w:rPr>
          <w:noProof/>
          <w:szCs w:val="24"/>
        </w:rPr>
        <w:fldChar w:fldCharType="end"/>
      </w:r>
      <w:r w:rsidR="00C77C87" w:rsidRPr="00D60A80">
        <w:rPr>
          <w:szCs w:val="24"/>
        </w:rPr>
        <w:t>.</w:t>
      </w:r>
      <w:r w:rsidR="00C96E3B" w:rsidRPr="00D60A80">
        <w:rPr>
          <w:szCs w:val="24"/>
        </w:rPr>
        <w:fldChar w:fldCharType="begin"/>
      </w:r>
      <w:r w:rsidR="00C96E3B" w:rsidRPr="00D60A80">
        <w:rPr>
          <w:szCs w:val="24"/>
        </w:rPr>
        <w:instrText xml:space="preserve"> SEQ Figure \* ARABIC \s 1 </w:instrText>
      </w:r>
      <w:r w:rsidR="00C96E3B" w:rsidRPr="00D60A80">
        <w:rPr>
          <w:szCs w:val="24"/>
        </w:rPr>
        <w:fldChar w:fldCharType="separate"/>
      </w:r>
      <w:r w:rsidR="00C77C87" w:rsidRPr="00D60A80">
        <w:rPr>
          <w:noProof/>
          <w:szCs w:val="24"/>
        </w:rPr>
        <w:t>9</w:t>
      </w:r>
      <w:r w:rsidR="00C96E3B" w:rsidRPr="00D60A80">
        <w:rPr>
          <w:noProof/>
          <w:szCs w:val="24"/>
        </w:rPr>
        <w:fldChar w:fldCharType="end"/>
      </w:r>
      <w:r w:rsidRPr="00D60A80">
        <w:rPr>
          <w:szCs w:val="24"/>
        </w:rPr>
        <w:t xml:space="preserve"> The analyzed temperature at 500 hPa valid at the analysis time (a, d) 1900, (b, e) 2000 and (c, f) 2100 UTC 5 May 2020 for the (top) Retro and (bottom) WD experiments. The magenta and blue lines are placed in zonal and meridional direction across where the major convective complex locates. The vertical cross sections are plotted in Fig. 4.10 and Fig. 4.11 along the lines.</w:t>
      </w:r>
      <w:bookmarkEnd w:id="111"/>
    </w:p>
    <w:p w14:paraId="16CBAB9C" w14:textId="64C8F3BA" w:rsidR="007325D2" w:rsidRDefault="007325D2" w:rsidP="007325D2">
      <w:pPr>
        <w:pStyle w:val="NoSpacing"/>
      </w:pPr>
    </w:p>
    <w:p w14:paraId="1682299F" w14:textId="77777777" w:rsidR="00D623DE" w:rsidRDefault="00D623DE" w:rsidP="00D623DE">
      <w:r w:rsidRPr="002F560C">
        <w:lastRenderedPageBreak/>
        <w:t>T</w:t>
      </w:r>
      <w:r>
        <w:t xml:space="preserve">o further understand the impact of the WoF-Var system with the weather-dependent background errors, the detailed analyses of temperature along various horizontal and vertical cross sections are given in this paragraph. </w:t>
      </w:r>
      <w:r w:rsidRPr="00E41AC4">
        <w:t xml:space="preserve">Because </w:t>
      </w:r>
      <w:r>
        <w:t>the 20 May 2020 severe weather event is characterized by the presence of a west-to-east</w:t>
      </w:r>
      <w:r w:rsidRPr="00E41AC4">
        <w:t xml:space="preserve"> frontal system</w:t>
      </w:r>
      <w:r>
        <w:t xml:space="preserve">, temperature distribution is an important component that may affect the initiation and development of the mesoscale convective complex. Figure 4.9 illustrates the analyzed temperature at 500 hPa valid at 1900, 2000 and 2100 UTC respectively. The magenta and blue lines are placed close to where the primary convective complex initiates. The cross-section plots of moisture, temperature and wind field along the magenta and blue lines are displayed in Figure 4.10. </w:t>
      </w:r>
      <w:r w:rsidRPr="00CC17F7">
        <w:t xml:space="preserve">The temperature distribution </w:t>
      </w:r>
      <w:r>
        <w:t>away from</w:t>
      </w:r>
      <w:r w:rsidRPr="00CC17F7">
        <w:t xml:space="preserve"> th</w:t>
      </w:r>
      <w:r>
        <w:t>e</w:t>
      </w:r>
      <w:r w:rsidRPr="00CC17F7">
        <w:t xml:space="preserve"> </w:t>
      </w:r>
      <w:r>
        <w:t xml:space="preserve">intersection of two lines </w:t>
      </w:r>
      <w:r w:rsidRPr="00CC17F7">
        <w:t xml:space="preserve">is comparable across two </w:t>
      </w:r>
      <w:r>
        <w:t>experiments</w:t>
      </w:r>
      <w:r w:rsidRPr="00CC17F7">
        <w:t xml:space="preserve"> at 1900 UTC, according to the 500 hPa plot (Fig. </w:t>
      </w:r>
      <w:r>
        <w:t>4.</w:t>
      </w:r>
      <w:r w:rsidRPr="00CC17F7">
        <w:t>9</w:t>
      </w:r>
      <w:r>
        <w:t xml:space="preserve"> </w:t>
      </w:r>
      <w:r w:rsidRPr="00CC17F7">
        <w:t>a vs d).</w:t>
      </w:r>
      <w:r>
        <w:t xml:space="preserve"> However, the temperature close to the intersection and east of the intersection along the front at 500 hPa, </w:t>
      </w:r>
      <w:r w:rsidRPr="00CC17F7">
        <w:t xml:space="preserve">which </w:t>
      </w:r>
      <w:r>
        <w:t>indicate</w:t>
      </w:r>
      <w:r w:rsidRPr="00CC17F7">
        <w:t xml:space="preserve"> a substantial effect on buoyanc</w:t>
      </w:r>
      <w:r>
        <w:t>y</w:t>
      </w:r>
      <w:r w:rsidRPr="00CC17F7">
        <w:t xml:space="preserve"> above </w:t>
      </w:r>
      <w:r>
        <w:t>the level of free convection, are greatly increased (~ 2 K) in WD at analysis times 2000 (Fig. 4.9 b vs e) and 2100 UTC (Fig. 4.9 c vs f).</w:t>
      </w:r>
    </w:p>
    <w:p w14:paraId="522EE3EA" w14:textId="77777777" w:rsidR="00D623DE" w:rsidRPr="00D623DE" w:rsidRDefault="00D623DE" w:rsidP="00D623DE">
      <w:r w:rsidRPr="00E71918">
        <w:t xml:space="preserve">The zonal (Fig. </w:t>
      </w:r>
      <w:r>
        <w:t>4.</w:t>
      </w:r>
      <w:r w:rsidRPr="00E71918">
        <w:t xml:space="preserve">10) and meridional (Fig. </w:t>
      </w:r>
      <w:r>
        <w:t>4.</w:t>
      </w:r>
      <w:r w:rsidRPr="00E71918">
        <w:t xml:space="preserve">11) vertical cross sections, which </w:t>
      </w:r>
      <w:r>
        <w:t>complement</w:t>
      </w:r>
      <w:r w:rsidRPr="00E71918">
        <w:t xml:space="preserve"> the horizontal cross section, emphasize the finding revealed by the horizontal cross section.</w:t>
      </w:r>
      <w:r>
        <w:t xml:space="preserve"> The differences in both cross sections are highlighted by the green boxes. </w:t>
      </w:r>
      <w:r w:rsidRPr="00DE3FF1">
        <w:t>At 1900 UTC, the zonal cross sections of Retro and WD are</w:t>
      </w:r>
      <w:r>
        <w:t xml:space="preserve"> similar (Fig. 4.10 a vs d), whereas the meridional cross section of WD exhibits a single amplified temperature </w:t>
      </w:r>
      <w:r w:rsidRPr="00DE3FF1">
        <w:t>bulge</w:t>
      </w:r>
      <w:r>
        <w:t xml:space="preserve"> rather than two separate bulges from Retro (Fig. 4.11 a vs d).</w:t>
      </w:r>
      <w:r w:rsidRPr="00F86A15">
        <w:t xml:space="preserve"> </w:t>
      </w:r>
      <w:r w:rsidRPr="001C327B">
        <w:t>In the analyses valid at 2000 and 2100 UTC, WD exhibits an increase in temperature at levels above 700 hPa within the designated area indicated by the green boxes in Fig</w:t>
      </w:r>
      <w:r>
        <w:t>s.</w:t>
      </w:r>
      <w:r w:rsidRPr="001C327B">
        <w:t xml:space="preserve"> </w:t>
      </w:r>
      <w:r>
        <w:t>4.</w:t>
      </w:r>
      <w:r w:rsidRPr="001C327B">
        <w:t xml:space="preserve">10 and </w:t>
      </w:r>
      <w:r>
        <w:t>4.</w:t>
      </w:r>
      <w:r w:rsidRPr="001C327B">
        <w:t>11</w:t>
      </w:r>
      <w:r w:rsidRPr="001C327B" w:rsidDel="001C327B">
        <w:t xml:space="preserve"> </w:t>
      </w:r>
      <w:r w:rsidRPr="00AC7486">
        <w:t>(</w:t>
      </w:r>
      <w:r>
        <w:t>b</w:t>
      </w:r>
      <w:r w:rsidRPr="00AC7486">
        <w:t xml:space="preserve">, </w:t>
      </w:r>
      <w:r>
        <w:t>c</w:t>
      </w:r>
      <w:r w:rsidRPr="00AC7486">
        <w:t xml:space="preserve"> vs e, f).</w:t>
      </w:r>
      <w:r>
        <w:t xml:space="preserve"> </w:t>
      </w:r>
      <w:r w:rsidRPr="001C327B">
        <w:t xml:space="preserve">This increase is consistent with the changes observed in the 500 hPa horizontal </w:t>
      </w:r>
      <w:r w:rsidRPr="001C327B">
        <w:lastRenderedPageBreak/>
        <w:t>cross section.</w:t>
      </w:r>
      <w:r>
        <w:t xml:space="preserve"> </w:t>
      </w:r>
      <w:r w:rsidRPr="00803DE1">
        <w:t xml:space="preserve">These </w:t>
      </w:r>
      <w:r>
        <w:t>changes</w:t>
      </w:r>
      <w:r w:rsidRPr="00803DE1">
        <w:t xml:space="preserve"> may </w:t>
      </w:r>
      <w:r>
        <w:t>lead to the forecast improvement with</w:t>
      </w:r>
      <w:r w:rsidRPr="00803DE1">
        <w:t xml:space="preserve"> composite reflectivity and UH </w:t>
      </w:r>
      <w:r>
        <w:t>in the primary convective complex</w:t>
      </w:r>
      <w:r w:rsidRPr="00803DE1">
        <w:t>.</w:t>
      </w:r>
    </w:p>
    <w:p w14:paraId="0C3B18B1" w14:textId="77777777" w:rsidR="00D623DE" w:rsidRDefault="00D623DE" w:rsidP="007325D2">
      <w:pPr>
        <w:pStyle w:val="NoSpacing"/>
      </w:pPr>
    </w:p>
    <w:p w14:paraId="16045EBF" w14:textId="77777777" w:rsidR="007325D2" w:rsidRDefault="007325D2" w:rsidP="00CC70A4">
      <w:pPr>
        <w:spacing w:line="240" w:lineRule="auto"/>
        <w:ind w:firstLine="0"/>
        <w:jc w:val="center"/>
      </w:pPr>
      <w:r>
        <w:rPr>
          <w:noProof/>
        </w:rPr>
        <w:drawing>
          <wp:inline distT="0" distB="0" distL="0" distR="0" wp14:anchorId="41B7765E" wp14:editId="59B39EA1">
            <wp:extent cx="5938804" cy="4597783"/>
            <wp:effectExtent l="0" t="0" r="5080" b="0"/>
            <wp:docPr id="28" name="Picture 2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Diagram&#10;&#10;Description automatically generated"/>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938804" cy="4597783"/>
                    </a:xfrm>
                    <a:prstGeom prst="rect">
                      <a:avLst/>
                    </a:prstGeom>
                  </pic:spPr>
                </pic:pic>
              </a:graphicData>
            </a:graphic>
          </wp:inline>
        </w:drawing>
      </w:r>
    </w:p>
    <w:p w14:paraId="40B3830E" w14:textId="4508833A" w:rsidR="007325D2" w:rsidRPr="00D60A80" w:rsidRDefault="007325D2" w:rsidP="007325D2">
      <w:pPr>
        <w:pStyle w:val="Captions"/>
        <w:rPr>
          <w:szCs w:val="24"/>
        </w:rPr>
      </w:pPr>
      <w:bookmarkStart w:id="112" w:name="_Toc134695288"/>
      <w:r w:rsidRPr="00D60A80">
        <w:rPr>
          <w:szCs w:val="24"/>
        </w:rPr>
        <w:t xml:space="preserve">Figure </w:t>
      </w:r>
      <w:r w:rsidR="00C96E3B" w:rsidRPr="00D60A80">
        <w:rPr>
          <w:szCs w:val="24"/>
        </w:rPr>
        <w:fldChar w:fldCharType="begin"/>
      </w:r>
      <w:r w:rsidR="00C96E3B" w:rsidRPr="00D60A80">
        <w:rPr>
          <w:szCs w:val="24"/>
        </w:rPr>
        <w:instrText xml:space="preserve"> STYLEREF 1 \s </w:instrText>
      </w:r>
      <w:r w:rsidR="00C96E3B" w:rsidRPr="00D60A80">
        <w:rPr>
          <w:szCs w:val="24"/>
        </w:rPr>
        <w:fldChar w:fldCharType="separate"/>
      </w:r>
      <w:r w:rsidR="00C77C87" w:rsidRPr="00D60A80">
        <w:rPr>
          <w:noProof/>
          <w:szCs w:val="24"/>
        </w:rPr>
        <w:t>4</w:t>
      </w:r>
      <w:r w:rsidR="00C96E3B" w:rsidRPr="00D60A80">
        <w:rPr>
          <w:noProof/>
          <w:szCs w:val="24"/>
        </w:rPr>
        <w:fldChar w:fldCharType="end"/>
      </w:r>
      <w:r w:rsidR="00C77C87" w:rsidRPr="00D60A80">
        <w:rPr>
          <w:szCs w:val="24"/>
        </w:rPr>
        <w:t>.</w:t>
      </w:r>
      <w:r w:rsidR="00C96E3B" w:rsidRPr="00D60A80">
        <w:rPr>
          <w:szCs w:val="24"/>
        </w:rPr>
        <w:fldChar w:fldCharType="begin"/>
      </w:r>
      <w:r w:rsidR="00C96E3B" w:rsidRPr="00D60A80">
        <w:rPr>
          <w:szCs w:val="24"/>
        </w:rPr>
        <w:instrText xml:space="preserve"> SEQ Figure \* ARABIC \s 1 </w:instrText>
      </w:r>
      <w:r w:rsidR="00C96E3B" w:rsidRPr="00D60A80">
        <w:rPr>
          <w:szCs w:val="24"/>
        </w:rPr>
        <w:fldChar w:fldCharType="separate"/>
      </w:r>
      <w:r w:rsidR="00C77C87" w:rsidRPr="00D60A80">
        <w:rPr>
          <w:noProof/>
          <w:szCs w:val="24"/>
        </w:rPr>
        <w:t>10</w:t>
      </w:r>
      <w:r w:rsidR="00C96E3B" w:rsidRPr="00D60A80">
        <w:rPr>
          <w:noProof/>
          <w:szCs w:val="24"/>
        </w:rPr>
        <w:fldChar w:fldCharType="end"/>
      </w:r>
      <w:r w:rsidRPr="00D60A80">
        <w:rPr>
          <w:szCs w:val="24"/>
        </w:rPr>
        <w:t xml:space="preserve"> The vertical cross sections from the analysis of wind (vectors), specific humidity (filled contours, in g kg</w:t>
      </w:r>
      <w:r w:rsidRPr="00D60A80">
        <w:rPr>
          <w:szCs w:val="24"/>
          <w:vertAlign w:val="superscript"/>
        </w:rPr>
        <w:t>-1</w:t>
      </w:r>
      <w:r w:rsidRPr="00D60A80">
        <w:rPr>
          <w:szCs w:val="24"/>
        </w:rPr>
        <w:t>), and temperature (blue contours) along the blue line in Fig. 4.9. The figure displays the vertical sections valid at (a, d) 1900, (b, e) 2000, and (c, f) 2100 UTC for the (top) Retro and (bottom) WD experiments.</w:t>
      </w:r>
      <w:bookmarkEnd w:id="112"/>
    </w:p>
    <w:p w14:paraId="47874309" w14:textId="2B237F52" w:rsidR="007325D2" w:rsidRDefault="007325D2" w:rsidP="007325D2">
      <w:pPr>
        <w:pStyle w:val="NoSpacing"/>
      </w:pPr>
    </w:p>
    <w:p w14:paraId="00FB189B" w14:textId="77777777" w:rsidR="007325D2" w:rsidRDefault="007325D2" w:rsidP="00AE2400">
      <w:pPr>
        <w:spacing w:line="240" w:lineRule="auto"/>
        <w:ind w:firstLine="0"/>
      </w:pPr>
      <w:r>
        <w:rPr>
          <w:noProof/>
        </w:rPr>
        <w:lastRenderedPageBreak/>
        <w:drawing>
          <wp:inline distT="0" distB="0" distL="0" distR="0" wp14:anchorId="5BF02E6C" wp14:editId="2831C9DD">
            <wp:extent cx="5943600" cy="4601496"/>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943600" cy="4601496"/>
                    </a:xfrm>
                    <a:prstGeom prst="rect">
                      <a:avLst/>
                    </a:prstGeom>
                  </pic:spPr>
                </pic:pic>
              </a:graphicData>
            </a:graphic>
          </wp:inline>
        </w:drawing>
      </w:r>
    </w:p>
    <w:p w14:paraId="3BEBB0F3" w14:textId="01E3656E" w:rsidR="007325D2" w:rsidRPr="00D60A80" w:rsidRDefault="007325D2" w:rsidP="007325D2">
      <w:pPr>
        <w:pStyle w:val="Captions"/>
        <w:rPr>
          <w:szCs w:val="24"/>
        </w:rPr>
      </w:pPr>
      <w:bookmarkStart w:id="113" w:name="_Toc134695289"/>
      <w:r w:rsidRPr="00D60A80">
        <w:rPr>
          <w:szCs w:val="24"/>
        </w:rPr>
        <w:t xml:space="preserve">Figure </w:t>
      </w:r>
      <w:r w:rsidR="00C96E3B" w:rsidRPr="00D60A80">
        <w:rPr>
          <w:szCs w:val="24"/>
        </w:rPr>
        <w:fldChar w:fldCharType="begin"/>
      </w:r>
      <w:r w:rsidR="00C96E3B" w:rsidRPr="00D60A80">
        <w:rPr>
          <w:szCs w:val="24"/>
        </w:rPr>
        <w:instrText xml:space="preserve"> STYLEREF 1 \s </w:instrText>
      </w:r>
      <w:r w:rsidR="00C96E3B" w:rsidRPr="00D60A80">
        <w:rPr>
          <w:szCs w:val="24"/>
        </w:rPr>
        <w:fldChar w:fldCharType="separate"/>
      </w:r>
      <w:r w:rsidR="00C77C87" w:rsidRPr="00D60A80">
        <w:rPr>
          <w:noProof/>
          <w:szCs w:val="24"/>
        </w:rPr>
        <w:t>4</w:t>
      </w:r>
      <w:r w:rsidR="00C96E3B" w:rsidRPr="00D60A80">
        <w:rPr>
          <w:noProof/>
          <w:szCs w:val="24"/>
        </w:rPr>
        <w:fldChar w:fldCharType="end"/>
      </w:r>
      <w:r w:rsidR="00C77C87" w:rsidRPr="00D60A80">
        <w:rPr>
          <w:szCs w:val="24"/>
        </w:rPr>
        <w:t>.</w:t>
      </w:r>
      <w:r w:rsidR="00C96E3B" w:rsidRPr="00D60A80">
        <w:rPr>
          <w:szCs w:val="24"/>
        </w:rPr>
        <w:fldChar w:fldCharType="begin"/>
      </w:r>
      <w:r w:rsidR="00C96E3B" w:rsidRPr="00D60A80">
        <w:rPr>
          <w:szCs w:val="24"/>
        </w:rPr>
        <w:instrText xml:space="preserve"> SEQ Figure \* ARABIC \s 1 </w:instrText>
      </w:r>
      <w:r w:rsidR="00C96E3B" w:rsidRPr="00D60A80">
        <w:rPr>
          <w:szCs w:val="24"/>
        </w:rPr>
        <w:fldChar w:fldCharType="separate"/>
      </w:r>
      <w:r w:rsidR="00C77C87" w:rsidRPr="00D60A80">
        <w:rPr>
          <w:noProof/>
          <w:szCs w:val="24"/>
        </w:rPr>
        <w:t>11</w:t>
      </w:r>
      <w:r w:rsidR="00C96E3B" w:rsidRPr="00D60A80">
        <w:rPr>
          <w:noProof/>
          <w:szCs w:val="24"/>
        </w:rPr>
        <w:fldChar w:fldCharType="end"/>
      </w:r>
      <w:r w:rsidRPr="00D60A80">
        <w:rPr>
          <w:szCs w:val="24"/>
        </w:rPr>
        <w:t xml:space="preserve"> As in Fig. 4.10, but for the vertical cross section along the magenta line in Fig. 4.9.</w:t>
      </w:r>
      <w:bookmarkEnd w:id="113"/>
    </w:p>
    <w:p w14:paraId="0BD83878" w14:textId="20688D35" w:rsidR="007325D2" w:rsidRDefault="007325D2" w:rsidP="007325D2">
      <w:pPr>
        <w:pStyle w:val="NoSpacing"/>
      </w:pPr>
    </w:p>
    <w:p w14:paraId="5AB3D820" w14:textId="74998451" w:rsidR="007325D2" w:rsidRDefault="007325D2" w:rsidP="007325D2">
      <w:r>
        <w:t xml:space="preserve">Figure 4.12 shows the difference in the mixed-layer convective available potential energy (MLCAPE) between the Retro and WD experiments. MLCAPE is related to the </w:t>
      </w:r>
      <w:r w:rsidRPr="00F11BBB">
        <w:t>environmental temperature profile and the path of a rising air parcel</w:t>
      </w:r>
      <w:r>
        <w:t>. Retro and WD both produce a high MLCAPE over northern South Carolina, which is the reason for the prediction of the primary storms in that area. But significant differences in MLCAPE between Retro and WD are evident in North Carolina in the 1900 UTC analysis (black boxes in Figs. 4.12 a and d) and in Tennessee in the 2000 UTC analysis (black boxes in Figs. 4.12 b and e). High MLCAPE (&gt; 1000 J kg</w:t>
      </w:r>
      <w:r>
        <w:rPr>
          <w:vertAlign w:val="superscript"/>
        </w:rPr>
        <w:t>-1</w:t>
      </w:r>
      <w:r>
        <w:t xml:space="preserve">) usually allows for low-level atmospheric instability, which may consequently lead to the forecast of spurious </w:t>
      </w:r>
      <w:r>
        <w:lastRenderedPageBreak/>
        <w:t>convection in both experiments.</w:t>
      </w:r>
      <w:r w:rsidRPr="00D3222A">
        <w:t xml:space="preserve"> </w:t>
      </w:r>
      <w:r>
        <w:t>But MLCAPE in these areas are relatively low for the WD experiment</w:t>
      </w:r>
      <w:r w:rsidRPr="00F11BBB">
        <w:t>,</w:t>
      </w:r>
      <w:r>
        <w:t xml:space="preserve"> which causes the alleviation of the spurious convective cells near eastern Tennessee (Fig. 4.12 a vs d, and Fig. 4.12 b vs e) and the boundary between Tennessee North Carolina (Fig. 4.12 a vs f) in WD.</w:t>
      </w:r>
    </w:p>
    <w:p w14:paraId="65FDF52E" w14:textId="77777777" w:rsidR="007325D2" w:rsidRDefault="007325D2" w:rsidP="007325D2">
      <w:pPr>
        <w:pStyle w:val="NoSpacing"/>
      </w:pPr>
    </w:p>
    <w:p w14:paraId="5C19B31C" w14:textId="77777777" w:rsidR="007325D2" w:rsidRDefault="007325D2" w:rsidP="00AE2400">
      <w:pPr>
        <w:spacing w:line="240" w:lineRule="auto"/>
        <w:ind w:firstLine="0"/>
      </w:pPr>
      <w:r>
        <w:rPr>
          <w:noProof/>
        </w:rPr>
        <w:drawing>
          <wp:inline distT="0" distB="0" distL="0" distR="0" wp14:anchorId="51C22493" wp14:editId="2002061A">
            <wp:extent cx="5943600" cy="4297680"/>
            <wp:effectExtent l="0" t="0" r="0" b="0"/>
            <wp:docPr id="14" name="Picture 14"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iagram&#10;&#10;Description automatically generated with medium confidenc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943600" cy="4297680"/>
                    </a:xfrm>
                    <a:prstGeom prst="rect">
                      <a:avLst/>
                    </a:prstGeom>
                  </pic:spPr>
                </pic:pic>
              </a:graphicData>
            </a:graphic>
          </wp:inline>
        </w:drawing>
      </w:r>
    </w:p>
    <w:p w14:paraId="60F929B6" w14:textId="4E48F611" w:rsidR="007325D2" w:rsidRPr="00D60A80" w:rsidRDefault="007325D2" w:rsidP="007325D2">
      <w:pPr>
        <w:pStyle w:val="Captions"/>
        <w:rPr>
          <w:szCs w:val="24"/>
        </w:rPr>
      </w:pPr>
      <w:bookmarkStart w:id="114" w:name="_Toc134695290"/>
      <w:r w:rsidRPr="00D60A80">
        <w:rPr>
          <w:szCs w:val="24"/>
        </w:rPr>
        <w:t xml:space="preserve">Figure </w:t>
      </w:r>
      <w:r w:rsidR="00C96E3B" w:rsidRPr="00D60A80">
        <w:rPr>
          <w:szCs w:val="24"/>
        </w:rPr>
        <w:fldChar w:fldCharType="begin"/>
      </w:r>
      <w:r w:rsidR="00C96E3B" w:rsidRPr="00D60A80">
        <w:rPr>
          <w:szCs w:val="24"/>
        </w:rPr>
        <w:instrText xml:space="preserve"> STYLEREF 1 \s </w:instrText>
      </w:r>
      <w:r w:rsidR="00C96E3B" w:rsidRPr="00D60A80">
        <w:rPr>
          <w:szCs w:val="24"/>
        </w:rPr>
        <w:fldChar w:fldCharType="separate"/>
      </w:r>
      <w:r w:rsidR="00C77C87" w:rsidRPr="00D60A80">
        <w:rPr>
          <w:noProof/>
          <w:szCs w:val="24"/>
        </w:rPr>
        <w:t>4</w:t>
      </w:r>
      <w:r w:rsidR="00C96E3B" w:rsidRPr="00D60A80">
        <w:rPr>
          <w:noProof/>
          <w:szCs w:val="24"/>
        </w:rPr>
        <w:fldChar w:fldCharType="end"/>
      </w:r>
      <w:r w:rsidR="00C77C87" w:rsidRPr="00D60A80">
        <w:rPr>
          <w:szCs w:val="24"/>
        </w:rPr>
        <w:t>.</w:t>
      </w:r>
      <w:r w:rsidR="00C96E3B" w:rsidRPr="00D60A80">
        <w:rPr>
          <w:szCs w:val="24"/>
        </w:rPr>
        <w:fldChar w:fldCharType="begin"/>
      </w:r>
      <w:r w:rsidR="00C96E3B" w:rsidRPr="00D60A80">
        <w:rPr>
          <w:szCs w:val="24"/>
        </w:rPr>
        <w:instrText xml:space="preserve"> SEQ Figure \* ARABIC \s 1 </w:instrText>
      </w:r>
      <w:r w:rsidR="00C96E3B" w:rsidRPr="00D60A80">
        <w:rPr>
          <w:szCs w:val="24"/>
        </w:rPr>
        <w:fldChar w:fldCharType="separate"/>
      </w:r>
      <w:r w:rsidR="00C77C87" w:rsidRPr="00D60A80">
        <w:rPr>
          <w:noProof/>
          <w:szCs w:val="24"/>
        </w:rPr>
        <w:t>12</w:t>
      </w:r>
      <w:r w:rsidR="00C96E3B" w:rsidRPr="00D60A80">
        <w:rPr>
          <w:noProof/>
          <w:szCs w:val="24"/>
        </w:rPr>
        <w:fldChar w:fldCharType="end"/>
      </w:r>
      <w:r w:rsidRPr="00D60A80">
        <w:rPr>
          <w:szCs w:val="24"/>
        </w:rPr>
        <w:t xml:space="preserve"> The lowest 100-hPa MLCAPE drawn from (a, d) 1900, (b, e) 2000, (c, f) 2100 analyses for the (top) Retro and (bottom) WD experiments.</w:t>
      </w:r>
      <w:bookmarkEnd w:id="114"/>
    </w:p>
    <w:p w14:paraId="237EC105" w14:textId="77777777" w:rsidR="007325D2" w:rsidRDefault="007325D2" w:rsidP="007325D2">
      <w:pPr>
        <w:pStyle w:val="NoSpacing"/>
      </w:pPr>
    </w:p>
    <w:p w14:paraId="6CFFB689" w14:textId="0D55AE96" w:rsidR="00682CE2" w:rsidRDefault="00682CE2" w:rsidP="00682CE2">
      <w:r w:rsidRPr="00916A8D">
        <w:rPr>
          <w:rFonts w:eastAsia="宋体"/>
          <w:bCs/>
          <w:color w:val="000000" w:themeColor="text1"/>
          <w:szCs w:val="28"/>
        </w:rPr>
        <w:t xml:space="preserve">Figure </w:t>
      </w:r>
      <w:r w:rsidR="007325D2">
        <w:rPr>
          <w:rFonts w:eastAsia="宋体"/>
          <w:bCs/>
          <w:color w:val="000000" w:themeColor="text1"/>
          <w:szCs w:val="28"/>
        </w:rPr>
        <w:t>4.</w:t>
      </w:r>
      <w:r>
        <w:rPr>
          <w:rFonts w:eastAsia="宋体"/>
          <w:bCs/>
          <w:color w:val="000000" w:themeColor="text1"/>
          <w:szCs w:val="28"/>
        </w:rPr>
        <w:t>13</w:t>
      </w:r>
      <w:r w:rsidRPr="00916A8D">
        <w:rPr>
          <w:rFonts w:eastAsia="宋体"/>
          <w:bCs/>
          <w:color w:val="000000" w:themeColor="text1"/>
          <w:szCs w:val="28"/>
        </w:rPr>
        <w:t xml:space="preserve"> shows</w:t>
      </w:r>
      <w:r w:rsidRPr="00916A8D">
        <w:rPr>
          <w:rFonts w:eastAsia="宋体"/>
          <w:bCs/>
          <w:color w:val="000000" w:themeColor="text1"/>
        </w:rPr>
        <w:t xml:space="preserve"> the categorical performance diagrams and</w:t>
      </w:r>
      <w:r w:rsidRPr="00916A8D">
        <w:rPr>
          <w:rFonts w:eastAsia="宋体"/>
          <w:bCs/>
          <w:color w:val="000000" w:themeColor="text1"/>
          <w:szCs w:val="28"/>
        </w:rPr>
        <w:t xml:space="preserve"> neighborhood ETS graphs </w:t>
      </w:r>
      <w:r w:rsidRPr="00916A8D">
        <w:rPr>
          <w:rFonts w:eastAsia="宋体"/>
          <w:bCs/>
          <w:color w:val="000000" w:themeColor="text1"/>
        </w:rPr>
        <w:t xml:space="preserve">of </w:t>
      </w:r>
      <w:r>
        <w:rPr>
          <w:rFonts w:eastAsia="宋体"/>
          <w:bCs/>
          <w:color w:val="000000" w:themeColor="text1"/>
          <w:szCs w:val="28"/>
        </w:rPr>
        <w:t>composite reflectivity</w:t>
      </w:r>
      <w:r w:rsidRPr="00916A8D">
        <w:rPr>
          <w:rFonts w:eastAsia="宋体"/>
          <w:bCs/>
          <w:color w:val="000000" w:themeColor="text1"/>
          <w:szCs w:val="28"/>
        </w:rPr>
        <w:t xml:space="preserve"> forecast</w:t>
      </w:r>
      <w:r>
        <w:rPr>
          <w:rFonts w:eastAsia="宋体"/>
          <w:bCs/>
          <w:color w:val="000000" w:themeColor="text1"/>
          <w:szCs w:val="28"/>
        </w:rPr>
        <w:t>s</w:t>
      </w:r>
      <w:r w:rsidRPr="00916A8D">
        <w:rPr>
          <w:rFonts w:eastAsia="宋体"/>
          <w:bCs/>
          <w:color w:val="000000" w:themeColor="text1"/>
          <w:szCs w:val="28"/>
        </w:rPr>
        <w:t xml:space="preserve"> for </w:t>
      </w:r>
      <w:r>
        <w:rPr>
          <w:rFonts w:eastAsia="宋体"/>
          <w:bCs/>
          <w:color w:val="000000" w:themeColor="text1"/>
          <w:szCs w:val="28"/>
        </w:rPr>
        <w:t>two</w:t>
      </w:r>
      <w:r w:rsidRPr="00916A8D">
        <w:rPr>
          <w:rFonts w:eastAsia="宋体"/>
          <w:bCs/>
          <w:color w:val="000000" w:themeColor="text1"/>
          <w:szCs w:val="28"/>
        </w:rPr>
        <w:t xml:space="preserve"> thresholds</w:t>
      </w:r>
      <w:r>
        <w:rPr>
          <w:rFonts w:eastAsia="宋体"/>
          <w:bCs/>
          <w:color w:val="000000" w:themeColor="text1"/>
          <w:szCs w:val="28"/>
        </w:rPr>
        <w:t>, 20 dBZ and 40 dBZ</w:t>
      </w:r>
      <w:r w:rsidRPr="00916A8D">
        <w:rPr>
          <w:rFonts w:eastAsia="宋体"/>
          <w:bCs/>
          <w:color w:val="000000" w:themeColor="text1"/>
        </w:rPr>
        <w:t xml:space="preserve">. </w:t>
      </w:r>
      <w:r w:rsidRPr="00EB16BF">
        <w:rPr>
          <w:rFonts w:eastAsia="宋体"/>
          <w:bCs/>
          <w:color w:val="000000" w:themeColor="text1"/>
        </w:rPr>
        <w:t xml:space="preserve">By aggregating the score metrics from all available initialization times, the performance of the two experiments, WD and Retro, can be compared in a comprehensive manner. </w:t>
      </w:r>
      <w:r w:rsidRPr="00916A8D">
        <w:rPr>
          <w:rFonts w:eastAsia="宋体"/>
          <w:bCs/>
          <w:color w:val="000000" w:themeColor="text1"/>
          <w:szCs w:val="28"/>
        </w:rPr>
        <w:t xml:space="preserve">As expected, the values of </w:t>
      </w:r>
      <w:r>
        <w:rPr>
          <w:rFonts w:eastAsia="宋体"/>
          <w:bCs/>
          <w:color w:val="000000" w:themeColor="text1"/>
          <w:szCs w:val="28"/>
        </w:rPr>
        <w:t>probability of detection (</w:t>
      </w:r>
      <w:r w:rsidRPr="00916A8D">
        <w:rPr>
          <w:rFonts w:eastAsia="宋体"/>
          <w:bCs/>
          <w:color w:val="000000" w:themeColor="text1"/>
          <w:szCs w:val="28"/>
        </w:rPr>
        <w:t>POD</w:t>
      </w:r>
      <w:r>
        <w:rPr>
          <w:rFonts w:eastAsia="宋体"/>
          <w:bCs/>
          <w:color w:val="000000" w:themeColor="text1"/>
          <w:szCs w:val="28"/>
        </w:rPr>
        <w:t>)</w:t>
      </w:r>
      <w:r w:rsidRPr="00916A8D">
        <w:rPr>
          <w:rFonts w:eastAsia="宋体"/>
          <w:bCs/>
          <w:color w:val="000000" w:themeColor="text1"/>
          <w:szCs w:val="28"/>
        </w:rPr>
        <w:t xml:space="preserve">, </w:t>
      </w:r>
      <w:r>
        <w:rPr>
          <w:rFonts w:eastAsia="宋体"/>
          <w:bCs/>
          <w:color w:val="000000" w:themeColor="text1"/>
          <w:szCs w:val="28"/>
        </w:rPr>
        <w:t>success rate (</w:t>
      </w:r>
      <w:r w:rsidRPr="00916A8D">
        <w:rPr>
          <w:rFonts w:eastAsia="宋体"/>
          <w:bCs/>
          <w:color w:val="000000" w:themeColor="text1"/>
          <w:szCs w:val="28"/>
        </w:rPr>
        <w:t>SR</w:t>
      </w:r>
      <w:r>
        <w:rPr>
          <w:rFonts w:eastAsia="宋体"/>
          <w:bCs/>
          <w:color w:val="000000" w:themeColor="text1"/>
          <w:szCs w:val="28"/>
        </w:rPr>
        <w:t>)</w:t>
      </w:r>
      <w:r w:rsidRPr="00916A8D">
        <w:rPr>
          <w:rFonts w:eastAsia="宋体"/>
          <w:bCs/>
          <w:color w:val="000000" w:themeColor="text1"/>
          <w:szCs w:val="28"/>
        </w:rPr>
        <w:t xml:space="preserve">, </w:t>
      </w:r>
      <w:r>
        <w:rPr>
          <w:rFonts w:eastAsia="宋体"/>
          <w:bCs/>
          <w:color w:val="000000" w:themeColor="text1"/>
          <w:szCs w:val="28"/>
        </w:rPr>
        <w:t>critical success index (</w:t>
      </w:r>
      <w:r w:rsidRPr="00916A8D">
        <w:rPr>
          <w:rFonts w:eastAsia="宋体"/>
          <w:bCs/>
          <w:color w:val="000000" w:themeColor="text1"/>
          <w:szCs w:val="28"/>
        </w:rPr>
        <w:t>CSI</w:t>
      </w:r>
      <w:r>
        <w:rPr>
          <w:rFonts w:eastAsia="宋体"/>
          <w:bCs/>
          <w:color w:val="000000" w:themeColor="text1"/>
          <w:szCs w:val="28"/>
        </w:rPr>
        <w:t>)</w:t>
      </w:r>
      <w:r w:rsidRPr="00916A8D">
        <w:rPr>
          <w:rFonts w:eastAsia="宋体"/>
          <w:bCs/>
          <w:color w:val="000000" w:themeColor="text1"/>
          <w:szCs w:val="28"/>
        </w:rPr>
        <w:t xml:space="preserve"> and ETS decrease with respect to </w:t>
      </w:r>
      <w:r w:rsidRPr="00916A8D">
        <w:rPr>
          <w:rFonts w:eastAsia="宋体"/>
          <w:bCs/>
          <w:color w:val="000000" w:themeColor="text1"/>
          <w:szCs w:val="28"/>
        </w:rPr>
        <w:lastRenderedPageBreak/>
        <w:t xml:space="preserve">both </w:t>
      </w:r>
      <w:r>
        <w:rPr>
          <w:rFonts w:eastAsia="宋体"/>
          <w:bCs/>
          <w:color w:val="000000" w:themeColor="text1"/>
          <w:szCs w:val="28"/>
        </w:rPr>
        <w:t xml:space="preserve">the </w:t>
      </w:r>
      <w:r w:rsidRPr="00916A8D">
        <w:rPr>
          <w:rFonts w:eastAsia="宋体"/>
          <w:bCs/>
          <w:color w:val="000000" w:themeColor="text1"/>
          <w:szCs w:val="28"/>
        </w:rPr>
        <w:t xml:space="preserve">forecast lead time and reflectivity threshold values, whereas </w:t>
      </w:r>
      <w:r>
        <w:rPr>
          <w:rFonts w:eastAsia="宋体"/>
          <w:bCs/>
          <w:color w:val="000000" w:themeColor="text1"/>
          <w:szCs w:val="28"/>
        </w:rPr>
        <w:t>the overprediction bias</w:t>
      </w:r>
      <w:r w:rsidRPr="00916A8D">
        <w:rPr>
          <w:rFonts w:eastAsia="宋体"/>
          <w:bCs/>
          <w:color w:val="000000" w:themeColor="text1"/>
          <w:szCs w:val="28"/>
        </w:rPr>
        <w:t xml:space="preserve"> increases monotonically </w:t>
      </w:r>
      <w:r>
        <w:rPr>
          <w:rFonts w:eastAsia="宋体"/>
          <w:bCs/>
          <w:color w:val="000000" w:themeColor="text1"/>
          <w:szCs w:val="28"/>
        </w:rPr>
        <w:t>as</w:t>
      </w:r>
      <w:r w:rsidRPr="00916A8D">
        <w:rPr>
          <w:rFonts w:eastAsia="宋体"/>
          <w:bCs/>
          <w:color w:val="000000" w:themeColor="text1"/>
          <w:szCs w:val="28"/>
        </w:rPr>
        <w:t xml:space="preserve"> the threshold increases from </w:t>
      </w:r>
      <w:r>
        <w:rPr>
          <w:rFonts w:eastAsia="宋体"/>
          <w:bCs/>
          <w:color w:val="000000" w:themeColor="text1"/>
          <w:szCs w:val="28"/>
        </w:rPr>
        <w:t>2</w:t>
      </w:r>
      <w:r w:rsidRPr="00916A8D">
        <w:rPr>
          <w:rFonts w:eastAsia="宋体"/>
          <w:bCs/>
          <w:color w:val="000000" w:themeColor="text1"/>
          <w:szCs w:val="28"/>
        </w:rPr>
        <w:t xml:space="preserve">0 to </w:t>
      </w:r>
      <w:r>
        <w:rPr>
          <w:rFonts w:eastAsia="宋体"/>
          <w:bCs/>
          <w:color w:val="000000" w:themeColor="text1"/>
          <w:szCs w:val="28"/>
        </w:rPr>
        <w:t>4</w:t>
      </w:r>
      <w:r w:rsidRPr="00916A8D">
        <w:rPr>
          <w:rFonts w:eastAsia="宋体"/>
          <w:bCs/>
          <w:color w:val="000000" w:themeColor="text1"/>
          <w:szCs w:val="28"/>
        </w:rPr>
        <w:t>0 dBZ (Fig</w:t>
      </w:r>
      <w:r w:rsidR="00764937">
        <w:rPr>
          <w:rFonts w:eastAsia="宋体"/>
          <w:bCs/>
          <w:color w:val="000000" w:themeColor="text1"/>
          <w:szCs w:val="28"/>
        </w:rPr>
        <w:t>s.</w:t>
      </w:r>
      <w:r w:rsidRPr="00916A8D">
        <w:rPr>
          <w:rFonts w:eastAsia="宋体"/>
          <w:bCs/>
          <w:color w:val="000000" w:themeColor="text1"/>
          <w:szCs w:val="28"/>
        </w:rPr>
        <w:t xml:space="preserve"> </w:t>
      </w:r>
      <w:r w:rsidR="00764937">
        <w:rPr>
          <w:rFonts w:eastAsia="宋体"/>
          <w:bCs/>
          <w:color w:val="000000" w:themeColor="text1"/>
          <w:szCs w:val="28"/>
        </w:rPr>
        <w:t>4.</w:t>
      </w:r>
      <w:r>
        <w:rPr>
          <w:rFonts w:eastAsia="宋体"/>
          <w:bCs/>
          <w:color w:val="000000" w:themeColor="text1"/>
          <w:szCs w:val="28"/>
        </w:rPr>
        <w:t>13</w:t>
      </w:r>
      <w:r w:rsidR="00764937">
        <w:rPr>
          <w:rFonts w:eastAsia="宋体"/>
          <w:bCs/>
          <w:color w:val="000000" w:themeColor="text1"/>
          <w:szCs w:val="28"/>
        </w:rPr>
        <w:t xml:space="preserve"> </w:t>
      </w:r>
      <w:r w:rsidRPr="00916A8D">
        <w:rPr>
          <w:rFonts w:eastAsia="宋体"/>
          <w:bCs/>
          <w:color w:val="000000" w:themeColor="text1"/>
          <w:szCs w:val="28"/>
        </w:rPr>
        <w:t>a</w:t>
      </w:r>
      <w:r w:rsidR="00764937">
        <w:rPr>
          <w:rFonts w:eastAsia="宋体"/>
          <w:bCs/>
          <w:color w:val="000000" w:themeColor="text1"/>
          <w:szCs w:val="28"/>
        </w:rPr>
        <w:t xml:space="preserve">, </w:t>
      </w:r>
      <w:r>
        <w:rPr>
          <w:rFonts w:eastAsia="宋体"/>
          <w:bCs/>
          <w:color w:val="000000" w:themeColor="text1"/>
          <w:szCs w:val="28"/>
        </w:rPr>
        <w:t>b</w:t>
      </w:r>
      <w:r w:rsidRPr="00916A8D">
        <w:rPr>
          <w:rFonts w:eastAsia="宋体"/>
          <w:bCs/>
          <w:color w:val="000000" w:themeColor="text1"/>
          <w:szCs w:val="28"/>
        </w:rPr>
        <w:t xml:space="preserve">). </w:t>
      </w:r>
      <w:r>
        <w:rPr>
          <w:rFonts w:eastAsia="宋体"/>
          <w:bCs/>
          <w:color w:val="000000" w:themeColor="text1"/>
          <w:szCs w:val="28"/>
        </w:rPr>
        <w:t xml:space="preserve">The reason </w:t>
      </w:r>
      <w:r w:rsidR="00597144">
        <w:rPr>
          <w:rFonts w:eastAsia="宋体"/>
          <w:bCs/>
          <w:color w:val="000000" w:themeColor="text1"/>
          <w:szCs w:val="28"/>
        </w:rPr>
        <w:t>for</w:t>
      </w:r>
      <w:r>
        <w:rPr>
          <w:rFonts w:eastAsia="宋体"/>
          <w:bCs/>
          <w:color w:val="000000" w:themeColor="text1"/>
          <w:szCs w:val="28"/>
        </w:rPr>
        <w:t xml:space="preserve"> o</w:t>
      </w:r>
      <w:r w:rsidRPr="00916A8D">
        <w:rPr>
          <w:rFonts w:eastAsia="宋体"/>
          <w:bCs/>
          <w:color w:val="000000" w:themeColor="text1"/>
          <w:szCs w:val="28"/>
        </w:rPr>
        <w:t>verprediction i</w:t>
      </w:r>
      <w:r>
        <w:rPr>
          <w:rFonts w:eastAsia="宋体"/>
          <w:bCs/>
          <w:color w:val="000000" w:themeColor="text1"/>
          <w:szCs w:val="28"/>
        </w:rPr>
        <w:t>n these forecasts is the development of spurious convection in southeastern Kentucky, and their subsequent movement along the boundary between Virginia and North Carolina when they move into western Virginia. In general</w:t>
      </w:r>
      <w:r w:rsidRPr="00916A8D">
        <w:rPr>
          <w:rFonts w:eastAsia="宋体"/>
          <w:bCs/>
          <w:color w:val="000000" w:themeColor="text1"/>
          <w:szCs w:val="28"/>
        </w:rPr>
        <w:t>, the result</w:t>
      </w:r>
      <w:r>
        <w:rPr>
          <w:rFonts w:eastAsia="宋体"/>
          <w:bCs/>
          <w:color w:val="000000" w:themeColor="text1"/>
          <w:szCs w:val="28"/>
        </w:rPr>
        <w:t>s</w:t>
      </w:r>
      <w:r w:rsidRPr="00916A8D">
        <w:rPr>
          <w:rFonts w:eastAsia="宋体"/>
          <w:bCs/>
          <w:color w:val="000000" w:themeColor="text1"/>
          <w:szCs w:val="28"/>
        </w:rPr>
        <w:t xml:space="preserve"> show that </w:t>
      </w:r>
      <w:r>
        <w:rPr>
          <w:rFonts w:eastAsia="宋体"/>
          <w:bCs/>
          <w:color w:val="000000" w:themeColor="text1"/>
          <w:szCs w:val="28"/>
        </w:rPr>
        <w:t xml:space="preserve">WD, which utilizes </w:t>
      </w:r>
      <w:r>
        <w:t>weather-dependent</w:t>
      </w:r>
      <w:r w:rsidRPr="00D00B2B">
        <w:t xml:space="preserve"> background errors</w:t>
      </w:r>
      <w:r>
        <w:t>,</w:t>
      </w:r>
      <w:r w:rsidRPr="00916A8D">
        <w:rPr>
          <w:rFonts w:eastAsia="宋体"/>
          <w:bCs/>
          <w:color w:val="000000" w:themeColor="text1"/>
          <w:szCs w:val="28"/>
        </w:rPr>
        <w:t xml:space="preserve"> outperform</w:t>
      </w:r>
      <w:r>
        <w:rPr>
          <w:rFonts w:eastAsia="宋体"/>
          <w:bCs/>
          <w:color w:val="000000" w:themeColor="text1"/>
          <w:szCs w:val="28"/>
        </w:rPr>
        <w:t>s</w:t>
      </w:r>
      <w:r w:rsidRPr="00916A8D">
        <w:rPr>
          <w:rFonts w:eastAsia="宋体"/>
          <w:bCs/>
          <w:color w:val="000000" w:themeColor="text1"/>
          <w:szCs w:val="28"/>
        </w:rPr>
        <w:t xml:space="preserve"> </w:t>
      </w:r>
      <w:r>
        <w:rPr>
          <w:rFonts w:eastAsia="宋体"/>
          <w:bCs/>
          <w:color w:val="000000" w:themeColor="text1"/>
          <w:szCs w:val="28"/>
        </w:rPr>
        <w:t>Retro</w:t>
      </w:r>
      <w:r w:rsidRPr="00916A8D">
        <w:rPr>
          <w:rFonts w:eastAsia="宋体"/>
          <w:bCs/>
          <w:color w:val="000000" w:themeColor="text1"/>
          <w:szCs w:val="28"/>
        </w:rPr>
        <w:t xml:space="preserve"> with larger values of POD, SR, and CSI</w:t>
      </w:r>
      <w:r>
        <w:rPr>
          <w:rFonts w:eastAsia="宋体"/>
          <w:bCs/>
          <w:color w:val="000000" w:themeColor="text1"/>
          <w:szCs w:val="28"/>
        </w:rPr>
        <w:t xml:space="preserve"> at all forecast lead times. F</w:t>
      </w:r>
      <w:r w:rsidRPr="00916A8D">
        <w:rPr>
          <w:rFonts w:eastAsia="宋体"/>
          <w:bCs/>
          <w:color w:val="000000" w:themeColor="text1"/>
          <w:szCs w:val="28"/>
        </w:rPr>
        <w:t xml:space="preserve">or </w:t>
      </w:r>
      <w:r>
        <w:rPr>
          <w:rFonts w:eastAsia="宋体"/>
          <w:bCs/>
          <w:color w:val="000000" w:themeColor="text1"/>
          <w:szCs w:val="28"/>
        </w:rPr>
        <w:t>the 2</w:t>
      </w:r>
      <w:r w:rsidRPr="00916A8D">
        <w:rPr>
          <w:rFonts w:eastAsia="宋体"/>
          <w:bCs/>
          <w:color w:val="000000" w:themeColor="text1"/>
          <w:szCs w:val="28"/>
        </w:rPr>
        <w:t>0</w:t>
      </w:r>
      <w:r>
        <w:rPr>
          <w:rFonts w:eastAsia="宋体"/>
          <w:bCs/>
          <w:color w:val="000000" w:themeColor="text1"/>
          <w:szCs w:val="28"/>
        </w:rPr>
        <w:t xml:space="preserve"> </w:t>
      </w:r>
      <w:r w:rsidRPr="00916A8D">
        <w:rPr>
          <w:rFonts w:eastAsia="宋体"/>
          <w:bCs/>
          <w:color w:val="000000" w:themeColor="text1"/>
          <w:szCs w:val="28"/>
        </w:rPr>
        <w:t xml:space="preserve">dBZ threshold, </w:t>
      </w:r>
      <w:r>
        <w:rPr>
          <w:rFonts w:eastAsia="宋体"/>
          <w:bCs/>
          <w:color w:val="000000" w:themeColor="text1"/>
          <w:szCs w:val="28"/>
        </w:rPr>
        <w:t xml:space="preserve">WD has at least 0.1 higher CSI values compared to Retro at 1-, 3- and 6-hour forecast lead time. The underprediction bias is observed in WD at 6-hour and in Retro at 3-hour and 6-hour forecasts. </w:t>
      </w:r>
      <w:r w:rsidRPr="00916A8D">
        <w:rPr>
          <w:rFonts w:eastAsia="宋体"/>
          <w:bCs/>
          <w:color w:val="000000" w:themeColor="text1"/>
          <w:szCs w:val="28"/>
        </w:rPr>
        <w:t xml:space="preserve">For </w:t>
      </w:r>
      <w:r>
        <w:rPr>
          <w:rFonts w:eastAsia="宋体"/>
          <w:bCs/>
          <w:color w:val="000000" w:themeColor="text1"/>
          <w:szCs w:val="28"/>
        </w:rPr>
        <w:t>the 4</w:t>
      </w:r>
      <w:r w:rsidRPr="00916A8D">
        <w:rPr>
          <w:rFonts w:eastAsia="宋体"/>
          <w:bCs/>
          <w:color w:val="000000" w:themeColor="text1"/>
          <w:szCs w:val="28"/>
        </w:rPr>
        <w:t>0 dBZ</w:t>
      </w:r>
      <w:r>
        <w:rPr>
          <w:rFonts w:eastAsia="宋体"/>
          <w:bCs/>
          <w:color w:val="000000" w:themeColor="text1"/>
          <w:szCs w:val="28"/>
        </w:rPr>
        <w:t xml:space="preserve"> threshold</w:t>
      </w:r>
      <w:r w:rsidRPr="00916A8D">
        <w:rPr>
          <w:rFonts w:eastAsia="宋体"/>
          <w:bCs/>
          <w:color w:val="000000" w:themeColor="text1"/>
          <w:szCs w:val="28"/>
        </w:rPr>
        <w:t xml:space="preserve">, </w:t>
      </w:r>
      <w:r>
        <w:rPr>
          <w:rFonts w:eastAsia="宋体"/>
          <w:bCs/>
          <w:color w:val="000000" w:themeColor="text1"/>
          <w:szCs w:val="28"/>
        </w:rPr>
        <w:t>WD</w:t>
      </w:r>
      <w:r w:rsidRPr="00916A8D">
        <w:rPr>
          <w:rFonts w:eastAsia="宋体"/>
          <w:bCs/>
          <w:color w:val="000000" w:themeColor="text1"/>
          <w:szCs w:val="28"/>
        </w:rPr>
        <w:t xml:space="preserve"> </w:t>
      </w:r>
      <w:r>
        <w:rPr>
          <w:rFonts w:eastAsia="宋体"/>
          <w:bCs/>
          <w:color w:val="000000" w:themeColor="text1"/>
          <w:szCs w:val="28"/>
        </w:rPr>
        <w:t xml:space="preserve">also </w:t>
      </w:r>
      <w:r w:rsidRPr="00916A8D">
        <w:rPr>
          <w:rFonts w:eastAsia="宋体"/>
          <w:bCs/>
          <w:color w:val="000000" w:themeColor="text1"/>
          <w:szCs w:val="28"/>
        </w:rPr>
        <w:t>produces highe</w:t>
      </w:r>
      <w:r>
        <w:rPr>
          <w:rFonts w:eastAsia="宋体"/>
          <w:bCs/>
          <w:color w:val="000000" w:themeColor="text1"/>
          <w:szCs w:val="28"/>
        </w:rPr>
        <w:t>r</w:t>
      </w:r>
      <w:r w:rsidRPr="00916A8D">
        <w:rPr>
          <w:rFonts w:eastAsia="宋体"/>
          <w:bCs/>
          <w:color w:val="000000" w:themeColor="text1"/>
          <w:szCs w:val="28"/>
        </w:rPr>
        <w:t xml:space="preserve"> POD, SR and CSI</w:t>
      </w:r>
      <w:r>
        <w:rPr>
          <w:rFonts w:eastAsia="宋体"/>
          <w:bCs/>
          <w:color w:val="000000" w:themeColor="text1"/>
          <w:szCs w:val="28"/>
        </w:rPr>
        <w:t xml:space="preserve"> than Retro,</w:t>
      </w:r>
      <w:r w:rsidRPr="00916A8D">
        <w:rPr>
          <w:rFonts w:eastAsia="宋体"/>
          <w:bCs/>
          <w:color w:val="000000" w:themeColor="text1"/>
          <w:szCs w:val="28"/>
        </w:rPr>
        <w:t xml:space="preserve"> </w:t>
      </w:r>
      <w:r>
        <w:rPr>
          <w:rFonts w:eastAsia="宋体"/>
          <w:bCs/>
          <w:color w:val="000000" w:themeColor="text1"/>
          <w:szCs w:val="28"/>
        </w:rPr>
        <w:t>but with slightly</w:t>
      </w:r>
      <w:r w:rsidRPr="00916A8D">
        <w:rPr>
          <w:rFonts w:eastAsia="宋体"/>
          <w:bCs/>
          <w:color w:val="000000" w:themeColor="text1"/>
          <w:szCs w:val="28"/>
        </w:rPr>
        <w:t xml:space="preserve"> </w:t>
      </w:r>
      <w:r>
        <w:rPr>
          <w:rFonts w:eastAsia="宋体"/>
          <w:bCs/>
          <w:color w:val="000000" w:themeColor="text1"/>
          <w:szCs w:val="28"/>
        </w:rPr>
        <w:t>higher</w:t>
      </w:r>
      <w:r w:rsidRPr="00916A8D">
        <w:rPr>
          <w:rFonts w:eastAsia="宋体"/>
          <w:bCs/>
          <w:color w:val="000000" w:themeColor="text1"/>
          <w:szCs w:val="28"/>
        </w:rPr>
        <w:t xml:space="preserve"> </w:t>
      </w:r>
      <w:r>
        <w:rPr>
          <w:rFonts w:eastAsia="宋体"/>
          <w:bCs/>
          <w:color w:val="000000" w:themeColor="text1"/>
          <w:szCs w:val="28"/>
        </w:rPr>
        <w:t>bias.</w:t>
      </w:r>
      <w:r w:rsidRPr="00916A8D">
        <w:rPr>
          <w:rFonts w:eastAsia="宋体"/>
          <w:bCs/>
          <w:color w:val="000000" w:themeColor="text1"/>
          <w:szCs w:val="28"/>
        </w:rPr>
        <w:t xml:space="preserve"> </w:t>
      </w:r>
      <w:r w:rsidRPr="005B1575">
        <w:rPr>
          <w:rFonts w:eastAsia="宋体"/>
          <w:bCs/>
          <w:color w:val="000000" w:themeColor="text1"/>
          <w:szCs w:val="28"/>
        </w:rPr>
        <w:t>The aggregated ETS values of the reflectivity forecasts indicate that the WD experiment generally has higher ETS values compared to the Retro experiment for both thresholds throughout the 0-6 h</w:t>
      </w:r>
      <w:r>
        <w:rPr>
          <w:rFonts w:eastAsia="宋体"/>
          <w:bCs/>
          <w:color w:val="000000" w:themeColor="text1"/>
          <w:szCs w:val="28"/>
        </w:rPr>
        <w:t>our</w:t>
      </w:r>
      <w:r w:rsidRPr="005B1575">
        <w:rPr>
          <w:rFonts w:eastAsia="宋体"/>
          <w:bCs/>
          <w:color w:val="000000" w:themeColor="text1"/>
          <w:szCs w:val="28"/>
        </w:rPr>
        <w:t xml:space="preserve"> forecast lead times (Fig</w:t>
      </w:r>
      <w:r>
        <w:rPr>
          <w:rFonts w:eastAsia="宋体"/>
          <w:bCs/>
          <w:color w:val="000000" w:themeColor="text1"/>
          <w:szCs w:val="28"/>
        </w:rPr>
        <w:t>s.</w:t>
      </w:r>
      <w:r w:rsidRPr="005B1575">
        <w:rPr>
          <w:rFonts w:eastAsia="宋体"/>
          <w:bCs/>
          <w:color w:val="000000" w:themeColor="text1"/>
          <w:szCs w:val="28"/>
        </w:rPr>
        <w:t xml:space="preserve"> </w:t>
      </w:r>
      <w:r w:rsidR="00764937">
        <w:rPr>
          <w:rFonts w:eastAsia="宋体"/>
          <w:bCs/>
          <w:color w:val="000000" w:themeColor="text1"/>
          <w:szCs w:val="28"/>
        </w:rPr>
        <w:t>4.</w:t>
      </w:r>
      <w:r w:rsidRPr="005B1575">
        <w:rPr>
          <w:rFonts w:eastAsia="宋体"/>
          <w:bCs/>
          <w:color w:val="000000" w:themeColor="text1"/>
          <w:szCs w:val="28"/>
        </w:rPr>
        <w:t>13</w:t>
      </w:r>
      <w:r w:rsidR="00764937">
        <w:rPr>
          <w:rFonts w:eastAsia="宋体"/>
          <w:bCs/>
          <w:color w:val="000000" w:themeColor="text1"/>
          <w:szCs w:val="28"/>
        </w:rPr>
        <w:t xml:space="preserve"> </w:t>
      </w:r>
      <w:r w:rsidRPr="005B1575">
        <w:rPr>
          <w:rFonts w:eastAsia="宋体"/>
          <w:bCs/>
          <w:color w:val="000000" w:themeColor="text1"/>
          <w:szCs w:val="28"/>
        </w:rPr>
        <w:t>c, d).</w:t>
      </w:r>
      <w:r>
        <w:rPr>
          <w:rFonts w:eastAsia="宋体"/>
          <w:bCs/>
          <w:color w:val="000000" w:themeColor="text1"/>
          <w:szCs w:val="28"/>
        </w:rPr>
        <w:t xml:space="preserve"> </w:t>
      </w:r>
      <w:r w:rsidRPr="0091041D">
        <w:t>It is important to note that as the lead times increase, the differences in ETS between the two experiments become more obvious.</w:t>
      </w:r>
      <w:r>
        <w:t xml:space="preserve"> Based on</w:t>
      </w:r>
      <w:r w:rsidRPr="0091041D">
        <w:t xml:space="preserve"> the greater POD, SR, CSI, and ETS, </w:t>
      </w:r>
      <w:r>
        <w:t xml:space="preserve">it can be concluded that </w:t>
      </w:r>
      <w:r w:rsidRPr="0091041D">
        <w:t>the 6-h</w:t>
      </w:r>
      <w:r>
        <w:t>our</w:t>
      </w:r>
      <w:r w:rsidRPr="0091041D">
        <w:t xml:space="preserve"> composite reflectivity forecast from WD has the best </w:t>
      </w:r>
      <w:r>
        <w:t xml:space="preserve">overall </w:t>
      </w:r>
      <w:r w:rsidRPr="0091041D">
        <w:t>forecast skill.</w:t>
      </w:r>
    </w:p>
    <w:p w14:paraId="6D7287CB" w14:textId="5DD07154" w:rsidR="00764937" w:rsidRDefault="00764937" w:rsidP="00764937">
      <w:pPr>
        <w:pStyle w:val="NoSpacing"/>
      </w:pPr>
    </w:p>
    <w:p w14:paraId="11F9D67D" w14:textId="77777777" w:rsidR="00764937" w:rsidRDefault="00764937" w:rsidP="00AE2400">
      <w:pPr>
        <w:spacing w:line="240" w:lineRule="auto"/>
        <w:ind w:firstLine="0"/>
        <w:jc w:val="center"/>
      </w:pPr>
      <w:r>
        <w:rPr>
          <w:noProof/>
        </w:rPr>
        <w:lastRenderedPageBreak/>
        <w:drawing>
          <wp:inline distT="0" distB="0" distL="0" distR="0" wp14:anchorId="59BBB625" wp14:editId="11478F7F">
            <wp:extent cx="5943600" cy="59436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38A62A90" w14:textId="0B394ECA" w:rsidR="00764937" w:rsidRPr="00D60A80" w:rsidRDefault="00764937" w:rsidP="00764937">
      <w:pPr>
        <w:pStyle w:val="Captions"/>
        <w:rPr>
          <w:szCs w:val="24"/>
        </w:rPr>
      </w:pPr>
      <w:bookmarkStart w:id="115" w:name="_Toc134695291"/>
      <w:r w:rsidRPr="00D60A80">
        <w:rPr>
          <w:szCs w:val="24"/>
        </w:rPr>
        <w:t xml:space="preserve">Figure </w:t>
      </w:r>
      <w:r w:rsidR="00C96E3B" w:rsidRPr="00D60A80">
        <w:rPr>
          <w:szCs w:val="24"/>
        </w:rPr>
        <w:fldChar w:fldCharType="begin"/>
      </w:r>
      <w:r w:rsidR="00C96E3B" w:rsidRPr="00D60A80">
        <w:rPr>
          <w:szCs w:val="24"/>
        </w:rPr>
        <w:instrText xml:space="preserve"> STYLEREF 1 \s </w:instrText>
      </w:r>
      <w:r w:rsidR="00C96E3B" w:rsidRPr="00D60A80">
        <w:rPr>
          <w:szCs w:val="24"/>
        </w:rPr>
        <w:fldChar w:fldCharType="separate"/>
      </w:r>
      <w:r w:rsidR="00C77C87" w:rsidRPr="00D60A80">
        <w:rPr>
          <w:noProof/>
          <w:szCs w:val="24"/>
        </w:rPr>
        <w:t>4</w:t>
      </w:r>
      <w:r w:rsidR="00C96E3B" w:rsidRPr="00D60A80">
        <w:rPr>
          <w:noProof/>
          <w:szCs w:val="24"/>
        </w:rPr>
        <w:fldChar w:fldCharType="end"/>
      </w:r>
      <w:r w:rsidR="00C77C87" w:rsidRPr="00D60A80">
        <w:rPr>
          <w:szCs w:val="24"/>
        </w:rPr>
        <w:t>.</w:t>
      </w:r>
      <w:r w:rsidR="00C96E3B" w:rsidRPr="00D60A80">
        <w:rPr>
          <w:szCs w:val="24"/>
        </w:rPr>
        <w:fldChar w:fldCharType="begin"/>
      </w:r>
      <w:r w:rsidR="00C96E3B" w:rsidRPr="00D60A80">
        <w:rPr>
          <w:szCs w:val="24"/>
        </w:rPr>
        <w:instrText xml:space="preserve"> SEQ Figure \* ARABIC \s 1 </w:instrText>
      </w:r>
      <w:r w:rsidR="00C96E3B" w:rsidRPr="00D60A80">
        <w:rPr>
          <w:szCs w:val="24"/>
        </w:rPr>
        <w:fldChar w:fldCharType="separate"/>
      </w:r>
      <w:r w:rsidR="00C77C87" w:rsidRPr="00D60A80">
        <w:rPr>
          <w:noProof/>
          <w:szCs w:val="24"/>
        </w:rPr>
        <w:t>13</w:t>
      </w:r>
      <w:r w:rsidR="00C96E3B" w:rsidRPr="00D60A80">
        <w:rPr>
          <w:noProof/>
          <w:szCs w:val="24"/>
        </w:rPr>
        <w:fldChar w:fldCharType="end"/>
      </w:r>
      <w:r w:rsidRPr="00D60A80">
        <w:rPr>
          <w:szCs w:val="24"/>
        </w:rPr>
        <w:t xml:space="preserve"> Performance diagram and equitable threat scores (ETS) for the 1- to 6-hour Composite reflectivity forecasts aggregated from each initialization hour from 1800 to 0000 UTC the next day for the 5 May 2020 event. Overplotted error bars used to indicate 2.5th and 97.5th percentiles of resampled ETSs of WD in the permutation test, referenced to the forecast from Retro. A dot on the blue lines indicates a statistically significant difference in the ETS between WD and Retro for a specific forecast time.</w:t>
      </w:r>
      <w:bookmarkEnd w:id="115"/>
    </w:p>
    <w:p w14:paraId="209883A7" w14:textId="77777777" w:rsidR="00764937" w:rsidRPr="001121BF" w:rsidRDefault="00764937" w:rsidP="00764937">
      <w:pPr>
        <w:pStyle w:val="NoSpacing"/>
      </w:pPr>
    </w:p>
    <w:p w14:paraId="290A9BA2" w14:textId="0B05C9AB" w:rsidR="00682CE2" w:rsidRDefault="00682CE2">
      <w:pPr>
        <w:pStyle w:val="Heading3"/>
      </w:pPr>
      <w:bookmarkStart w:id="116" w:name="_Toc130995460"/>
      <w:bookmarkStart w:id="117" w:name="_Toc131018325"/>
      <w:r>
        <w:t>10 Dec 2021</w:t>
      </w:r>
      <w:bookmarkEnd w:id="116"/>
      <w:r w:rsidR="00EF6098">
        <w:t xml:space="preserve"> event</w:t>
      </w:r>
      <w:bookmarkEnd w:id="117"/>
    </w:p>
    <w:p w14:paraId="1701650E" w14:textId="3EA8DD25" w:rsidR="00682CE2" w:rsidRDefault="00682CE2" w:rsidP="00682CE2">
      <w:r w:rsidRPr="0091041D">
        <w:t>On the evening of 10 Dec 2021, a powerful storm system traveling across the Central United States resulted in</w:t>
      </w:r>
      <w:r>
        <w:t xml:space="preserve"> several tornadoes, including</w:t>
      </w:r>
      <w:r w:rsidRPr="0091041D">
        <w:t xml:space="preserve"> </w:t>
      </w:r>
      <w:r>
        <w:t>two</w:t>
      </w:r>
      <w:r w:rsidRPr="0091041D">
        <w:t xml:space="preserve"> EF-4 tornado</w:t>
      </w:r>
      <w:r>
        <w:t>es</w:t>
      </w:r>
      <w:r w:rsidRPr="0091041D">
        <w:t xml:space="preserve"> </w:t>
      </w:r>
      <w:r>
        <w:t>spanning 81.2 miles and</w:t>
      </w:r>
      <w:r w:rsidRPr="0091041D">
        <w:t xml:space="preserve"> 165.7 </w:t>
      </w:r>
      <w:r w:rsidRPr="0091041D">
        <w:lastRenderedPageBreak/>
        <w:t xml:space="preserve">miles long </w:t>
      </w:r>
      <w:r>
        <w:t xml:space="preserve">respectively, and </w:t>
      </w:r>
      <w:r w:rsidRPr="0091041D">
        <w:t xml:space="preserve">an EF-3 tornado </w:t>
      </w:r>
      <w:r>
        <w:t>spanning</w:t>
      </w:r>
      <w:r w:rsidRPr="0091041D">
        <w:t xml:space="preserve"> 122.7 miles long</w:t>
      </w:r>
      <w:r>
        <w:t xml:space="preserve"> south to the EF-4 tornadoes</w:t>
      </w:r>
      <w:r w:rsidRPr="0091041D">
        <w:t>.</w:t>
      </w:r>
      <w:r>
        <w:t xml:space="preserve"> The EF-4 tornadoes produced strong property </w:t>
      </w:r>
      <w:r w:rsidR="00597144">
        <w:t xml:space="preserve">loss </w:t>
      </w:r>
      <w:r>
        <w:t xml:space="preserve">including over 4000 residences </w:t>
      </w:r>
      <w:r w:rsidRPr="002B6B85">
        <w:t xml:space="preserve">and </w:t>
      </w:r>
      <w:r w:rsidRPr="00210C3C">
        <w:rPr>
          <w:color w:val="202124"/>
          <w:shd w:val="clear" w:color="auto" w:fill="FFFFFF"/>
        </w:rPr>
        <w:t>commercial buildings</w:t>
      </w:r>
      <w:r>
        <w:t xml:space="preserve"> were destroyed, or damaged and </w:t>
      </w:r>
      <w:r>
        <w:rPr>
          <w:color w:val="202122"/>
          <w:shd w:val="clear" w:color="auto" w:fill="FFFFFF"/>
        </w:rPr>
        <w:t>65</w:t>
      </w:r>
      <w:r w:rsidRPr="00210C3C">
        <w:rPr>
          <w:color w:val="202122"/>
          <w:shd w:val="clear" w:color="auto" w:fill="FFFFFF"/>
        </w:rPr>
        <w:t xml:space="preserve"> fatalities were confirmed</w:t>
      </w:r>
      <w:r>
        <w:rPr>
          <w:color w:val="202122"/>
          <w:shd w:val="clear" w:color="auto" w:fill="FFFFFF"/>
        </w:rPr>
        <w:t xml:space="preserve"> and over 530 people injured</w:t>
      </w:r>
      <w:r w:rsidRPr="00210C3C">
        <w:rPr>
          <w:color w:val="202122"/>
          <w:shd w:val="clear" w:color="auto" w:fill="FFFFFF"/>
        </w:rPr>
        <w:t xml:space="preserve"> in the tornado</w:t>
      </w:r>
      <w:r>
        <w:rPr>
          <w:color w:val="202122"/>
          <w:shd w:val="clear" w:color="auto" w:fill="FFFFFF"/>
        </w:rPr>
        <w:t xml:space="preserve"> path</w:t>
      </w:r>
      <w:r>
        <w:t xml:space="preserve">. </w:t>
      </w:r>
      <w:r w:rsidRPr="0091041D">
        <w:t xml:space="preserve">By bringing in cold air </w:t>
      </w:r>
      <w:r>
        <w:t xml:space="preserve">from </w:t>
      </w:r>
      <w:r w:rsidR="00597144">
        <w:t xml:space="preserve">the </w:t>
      </w:r>
      <w:r>
        <w:t xml:space="preserve">northern Midwest </w:t>
      </w:r>
      <w:r w:rsidRPr="0091041D">
        <w:t>and mixing it with the</w:t>
      </w:r>
      <w:r>
        <w:t xml:space="preserve"> moist,</w:t>
      </w:r>
      <w:r w:rsidRPr="0091041D">
        <w:t xml:space="preserve"> </w:t>
      </w:r>
      <w:r>
        <w:t xml:space="preserve">nearly record-breaking </w:t>
      </w:r>
      <w:r w:rsidRPr="0091041D">
        <w:t>warm</w:t>
      </w:r>
      <w:r>
        <w:t xml:space="preserve"> </w:t>
      </w:r>
      <w:r w:rsidRPr="0091041D">
        <w:t xml:space="preserve">air from the Gulf of Mexico, the </w:t>
      </w:r>
      <w:r>
        <w:t xml:space="preserve">atmosphere was extremely </w:t>
      </w:r>
      <w:r w:rsidRPr="0091041D">
        <w:t>unstable.</w:t>
      </w:r>
      <w:r>
        <w:t xml:space="preserve"> </w:t>
      </w:r>
      <w:r w:rsidRPr="0091041D">
        <w:t xml:space="preserve">In addition to the atmospheric instability, </w:t>
      </w:r>
      <w:r>
        <w:t>significant wind shear was also produced by a greater than</w:t>
      </w:r>
      <w:r w:rsidRPr="0091041D">
        <w:t xml:space="preserve"> </w:t>
      </w:r>
      <w:r>
        <w:t>25.7 m s</w:t>
      </w:r>
      <w:r>
        <w:rPr>
          <w:vertAlign w:val="superscript"/>
        </w:rPr>
        <w:t>-1</w:t>
      </w:r>
      <w:r w:rsidRPr="0091041D">
        <w:t xml:space="preserve"> low level jet that surged northward out of the western Gulf of Mexico and a</w:t>
      </w:r>
      <w:r>
        <w:t>n</w:t>
      </w:r>
      <w:r w:rsidRPr="0091041D">
        <w:t xml:space="preserve"> </w:t>
      </w:r>
      <w:r>
        <w:t>unusually</w:t>
      </w:r>
      <w:r w:rsidRPr="0091041D">
        <w:t xml:space="preserve"> strong jet stream at 300 hPa with </w:t>
      </w:r>
      <w:r>
        <w:t xml:space="preserve">maximum </w:t>
      </w:r>
      <w:r w:rsidRPr="0091041D">
        <w:t xml:space="preserve">wind speed </w:t>
      </w:r>
      <w:r>
        <w:t>greater than</w:t>
      </w:r>
      <w:r w:rsidRPr="0091041D">
        <w:t xml:space="preserve"> </w:t>
      </w:r>
      <w:r>
        <w:t>72 m s</w:t>
      </w:r>
      <w:r>
        <w:rPr>
          <w:vertAlign w:val="superscript"/>
        </w:rPr>
        <w:t>-1</w:t>
      </w:r>
      <w:r w:rsidRPr="0091041D">
        <w:t xml:space="preserve">. Strong rotating updrafts are more likely to occur when the instability condition </w:t>
      </w:r>
      <w:r>
        <w:t>and significant wind shear are simultaneously</w:t>
      </w:r>
      <w:r w:rsidRPr="0091041D">
        <w:t xml:space="preserve"> present</w:t>
      </w:r>
      <w:r>
        <w:t>.</w:t>
      </w:r>
      <w:r w:rsidRPr="0091041D">
        <w:t xml:space="preserve"> </w:t>
      </w:r>
      <w:r>
        <w:t>As a result, t</w:t>
      </w:r>
      <w:r w:rsidRPr="00A5446D">
        <w:t xml:space="preserve">he </w:t>
      </w:r>
      <w:r>
        <w:t>tornadic supercell that produced the EF-4 tornadoes</w:t>
      </w:r>
      <w:r w:rsidRPr="00A5446D">
        <w:t xml:space="preserve"> </w:t>
      </w:r>
      <w:r>
        <w:t xml:space="preserve">started to initiate around 2100 UTC and </w:t>
      </w:r>
      <w:r w:rsidR="00256DD6">
        <w:t xml:space="preserve">another tornadic supercell </w:t>
      </w:r>
      <w:r>
        <w:t>that produced EF-3 tornado initiated around 0330 UTC</w:t>
      </w:r>
      <w:r w:rsidRPr="00A5446D">
        <w:t>.</w:t>
      </w:r>
      <w:r>
        <w:t xml:space="preserve"> Our analysis and forecast will mainly focus on the long-lived supercell that produced the EF-4 tornadoes.</w:t>
      </w:r>
    </w:p>
    <w:p w14:paraId="6FACA6A6" w14:textId="77777777" w:rsidR="00764937" w:rsidRDefault="00764937" w:rsidP="00764937">
      <w:pPr>
        <w:pStyle w:val="NoSpacing"/>
      </w:pPr>
    </w:p>
    <w:p w14:paraId="165BE540" w14:textId="77777777" w:rsidR="00764937" w:rsidRDefault="00764937" w:rsidP="00263C79">
      <w:pPr>
        <w:spacing w:line="240" w:lineRule="auto"/>
        <w:ind w:firstLine="0"/>
      </w:pPr>
      <w:r>
        <w:rPr>
          <w:noProof/>
        </w:rPr>
        <w:drawing>
          <wp:inline distT="0" distB="0" distL="0" distR="0" wp14:anchorId="05947C4B" wp14:editId="2C710185">
            <wp:extent cx="5943600" cy="2953226"/>
            <wp:effectExtent l="0" t="0" r="0" b="6350"/>
            <wp:docPr id="32" name="Picture 32"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picture containing diagram&#10;&#10;Description automatically generated"/>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943600" cy="2953226"/>
                    </a:xfrm>
                    <a:prstGeom prst="rect">
                      <a:avLst/>
                    </a:prstGeom>
                  </pic:spPr>
                </pic:pic>
              </a:graphicData>
            </a:graphic>
          </wp:inline>
        </w:drawing>
      </w:r>
    </w:p>
    <w:p w14:paraId="264DEBCD" w14:textId="78C4838B" w:rsidR="00764937" w:rsidRPr="00D60A80" w:rsidRDefault="00764937" w:rsidP="00764937">
      <w:pPr>
        <w:pStyle w:val="Captions"/>
        <w:rPr>
          <w:szCs w:val="24"/>
        </w:rPr>
      </w:pPr>
      <w:bookmarkStart w:id="118" w:name="_Toc134695292"/>
      <w:r w:rsidRPr="00D60A80">
        <w:rPr>
          <w:szCs w:val="24"/>
        </w:rPr>
        <w:t xml:space="preserve">Figure </w:t>
      </w:r>
      <w:r w:rsidR="00C96E3B" w:rsidRPr="00D60A80">
        <w:rPr>
          <w:szCs w:val="24"/>
        </w:rPr>
        <w:fldChar w:fldCharType="begin"/>
      </w:r>
      <w:r w:rsidR="00C96E3B" w:rsidRPr="00D60A80">
        <w:rPr>
          <w:szCs w:val="24"/>
        </w:rPr>
        <w:instrText xml:space="preserve"> STYLEREF 1 \s </w:instrText>
      </w:r>
      <w:r w:rsidR="00C96E3B" w:rsidRPr="00D60A80">
        <w:rPr>
          <w:szCs w:val="24"/>
        </w:rPr>
        <w:fldChar w:fldCharType="separate"/>
      </w:r>
      <w:r w:rsidR="00C77C87" w:rsidRPr="00D60A80">
        <w:rPr>
          <w:noProof/>
          <w:szCs w:val="24"/>
        </w:rPr>
        <w:t>4</w:t>
      </w:r>
      <w:r w:rsidR="00C96E3B" w:rsidRPr="00D60A80">
        <w:rPr>
          <w:noProof/>
          <w:szCs w:val="24"/>
        </w:rPr>
        <w:fldChar w:fldCharType="end"/>
      </w:r>
      <w:r w:rsidR="00C77C87" w:rsidRPr="00D60A80">
        <w:rPr>
          <w:szCs w:val="24"/>
        </w:rPr>
        <w:t>.</w:t>
      </w:r>
      <w:r w:rsidR="00C96E3B" w:rsidRPr="00D60A80">
        <w:rPr>
          <w:szCs w:val="24"/>
        </w:rPr>
        <w:fldChar w:fldCharType="begin"/>
      </w:r>
      <w:r w:rsidR="00C96E3B" w:rsidRPr="00D60A80">
        <w:rPr>
          <w:szCs w:val="24"/>
        </w:rPr>
        <w:instrText xml:space="preserve"> SEQ Figure \* ARABIC \s 1 </w:instrText>
      </w:r>
      <w:r w:rsidR="00C96E3B" w:rsidRPr="00D60A80">
        <w:rPr>
          <w:szCs w:val="24"/>
        </w:rPr>
        <w:fldChar w:fldCharType="separate"/>
      </w:r>
      <w:r w:rsidR="00C77C87" w:rsidRPr="00D60A80">
        <w:rPr>
          <w:noProof/>
          <w:szCs w:val="24"/>
        </w:rPr>
        <w:t>14</w:t>
      </w:r>
      <w:r w:rsidR="00C96E3B" w:rsidRPr="00D60A80">
        <w:rPr>
          <w:noProof/>
          <w:szCs w:val="24"/>
        </w:rPr>
        <w:fldChar w:fldCharType="end"/>
      </w:r>
      <w:r w:rsidRPr="00D60A80">
        <w:rPr>
          <w:szCs w:val="24"/>
        </w:rPr>
        <w:t xml:space="preserve"> As in Fig. 4.7, but for the analysis and subsequent 6-hour forecasts initiated from 2100 UTC 10 Dec 2021.</w:t>
      </w:r>
      <w:bookmarkEnd w:id="118"/>
    </w:p>
    <w:p w14:paraId="682AABA7" w14:textId="77777777" w:rsidR="0021452B" w:rsidRDefault="0021452B" w:rsidP="0021452B">
      <w:pPr>
        <w:pStyle w:val="NoSpacing"/>
      </w:pPr>
    </w:p>
    <w:p w14:paraId="2B8E7D57" w14:textId="18133116" w:rsidR="00682CE2" w:rsidRDefault="00682CE2" w:rsidP="00682CE2">
      <w:pPr>
        <w:rPr>
          <w:color w:val="000000" w:themeColor="text1"/>
        </w:rPr>
      </w:pPr>
      <w:r w:rsidRPr="0091041D">
        <w:t xml:space="preserve">Similar to the previous event, the benefit of employing </w:t>
      </w:r>
      <w:r>
        <w:t>weather-dependent</w:t>
      </w:r>
      <w:r w:rsidRPr="0091041D">
        <w:t xml:space="preserve"> background error</w:t>
      </w:r>
      <w:r>
        <w:t>s</w:t>
      </w:r>
      <w:r w:rsidRPr="0091041D">
        <w:t xml:space="preserve"> in the WoF-Var system is </w:t>
      </w:r>
      <w:r>
        <w:t xml:space="preserve">first </w:t>
      </w:r>
      <w:r w:rsidRPr="0091041D">
        <w:t xml:space="preserve">investigated </w:t>
      </w:r>
      <w:r>
        <w:t>through analysis and forecast of</w:t>
      </w:r>
      <w:r w:rsidRPr="0091041D">
        <w:t xml:space="preserve"> composite reflectivities (Fig. </w:t>
      </w:r>
      <w:r w:rsidR="00764937">
        <w:t>4.</w:t>
      </w:r>
      <w:r w:rsidRPr="0091041D">
        <w:t xml:space="preserve">14). </w:t>
      </w:r>
      <w:r>
        <w:t>B</w:t>
      </w:r>
      <w:r w:rsidRPr="0091041D">
        <w:t xml:space="preserve">oth </w:t>
      </w:r>
      <w:r>
        <w:t>experiments</w:t>
      </w:r>
      <w:r w:rsidRPr="0091041D">
        <w:t xml:space="preserve"> show </w:t>
      </w:r>
      <w:r>
        <w:t>stronger convective activity in</w:t>
      </w:r>
      <w:r w:rsidRPr="0091041D">
        <w:t xml:space="preserve"> </w:t>
      </w:r>
      <w:r>
        <w:t xml:space="preserve">comparison to the observations in terms of </w:t>
      </w:r>
      <w:r w:rsidRPr="0091041D">
        <w:t>composite reflectivities</w:t>
      </w:r>
      <w:r>
        <w:t>.</w:t>
      </w:r>
      <w:r w:rsidRPr="0091041D">
        <w:t xml:space="preserve"> </w:t>
      </w:r>
      <w:r>
        <w:t>The</w:t>
      </w:r>
      <w:r w:rsidRPr="00952460">
        <w:t xml:space="preserve"> </w:t>
      </w:r>
      <w:r w:rsidRPr="0091041D">
        <w:t>analyzed</w:t>
      </w:r>
      <w:r>
        <w:t xml:space="preserve"> tornadic supercell in central Arkansas </w:t>
      </w:r>
      <w:r w:rsidRPr="0091041D">
        <w:t>in Retro and WD have similar shape and position</w:t>
      </w:r>
      <w:r>
        <w:t xml:space="preserve"> (</w:t>
      </w:r>
      <w:r w:rsidR="0021452B">
        <w:t xml:space="preserve">blue box in </w:t>
      </w:r>
      <w:r>
        <w:t xml:space="preserve">Figs. </w:t>
      </w:r>
      <w:r w:rsidR="0021452B">
        <w:t>4.</w:t>
      </w:r>
      <w:r>
        <w:t>14 a1</w:t>
      </w:r>
      <w:r w:rsidR="0021452B">
        <w:t xml:space="preserve"> and</w:t>
      </w:r>
      <w:r>
        <w:t xml:space="preserve"> b1) and display a more prominent supercell signature compared to the MRMS composite reflectivities (</w:t>
      </w:r>
      <w:r w:rsidR="0021452B">
        <w:t xml:space="preserve">blue box in </w:t>
      </w:r>
      <w:r>
        <w:t xml:space="preserve">Fig. </w:t>
      </w:r>
      <w:r w:rsidR="0021452B">
        <w:t>4.</w:t>
      </w:r>
      <w:r>
        <w:t>14 o1)</w:t>
      </w:r>
      <w:r w:rsidRPr="0091041D">
        <w:t xml:space="preserve"> at 2100 UTC</w:t>
      </w:r>
      <w:r>
        <w:t xml:space="preserve">. This discrepancy between the simulated and observed supercell can be </w:t>
      </w:r>
      <w:r w:rsidR="00597144">
        <w:t xml:space="preserve">attributed </w:t>
      </w:r>
      <w:r>
        <w:t>to incomplete radar coverage for this particular supercell</w:t>
      </w:r>
      <w:r w:rsidRPr="0091041D">
        <w:t>.</w:t>
      </w:r>
      <w:r>
        <w:t xml:space="preserve"> </w:t>
      </w:r>
      <w:r w:rsidRPr="0091041D">
        <w:t xml:space="preserve">The </w:t>
      </w:r>
      <w:r>
        <w:t>forecast of the</w:t>
      </w:r>
      <w:r w:rsidRPr="0091041D">
        <w:t xml:space="preserve"> tornadic supercell in Retro </w:t>
      </w:r>
      <w:r>
        <w:t xml:space="preserve">completely </w:t>
      </w:r>
      <w:r w:rsidRPr="0091041D">
        <w:t>vanishe</w:t>
      </w:r>
      <w:r>
        <w:t>s</w:t>
      </w:r>
      <w:r w:rsidRPr="0091041D">
        <w:t xml:space="preserve"> since 2300 UTC (Fig</w:t>
      </w:r>
      <w:r w:rsidR="0021452B">
        <w:t>s</w:t>
      </w:r>
      <w:r w:rsidRPr="0091041D">
        <w:t xml:space="preserve">. </w:t>
      </w:r>
      <w:r w:rsidR="0021452B">
        <w:t>4.</w:t>
      </w:r>
      <w:r w:rsidRPr="0091041D">
        <w:t>14 a</w:t>
      </w:r>
      <w:r>
        <w:t>2 - a4</w:t>
      </w:r>
      <w:r w:rsidRPr="0091041D">
        <w:t xml:space="preserve"> vs o</w:t>
      </w:r>
      <w:r>
        <w:t>2 - o4</w:t>
      </w:r>
      <w:r w:rsidRPr="0091041D">
        <w:t xml:space="preserve">). </w:t>
      </w:r>
      <w:r>
        <w:t>In contrast</w:t>
      </w:r>
      <w:r w:rsidRPr="0091041D">
        <w:t xml:space="preserve">, the forecast from WD (Figs. b2 </w:t>
      </w:r>
      <w:r>
        <w:t>-</w:t>
      </w:r>
      <w:r w:rsidRPr="0091041D">
        <w:t xml:space="preserve"> b</w:t>
      </w:r>
      <w:r>
        <w:t>4</w:t>
      </w:r>
      <w:r w:rsidRPr="0091041D">
        <w:t>)</w:t>
      </w:r>
      <w:r>
        <w:t xml:space="preserve"> </w:t>
      </w:r>
      <w:r w:rsidRPr="0091041D">
        <w:t>show</w:t>
      </w:r>
      <w:r>
        <w:t>s</w:t>
      </w:r>
      <w:r w:rsidRPr="0091041D">
        <w:t xml:space="preserve"> the tornadic supercell </w:t>
      </w:r>
      <w:r>
        <w:t>maintains</w:t>
      </w:r>
      <w:r w:rsidRPr="0091041D">
        <w:t xml:space="preserve"> and propaga</w:t>
      </w:r>
      <w:r>
        <w:t>tes</w:t>
      </w:r>
      <w:r w:rsidRPr="0091041D">
        <w:t xml:space="preserve"> </w:t>
      </w:r>
      <w:r>
        <w:t>northeastward</w:t>
      </w:r>
      <w:r w:rsidRPr="0091041D">
        <w:t>.</w:t>
      </w:r>
      <w:r>
        <w:rPr>
          <w:color w:val="000000" w:themeColor="text1"/>
        </w:rPr>
        <w:t xml:space="preserve"> </w:t>
      </w:r>
      <w:r w:rsidR="00597144">
        <w:rPr>
          <w:color w:val="000000" w:themeColor="text1"/>
        </w:rPr>
        <w:t xml:space="preserve">Although </w:t>
      </w:r>
      <w:r>
        <w:rPr>
          <w:color w:val="000000" w:themeColor="text1"/>
        </w:rPr>
        <w:t xml:space="preserve">the simulated tornadic supercell in WD is initially stronger than the observed one, it becomes similar to the observation 3 hours after the initialization time (Figs. </w:t>
      </w:r>
      <w:r w:rsidR="0021452B">
        <w:rPr>
          <w:color w:val="000000" w:themeColor="text1"/>
        </w:rPr>
        <w:t>4.</w:t>
      </w:r>
      <w:r>
        <w:rPr>
          <w:color w:val="000000" w:themeColor="text1"/>
        </w:rPr>
        <w:t xml:space="preserve">14 b3 </w:t>
      </w:r>
      <w:r w:rsidR="0021452B">
        <w:rPr>
          <w:color w:val="000000" w:themeColor="text1"/>
        </w:rPr>
        <w:t>-</w:t>
      </w:r>
      <w:r>
        <w:rPr>
          <w:color w:val="000000" w:themeColor="text1"/>
        </w:rPr>
        <w:t xml:space="preserve"> b7)</w:t>
      </w:r>
      <w:r w:rsidRPr="0091041D">
        <w:rPr>
          <w:color w:val="000000" w:themeColor="text1"/>
        </w:rPr>
        <w:t>.</w:t>
      </w:r>
      <w:r>
        <w:rPr>
          <w:color w:val="000000" w:themeColor="text1"/>
        </w:rPr>
        <w:t xml:space="preserve"> The predicted supercell in WD moves slightly faster than the observed supercell, </w:t>
      </w:r>
      <w:r w:rsidRPr="0091041D">
        <w:rPr>
          <w:color w:val="000000" w:themeColor="text1"/>
        </w:rPr>
        <w:t xml:space="preserve">which is </w:t>
      </w:r>
      <w:r>
        <w:rPr>
          <w:color w:val="000000" w:themeColor="text1"/>
        </w:rPr>
        <w:t>similar to</w:t>
      </w:r>
      <w:r w:rsidRPr="0091041D">
        <w:rPr>
          <w:color w:val="000000" w:themeColor="text1"/>
        </w:rPr>
        <w:t xml:space="preserve"> </w:t>
      </w:r>
      <w:r>
        <w:rPr>
          <w:rFonts w:hint="eastAsia"/>
          <w:color w:val="000000" w:themeColor="text1"/>
        </w:rPr>
        <w:t>previous</w:t>
      </w:r>
      <w:r>
        <w:rPr>
          <w:color w:val="000000" w:themeColor="text1"/>
        </w:rPr>
        <w:t xml:space="preserve"> </w:t>
      </w:r>
      <w:r w:rsidRPr="0091041D">
        <w:rPr>
          <w:color w:val="000000" w:themeColor="text1"/>
        </w:rPr>
        <w:t>research</w:t>
      </w:r>
      <w:r>
        <w:rPr>
          <w:color w:val="000000" w:themeColor="text1"/>
        </w:rPr>
        <w:t xml:space="preserve"> on the short-term storm-scale NWP</w:t>
      </w:r>
      <w:r w:rsidR="0021452B">
        <w:rPr>
          <w:color w:val="000000" w:themeColor="text1"/>
        </w:rPr>
        <w:t xml:space="preserve"> </w:t>
      </w:r>
      <w:r w:rsidR="0021452B">
        <w:rPr>
          <w:color w:val="000000" w:themeColor="text1"/>
        </w:rPr>
        <w:fldChar w:fldCharType="begin"/>
      </w:r>
      <w:r w:rsidR="0021452B">
        <w:rPr>
          <w:color w:val="000000" w:themeColor="text1"/>
        </w:rPr>
        <w:instrText xml:space="preserve"> ADDIN ZOTERO_ITEM CSL_CITATION {"citationID":"ONTPoSNf","properties":{"formattedCitation":"(Stratman and Brewster 2015)","plainCitation":"(Stratman and Brewster 2015)","noteIndex":0},"citationItems":[{"id":524,"uris":["http://zotero.org/users/local/6VSApgKp/items/AKCBLMP6"],"itemData":{"id":524,"type":"paper-conference","event-title":"27th Conference On Weather Analysis And Forecasting/23rd Conference On Numerical Weather Prediction","language":"English","publisher":"AMS","source":"ams.confex.com","title":"Verification of 24 May 2011 Simulated Mesocyclones Using Various Microphysics Schemes at 1-km Grid Resolution","URL":"https://ams.confex.com/ams/27WAF23NWP/webprogram/Paper273795.html","author":[{"family":"Stratman","given":"Derek R."},{"family":"Brewster","given":"Keith A."}],"accessed":{"date-parts":[["2023",3,23]]},"issued":{"date-parts":[["2015",7,2]]},"citation-key":"stratmanVerification24May2015a"}}],"schema":"https://github.com/citation-style-language/schema/raw/master/csl-citation.json"} </w:instrText>
      </w:r>
      <w:r w:rsidR="0021452B">
        <w:rPr>
          <w:color w:val="000000" w:themeColor="text1"/>
        </w:rPr>
        <w:fldChar w:fldCharType="separate"/>
      </w:r>
      <w:r w:rsidR="0021452B">
        <w:rPr>
          <w:noProof/>
          <w:color w:val="000000" w:themeColor="text1"/>
        </w:rPr>
        <w:t>(Stratman and Brewster 2015)</w:t>
      </w:r>
      <w:r w:rsidR="0021452B">
        <w:rPr>
          <w:color w:val="000000" w:themeColor="text1"/>
        </w:rPr>
        <w:fldChar w:fldCharType="end"/>
      </w:r>
      <w:r w:rsidRPr="0091041D">
        <w:rPr>
          <w:color w:val="000000" w:themeColor="text1"/>
        </w:rPr>
        <w:t>.</w:t>
      </w:r>
      <w:r>
        <w:rPr>
          <w:color w:val="000000" w:themeColor="text1"/>
        </w:rPr>
        <w:t xml:space="preserve"> The simulated result also reveals the inadequacy of both Retro and WD in predicting the development of two quasi-linear convective systems (QLCSs) that started to initiate at approximately 2300 – 0000 UTC (Figs. </w:t>
      </w:r>
      <w:r w:rsidR="0021452B">
        <w:rPr>
          <w:color w:val="000000" w:themeColor="text1"/>
        </w:rPr>
        <w:t>4.</w:t>
      </w:r>
      <w:r>
        <w:rPr>
          <w:color w:val="000000" w:themeColor="text1"/>
        </w:rPr>
        <w:t xml:space="preserve">14 o3 </w:t>
      </w:r>
      <w:r w:rsidR="0021452B">
        <w:rPr>
          <w:color w:val="000000" w:themeColor="text1"/>
        </w:rPr>
        <w:t xml:space="preserve">- </w:t>
      </w:r>
      <w:r>
        <w:rPr>
          <w:color w:val="000000" w:themeColor="text1"/>
        </w:rPr>
        <w:t>o4)</w:t>
      </w:r>
      <w:r w:rsidRPr="0091041D">
        <w:rPr>
          <w:color w:val="000000" w:themeColor="text1"/>
        </w:rPr>
        <w:t>. One spans</w:t>
      </w:r>
      <w:r>
        <w:rPr>
          <w:color w:val="000000" w:themeColor="text1"/>
        </w:rPr>
        <w:t xml:space="preserve"> </w:t>
      </w:r>
      <w:r w:rsidRPr="0091041D">
        <w:rPr>
          <w:color w:val="000000" w:themeColor="text1"/>
        </w:rPr>
        <w:t>Missouri and central Illinois</w:t>
      </w:r>
      <w:r>
        <w:rPr>
          <w:color w:val="000000" w:themeColor="text1"/>
        </w:rPr>
        <w:t xml:space="preserve"> and produces several weak tornadoes along with wind damages, while another spans</w:t>
      </w:r>
      <w:r w:rsidRPr="0091041D">
        <w:rPr>
          <w:color w:val="000000" w:themeColor="text1"/>
        </w:rPr>
        <w:t xml:space="preserve"> Arkansas, southeastern Missouri, and southern Illinois</w:t>
      </w:r>
      <w:r>
        <w:rPr>
          <w:color w:val="000000" w:themeColor="text1"/>
        </w:rPr>
        <w:t xml:space="preserve"> and finally produces strong EF-3 tornadoes crossing northwestern Tennessee and western Kentucky</w:t>
      </w:r>
      <w:r w:rsidRPr="0091041D">
        <w:rPr>
          <w:color w:val="000000" w:themeColor="text1"/>
        </w:rPr>
        <w:t xml:space="preserve">. </w:t>
      </w:r>
      <w:r>
        <w:rPr>
          <w:color w:val="000000" w:themeColor="text1"/>
        </w:rPr>
        <w:t>I</w:t>
      </w:r>
      <w:r w:rsidRPr="0091041D">
        <w:rPr>
          <w:color w:val="000000" w:themeColor="text1"/>
        </w:rPr>
        <w:t xml:space="preserve">t is clear that neither Retro nor WD </w:t>
      </w:r>
      <w:r>
        <w:rPr>
          <w:color w:val="000000" w:themeColor="text1"/>
        </w:rPr>
        <w:t>can predict</w:t>
      </w:r>
      <w:r w:rsidRPr="0091041D">
        <w:rPr>
          <w:color w:val="000000" w:themeColor="text1"/>
        </w:rPr>
        <w:t xml:space="preserve"> the</w:t>
      </w:r>
      <w:r>
        <w:rPr>
          <w:color w:val="000000" w:themeColor="text1"/>
        </w:rPr>
        <w:t>se</w:t>
      </w:r>
      <w:r w:rsidRPr="0091041D">
        <w:rPr>
          <w:color w:val="000000" w:themeColor="text1"/>
        </w:rPr>
        <w:t xml:space="preserve"> </w:t>
      </w:r>
      <w:r>
        <w:rPr>
          <w:color w:val="000000" w:themeColor="text1"/>
        </w:rPr>
        <w:t>two QLCSs</w:t>
      </w:r>
      <w:r w:rsidRPr="0091041D">
        <w:rPr>
          <w:color w:val="000000" w:themeColor="text1"/>
        </w:rPr>
        <w:t xml:space="preserve"> </w:t>
      </w:r>
      <w:r>
        <w:rPr>
          <w:color w:val="000000" w:themeColor="text1"/>
        </w:rPr>
        <w:t>properly</w:t>
      </w:r>
      <w:r w:rsidRPr="0091041D">
        <w:rPr>
          <w:color w:val="000000" w:themeColor="text1"/>
        </w:rPr>
        <w:t>.</w:t>
      </w:r>
      <w:r>
        <w:rPr>
          <w:color w:val="000000" w:themeColor="text1"/>
        </w:rPr>
        <w:t xml:space="preserve"> </w:t>
      </w:r>
      <w:r w:rsidRPr="0091041D">
        <w:rPr>
          <w:color w:val="000000" w:themeColor="text1"/>
        </w:rPr>
        <w:t xml:space="preserve">Both </w:t>
      </w:r>
      <w:r>
        <w:rPr>
          <w:color w:val="000000" w:themeColor="text1"/>
        </w:rPr>
        <w:t>Retro and WD can only produce isolated convection or much smaller QLCSs near the observed QLCSs</w:t>
      </w:r>
      <w:r w:rsidRPr="0091041D">
        <w:rPr>
          <w:color w:val="000000" w:themeColor="text1"/>
        </w:rPr>
        <w:t xml:space="preserve"> </w:t>
      </w:r>
      <w:r>
        <w:rPr>
          <w:color w:val="000000" w:themeColor="text1"/>
        </w:rPr>
        <w:t xml:space="preserve">at a forecast time later than 0100 UTC (Figs. </w:t>
      </w:r>
      <w:r w:rsidR="0021452B">
        <w:rPr>
          <w:color w:val="000000" w:themeColor="text1"/>
        </w:rPr>
        <w:t>4.</w:t>
      </w:r>
      <w:r>
        <w:rPr>
          <w:color w:val="000000" w:themeColor="text1"/>
        </w:rPr>
        <w:t>14</w:t>
      </w:r>
      <w:r w:rsidR="0021452B">
        <w:rPr>
          <w:color w:val="000000" w:themeColor="text1"/>
        </w:rPr>
        <w:t xml:space="preserve"> </w:t>
      </w:r>
      <w:r>
        <w:rPr>
          <w:color w:val="000000" w:themeColor="text1"/>
        </w:rPr>
        <w:t>a5 - a7 and b5 – b7)</w:t>
      </w:r>
      <w:r w:rsidRPr="0091041D">
        <w:rPr>
          <w:color w:val="000000" w:themeColor="text1"/>
        </w:rPr>
        <w:t>.</w:t>
      </w:r>
      <w:r>
        <w:rPr>
          <w:color w:val="000000" w:themeColor="text1"/>
        </w:rPr>
        <w:t xml:space="preserve"> </w:t>
      </w:r>
      <w:r w:rsidRPr="0091041D">
        <w:rPr>
          <w:color w:val="000000" w:themeColor="text1"/>
        </w:rPr>
        <w:t xml:space="preserve">In general, WD outperforms </w:t>
      </w:r>
      <w:r>
        <w:rPr>
          <w:color w:val="000000" w:themeColor="text1"/>
        </w:rPr>
        <w:t>Retro</w:t>
      </w:r>
      <w:r w:rsidRPr="0091041D">
        <w:rPr>
          <w:color w:val="000000" w:themeColor="text1"/>
        </w:rPr>
        <w:t xml:space="preserve"> in predicting</w:t>
      </w:r>
      <w:r>
        <w:rPr>
          <w:color w:val="000000" w:themeColor="text1"/>
        </w:rPr>
        <w:t xml:space="preserve"> the</w:t>
      </w:r>
      <w:r w:rsidRPr="0091041D">
        <w:rPr>
          <w:color w:val="000000" w:themeColor="text1"/>
        </w:rPr>
        <w:t xml:space="preserve"> </w:t>
      </w:r>
      <w:r>
        <w:rPr>
          <w:color w:val="000000" w:themeColor="text1"/>
        </w:rPr>
        <w:t xml:space="preserve">development and movement </w:t>
      </w:r>
      <w:r>
        <w:rPr>
          <w:color w:val="000000" w:themeColor="text1"/>
        </w:rPr>
        <w:lastRenderedPageBreak/>
        <w:t xml:space="preserve">of the </w:t>
      </w:r>
      <w:r w:rsidRPr="0091041D">
        <w:rPr>
          <w:color w:val="000000" w:themeColor="text1"/>
        </w:rPr>
        <w:t>tornadic supercell</w:t>
      </w:r>
      <w:r>
        <w:rPr>
          <w:color w:val="000000" w:themeColor="text1"/>
        </w:rPr>
        <w:t xml:space="preserve"> that produced a long-lived tornado several hours in advance, while both experiments display limitations in predicting the initiation and propagation of two QLCSs.</w:t>
      </w:r>
    </w:p>
    <w:p w14:paraId="45952E96" w14:textId="49B8A023" w:rsidR="0021452B" w:rsidRDefault="0021452B" w:rsidP="0021452B">
      <w:pPr>
        <w:pStyle w:val="NoSpacing"/>
      </w:pPr>
    </w:p>
    <w:p w14:paraId="2E0A4BE6" w14:textId="77777777" w:rsidR="0021452B" w:rsidRDefault="0021452B" w:rsidP="00AE2400">
      <w:pPr>
        <w:spacing w:line="240" w:lineRule="auto"/>
        <w:ind w:firstLine="0"/>
      </w:pPr>
      <w:r>
        <w:rPr>
          <w:noProof/>
        </w:rPr>
        <w:drawing>
          <wp:inline distT="0" distB="0" distL="0" distR="0" wp14:anchorId="3672BC9B" wp14:editId="6ABA4E9D">
            <wp:extent cx="5943600" cy="4208145"/>
            <wp:effectExtent l="0" t="0" r="0" b="0"/>
            <wp:docPr id="34" name="Picture 34" descr="Chart, map,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art, map, scatter chart&#10;&#10;Description automatically generated"/>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943600" cy="4208145"/>
                    </a:xfrm>
                    <a:prstGeom prst="rect">
                      <a:avLst/>
                    </a:prstGeom>
                  </pic:spPr>
                </pic:pic>
              </a:graphicData>
            </a:graphic>
          </wp:inline>
        </w:drawing>
      </w:r>
    </w:p>
    <w:p w14:paraId="4AE4291E" w14:textId="7F5B3C4D" w:rsidR="0021452B" w:rsidRPr="00D60A80" w:rsidRDefault="0021452B" w:rsidP="0021452B">
      <w:pPr>
        <w:pStyle w:val="Captions"/>
        <w:rPr>
          <w:szCs w:val="24"/>
        </w:rPr>
      </w:pPr>
      <w:bookmarkStart w:id="119" w:name="_Toc134695293"/>
      <w:r w:rsidRPr="00D60A80">
        <w:rPr>
          <w:szCs w:val="24"/>
        </w:rPr>
        <w:t xml:space="preserve">Figure </w:t>
      </w:r>
      <w:r w:rsidR="00C96E3B" w:rsidRPr="00D60A80">
        <w:rPr>
          <w:szCs w:val="24"/>
        </w:rPr>
        <w:fldChar w:fldCharType="begin"/>
      </w:r>
      <w:r w:rsidR="00C96E3B" w:rsidRPr="00D60A80">
        <w:rPr>
          <w:szCs w:val="24"/>
        </w:rPr>
        <w:instrText xml:space="preserve"> STYLEREF 1 \s </w:instrText>
      </w:r>
      <w:r w:rsidR="00C96E3B" w:rsidRPr="00D60A80">
        <w:rPr>
          <w:szCs w:val="24"/>
        </w:rPr>
        <w:fldChar w:fldCharType="separate"/>
      </w:r>
      <w:r w:rsidR="00C77C87" w:rsidRPr="00D60A80">
        <w:rPr>
          <w:noProof/>
          <w:szCs w:val="24"/>
        </w:rPr>
        <w:t>4</w:t>
      </w:r>
      <w:r w:rsidR="00C96E3B" w:rsidRPr="00D60A80">
        <w:rPr>
          <w:noProof/>
          <w:szCs w:val="24"/>
        </w:rPr>
        <w:fldChar w:fldCharType="end"/>
      </w:r>
      <w:r w:rsidR="00C77C87" w:rsidRPr="00D60A80">
        <w:rPr>
          <w:szCs w:val="24"/>
        </w:rPr>
        <w:t>.</w:t>
      </w:r>
      <w:r w:rsidR="00C96E3B" w:rsidRPr="00D60A80">
        <w:rPr>
          <w:szCs w:val="24"/>
        </w:rPr>
        <w:fldChar w:fldCharType="begin"/>
      </w:r>
      <w:r w:rsidR="00C96E3B" w:rsidRPr="00D60A80">
        <w:rPr>
          <w:szCs w:val="24"/>
        </w:rPr>
        <w:instrText xml:space="preserve"> SEQ Figure \* ARABIC \s 1 </w:instrText>
      </w:r>
      <w:r w:rsidR="00C96E3B" w:rsidRPr="00D60A80">
        <w:rPr>
          <w:szCs w:val="24"/>
        </w:rPr>
        <w:fldChar w:fldCharType="separate"/>
      </w:r>
      <w:r w:rsidR="00C77C87" w:rsidRPr="00D60A80">
        <w:rPr>
          <w:noProof/>
          <w:szCs w:val="24"/>
        </w:rPr>
        <w:t>15</w:t>
      </w:r>
      <w:r w:rsidR="00C96E3B" w:rsidRPr="00D60A80">
        <w:rPr>
          <w:noProof/>
          <w:szCs w:val="24"/>
        </w:rPr>
        <w:fldChar w:fldCharType="end"/>
      </w:r>
      <w:r w:rsidRPr="00D60A80">
        <w:rPr>
          <w:szCs w:val="24"/>
        </w:rPr>
        <w:t xml:space="preserve"> As in Fig. 4.8, but for the 6-hour forecasts initiated at (a, d) 2100, (b, e) 2200 and (c, f) 2300 UTC on 10 Dec 2021.</w:t>
      </w:r>
      <w:bookmarkEnd w:id="119"/>
    </w:p>
    <w:p w14:paraId="1965ADE1" w14:textId="77777777" w:rsidR="0021452B" w:rsidRPr="0091041D" w:rsidRDefault="0021452B" w:rsidP="0021452B">
      <w:pPr>
        <w:pStyle w:val="NoSpacing"/>
      </w:pPr>
    </w:p>
    <w:p w14:paraId="146B2F60" w14:textId="0F117632" w:rsidR="00682CE2" w:rsidRDefault="00682CE2" w:rsidP="00682CE2">
      <w:r>
        <w:t>The 2 – 5</w:t>
      </w:r>
      <w:r w:rsidR="0021452B">
        <w:t xml:space="preserve"> </w:t>
      </w:r>
      <w:r>
        <w:t xml:space="preserve">km UH tracks for 6-hour forecasts launched from 2100, 2200, and 2300 UTC on </w:t>
      </w:r>
      <w:r w:rsidR="0021452B">
        <w:t xml:space="preserve">10 </w:t>
      </w:r>
      <w:r>
        <w:t xml:space="preserve">Dec </w:t>
      </w:r>
      <w:r w:rsidR="0021452B">
        <w:t>2021</w:t>
      </w:r>
      <w:r>
        <w:t>, along with NWS</w:t>
      </w:r>
      <w:r w:rsidR="0021452B">
        <w:t>/SPC</w:t>
      </w:r>
      <w:r>
        <w:t xml:space="preserve"> storm reports are shown in Fig. </w:t>
      </w:r>
      <w:r w:rsidR="0021452B">
        <w:t>4.</w:t>
      </w:r>
      <w:r>
        <w:t xml:space="preserve">15. </w:t>
      </w:r>
      <w:r w:rsidRPr="0091041D">
        <w:t>When compared to</w:t>
      </w:r>
      <w:r>
        <w:t xml:space="preserve"> the</w:t>
      </w:r>
      <w:r w:rsidRPr="0091041D">
        <w:t xml:space="preserve"> </w:t>
      </w:r>
      <w:r>
        <w:t>NWS storm</w:t>
      </w:r>
      <w:r w:rsidRPr="0091041D">
        <w:t xml:space="preserve"> reports, both </w:t>
      </w:r>
      <w:r>
        <w:t>Retro and WD</w:t>
      </w:r>
      <w:r w:rsidRPr="0091041D">
        <w:t xml:space="preserve"> launched at 2200 UTC</w:t>
      </w:r>
      <w:r>
        <w:t xml:space="preserve"> (Figs. </w:t>
      </w:r>
      <w:r w:rsidR="0021452B">
        <w:t>4.</w:t>
      </w:r>
      <w:r>
        <w:t>15 b, e)</w:t>
      </w:r>
      <w:r w:rsidRPr="0091041D">
        <w:t xml:space="preserve"> and 2300 UTC </w:t>
      </w:r>
      <w:r>
        <w:t xml:space="preserve">(Figs. </w:t>
      </w:r>
      <w:r w:rsidR="0021452B">
        <w:t>4.</w:t>
      </w:r>
      <w:r>
        <w:t>15 c, f) are</w:t>
      </w:r>
      <w:r w:rsidRPr="0091041D">
        <w:t xml:space="preserve"> reasonably accurate</w:t>
      </w:r>
      <w:r>
        <w:t xml:space="preserve"> in predicting the UH</w:t>
      </w:r>
      <w:r w:rsidRPr="0091041D">
        <w:t xml:space="preserve"> </w:t>
      </w:r>
      <w:r>
        <w:t>tracks along the</w:t>
      </w:r>
      <w:r w:rsidRPr="0091041D">
        <w:t xml:space="preserve"> tornado</w:t>
      </w:r>
      <w:r>
        <w:t xml:space="preserve"> and wind damage reports generated by the QLCS</w:t>
      </w:r>
      <w:r w:rsidRPr="0091041D">
        <w:t xml:space="preserve"> traversing Missouri and</w:t>
      </w:r>
      <w:r>
        <w:t xml:space="preserve"> central</w:t>
      </w:r>
      <w:r w:rsidRPr="0091041D">
        <w:t xml:space="preserve"> Illinois.</w:t>
      </w:r>
      <w:r>
        <w:t xml:space="preserve"> The forecast initialized at 2100 UTC, however, indicate that both experiments generally have a limited capability to generate UH swaths with values exceeding 100 </w:t>
      </w:r>
      <w:r w:rsidRPr="0091041D">
        <w:t>m</w:t>
      </w:r>
      <w:r w:rsidRPr="0091041D">
        <w:rPr>
          <w:vertAlign w:val="superscript"/>
        </w:rPr>
        <w:t>2</w:t>
      </w:r>
      <w:r w:rsidRPr="0091041D">
        <w:t xml:space="preserve"> s</w:t>
      </w:r>
      <w:r w:rsidRPr="0091041D">
        <w:rPr>
          <w:vertAlign w:val="superscript"/>
        </w:rPr>
        <w:t>-2</w:t>
      </w:r>
      <w:r>
        <w:t xml:space="preserve"> for this QLCS during the </w:t>
      </w:r>
      <w:r>
        <w:lastRenderedPageBreak/>
        <w:t>majority of the forecast period, despite that</w:t>
      </w:r>
      <w:r w:rsidRPr="0091041D">
        <w:t xml:space="preserve"> WD </w:t>
      </w:r>
      <w:r>
        <w:t>offers</w:t>
      </w:r>
      <w:r w:rsidRPr="0091041D">
        <w:t xml:space="preserve"> a </w:t>
      </w:r>
      <w:r>
        <w:t xml:space="preserve">short </w:t>
      </w:r>
      <w:r w:rsidRPr="0091041D">
        <w:t xml:space="preserve">UH track of </w:t>
      </w:r>
      <w:r>
        <w:t>roughly</w:t>
      </w:r>
      <w:r w:rsidRPr="0091041D">
        <w:t xml:space="preserve"> 300 m</w:t>
      </w:r>
      <w:r w:rsidRPr="0091041D">
        <w:rPr>
          <w:vertAlign w:val="superscript"/>
        </w:rPr>
        <w:t>2</w:t>
      </w:r>
      <w:r w:rsidRPr="0091041D">
        <w:t xml:space="preserve"> s</w:t>
      </w:r>
      <w:r w:rsidRPr="0091041D">
        <w:rPr>
          <w:vertAlign w:val="superscript"/>
        </w:rPr>
        <w:t>-2</w:t>
      </w:r>
      <w:r w:rsidRPr="0091041D">
        <w:t xml:space="preserve"> </w:t>
      </w:r>
      <w:r>
        <w:t>in</w:t>
      </w:r>
      <w:r w:rsidRPr="0091041D">
        <w:t xml:space="preserve"> </w:t>
      </w:r>
      <w:r>
        <w:t xml:space="preserve">the eastern </w:t>
      </w:r>
      <w:r w:rsidRPr="0091041D">
        <w:t xml:space="preserve">Missouri </w:t>
      </w:r>
      <w:r>
        <w:t>near the state.</w:t>
      </w:r>
    </w:p>
    <w:p w14:paraId="35D93ECE" w14:textId="686FC701" w:rsidR="00682CE2" w:rsidRDefault="00682CE2" w:rsidP="00E87008">
      <w:r w:rsidRPr="002F5A60">
        <w:t>Leaving aside the UH forecasts for the northern QLCS, the use of weather-dependent background errors in the WoF-Var system shows</w:t>
      </w:r>
      <w:r>
        <w:t xml:space="preserve"> considerable</w:t>
      </w:r>
      <w:r w:rsidRPr="0091041D">
        <w:t xml:space="preserve"> </w:t>
      </w:r>
      <w:r>
        <w:t>improvements</w:t>
      </w:r>
      <w:r w:rsidRPr="0091041D">
        <w:t xml:space="preserve"> </w:t>
      </w:r>
      <w:r>
        <w:t>in the forecast of</w:t>
      </w:r>
      <w:r w:rsidRPr="0091041D">
        <w:t xml:space="preserve"> the tornadic supercell </w:t>
      </w:r>
      <w:r>
        <w:t>that initialized from Central Arkansas</w:t>
      </w:r>
      <w:r w:rsidRPr="0091041D">
        <w:t>.</w:t>
      </w:r>
      <w:r>
        <w:t xml:space="preserve"> </w:t>
      </w:r>
      <w:r w:rsidRPr="0091041D">
        <w:t xml:space="preserve">In the forecast </w:t>
      </w:r>
      <w:r>
        <w:t>initialized</w:t>
      </w:r>
      <w:r w:rsidRPr="0091041D">
        <w:t xml:space="preserve"> at 2100 UTC (Fig. </w:t>
      </w:r>
      <w:r w:rsidR="0021452B">
        <w:t>4.</w:t>
      </w:r>
      <w:r w:rsidRPr="0091041D">
        <w:t>15 a), Retro only produces</w:t>
      </w:r>
      <w:r w:rsidRPr="002F5A60">
        <w:t xml:space="preserve"> </w:t>
      </w:r>
      <w:r w:rsidRPr="0091041D">
        <w:t xml:space="preserve">UH </w:t>
      </w:r>
      <w:r>
        <w:t>values of</w:t>
      </w:r>
      <w:r w:rsidRPr="0091041D">
        <w:t xml:space="preserve"> around 100 m</w:t>
      </w:r>
      <w:r w:rsidRPr="0091041D">
        <w:rPr>
          <w:vertAlign w:val="superscript"/>
        </w:rPr>
        <w:t>2</w:t>
      </w:r>
      <w:r w:rsidRPr="0091041D">
        <w:t xml:space="preserve"> s</w:t>
      </w:r>
      <w:r w:rsidRPr="0091041D">
        <w:rPr>
          <w:vertAlign w:val="superscript"/>
        </w:rPr>
        <w:t>-2</w:t>
      </w:r>
      <w:r w:rsidRPr="0091041D">
        <w:t xml:space="preserve"> at the beginning of the convection active period (roughly the first 1.5 hours into the forecast) </w:t>
      </w:r>
      <w:r>
        <w:t xml:space="preserve">but fails to predict the </w:t>
      </w:r>
      <w:r w:rsidRPr="0091041D">
        <w:t>tornadic supercell</w:t>
      </w:r>
      <w:r>
        <w:t xml:space="preserve"> that produced significant damage and fatalities at later forecast times, as indicated by the NWS storm reports</w:t>
      </w:r>
      <w:r w:rsidRPr="0091041D">
        <w:t>.</w:t>
      </w:r>
      <w:r>
        <w:t xml:space="preserve"> In contrast, WD predicts a UH track with intensities greater than 100 m</w:t>
      </w:r>
      <w:r>
        <w:rPr>
          <w:vertAlign w:val="superscript"/>
        </w:rPr>
        <w:t>2</w:t>
      </w:r>
      <w:r>
        <w:t xml:space="preserve"> s</w:t>
      </w:r>
      <w:r>
        <w:rPr>
          <w:vertAlign w:val="superscript"/>
        </w:rPr>
        <w:t>-2</w:t>
      </w:r>
      <w:r>
        <w:t xml:space="preserve"> for the tornadic supercell for almost the entire forecast period (Fig. </w:t>
      </w:r>
      <w:r w:rsidR="0021452B">
        <w:t>4.</w:t>
      </w:r>
      <w:r>
        <w:t xml:space="preserve">15 d). </w:t>
      </w:r>
      <w:r w:rsidRPr="0091041D">
        <w:t>Th</w:t>
      </w:r>
      <w:r>
        <w:t>e</w:t>
      </w:r>
      <w:r w:rsidRPr="0091041D">
        <w:t xml:space="preserve"> difference</w:t>
      </w:r>
      <w:r>
        <w:t>s between Retro and WD</w:t>
      </w:r>
      <w:r w:rsidRPr="0091041D">
        <w:rPr>
          <w:rFonts w:hint="eastAsia"/>
        </w:rPr>
        <w:t xml:space="preserve"> </w:t>
      </w:r>
      <w:r w:rsidRPr="0091041D">
        <w:t xml:space="preserve">become more pronounced in forecasts </w:t>
      </w:r>
      <w:r>
        <w:t>initialized</w:t>
      </w:r>
      <w:r w:rsidRPr="0091041D">
        <w:t xml:space="preserve"> at later times.</w:t>
      </w:r>
      <w:r>
        <w:t xml:space="preserve"> For instance, in the Retro experiment, </w:t>
      </w:r>
      <w:r w:rsidRPr="0091041D">
        <w:t xml:space="preserve">the </w:t>
      </w:r>
      <w:r>
        <w:t>UH track</w:t>
      </w:r>
      <w:r w:rsidRPr="0091041D">
        <w:t xml:space="preserve"> </w:t>
      </w:r>
      <w:r>
        <w:t>forms initially</w:t>
      </w:r>
      <w:r w:rsidRPr="0091041D">
        <w:t xml:space="preserve"> but </w:t>
      </w:r>
      <w:r>
        <w:t>quickly</w:t>
      </w:r>
      <w:r w:rsidRPr="0091041D">
        <w:t xml:space="preserve"> dissipates after 1.5 hours </w:t>
      </w:r>
      <w:r>
        <w:t xml:space="preserve">into the forecast (Figs. </w:t>
      </w:r>
      <w:r w:rsidR="0021452B">
        <w:t>4.</w:t>
      </w:r>
      <w:r>
        <w:t>15 b, c)</w:t>
      </w:r>
      <w:r w:rsidRPr="0091041D">
        <w:t xml:space="preserve">, </w:t>
      </w:r>
      <w:r>
        <w:t xml:space="preserve">while </w:t>
      </w:r>
      <w:r w:rsidRPr="0091041D">
        <w:t xml:space="preserve">WD </w:t>
      </w:r>
      <w:r>
        <w:t>produces relatively good forecasts</w:t>
      </w:r>
      <w:r w:rsidRPr="0091041D">
        <w:t xml:space="preserve"> </w:t>
      </w:r>
      <w:r>
        <w:t xml:space="preserve">with </w:t>
      </w:r>
      <w:r w:rsidRPr="0091041D">
        <w:t xml:space="preserve">even </w:t>
      </w:r>
      <w:r>
        <w:t>greater UH</w:t>
      </w:r>
      <w:r w:rsidRPr="0091041D">
        <w:t xml:space="preserve"> values reaching 200 m</w:t>
      </w:r>
      <w:r w:rsidRPr="0091041D">
        <w:rPr>
          <w:vertAlign w:val="superscript"/>
        </w:rPr>
        <w:t>2</w:t>
      </w:r>
      <w:r w:rsidRPr="0091041D">
        <w:t xml:space="preserve"> s</w:t>
      </w:r>
      <w:r w:rsidRPr="0091041D">
        <w:rPr>
          <w:vertAlign w:val="superscript"/>
        </w:rPr>
        <w:t>-2</w:t>
      </w:r>
      <w:r>
        <w:t xml:space="preserve"> (Figs. </w:t>
      </w:r>
      <w:r w:rsidR="0021452B">
        <w:t>4.</w:t>
      </w:r>
      <w:r>
        <w:t>15e and f) for the forecasts initialized at 2200 and 2300 UTC</w:t>
      </w:r>
      <w:r w:rsidRPr="0091041D">
        <w:t>.</w:t>
      </w:r>
      <w:r>
        <w:t xml:space="preserve"> Though WD exhibits northward biases for forecasts launched at both 2200 and 2300 UTC, </w:t>
      </w:r>
      <w:r w:rsidR="0021452B">
        <w:t xml:space="preserve">which is also </w:t>
      </w:r>
      <w:r>
        <w:t>similar to</w:t>
      </w:r>
      <w:r w:rsidR="0021452B">
        <w:t xml:space="preserve"> </w:t>
      </w:r>
      <w:r w:rsidR="0021452B">
        <w:fldChar w:fldCharType="begin"/>
      </w:r>
      <w:r w:rsidR="00186B73">
        <w:instrText xml:space="preserve"> ADDIN ZOTERO_ITEM CSL_CITATION {"citationID":"7WhAyWqL","properties":{"formattedCitation":"(Stratman and Brewster 2015)","plainCitation":"(Stratman and Brewster 2015)","dontUpdate":true,"noteIndex":0},"citationItems":[{"id":524,"uris":["http://zotero.org/users/local/6VSApgKp/items/AKCBLMP6"],"itemData":{"id":524,"type":"paper-conference","event-title":"27th Conference On Weather Analysis And Forecasting/23rd Conference On Numerical Weather Prediction","language":"English","publisher":"AMS","source":"ams.confex.com","title":"Verification of 24 May 2011 Simulated Mesocyclones Using Various Microphysics Schemes at 1-km Grid Resolution","URL":"https://ams.confex.com/ams/27WAF23NWP/webprogram/Paper273795.html","author":[{"family":"Stratman","given":"Derek R."},{"family":"Brewster","given":"Keith A."}],"accessed":{"date-parts":[["2023",3,23]]},"issued":{"date-parts":[["2015",7,2]]},"citation-key":"stratmanVerification24May2015a"}}],"schema":"https://github.com/citation-style-language/schema/raw/master/csl-citation.json"} </w:instrText>
      </w:r>
      <w:r w:rsidR="0021452B">
        <w:fldChar w:fldCharType="separate"/>
      </w:r>
      <w:r w:rsidR="0021452B">
        <w:rPr>
          <w:noProof/>
        </w:rPr>
        <w:t>Stratman and Brewster (2015)</w:t>
      </w:r>
      <w:r w:rsidR="0021452B">
        <w:fldChar w:fldCharType="end"/>
      </w:r>
      <w:r>
        <w:t>, these forecasts are accurate than those generated by Retro, closely resembling the UH track crossing Mayfield, Kentucky which was hit hard by a</w:t>
      </w:r>
      <w:r w:rsidR="00F7770D">
        <w:t>n</w:t>
      </w:r>
      <w:r>
        <w:t xml:space="preserve"> EF-4 tornado. In conclusion, WD with the use of weather-dependent background errors </w:t>
      </w:r>
      <w:r w:rsidRPr="0091041D">
        <w:t xml:space="preserve">in WoF-Var </w:t>
      </w:r>
      <w:r>
        <w:t>generates</w:t>
      </w:r>
      <w:r w:rsidRPr="0091041D">
        <w:t xml:space="preserve"> </w:t>
      </w:r>
      <w:r>
        <w:t>much better forecasts, especially in depicting the long-lived tornadic</w:t>
      </w:r>
      <w:r w:rsidRPr="0091041D">
        <w:t xml:space="preserve"> supercell </w:t>
      </w:r>
      <w:r>
        <w:t>that caused significant property damage and fatalities</w:t>
      </w:r>
      <w:r w:rsidRPr="0091041D">
        <w:t>.</w:t>
      </w:r>
      <w:r>
        <w:t xml:space="preserve"> </w:t>
      </w:r>
    </w:p>
    <w:p w14:paraId="0613A448" w14:textId="77777777" w:rsidR="00F7770D" w:rsidRDefault="00F7770D" w:rsidP="00F7770D">
      <w:pPr>
        <w:pStyle w:val="NoSpacing"/>
      </w:pPr>
    </w:p>
    <w:p w14:paraId="7FA609F5" w14:textId="77777777" w:rsidR="00F7770D" w:rsidRDefault="00F7770D" w:rsidP="00AE2400">
      <w:pPr>
        <w:spacing w:line="240" w:lineRule="auto"/>
        <w:ind w:firstLine="0"/>
      </w:pPr>
      <w:r>
        <w:rPr>
          <w:noProof/>
        </w:rPr>
        <w:lastRenderedPageBreak/>
        <w:drawing>
          <wp:inline distT="0" distB="0" distL="0" distR="0" wp14:anchorId="60452689" wp14:editId="57E44B42">
            <wp:extent cx="5943600" cy="3767328"/>
            <wp:effectExtent l="0" t="0" r="0" b="0"/>
            <wp:docPr id="35" name="Picture 35"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Calendar&#10;&#10;Description automatically generated"/>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943600" cy="3767328"/>
                    </a:xfrm>
                    <a:prstGeom prst="rect">
                      <a:avLst/>
                    </a:prstGeom>
                  </pic:spPr>
                </pic:pic>
              </a:graphicData>
            </a:graphic>
          </wp:inline>
        </w:drawing>
      </w:r>
    </w:p>
    <w:p w14:paraId="1FD8EE92" w14:textId="63A5D17B" w:rsidR="00F7770D" w:rsidRPr="00D60A80" w:rsidRDefault="00F7770D" w:rsidP="00F7770D">
      <w:pPr>
        <w:pStyle w:val="Captions"/>
        <w:rPr>
          <w:szCs w:val="24"/>
        </w:rPr>
      </w:pPr>
      <w:bookmarkStart w:id="120" w:name="_Toc134695294"/>
      <w:r w:rsidRPr="00D60A80">
        <w:rPr>
          <w:szCs w:val="24"/>
        </w:rPr>
        <w:t xml:space="preserve">Figure </w:t>
      </w:r>
      <w:r w:rsidR="00C96E3B" w:rsidRPr="00D60A80">
        <w:rPr>
          <w:szCs w:val="24"/>
        </w:rPr>
        <w:fldChar w:fldCharType="begin"/>
      </w:r>
      <w:r w:rsidR="00C96E3B" w:rsidRPr="00D60A80">
        <w:rPr>
          <w:szCs w:val="24"/>
        </w:rPr>
        <w:instrText xml:space="preserve"> STYLEREF 1 \s </w:instrText>
      </w:r>
      <w:r w:rsidR="00C96E3B" w:rsidRPr="00D60A80">
        <w:rPr>
          <w:szCs w:val="24"/>
        </w:rPr>
        <w:fldChar w:fldCharType="separate"/>
      </w:r>
      <w:r w:rsidR="00C77C87" w:rsidRPr="00D60A80">
        <w:rPr>
          <w:noProof/>
          <w:szCs w:val="24"/>
        </w:rPr>
        <w:t>4</w:t>
      </w:r>
      <w:r w:rsidR="00C96E3B" w:rsidRPr="00D60A80">
        <w:rPr>
          <w:noProof/>
          <w:szCs w:val="24"/>
        </w:rPr>
        <w:fldChar w:fldCharType="end"/>
      </w:r>
      <w:r w:rsidR="00C77C87" w:rsidRPr="00D60A80">
        <w:rPr>
          <w:szCs w:val="24"/>
        </w:rPr>
        <w:t>.</w:t>
      </w:r>
      <w:r w:rsidR="00C96E3B" w:rsidRPr="00D60A80">
        <w:rPr>
          <w:szCs w:val="24"/>
        </w:rPr>
        <w:fldChar w:fldCharType="begin"/>
      </w:r>
      <w:r w:rsidR="00C96E3B" w:rsidRPr="00D60A80">
        <w:rPr>
          <w:szCs w:val="24"/>
        </w:rPr>
        <w:instrText xml:space="preserve"> SEQ Figure \* ARABIC \s 1 </w:instrText>
      </w:r>
      <w:r w:rsidR="00C96E3B" w:rsidRPr="00D60A80">
        <w:rPr>
          <w:szCs w:val="24"/>
        </w:rPr>
        <w:fldChar w:fldCharType="separate"/>
      </w:r>
      <w:r w:rsidR="00C77C87" w:rsidRPr="00D60A80">
        <w:rPr>
          <w:noProof/>
          <w:szCs w:val="24"/>
        </w:rPr>
        <w:t>16</w:t>
      </w:r>
      <w:r w:rsidR="00C96E3B" w:rsidRPr="00D60A80">
        <w:rPr>
          <w:noProof/>
          <w:szCs w:val="24"/>
        </w:rPr>
        <w:fldChar w:fldCharType="end"/>
      </w:r>
      <w:r w:rsidRPr="00D60A80">
        <w:rPr>
          <w:szCs w:val="24"/>
        </w:rPr>
        <w:t xml:space="preserve"> The analyzed surface temperature (shade) valid at the analysis time (a, d) 2100, (b, e) 2200 and (c, f) 2300 UTC 10 Dec 2021 for the (top) Retro and (bottom) WD experiments. The 45 dBZ composite reflectivity, surface water vapor mixing ratio and mixed-layer convergence are represented by the black solid lines, black dashed lines and blue solid lines, respectively. The interval of the water vapor mixing ratio and the convergence contours is 1 g kg</w:t>
      </w:r>
      <w:r w:rsidRPr="00D60A80">
        <w:rPr>
          <w:szCs w:val="24"/>
          <w:vertAlign w:val="superscript"/>
        </w:rPr>
        <w:t>-1</w:t>
      </w:r>
      <w:r w:rsidRPr="00D60A80">
        <w:rPr>
          <w:szCs w:val="24"/>
        </w:rPr>
        <w:t xml:space="preserve"> and 200 </w:t>
      </w:r>
      <w:r w:rsidRPr="00D60A80">
        <w:rPr>
          <w:szCs w:val="24"/>
        </w:rPr>
        <w:sym w:font="Symbol" w:char="F0B4"/>
      </w:r>
      <w:r w:rsidRPr="00D60A80">
        <w:rPr>
          <w:szCs w:val="24"/>
        </w:rPr>
        <w:t xml:space="preserve"> 10</w:t>
      </w:r>
      <w:r w:rsidRPr="00D60A80">
        <w:rPr>
          <w:szCs w:val="24"/>
          <w:vertAlign w:val="superscript"/>
        </w:rPr>
        <w:t>-5</w:t>
      </w:r>
      <w:r w:rsidRPr="00D60A80">
        <w:rPr>
          <w:szCs w:val="24"/>
        </w:rPr>
        <w:t xml:space="preserve"> s</w:t>
      </w:r>
      <w:r w:rsidRPr="00D60A80">
        <w:rPr>
          <w:szCs w:val="24"/>
          <w:vertAlign w:val="superscript"/>
        </w:rPr>
        <w:t>-1</w:t>
      </w:r>
      <w:r w:rsidRPr="00D60A80">
        <w:rPr>
          <w:szCs w:val="24"/>
        </w:rPr>
        <w:t>, respectively. The Rear-Flank Gust Front and Forward-Flank Downdraft areas are also displayed in the WD experiments.</w:t>
      </w:r>
      <w:bookmarkEnd w:id="120"/>
    </w:p>
    <w:p w14:paraId="566F1C85" w14:textId="77777777" w:rsidR="00F7770D" w:rsidRDefault="00F7770D" w:rsidP="00F7770D">
      <w:pPr>
        <w:pStyle w:val="NoSpacing"/>
      </w:pPr>
    </w:p>
    <w:p w14:paraId="0C9ABE75" w14:textId="77777777" w:rsidR="00E87008" w:rsidRDefault="00E87008" w:rsidP="00682CE2">
      <w:r>
        <w:t>In order to understand</w:t>
      </w:r>
      <w:r w:rsidRPr="0091041D">
        <w:t xml:space="preserve"> why </w:t>
      </w:r>
      <w:r>
        <w:t xml:space="preserve">the </w:t>
      </w:r>
      <w:r w:rsidRPr="0091041D">
        <w:t xml:space="preserve">forecasts </w:t>
      </w:r>
      <w:r>
        <w:t xml:space="preserve">generated by Retro are </w:t>
      </w:r>
      <w:r w:rsidRPr="0091041D">
        <w:t xml:space="preserve">worse than </w:t>
      </w:r>
      <w:r>
        <w:t xml:space="preserve">those generated by </w:t>
      </w:r>
      <w:r w:rsidRPr="0091041D">
        <w:t xml:space="preserve">WD, </w:t>
      </w:r>
      <w:r>
        <w:t xml:space="preserve">Figure 4.16 consists of </w:t>
      </w:r>
      <w:r w:rsidRPr="0091041D">
        <w:t xml:space="preserve">wind barbs, </w:t>
      </w:r>
      <w:r>
        <w:t xml:space="preserve">surface </w:t>
      </w:r>
      <w:r w:rsidRPr="0091041D">
        <w:t>temperature</w:t>
      </w:r>
      <w:r>
        <w:t xml:space="preserve"> (shaded)</w:t>
      </w:r>
      <w:r w:rsidRPr="0091041D">
        <w:t xml:space="preserve">, </w:t>
      </w:r>
      <w:r>
        <w:t xml:space="preserve">lowest 75-hPa mixed layer </w:t>
      </w:r>
      <w:r w:rsidRPr="0091041D">
        <w:t>convergence</w:t>
      </w:r>
      <w:r>
        <w:t xml:space="preserve"> contours (blue solid lines), surface </w:t>
      </w:r>
      <w:r w:rsidRPr="0091041D">
        <w:t>water vapor mixing ratio</w:t>
      </w:r>
      <w:r>
        <w:t xml:space="preserve"> contours (black dashed lines)</w:t>
      </w:r>
      <w:r w:rsidRPr="0091041D">
        <w:t xml:space="preserve"> </w:t>
      </w:r>
      <w:r>
        <w:t>and the contour for composite</w:t>
      </w:r>
      <w:r w:rsidRPr="0091041D">
        <w:t xml:space="preserve"> reflectivity </w:t>
      </w:r>
      <w:r>
        <w:t>greater than 45 dBZ (black solid lines)</w:t>
      </w:r>
      <w:r w:rsidRPr="0091041D">
        <w:t xml:space="preserve"> </w:t>
      </w:r>
      <w:r>
        <w:t>at the analysis times 2100, 2200, and 2300 UTC</w:t>
      </w:r>
      <w:r w:rsidRPr="0091041D">
        <w:t>.</w:t>
      </w:r>
      <w:r>
        <w:t xml:space="preserve"> </w:t>
      </w:r>
      <w:r w:rsidRPr="0091041D">
        <w:t xml:space="preserve">The </w:t>
      </w:r>
      <w:r>
        <w:t>area shown</w:t>
      </w:r>
      <w:r w:rsidRPr="0091041D">
        <w:t xml:space="preserve"> has been </w:t>
      </w:r>
      <w:r>
        <w:t xml:space="preserve">zoomed in to an 80 </w:t>
      </w:r>
      <w:r>
        <w:sym w:font="Symbol" w:char="F0B4"/>
      </w:r>
      <w:r>
        <w:t xml:space="preserve"> 80 km</w:t>
      </w:r>
      <w:r>
        <w:rPr>
          <w:vertAlign w:val="superscript"/>
        </w:rPr>
        <w:t>2</w:t>
      </w:r>
      <w:r>
        <w:t xml:space="preserve"> domain centered on the site of the simulated tornadic supercell, as approximately indicated by the blue boxes in Figs. 4.14 o1 and o3, but to a smaller extent. </w:t>
      </w:r>
      <w:r w:rsidRPr="0091041D">
        <w:t xml:space="preserve">At 2100 UTC, the </w:t>
      </w:r>
      <w:r>
        <w:t xml:space="preserve">analyzed </w:t>
      </w:r>
      <w:r w:rsidRPr="0091041D">
        <w:t xml:space="preserve">temperature and water vapor mixing ratio surrounding </w:t>
      </w:r>
      <w:r>
        <w:t xml:space="preserve">the convergence area that supports the </w:t>
      </w:r>
      <w:r>
        <w:lastRenderedPageBreak/>
        <w:t>development of the supercell, indicated by the blue contour centered at the domain (Fig. 4.16 d),</w:t>
      </w:r>
      <w:r w:rsidRPr="0091041D">
        <w:t xml:space="preserve"> are 1 K and 1 g kg</w:t>
      </w:r>
      <w:r w:rsidRPr="0091041D">
        <w:rPr>
          <w:vertAlign w:val="superscript"/>
        </w:rPr>
        <w:t>-1</w:t>
      </w:r>
      <w:r w:rsidRPr="0091041D">
        <w:t xml:space="preserve"> lower than </w:t>
      </w:r>
      <w:r>
        <w:t xml:space="preserve">those </w:t>
      </w:r>
      <w:r w:rsidRPr="0091041D">
        <w:t xml:space="preserve">in Retro, respectively (Fig. </w:t>
      </w:r>
      <w:r>
        <w:t>4.</w:t>
      </w:r>
      <w:r w:rsidRPr="0091041D">
        <w:t>16 a vs d).</w:t>
      </w:r>
      <w:r>
        <w:t xml:space="preserve"> T</w:t>
      </w:r>
      <w:r w:rsidRPr="0091041D">
        <w:t>h</w:t>
      </w:r>
      <w:r>
        <w:t>ese</w:t>
      </w:r>
      <w:r w:rsidRPr="0091041D">
        <w:t xml:space="preserve"> modification</w:t>
      </w:r>
      <w:r>
        <w:t>s</w:t>
      </w:r>
      <w:r w:rsidRPr="0091041D">
        <w:t xml:space="preserve"> </w:t>
      </w:r>
      <w:r>
        <w:t>may not</w:t>
      </w:r>
      <w:r w:rsidRPr="0091041D">
        <w:t xml:space="preserve"> have a substantial impact on the supercell forecast</w:t>
      </w:r>
      <w:r>
        <w:t xml:space="preserve"> because there is only a minimal difference in temperature gradient across the rear-flank gust front, which is about 5 K ahead and behind the front in both experiments. The most possible reason for the difference in the forecast between the experiments is due to the presence of weak convergence </w:t>
      </w:r>
      <w:r w:rsidRPr="0091041D">
        <w:t>greater than 200</w:t>
      </w:r>
      <w:r>
        <w:t xml:space="preserve"> </w:t>
      </w:r>
      <w:r>
        <w:sym w:font="Symbol" w:char="F0B4"/>
      </w:r>
      <w:r w:rsidRPr="0091041D">
        <w:t xml:space="preserve"> 10</w:t>
      </w:r>
      <w:r w:rsidRPr="0091041D">
        <w:rPr>
          <w:vertAlign w:val="superscript"/>
        </w:rPr>
        <w:t>-5</w:t>
      </w:r>
      <w:r w:rsidRPr="0091041D">
        <w:t xml:space="preserve"> s</w:t>
      </w:r>
      <w:r w:rsidRPr="0091041D">
        <w:rPr>
          <w:vertAlign w:val="superscript"/>
        </w:rPr>
        <w:t>-1</w:t>
      </w:r>
      <w:r>
        <w:t xml:space="preserve"> ahead of the rear-flank gust front </w:t>
      </w:r>
      <w:r w:rsidRPr="0091041D">
        <w:t xml:space="preserve">(Fig. </w:t>
      </w:r>
      <w:r>
        <w:t>4.</w:t>
      </w:r>
      <w:r w:rsidRPr="0091041D">
        <w:t>16 d)</w:t>
      </w:r>
      <w:r>
        <w:t>, as also suggested by the wind barbs.</w:t>
      </w:r>
    </w:p>
    <w:p w14:paraId="6A4B3B3A" w14:textId="795D2C52" w:rsidR="00682CE2" w:rsidRDefault="00682CE2" w:rsidP="00682CE2">
      <w:r>
        <w:t>For the analysis at 2200 UTC, both experiments (Fig</w:t>
      </w:r>
      <w:r w:rsidR="00F7770D">
        <w:t>s</w:t>
      </w:r>
      <w:r>
        <w:t xml:space="preserve">. </w:t>
      </w:r>
      <w:r w:rsidR="00F7770D">
        <w:t>4.</w:t>
      </w:r>
      <w:r>
        <w:t>16 b, e) show a strong convergence greater than 600 s</w:t>
      </w:r>
      <w:r>
        <w:rPr>
          <w:vertAlign w:val="superscript"/>
        </w:rPr>
        <w:t>-1</w:t>
      </w:r>
      <w:r>
        <w:t xml:space="preserve"> ahead of the rear-flank gust front. However, WD clearly produce</w:t>
      </w:r>
      <w:r w:rsidR="00561511">
        <w:t>s</w:t>
      </w:r>
      <w:r>
        <w:t xml:space="preserve"> a moderate cold pool in the forward-flank downdraft area</w:t>
      </w:r>
      <w:r w:rsidRPr="00EC4A51">
        <w:t>, which is believed to contribute to the formation of a well-structured supercell</w:t>
      </w:r>
      <w:r>
        <w:t xml:space="preserve">. As suggested in </w:t>
      </w:r>
      <w:r w:rsidR="00F7770D">
        <w:fldChar w:fldCharType="begin"/>
      </w:r>
      <w:r w:rsidR="00F7770D">
        <w:instrText xml:space="preserve"> ADDIN ZOTERO_ITEM CSL_CITATION {"citationID":"Gj5ZPFP1","properties":{"formattedCitation":"(Khairoutdinov and Randall 2006)","plainCitation":"(Khairoutdinov and Randall 2006)","noteIndex":0},"citationItems":[{"id":232,"uris":["http://zotero.org/users/local/6VSApgKp/items/UX7D6589"],"itemData":{"id":232,"type":"article-journal","container-title":"Journal of the Atmospheric Sciences","DOI":"10.1175/JAS3810.1","issue":"12","note":"publisher-place: Boston MA, USA\npublisher: American Meteorological Society","page":"3421 - 3436","title":"High-Resolution Simulation of Shallow-to-Deep Convection Transition over Land","volume":"63","author":[{"family":"Khairoutdinov","given":"Marat"},{"family":"Randall","given":"David"}],"issued":{"date-parts":[["2006"]]},"citation-key":"khairoutdinovHighResolutionSimulationShallowtoDeep2006"}}],"schema":"https://github.com/citation-style-language/schema/raw/master/csl-citation.json"} </w:instrText>
      </w:r>
      <w:r w:rsidR="00F7770D">
        <w:fldChar w:fldCharType="separate"/>
      </w:r>
      <w:r w:rsidR="00F7770D">
        <w:rPr>
          <w:noProof/>
        </w:rPr>
        <w:t>(Khairoutdinov and Randall 2006)</w:t>
      </w:r>
      <w:r w:rsidR="00F7770D">
        <w:fldChar w:fldCharType="end"/>
      </w:r>
      <w:r>
        <w:t xml:space="preserve">, the dynamic effect of lifting air in the boundary layer along the outflow above a CIN layer could activate thermodynamic processes and generate free convection at the cold pool boundary regions where gust front occurs. </w:t>
      </w:r>
      <w:r w:rsidRPr="0091041D">
        <w:t>This improvement is not as noticeable in the 2300 UTC analysis</w:t>
      </w:r>
      <w:r>
        <w:t>,</w:t>
      </w:r>
      <w:r w:rsidRPr="0091041D">
        <w:t xml:space="preserve"> as </w:t>
      </w:r>
      <w:r>
        <w:t>compared to</w:t>
      </w:r>
      <w:r w:rsidRPr="0091041D">
        <w:t xml:space="preserve"> the 2200 UTC analysis</w:t>
      </w:r>
      <w:r>
        <w:t xml:space="preserve"> (Fig</w:t>
      </w:r>
      <w:r w:rsidR="00460B81">
        <w:t>.</w:t>
      </w:r>
      <w:r>
        <w:t xml:space="preserve"> </w:t>
      </w:r>
      <w:r w:rsidR="00460B81">
        <w:t>4</w:t>
      </w:r>
      <w:r>
        <w:t>16</w:t>
      </w:r>
      <w:r w:rsidR="00460B81">
        <w:t xml:space="preserve"> </w:t>
      </w:r>
      <w:r>
        <w:t>f vs e)</w:t>
      </w:r>
      <w:r w:rsidRPr="0091041D">
        <w:t>.</w:t>
      </w:r>
      <w:r>
        <w:t xml:space="preserve"> </w:t>
      </w:r>
      <w:r w:rsidRPr="0091041D">
        <w:t xml:space="preserve">In comparison to the Retro, WD has a well-organized reflectivity pattern that, together with a </w:t>
      </w:r>
      <w:r>
        <w:t xml:space="preserve">weak </w:t>
      </w:r>
      <w:r w:rsidRPr="0091041D">
        <w:t xml:space="preserve">cold pool </w:t>
      </w:r>
      <w:r>
        <w:t>just west to</w:t>
      </w:r>
      <w:r w:rsidRPr="0091041D">
        <w:t xml:space="preserve"> the forward-flank downdraft area and a strong convergence ahead of the rear-flank gust front, contributes to the formation of a full, decent supercell structure.</w:t>
      </w:r>
      <w:r>
        <w:t xml:space="preserve"> Despite the fact that</w:t>
      </w:r>
      <w:r w:rsidRPr="0091041D">
        <w:t xml:space="preserve"> the improvement of the analys</w:t>
      </w:r>
      <w:r>
        <w:t>i</w:t>
      </w:r>
      <w:r w:rsidRPr="0091041D">
        <w:t>s varies</w:t>
      </w:r>
      <w:r>
        <w:t xml:space="preserve"> over time, </w:t>
      </w:r>
      <w:r w:rsidRPr="0091041D">
        <w:t>WD</w:t>
      </w:r>
      <w:r>
        <w:t xml:space="preserve"> consistently produces more reasonable analyses, and</w:t>
      </w:r>
      <w:r w:rsidRPr="0091041D">
        <w:t xml:space="preserve"> eventually </w:t>
      </w:r>
      <w:r>
        <w:t>better</w:t>
      </w:r>
      <w:r w:rsidRPr="0091041D">
        <w:t xml:space="preserve"> 6-h</w:t>
      </w:r>
      <w:r>
        <w:t>our</w:t>
      </w:r>
      <w:r w:rsidRPr="0091041D">
        <w:t xml:space="preserve"> forecast</w:t>
      </w:r>
      <w:r>
        <w:t>s</w:t>
      </w:r>
      <w:r w:rsidRPr="0091041D">
        <w:t xml:space="preserve"> </w:t>
      </w:r>
      <w:r>
        <w:t>compared to Retro</w:t>
      </w:r>
      <w:r w:rsidRPr="0091041D">
        <w:t xml:space="preserve"> at </w:t>
      </w:r>
      <w:r>
        <w:t>all</w:t>
      </w:r>
      <w:r w:rsidRPr="0091041D">
        <w:t xml:space="preserve"> </w:t>
      </w:r>
      <w:r>
        <w:t xml:space="preserve">three </w:t>
      </w:r>
      <w:r w:rsidRPr="0091041D">
        <w:t>times.</w:t>
      </w:r>
    </w:p>
    <w:p w14:paraId="067A4C84" w14:textId="1CD607D9" w:rsidR="00E87008" w:rsidRDefault="00E87008" w:rsidP="00E87008">
      <w:pPr>
        <w:pStyle w:val="NoSpacing"/>
      </w:pPr>
    </w:p>
    <w:p w14:paraId="11151EFC" w14:textId="77777777" w:rsidR="00E87008" w:rsidRDefault="00E87008" w:rsidP="00C96E3B">
      <w:pPr>
        <w:spacing w:line="240" w:lineRule="auto"/>
        <w:ind w:firstLine="0"/>
        <w:jc w:val="center"/>
      </w:pPr>
      <w:r>
        <w:rPr>
          <w:noProof/>
        </w:rPr>
        <w:lastRenderedPageBreak/>
        <w:drawing>
          <wp:inline distT="0" distB="0" distL="0" distR="0" wp14:anchorId="609BB4C0" wp14:editId="50721160">
            <wp:extent cx="5943600" cy="5943600"/>
            <wp:effectExtent l="0" t="0" r="0" b="0"/>
            <wp:docPr id="37" name="Picture 37"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Chart, scatter chart&#10;&#10;Description automatically generated"/>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72527692" w14:textId="77777777" w:rsidR="00E87008" w:rsidRPr="00D60A80" w:rsidRDefault="00E87008" w:rsidP="00E87008">
      <w:pPr>
        <w:pStyle w:val="Captions"/>
        <w:rPr>
          <w:szCs w:val="24"/>
        </w:rPr>
      </w:pPr>
      <w:bookmarkStart w:id="121" w:name="_Toc134695295"/>
      <w:r w:rsidRPr="00D60A80">
        <w:rPr>
          <w:szCs w:val="24"/>
        </w:rPr>
        <w:t xml:space="preserve">Figure </w:t>
      </w:r>
      <w:r w:rsidR="00C96E3B" w:rsidRPr="00D60A80">
        <w:rPr>
          <w:szCs w:val="24"/>
        </w:rPr>
        <w:fldChar w:fldCharType="begin"/>
      </w:r>
      <w:r w:rsidR="00C96E3B" w:rsidRPr="00D60A80">
        <w:rPr>
          <w:szCs w:val="24"/>
        </w:rPr>
        <w:instrText xml:space="preserve"> STYLEREF 1 \s </w:instrText>
      </w:r>
      <w:r w:rsidR="00C96E3B" w:rsidRPr="00D60A80">
        <w:rPr>
          <w:szCs w:val="24"/>
        </w:rPr>
        <w:fldChar w:fldCharType="separate"/>
      </w:r>
      <w:r w:rsidRPr="00D60A80">
        <w:rPr>
          <w:noProof/>
          <w:szCs w:val="24"/>
        </w:rPr>
        <w:t>4</w:t>
      </w:r>
      <w:r w:rsidR="00C96E3B" w:rsidRPr="00D60A80">
        <w:rPr>
          <w:noProof/>
          <w:szCs w:val="24"/>
        </w:rPr>
        <w:fldChar w:fldCharType="end"/>
      </w:r>
      <w:r w:rsidRPr="00D60A80">
        <w:rPr>
          <w:szCs w:val="24"/>
        </w:rPr>
        <w:t>.</w:t>
      </w:r>
      <w:r w:rsidR="00C96E3B" w:rsidRPr="00D60A80">
        <w:rPr>
          <w:szCs w:val="24"/>
        </w:rPr>
        <w:fldChar w:fldCharType="begin"/>
      </w:r>
      <w:r w:rsidR="00C96E3B" w:rsidRPr="00D60A80">
        <w:rPr>
          <w:szCs w:val="24"/>
        </w:rPr>
        <w:instrText xml:space="preserve"> SEQ Figure \* ARABIC \s 1 </w:instrText>
      </w:r>
      <w:r w:rsidR="00C96E3B" w:rsidRPr="00D60A80">
        <w:rPr>
          <w:szCs w:val="24"/>
        </w:rPr>
        <w:fldChar w:fldCharType="separate"/>
      </w:r>
      <w:r w:rsidRPr="00D60A80">
        <w:rPr>
          <w:noProof/>
          <w:szCs w:val="24"/>
        </w:rPr>
        <w:t>17</w:t>
      </w:r>
      <w:r w:rsidR="00C96E3B" w:rsidRPr="00D60A80">
        <w:rPr>
          <w:noProof/>
          <w:szCs w:val="24"/>
        </w:rPr>
        <w:fldChar w:fldCharType="end"/>
      </w:r>
      <w:r w:rsidRPr="00D60A80">
        <w:rPr>
          <w:szCs w:val="24"/>
        </w:rPr>
        <w:t xml:space="preserve"> As in Fig. 4.13, but for the 1- to 6-hour forecasts initiated from 2100 to 0300 UTC the next day for the 10 Dec 2021 event.</w:t>
      </w:r>
      <w:bookmarkEnd w:id="121"/>
    </w:p>
    <w:p w14:paraId="59F7C388" w14:textId="77777777" w:rsidR="00E87008" w:rsidRDefault="00E87008" w:rsidP="00E87008">
      <w:pPr>
        <w:pStyle w:val="NoSpacing"/>
      </w:pPr>
    </w:p>
    <w:p w14:paraId="6772981D" w14:textId="1BB236D8" w:rsidR="00460B81" w:rsidRDefault="00682CE2" w:rsidP="00460B81">
      <w:r>
        <w:t xml:space="preserve">The performance diagram and aggregated ETSs for the 10 Dec 2021 event are shown in Figure </w:t>
      </w:r>
      <w:r w:rsidR="00460B81">
        <w:t>4.</w:t>
      </w:r>
      <w:r>
        <w:t>17. Different from the 5 May 2020 event</w:t>
      </w:r>
      <w:r w:rsidRPr="000F16F9">
        <w:t xml:space="preserve">, both Retro and WD </w:t>
      </w:r>
      <w:r>
        <w:t>exhibit</w:t>
      </w:r>
      <w:r w:rsidRPr="000F16F9">
        <w:t xml:space="preserve"> noticeable under</w:t>
      </w:r>
      <w:r>
        <w:t>-forecast performance for forecasts exceeding 3 hours, with both 20 dBZ and 40 dBZ thresholds.</w:t>
      </w:r>
      <w:r w:rsidRPr="000F16F9">
        <w:t xml:space="preserve"> </w:t>
      </w:r>
      <w:r>
        <w:t>F</w:t>
      </w:r>
      <w:r w:rsidRPr="000F16F9">
        <w:t>or the 20 dBZ threshold</w:t>
      </w:r>
      <w:r>
        <w:t>,</w:t>
      </w:r>
      <w:r w:rsidRPr="000F16F9">
        <w:t xml:space="preserve"> POD and CSI drop as lead time grows, </w:t>
      </w:r>
      <w:r>
        <w:t>while</w:t>
      </w:r>
      <w:r w:rsidRPr="000F16F9">
        <w:t xml:space="preserve"> SR/FAR does not </w:t>
      </w:r>
      <w:r>
        <w:t>show</w:t>
      </w:r>
      <w:r w:rsidRPr="000F16F9">
        <w:t xml:space="preserve"> </w:t>
      </w:r>
      <w:r>
        <w:t xml:space="preserve">a </w:t>
      </w:r>
      <w:r w:rsidRPr="000F16F9">
        <w:t xml:space="preserve">significant </w:t>
      </w:r>
      <w:r>
        <w:t xml:space="preserve">change </w:t>
      </w:r>
      <w:r w:rsidRPr="000F16F9">
        <w:t xml:space="preserve">(Fig. </w:t>
      </w:r>
      <w:r w:rsidR="00460B81">
        <w:t>4.</w:t>
      </w:r>
      <w:r w:rsidRPr="000F16F9">
        <w:t>17</w:t>
      </w:r>
      <w:r>
        <w:t xml:space="preserve"> </w:t>
      </w:r>
      <w:r w:rsidRPr="000F16F9">
        <w:t>a).</w:t>
      </w:r>
      <w:r>
        <w:t xml:space="preserve"> On the other hand, for the 40 dBZ threshold (Fig. </w:t>
      </w:r>
      <w:r w:rsidR="00460B81">
        <w:t>4.</w:t>
      </w:r>
      <w:r>
        <w:t xml:space="preserve">17 b), all the </w:t>
      </w:r>
      <w:r>
        <w:lastRenderedPageBreak/>
        <w:t>indices including POD, SR, CSI decrease over time, and both experiments have only s</w:t>
      </w:r>
      <w:r w:rsidRPr="000F16F9">
        <w:t xml:space="preserve">light </w:t>
      </w:r>
      <w:r>
        <w:t>under-forecast</w:t>
      </w:r>
      <w:r w:rsidRPr="000F16F9">
        <w:t xml:space="preserve"> </w:t>
      </w:r>
      <w:r>
        <w:t>biases for 3</w:t>
      </w:r>
      <w:r w:rsidR="000A02A6">
        <w:t>-</w:t>
      </w:r>
      <w:r>
        <w:t xml:space="preserve"> </w:t>
      </w:r>
      <w:r w:rsidR="000A02A6">
        <w:t>to</w:t>
      </w:r>
      <w:r>
        <w:t xml:space="preserve"> 6-hour forecasts</w:t>
      </w:r>
      <w:r w:rsidRPr="000F16F9">
        <w:t>.</w:t>
      </w:r>
      <w:r>
        <w:t xml:space="preserve"> </w:t>
      </w:r>
      <w:r w:rsidRPr="0091041D">
        <w:t xml:space="preserve">The </w:t>
      </w:r>
      <w:r>
        <w:t>failure of Retro to forecast</w:t>
      </w:r>
      <w:r w:rsidRPr="0091041D">
        <w:t xml:space="preserve"> the </w:t>
      </w:r>
      <w:r>
        <w:t>main tornadic supercell</w:t>
      </w:r>
      <w:r w:rsidRPr="0091041D">
        <w:t xml:space="preserve"> </w:t>
      </w:r>
      <w:r>
        <w:t>that produced EF-4 tornadoes demonstrates</w:t>
      </w:r>
      <w:r w:rsidRPr="0091041D">
        <w:t xml:space="preserve"> </w:t>
      </w:r>
      <w:r>
        <w:t>its</w:t>
      </w:r>
      <w:r w:rsidRPr="0091041D">
        <w:t xml:space="preserve"> </w:t>
      </w:r>
      <w:r>
        <w:t>underperformance compared to WD at both thresholds and all three forecast lead times (Fig</w:t>
      </w:r>
      <w:r w:rsidR="00460B81">
        <w:t>s</w:t>
      </w:r>
      <w:r>
        <w:t xml:space="preserve">. </w:t>
      </w:r>
      <w:r w:rsidR="00460B81">
        <w:t>4.</w:t>
      </w:r>
      <w:r>
        <w:t>17</w:t>
      </w:r>
      <w:r w:rsidR="00460B81">
        <w:t xml:space="preserve"> </w:t>
      </w:r>
      <w:r>
        <w:t>a, b)</w:t>
      </w:r>
      <w:r w:rsidRPr="0091041D">
        <w:t>.</w:t>
      </w:r>
      <w:r>
        <w:t xml:space="preserve"> The </w:t>
      </w:r>
      <w:r w:rsidRPr="000F16F9">
        <w:t xml:space="preserve">aggregated ETS </w:t>
      </w:r>
      <w:r>
        <w:t>plots also support</w:t>
      </w:r>
      <w:r w:rsidRPr="000F16F9">
        <w:t xml:space="preserve"> th</w:t>
      </w:r>
      <w:r>
        <w:t>e</w:t>
      </w:r>
      <w:r w:rsidRPr="000F16F9">
        <w:t xml:space="preserve"> conclusion</w:t>
      </w:r>
      <w:r>
        <w:t xml:space="preserve"> that WD generally outperforms Retro</w:t>
      </w:r>
      <w:r w:rsidRPr="00F13469">
        <w:t xml:space="preserve"> </w:t>
      </w:r>
      <w:r>
        <w:t>(Fig</w:t>
      </w:r>
      <w:r w:rsidR="00460B81">
        <w:t>s</w:t>
      </w:r>
      <w:r>
        <w:t xml:space="preserve">. </w:t>
      </w:r>
      <w:r w:rsidR="00460B81">
        <w:t>4.</w:t>
      </w:r>
      <w:r>
        <w:t>17</w:t>
      </w:r>
      <w:r w:rsidR="00460B81">
        <w:t xml:space="preserve"> </w:t>
      </w:r>
      <w:r>
        <w:t>c, d). Despite the fact that the differences in ETS between two experiments are minor, they are statistically significant as indicated by the blue dots on the lines representing WD. Considering that Retro’s forecast completely</w:t>
      </w:r>
      <w:r w:rsidRPr="000F16F9">
        <w:t xml:space="preserve"> </w:t>
      </w:r>
      <w:r>
        <w:t>misse</w:t>
      </w:r>
      <w:r w:rsidRPr="000F16F9">
        <w:t xml:space="preserve">s the </w:t>
      </w:r>
      <w:r>
        <w:t>main</w:t>
      </w:r>
      <w:r w:rsidRPr="000F16F9">
        <w:t xml:space="preserve"> tornadic supercell responsible for EF-4 tornadoes</w:t>
      </w:r>
      <w:r>
        <w:t xml:space="preserve">, the improvements in WD are most likely due to the increase of “hit”. </w:t>
      </w:r>
      <w:r w:rsidRPr="000F16F9">
        <w:t xml:space="preserve">Therefore, </w:t>
      </w:r>
      <w:r>
        <w:t xml:space="preserve">we can conclude that </w:t>
      </w:r>
      <w:r w:rsidRPr="000F16F9">
        <w:t xml:space="preserve">by incorporating </w:t>
      </w:r>
      <w:r>
        <w:t>weather-dependent</w:t>
      </w:r>
      <w:r w:rsidRPr="000F16F9">
        <w:t xml:space="preserve"> background error</w:t>
      </w:r>
      <w:r>
        <w:t>s,</w:t>
      </w:r>
      <w:r w:rsidRPr="000F16F9">
        <w:t xml:space="preserve"> the WoF-Var system improves predictability of the hazardous event on 10 Dec 2021.</w:t>
      </w:r>
    </w:p>
    <w:p w14:paraId="2B9A74BD" w14:textId="77777777" w:rsidR="00682CE2" w:rsidRPr="004812B5" w:rsidRDefault="00682CE2" w:rsidP="00682CE2"/>
    <w:p w14:paraId="5F7D33A6" w14:textId="32A77CAB" w:rsidR="00682CE2" w:rsidRPr="00DD5D9E" w:rsidRDefault="00460B81">
      <w:pPr>
        <w:pStyle w:val="Heading2"/>
      </w:pPr>
      <w:bookmarkStart w:id="122" w:name="_Toc130995461"/>
      <w:bookmarkStart w:id="123" w:name="_Toc131018326"/>
      <w:r>
        <w:t>Summary</w:t>
      </w:r>
      <w:r w:rsidR="00682CE2">
        <w:t xml:space="preserve"> and </w:t>
      </w:r>
      <w:r>
        <w:t>Discussion</w:t>
      </w:r>
      <w:bookmarkEnd w:id="122"/>
      <w:bookmarkEnd w:id="123"/>
    </w:p>
    <w:p w14:paraId="151E3E80" w14:textId="34AA080A" w:rsidR="00460B81" w:rsidRPr="00E87008" w:rsidRDefault="00682CE2" w:rsidP="00E87008">
      <w:pPr>
        <w:rPr>
          <w:color w:val="000000" w:themeColor="text1"/>
        </w:rPr>
      </w:pPr>
      <w:r>
        <w:rPr>
          <w:color w:val="000000" w:themeColor="text1"/>
        </w:rPr>
        <w:t xml:space="preserve">In this </w:t>
      </w:r>
      <w:r w:rsidR="00DB6CE6">
        <w:rPr>
          <w:color w:val="000000" w:themeColor="text1"/>
        </w:rPr>
        <w:t>chapter</w:t>
      </w:r>
      <w:r>
        <w:rPr>
          <w:color w:val="000000" w:themeColor="text1"/>
        </w:rPr>
        <w:t xml:space="preserve">, weather-dependent background error structures are constructed for clear sky and six other weather classes based on the intensity of radar composite reflectivity derived from the WoF </w:t>
      </w:r>
      <w:r w:rsidRPr="000915B0">
        <w:rPr>
          <w:color w:val="000000" w:themeColor="text1"/>
        </w:rPr>
        <w:t xml:space="preserve">ensemble product. </w:t>
      </w:r>
      <w:r w:rsidRPr="000915B0">
        <w:t xml:space="preserve">The procedure includes (1) classifying ensemble perturbations according to the strength of convection, (2) filtering outliers, and (3) applying Gaussian smoothing in the vertical direction. </w:t>
      </w:r>
      <w:r w:rsidRPr="000915B0">
        <w:rPr>
          <w:color w:val="000000" w:themeColor="text1"/>
        </w:rPr>
        <w:t>The background error</w:t>
      </w:r>
      <w:r w:rsidRPr="00D3542C">
        <w:rPr>
          <w:color w:val="000000" w:themeColor="text1"/>
        </w:rPr>
        <w:t xml:space="preserve"> statistics are </w:t>
      </w:r>
      <w:r>
        <w:rPr>
          <w:color w:val="000000" w:themeColor="text1"/>
        </w:rPr>
        <w:t>generated</w:t>
      </w:r>
      <w:r w:rsidRPr="00D3542C">
        <w:rPr>
          <w:color w:val="000000" w:themeColor="text1"/>
        </w:rPr>
        <w:t xml:space="preserve"> using an ensemble of 3-hour </w:t>
      </w:r>
      <w:r>
        <w:rPr>
          <w:color w:val="000000" w:themeColor="text1"/>
        </w:rPr>
        <w:t>forecasts</w:t>
      </w:r>
      <w:r w:rsidRPr="00D3542C">
        <w:rPr>
          <w:color w:val="000000" w:themeColor="text1"/>
        </w:rPr>
        <w:t xml:space="preserve"> at 3-km horizontal resolution f</w:t>
      </w:r>
      <w:r>
        <w:rPr>
          <w:color w:val="000000" w:themeColor="text1"/>
        </w:rPr>
        <w:t>rom</w:t>
      </w:r>
      <w:r w:rsidRPr="00D3542C">
        <w:rPr>
          <w:color w:val="000000" w:themeColor="text1"/>
        </w:rPr>
        <w:t xml:space="preserve"> 25 severe weather events during the </w:t>
      </w:r>
      <w:r>
        <w:rPr>
          <w:color w:val="000000" w:themeColor="text1"/>
        </w:rPr>
        <w:t>HWT SFE</w:t>
      </w:r>
      <w:r w:rsidR="00460B81">
        <w:rPr>
          <w:color w:val="000000" w:themeColor="text1"/>
        </w:rPr>
        <w:t xml:space="preserve"> 2019</w:t>
      </w:r>
      <w:r w:rsidRPr="00D3542C">
        <w:rPr>
          <w:color w:val="000000" w:themeColor="text1"/>
        </w:rPr>
        <w:t>.</w:t>
      </w:r>
      <w:r>
        <w:rPr>
          <w:color w:val="000000" w:themeColor="text1"/>
        </w:rPr>
        <w:t xml:space="preserve"> The</w:t>
      </w:r>
      <w:r w:rsidRPr="00830061">
        <w:rPr>
          <w:color w:val="000000" w:themeColor="text1"/>
        </w:rPr>
        <w:t xml:space="preserve"> </w:t>
      </w:r>
      <w:r>
        <w:rPr>
          <w:color w:val="000000" w:themeColor="text1"/>
        </w:rPr>
        <w:t>sampled weather-dependent</w:t>
      </w:r>
      <w:r w:rsidRPr="00830061">
        <w:rPr>
          <w:color w:val="000000" w:themeColor="text1"/>
        </w:rPr>
        <w:t xml:space="preserve"> </w:t>
      </w:r>
      <w:r>
        <w:rPr>
          <w:color w:val="000000" w:themeColor="text1"/>
        </w:rPr>
        <w:t>background error</w:t>
      </w:r>
      <w:r w:rsidRPr="00830061">
        <w:rPr>
          <w:color w:val="000000" w:themeColor="text1"/>
        </w:rPr>
        <w:t xml:space="preserve"> </w:t>
      </w:r>
      <w:r>
        <w:rPr>
          <w:color w:val="000000" w:themeColor="text1"/>
        </w:rPr>
        <w:t>profiles</w:t>
      </w:r>
      <w:r w:rsidRPr="00830061">
        <w:rPr>
          <w:color w:val="000000" w:themeColor="text1"/>
        </w:rPr>
        <w:t xml:space="preserve"> are</w:t>
      </w:r>
      <w:r>
        <w:rPr>
          <w:color w:val="000000" w:themeColor="text1"/>
        </w:rPr>
        <w:t xml:space="preserve"> then integrated</w:t>
      </w:r>
      <w:r w:rsidRPr="00830061">
        <w:rPr>
          <w:color w:val="000000" w:themeColor="text1"/>
        </w:rPr>
        <w:t xml:space="preserve"> </w:t>
      </w:r>
      <w:r>
        <w:rPr>
          <w:color w:val="000000" w:themeColor="text1"/>
        </w:rPr>
        <w:t>into</w:t>
      </w:r>
      <w:r w:rsidRPr="00830061">
        <w:rPr>
          <w:color w:val="000000" w:themeColor="text1"/>
        </w:rPr>
        <w:t xml:space="preserve"> the </w:t>
      </w:r>
      <w:r>
        <w:rPr>
          <w:color w:val="000000" w:themeColor="text1"/>
        </w:rPr>
        <w:t>NSSL WoF-Var system</w:t>
      </w:r>
      <w:r w:rsidRPr="00830061">
        <w:rPr>
          <w:color w:val="000000" w:themeColor="text1"/>
        </w:rPr>
        <w:t>.</w:t>
      </w:r>
    </w:p>
    <w:p w14:paraId="0B420179" w14:textId="77777777" w:rsidR="00682CE2" w:rsidRPr="002B5AD5" w:rsidRDefault="00682CE2" w:rsidP="00F52997">
      <w:r>
        <w:t xml:space="preserve">The impact of the weather-dependent background error structure on the WoF-Var analyses is first assessed with a single observation experiment. This experiment highlights the </w:t>
      </w:r>
      <w:r w:rsidRPr="004D65C8">
        <w:lastRenderedPageBreak/>
        <w:t>heterogene</w:t>
      </w:r>
      <w:r>
        <w:t>ous nature of the analysis increment for the meridional wind field corresponding to different weather situations. This new analysis and forecast system is then evaluated using two severe weather events: the 5 May 2020 linear complex, and the 10 Dec 2021 long-lived supercell storm, the latter of which produced significant property damage and fatalities. Detailed comparisons of experiments with and without the weather-dependent background errors for the 5 May 2020 linear complex reveal that the new system using weather-dependent</w:t>
      </w:r>
      <w:r w:rsidRPr="00A622B4">
        <w:t xml:space="preserve"> errors</w:t>
      </w:r>
      <w:r>
        <w:t xml:space="preserve"> is able to better analyze the in-storm structure, especially the three-dimensional wind, temperature and humidity. Consequently, the subsequent 6-hour forecasts are significantly improved quantitatively and qualitatively. Similarly, the evaluation of the 10 Dec 2021 supercell suggests improved storm structure analysis and the ability to forecast the long-lived supercell storm several hours in advance using the new system with weather-dependent</w:t>
      </w:r>
      <w:r w:rsidRPr="00A622B4">
        <w:t xml:space="preserve"> errors</w:t>
      </w:r>
      <w:r>
        <w:t>.</w:t>
      </w:r>
    </w:p>
    <w:p w14:paraId="101CAD24" w14:textId="656A1052" w:rsidR="00682CE2" w:rsidRPr="007F70B5" w:rsidRDefault="00682CE2" w:rsidP="00F52997">
      <w:r w:rsidRPr="0040422D">
        <w:t>The weather-dependent background error covariance</w:t>
      </w:r>
      <w:r w:rsidR="0090213A">
        <w:t xml:space="preserve"> matrix</w:t>
      </w:r>
      <w:r w:rsidRPr="0040422D">
        <w:t xml:space="preserve"> proposed in this study </w:t>
      </w:r>
      <w:r w:rsidR="0090213A">
        <w:t>is</w:t>
      </w:r>
      <w:r w:rsidRPr="0040422D">
        <w:t xml:space="preserve"> attractive due to its intuitive nature and simplicity. Additionally, it offers an advantage over the traditional 3DV</w:t>
      </w:r>
      <w:r w:rsidR="00460B81">
        <w:t>AR</w:t>
      </w:r>
      <w:r w:rsidRPr="0040422D">
        <w:t xml:space="preserve"> method </w:t>
      </w:r>
      <w:r w:rsidR="00AE2C4E">
        <w:t>with</w:t>
      </w:r>
      <w:r w:rsidRPr="0040422D">
        <w:t xml:space="preserve"> the background error covariances are dynamic and no longer stationary and isotropic. Another most popular approach to improve static background error covariances is to incorporate ensemble covariances into the variational method. This method </w:t>
      </w:r>
      <w:r w:rsidRPr="0040422D">
        <w:rPr>
          <w:bCs/>
        </w:rPr>
        <w:t>is also very</w:t>
      </w:r>
      <w:r w:rsidRPr="0040422D">
        <w:rPr>
          <w:b/>
        </w:rPr>
        <w:t xml:space="preserve"> </w:t>
      </w:r>
      <w:r w:rsidRPr="0040422D">
        <w:t xml:space="preserve">attractive because of its flow-dependent nature. </w:t>
      </w:r>
      <w:r w:rsidR="007F311C">
        <w:t>In the next chapter, the</w:t>
      </w:r>
      <w:r w:rsidRPr="0040422D">
        <w:rPr>
          <w:lang w:eastAsia="en-US"/>
        </w:rPr>
        <w:t xml:space="preserve"> hybrid strategy </w:t>
      </w:r>
      <w:r w:rsidR="007F311C">
        <w:rPr>
          <w:lang w:eastAsia="en-US"/>
        </w:rPr>
        <w:t xml:space="preserve">(i.e., WoF-Hybrid) </w:t>
      </w:r>
      <w:r w:rsidRPr="0040422D">
        <w:rPr>
          <w:lang w:eastAsia="en-US"/>
        </w:rPr>
        <w:t xml:space="preserve">will be tested by coupling the above WoF-Var system with the incorporation of ensemble covariances derived from the WoFS ensemble forecasts. </w:t>
      </w:r>
      <w:r w:rsidRPr="0040422D">
        <w:t>In so doing, the analyses and forecasts of high-impact severe weather events are expected to be further improved.</w:t>
      </w:r>
    </w:p>
    <w:p w14:paraId="2F4580E5" w14:textId="3E11BD64" w:rsidR="006C690B" w:rsidRPr="00723DA9" w:rsidRDefault="006C690B" w:rsidP="00F10239">
      <w:pPr>
        <w:rPr>
          <w:rFonts w:cs="Times New Roman"/>
          <w:b/>
          <w:szCs w:val="24"/>
        </w:rPr>
      </w:pPr>
      <w:r w:rsidRPr="00723DA9">
        <w:rPr>
          <w:rFonts w:cs="Times New Roman"/>
          <w:b/>
          <w:szCs w:val="24"/>
        </w:rPr>
        <w:br w:type="page"/>
      </w:r>
    </w:p>
    <w:p w14:paraId="435AA5D1" w14:textId="4682C737" w:rsidR="007F311C" w:rsidRPr="007F311C" w:rsidRDefault="007F311C">
      <w:pPr>
        <w:pStyle w:val="Heading1"/>
        <w:rPr>
          <w:color w:val="000000"/>
        </w:rPr>
      </w:pPr>
      <w:bookmarkStart w:id="124" w:name="_Toc130995462"/>
      <w:bookmarkStart w:id="125" w:name="_Toc131018327"/>
      <w:r w:rsidRPr="007F311C">
        <w:lastRenderedPageBreak/>
        <w:t>Implementation of Weather-dependent Background Error within a Hybrid En</w:t>
      </w:r>
      <w:r w:rsidR="00526E7B">
        <w:t>VAR</w:t>
      </w:r>
      <w:r w:rsidRPr="007F311C">
        <w:t xml:space="preserve"> System for Improving Short-term Severe Weather Forecast</w:t>
      </w:r>
      <w:bookmarkEnd w:id="124"/>
      <w:bookmarkEnd w:id="125"/>
    </w:p>
    <w:p w14:paraId="665F7DB3" w14:textId="7778A01B" w:rsidR="006C690B" w:rsidRDefault="006C690B">
      <w:pPr>
        <w:pStyle w:val="Heading2"/>
      </w:pPr>
      <w:bookmarkStart w:id="126" w:name="_Toc130995463"/>
      <w:bookmarkStart w:id="127" w:name="_Toc131018328"/>
      <w:r w:rsidRPr="007F311C">
        <w:t>Introduction</w:t>
      </w:r>
      <w:bookmarkEnd w:id="126"/>
      <w:bookmarkEnd w:id="127"/>
    </w:p>
    <w:p w14:paraId="44396E01" w14:textId="0608EC7E" w:rsidR="007F311C" w:rsidRPr="00A415F3" w:rsidRDefault="007F311C" w:rsidP="00F52997">
      <w:r>
        <w:t>D</w:t>
      </w:r>
      <w:r w:rsidRPr="00A415F3">
        <w:t>uring the past two and a half decades</w:t>
      </w:r>
      <w:r>
        <w:t>, significant</w:t>
      </w:r>
      <w:r w:rsidRPr="00A415F3">
        <w:t xml:space="preserve"> progress has been made in convective-scale radar </w:t>
      </w:r>
      <w:r w:rsidR="003F0051">
        <w:t>DA</w:t>
      </w:r>
      <w:r w:rsidRPr="00A415F3">
        <w:t xml:space="preserve"> using variational methods, </w:t>
      </w:r>
      <w:r>
        <w:t xml:space="preserve">EnKF methods, and </w:t>
      </w:r>
      <w:r w:rsidRPr="00A415F3">
        <w:t>hybrid Variational and EnKF methods</w:t>
      </w:r>
      <w:r>
        <w:t>.</w:t>
      </w:r>
      <w:r w:rsidRPr="007F311C">
        <w:t xml:space="preserve"> </w:t>
      </w:r>
      <w:r>
        <w:t>Convective-scale applications of 4D</w:t>
      </w:r>
      <w:r w:rsidR="00526E7B">
        <w:t>VAR</w:t>
      </w:r>
      <w:r>
        <w:t xml:space="preserve"> have shown promising results, but their use is typically limited to simple microphysics parameterizations due to the strong nonlinearity and high computational expense involved</w:t>
      </w:r>
      <w:r w:rsidRPr="00A415F3">
        <w:t xml:space="preserve">. </w:t>
      </w:r>
      <w:r>
        <w:t>In contrast,</w:t>
      </w:r>
      <w:r w:rsidRPr="00A415F3">
        <w:t xml:space="preserve"> EnKF, </w:t>
      </w:r>
      <w:r>
        <w:t xml:space="preserve">which was </w:t>
      </w:r>
      <w:r w:rsidRPr="00A415F3">
        <w:t>first proposed by</w:t>
      </w:r>
      <w:r>
        <w:t xml:space="preserve"> </w:t>
      </w:r>
      <w:r>
        <w:fldChar w:fldCharType="begin"/>
      </w:r>
      <w:r w:rsidR="00186B73">
        <w:instrText xml:space="preserve"> ADDIN ZOTERO_ITEM CSL_CITATION {"citationID":"o68XPGit","properties":{"formattedCitation":"(Evensen 1994)","plainCitation":"(Evensen 1994)","dontUpdate":true,"noteIndex":0},"citationItems":[{"id":525,"uris":["http://zotero.org/users/local/6VSApgKp/items/DJNEBA3M"],"itemData":{"id":525,"type":"article-journal","abstract":"A new sequential data assimilation method is discussed. It is based on forecasting the error statistics using Monte Carlo methods, a better alternative than solving the traditional and computationally extremely demanding approximate error covariance equation used in the extended Kalman filter. The unbounded error growth found in the extended Kalman filter, which is caused by an overly simplified closure in the error covariance equation, is completely eliminated. Open boundaries can be handled as long as the ocean model is well posed. Well-known numerical instabilities associated with the error covariance equation are avoided because storage and evolution of the error covariance matrix itself are not needed. The results are also better than what is provided by the extended Kalman filter since there is no closure problem and the quality of the forecast error statistics therefore improves. The method should be feasible also for more sophisticated primitive equation models. The computational load for reasonable accuracy is only a fraction of what is required for the extended Kalman filter and is given by the storage of, say, 100 model states for an ensemble size of 100 and thus CPU requirements of the order of the cost of 100 model integrations. The proposed method can therefore be used with realistic nonlinear ocean models on large domains on existing computers, and it is also well suited for parallel computers and clusters of workstations where each processor integrates a few members of the ensemble.","container-title":"Journal of Geophysical Research: Oceans","DOI":"10.1029/94JC00572","ISSN":"2156-2202","issue":"C5","language":"en","note":"_eprint: https://onlinelibrary.wiley.com/doi/pdf/10.1029/94JC00572","page":"10143-10162","source":"Wiley Online Library","title":"Sequential data assimilation with a nonlinear quasi-geostrophic model using Monte Carlo methods to forecast error statistics","volume":"99","author":[{"family":"Evensen","given":"Geir"}],"issued":{"date-parts":[["1994"]]},"citation-key":"evensenSequentialDataAssimilation1994"}}],"schema":"https://github.com/citation-style-language/schema/raw/master/csl-citation.json"} </w:instrText>
      </w:r>
      <w:r>
        <w:fldChar w:fldCharType="separate"/>
      </w:r>
      <w:r>
        <w:rPr>
          <w:noProof/>
        </w:rPr>
        <w:t>Evensen (1994)</w:t>
      </w:r>
      <w:r>
        <w:fldChar w:fldCharType="end"/>
      </w:r>
      <w:r w:rsidRPr="00A415F3">
        <w:t xml:space="preserve">, has </w:t>
      </w:r>
      <w:r>
        <w:t>gained popularity as</w:t>
      </w:r>
      <w:r w:rsidRPr="00A415F3">
        <w:t xml:space="preserve"> it shares many advantages of 4D</w:t>
      </w:r>
      <w:r w:rsidR="00526E7B">
        <w:t>VAR</w:t>
      </w:r>
      <w:r w:rsidRPr="00A415F3">
        <w:t xml:space="preserve"> with less sensitivity to nonlinearity. EnKF has shown </w:t>
      </w:r>
      <w:r>
        <w:t>potential</w:t>
      </w:r>
      <w:r w:rsidRPr="00A415F3">
        <w:t xml:space="preserve"> </w:t>
      </w:r>
      <w:r>
        <w:t>in a variety of applications including</w:t>
      </w:r>
      <w:r w:rsidRPr="00A415F3">
        <w:t xml:space="preserve"> radar and satellite </w:t>
      </w:r>
      <w:r w:rsidR="003F0051">
        <w:t>DA</w:t>
      </w:r>
      <w:r w:rsidRPr="00A415F3">
        <w:t xml:space="preserve"> and high-resolution model applications</w:t>
      </w:r>
      <w:r>
        <w:t>. For instance, studies by</w:t>
      </w:r>
      <w:r w:rsidR="002C0CFC">
        <w:t xml:space="preserve"> </w:t>
      </w:r>
      <w:r w:rsidR="002C0CFC">
        <w:fldChar w:fldCharType="begin"/>
      </w:r>
      <w:r w:rsidR="00186B73">
        <w:instrText xml:space="preserve"> ADDIN ZOTERO_ITEM CSL_CITATION {"citationID":"BgPJHVAB","properties":{"formattedCitation":"(Wilson et al. 2019)","plainCitation":"(Wilson et al. 2019)","dontUpdate":true,"noteIndex":0},"citationItems":[{"id":527,"uris":["http://zotero.org/users/local/6VSApgKp/items/HCYA3RFN"],"itemData":{"id":527,"type":"paper-conference","abstract":"The National Oceanic and Atmospheric Administration National Weather Service is responsible for issuing watches, warnings, and other forecast products related to hazardous weather. These products are intended to reach end users including government organizations, the media, emergency managers, and the public, such that decisions can be made to protect life, property, and the national economy. However, discontinuities currently exist in the guidance available to forecasters and in the products that are issued. Therefore, the NOAA Warn-on-Forecast program is developing and testing a convection-allowing ensemble analysis and prediction system. This system provides 0–6 h probabilistic forecast guidance for individual thunderstorms between the Watch and Warning timeframe. In addition to focusing research efforts on the development and testing of the Warn-on-Forecast system, a group of scientists are working closely with the weather forecasting community to establish ways in which Warn-on-Forecast guidance can be most useful during real-time operations. Two primary research questions being explored are: (1) How do meteorologists perceive, interpret, and understand Warn-on-Forecast guidance? (2) How can Warn-on-Forecast guidance be applied in the operational environment to enhance the forecast process? Research undertaken to address these two questions will be discussed.","collection-title":"Lecture Notes in Computer Science","container-title":"Virtual, Augmented and Mixed Reality. Applications and Case Studies","DOI":"10.1007/978-3-030-21565-1_39","event-place":"Cham","ISBN":"978-3-030-21565-1","language":"en","page":"557-572","publisher":"Springer International Publishing","publisher-place":"Cham","source":"Springer Link","title":"Exploring Applications of Storm-Scale Probabilistic Warn-on-Forecast Guidance in Weather Forecasting","author":[{"family":"Wilson","given":"Katie A."},{"family":"Choate","given":"Jessica J."},{"family":"Clark","given":"Adam J."},{"family":"Gallo","given":"Burkely T."},{"family":"Heinselman","given":"Pamela L."},{"family":"Knopfmeier","given":"Kent H."},{"family":"Roberts","given":"Brett"},{"family":"Skinner","given":"Patrick S."},{"family":"Yussouf","given":"Nusrat"}],"editor":[{"family":"Chen","given":"Jessie Y.C."},{"family":"Fragomeni","given":"Gino"}],"issued":{"date-parts":[["2019"]]},"citation-key":"wilsonExploringApplicationsStormScale2019"}}],"schema":"https://github.com/citation-style-language/schema/raw/master/csl-citation.json"} </w:instrText>
      </w:r>
      <w:r w:rsidR="002C0CFC">
        <w:fldChar w:fldCharType="separate"/>
      </w:r>
      <w:r w:rsidR="002C0CFC">
        <w:rPr>
          <w:noProof/>
        </w:rPr>
        <w:t>Wilson et al. (2019)</w:t>
      </w:r>
      <w:r w:rsidR="002C0CFC">
        <w:fldChar w:fldCharType="end"/>
      </w:r>
      <w:r w:rsidR="00B9611D">
        <w:t>,</w:t>
      </w:r>
      <w:r w:rsidR="0082691C">
        <w:t xml:space="preserve"> </w:t>
      </w:r>
      <w:r w:rsidR="0082691C">
        <w:fldChar w:fldCharType="begin"/>
      </w:r>
      <w:r w:rsidR="00186B73">
        <w:instrText xml:space="preserve"> ADDIN ZOTERO_ITEM CSL_CITATION {"citationID":"AjGZB03p","properties":{"formattedCitation":"(Yussouf and Knopfmeier 2019)","plainCitation":"(Yussouf and Knopfmeier 2019)","dontUpdate":true,"noteIndex":0},"citationItems":[{"id":222,"uris":["http://zotero.org/users/local/6VSApgKp/items/68USL9V6"],"itemData":{"id":222,"type":"article-journal","abstract":"The vision of the National Oceanic and Atmospheric Administration's (NOAA) Warn-on-Forecast (WoF) research and development project is to provide very short-term probabilistic model guidance products that will aid the ability of National Weather Service forecasters to issue probabilistic warnings of severe convective hazards with higher accuracy and longer lead times. The experimental Warn-on-Forecast System (WoFS), which is under development, is a frequently cycled, regional, convective-scale, on-demand, ensemble data assimilation and prediction system. The system assimilates thunderstorm observations to forecast the life cycle and associated hazards of individual convective storms. Most of the initial research effort, since the beginning of the WoF project in 2009, has been focused on tornadic events, which constitute one of the most violent and difficult to predict weather threats. However, the system emerging from this project has significant potential to help with prediction of other hazards as well: in particular, flash-flood-producing, convectively driven intense rainfall events. This study focuses on the application of WoFS in 0–6-hr probabilistic rainfall forecasts of several flash-flood-producing heavy rainfall events during the spring and summer of 2015 and 2016. Results indicate that WoFS successfully initializes the convective storms in the ensemble. Visual inspections and probabilistic verification metrics show that WoFS predicts the intense rainfall that often leads to flash flooding at the correct location with higher accuracy in areal coverage and amount during the 0–3 hr forecast period than during the later 3–6 hr period. Overall results indicate that the frequently updated 0–6-hr ensemble forecast from the WoFS has the potential to highlight areas where intense rainfall can result in flash flooding and increase near-term situational awareness of flash flood threats.","container-title":"Quarterly Journal of the Royal Meteorological Society","DOI":"10.1002/qj.3568","ISSN":"1477-870X","issue":"723","language":"en","note":"_eprint: https://onlinelibrary.wiley.com/doi/pdf/10.1002/qj.3568","page":"2385-2403","source":"Wiley Online Library","title":"Application of the Warn-on-Forecast system for flash-flood-producing heavy convective rainfall events","volume":"145","author":[{"family":"Yussouf","given":"Nusrat"},{"family":"Knopfmeier","given":"Kent H."}],"issued":{"date-parts":[["2019"]]},"citation-key":"yussoufApplicationWarnonForecastSystem2019"}}],"schema":"https://github.com/citation-style-language/schema/raw/master/csl-citation.json"} </w:instrText>
      </w:r>
      <w:r w:rsidR="0082691C">
        <w:fldChar w:fldCharType="separate"/>
      </w:r>
      <w:r w:rsidR="002C0CFC">
        <w:rPr>
          <w:noProof/>
        </w:rPr>
        <w:t>Yussouf and Knopfmeier (2019)</w:t>
      </w:r>
      <w:r w:rsidR="0082691C">
        <w:fldChar w:fldCharType="end"/>
      </w:r>
      <w:r w:rsidR="002C0CFC">
        <w:t xml:space="preserve">, </w:t>
      </w:r>
      <w:r w:rsidR="002C0CFC">
        <w:fldChar w:fldCharType="begin"/>
      </w:r>
      <w:r w:rsidR="00186B73">
        <w:instrText xml:space="preserve"> ADDIN ZOTERO_ITEM CSL_CITATION {"citationID":"U3dQISmu","properties":{"formattedCitation":"(Zhang et al. 2018, 2019a,b)","plainCitation":"(Zhang et al. 2018, 2019a,b)","dontUpdate":true,"noteIndex":0},"citationItems":[{"id":104,"uris":["http://zotero.org/users/local/6VSApgKp/items/RS33DZK8"],"itemData":{"id":104,"type":"article-journal","abstract":"&lt;section class=\"abstract\"&gt;&lt;h2 class=\"abstractTitle text-title my-1\" id=\"d145019355e93\"&gt;Abstract&lt;/h2&gt;&lt;p&gt;This article presents the first practice of assimilating real-world all-sky &lt;em&gt;GOES-16&lt;/em&gt; ABI infrared brightness temperature (BT) observations using an ensemble-based data assimilation system coupled with the Weather Research and Forecasting (WRF) Model at a convection-allowing (1 km) horizontal resolution, focusing on the tornadic thunderstorm event across Wyoming and Nebraska on 12 June 2017. It is found that spurious clouds created before observed convection initiation are rapidly removed, and the analysis and forecasts of thunderstorms are significantly improved, when all-sky BT observations are assimilated with the adaptive observation error inflation (AOEI) and adaptive background error inflation (ABEI) techniques. Better forecasts of the timing and location of convection initiation can be achieved after only 30 min of assimilating BT observations; both deterministic and probabilistic WRF forecasts of midlevel mesocyclones and low-level vortices, started from the final analysis with 100 min of BT assimilation, closely coincide with the tornado reports. These improvements result not only from the effective suppression of spurious clouds, but also from the better estimations of hydrometeors owing to the frequent assimilation of all-sky BT observations that yield a more accurate analysis of the storm. Results show that BT observations generally have a greater impact on ice particles than liquid water species, which might provide guidance on how to better constrain modeled clouds using these spaceborne observations.&lt;/p&gt;&lt;/section&gt;","container-title":"Monthly Weather Review","DOI":"10.1175/MWR-D-18-0062.1","ISSN":"1520-0493, 0027-0644","issue":"10","language":"EN","note":"publisher: American Meteorological Society\nsection: Monthly Weather Review","page":"3363-3381","source":"journals.ametsoc.org","title":"Assimilating All-Sky Infrared Radiances from GOES-16 ABI Using an Ensemble Kalman Filter for Convection-Allowing Severe Thunderstorms Prediction","volume":"146","author":[{"family":"Zhang","given":"Yunji"},{"family":"Zhang","given":"Fuqing"},{"family":"Stensrud","given":"David J."}],"issued":{"date-parts":[["2018",10,1]]},"citation-key":"zhangAssimilatingAllSkyInfrared2018"}},{"id":105,"uris":["http://zotero.org/users/local/6VSApgKp/items/YE32V7NM"],"itemData":{"id":105,"type":"article-journal","abstract":"&lt;section class=\"abstract\"&gt;&lt;h2 class=\"abstractTitle text-title my-1\" id=\"d1633759e108\"&gt;Abstract&lt;/h2&gt;&lt;p&gt;Hurricane Harvey brought catastrophic destruction and historical flooding to the Gulf Coast region in late August 2017. Guided by numerical weather prediction models, operational forecasters at NOAA provided outstanding forecasts of Harvey’s future path and potential for record flooding days in advance. These forecasts were valuable to the public and emergency managers in protecting lives and property. The current study shows the potential for further improving Harvey’s analysis and prediction through advanced ensemble assimilation of high-spatiotemporal all-sky infrared radiances from the newly launched, next-generation geostationary weather satellite, &lt;em&gt;GOES-16&lt;/em&gt;. Although findings from this single-event study should be further evaluated, the results highlight the potential improvement in hurricane prediction that is possible via sustained investment in advanced observing systems, such as those from weather satellites, comprehensive data assimilation methodologies that can more effectively ingest existing and future observations, higher-resolution weather prediction models with more accurate numerics and physics, and high-performance computing facilities that can perform advanced analysis and forecasting in a timely manner.&lt;/p&gt;&lt;/section&gt;","container-title":"Bulletin of the American Meteorological Society","DOI":"10.1175/BAMS-D-18-0149.1","ISSN":"0003-0007, 1520-0477","issue":"7","language":"EN","note":"publisher: American Meteorological Society\nsection: Bulletin of the American Meteorological Society","page":"1217-1222","source":"journals.ametsoc.org","title":"Improving Harvey Forecasts with Next-Generation Weather Satellites: Advanced Hurricane Analysis and Prediction with Assimilation of GOES-R All-Sky Radiances","title-short":"Improving Harvey Forecasts with Next-Generation Weather Satellites","volume":"100","author":[{"family":"Zhang","given":"Fuqing"},{"family":"Minamide","given":"Masashi"},{"family":"Nystrom","given":"Robert G."},{"family":"Chen","given":"Xingchao"},{"family":"Lin","given":"Shian-Jian"},{"family":"Harris","given":"Lucas M."}],"issued":{"date-parts":[["2019",7,1]]},"citation-key":"zhangImprovingHarveyForecasts2019"}},{"id":107,"uris":["http://zotero.org/users/local/6VSApgKp/items/KILQXW5G"],"itemData":{"id":107,"type":"article-journal","abstract":"&lt;section class=\"abstract\"&gt;&lt;h2 class=\"abstractTitle text-title my-1\" id=\"d147148672e88\"&gt;Abstract&lt;/h2&gt;&lt;p&gt;This study explores the benefits of assimilating infrared (IR) brightness temperature (BT) observations from geostationary satellites jointly with radial velocity (Vr) and reflectivity (&lt;em&gt;Z&lt;/em&gt;) observations from Doppler weather radars within an ensemble Kalman filter (EnKF) data assimilation system to the convection-allowing ensemble analysis and prediction of a tornadic supercell thunderstorm event on 12 June 2017 across Wyoming and Nebraska. While radar observations sample the three-dimensional storm structures with high fidelity, BT observations provide information about clouds prior to the formation of precipitation particles when in-storm radar observations are not yet available and also provide information on the environment outside the thunderstorms. To better understand the strengths and limitations of each observation type, the satellite and Doppler radar observations are assimilated separately and jointly, and the ensemble analyses and forecasts are compared with available observations. Results show that assimilating BT observations has the potential to increase the forecast and warning lead times of severe weather events compared with radar observations and may also potentially complement the sparse surface observations in some regions as revealed by the probabilistic prediction of mesocyclone tracks initialized from EnKF analyses as various times. Additionally, the assimilation of both BT and Vr observations yields the best ensemble forecasts, providing higher confidence, improved accuracy, and longer lead times on the probabilistic prediction of midlevel mesocyclones.&lt;/p&gt;&lt;/section&gt;","container-title":"Monthly Weather Review","DOI":"10.1175/MWR-D-19-0163.1","ISSN":"1520-0493, 0027-0644","issue":"12","language":"EN","note":"publisher: American Meteorological Society\nsection: Monthly Weather Review","page":"4389-4409","source":"journals.ametsoc.org","title":"Simultaneous Assimilation of Radar and All-Sky Satellite Infrared Radiance Observations for Convection-Allowing Ensemble Analysis and Prediction of Severe Thunderstorms","volume":"147","author":[{"family":"Zhang","given":"Yunji"},{"family":"Stensrud","given":"David J."},{"family":"Zhang","given":"Fuqing"}],"issued":{"date-parts":[["2019",12,1]]},"citation-key":"zhangSimultaneousAssimilationRadar2019"}}],"schema":"https://github.com/citation-style-language/schema/raw/master/csl-citation.json"} </w:instrText>
      </w:r>
      <w:r w:rsidR="002C0CFC">
        <w:fldChar w:fldCharType="separate"/>
      </w:r>
      <w:r w:rsidR="002C0CFC">
        <w:rPr>
          <w:noProof/>
        </w:rPr>
        <w:t>Zhang et al. (2018, 2019a,b)</w:t>
      </w:r>
      <w:r w:rsidR="002C0CFC">
        <w:fldChar w:fldCharType="end"/>
      </w:r>
      <w:r>
        <w:t>,</w:t>
      </w:r>
      <w:r w:rsidR="002C0CFC">
        <w:t xml:space="preserve"> </w:t>
      </w:r>
      <w:r w:rsidR="002C0CFC">
        <w:fldChar w:fldCharType="begin"/>
      </w:r>
      <w:r w:rsidR="00186B73">
        <w:instrText xml:space="preserve"> ADDIN ZOTERO_ITEM CSL_CITATION {"citationID":"M0MLlN85","properties":{"formattedCitation":"(Jones et al. 2020)","plainCitation":"(Jones et al. 2020)","dontUpdate":true,"noteIndex":0},"citationItems":[{"id":110,"uris":["http://zotero.org/users/local/6VSApgKp/items/9DW6JJW2"],"itemData":{"id":110,"type":"article-journal","abstract":"&lt;section class=\"abstract\"&gt;&lt;h2 class=\"abstractTitle text-title my-1\" id=\"d45130806e150\"&gt;Abstract&lt;/h2&gt;&lt;p&gt;The increasing maturity of the Warn-on-Forecast System (WoFS) coupled with the now operational &lt;em&gt;GOES-16&lt;/em&gt; satellite allows for the first time a comprehensive analysis of the relative impacts of assimilating &lt;em&gt;GOES-16&lt;/em&gt; all-sky 6.2-, 6.9-, and 7.3-&lt;em&gt;μ&lt;/em&gt;m channel radiances compared to other radar and satellite observations. The WoFS relies on cloud property retrievals such as cloud water path, which have been proven to increase forecast skill compared to only assimilating radar data and other conventional observations. The impacts of assimilating clear-sky radiances have also been explored and shown to provide useful information on midtropospheric moisture content in the near-storm environment. Assimilation of all-sky radiances adds a layer of complexity and is tested to determine its effectiveness across four events occurring in the spring and summer of 2019. Qualitative and object-based verification of severe weather and the near-storm environment are used to assess the impact of assimilating all-sky radiances compared to the current model configuration. We focus our study through the entire WoFS analysis and forecasting cycle (1900–0600 UTC, daily) so that the impacts throughout the evolution of convection from initiation to large upscale growth can be assessed. Overall, assimilating satellite data improves forecasts relative to radar-only assimilation experiments. The retrieval method with clear-sky radiances performs best overall, but assimilating all-sky radiances does have very positive impacts in certain conditions. In particular, all-sky radiance assimilation improved convective initiation forecast of severe storms in several instances. This work represents an initial attempt at assimilating all-sky radiances into the WoFS and additional research is ongoing to further improve forecast skill.&lt;/p&gt;&lt;/section&gt;","container-title":"Monthly Weather Review","DOI":"10.1175/MWR-D-19-0379.1","ISSN":"1520-0493, 0027-0644","issue":"5","language":"EN","note":"publisher: American Meteorological Society\nsection: Monthly Weather Review","page":"1829-1859","source":"journals.ametsoc.org","title":"Assimilation of GOES-16 Radiances and Retrievals into the Warn-on-Forecast System","volume":"148","author":[{"family":"Jones","given":"Thomas A."},{"family":"Skinner","given":"Patrick"},{"family":"Yussouf","given":"Nusrat"},{"family":"Knopfmeier","given":"Kent"},{"family":"Reinhart","given":"Anthony"},{"family":"Wang","given":"Xuguang"},{"family":"Bedka","given":"Kristopher"},{"family":"Smith","given":"William"},{"family":"Palikonda","given":"Rabindra"}],"issued":{"date-parts":[["2020",5,1]]},"citation-key":"jonesAssimilationGOES16Radiances2020"}}],"schema":"https://github.com/citation-style-language/schema/raw/master/csl-citation.json"} </w:instrText>
      </w:r>
      <w:r w:rsidR="002C0CFC">
        <w:fldChar w:fldCharType="separate"/>
      </w:r>
      <w:r w:rsidR="002C0CFC">
        <w:rPr>
          <w:noProof/>
        </w:rPr>
        <w:t>Jones et al. (2020)</w:t>
      </w:r>
      <w:r w:rsidR="002C0CFC">
        <w:fldChar w:fldCharType="end"/>
      </w:r>
      <w:r w:rsidRPr="00A415F3">
        <w:t xml:space="preserve"> </w:t>
      </w:r>
      <w:r>
        <w:t>have demonstrated its capability</w:t>
      </w:r>
      <w:r w:rsidRPr="00A415F3">
        <w:t xml:space="preserve">. However, for </w:t>
      </w:r>
      <w:r>
        <w:t>certain</w:t>
      </w:r>
      <w:r w:rsidRPr="00A415F3">
        <w:t xml:space="preserve"> high-impact extreme weather events, EnKF suffers deficiencies because of slow model spin-up</w:t>
      </w:r>
      <w:r>
        <w:t>, as reported by</w:t>
      </w:r>
      <w:r w:rsidR="002C0CFC">
        <w:t xml:space="preserve"> </w:t>
      </w:r>
      <w:r w:rsidR="002C0CFC">
        <w:fldChar w:fldCharType="begin"/>
      </w:r>
      <w:r w:rsidR="00186B73">
        <w:instrText xml:space="preserve"> ADDIN ZOTERO_ITEM CSL_CITATION {"citationID":"2AHv0LKY","properties":{"formattedCitation":"(Caya et al. 2005)","plainCitation":"(Caya et al. 2005)","dontUpdate":true,"noteIndex":0},"citationItems":[{"id":529,"uris":["http://zotero.org/users/local/6VSApgKp/items/BGYF7S5L"],"itemData":{"id":529,"type":"article-journal","abstract":"Abstract A four-dimensional variational data assimilation (4DVAR) algorithm is compared to an ensemble Kalman filter (EnKF) for the assimilation of radar data at the convective scale. Using a cloud-resolving model, simulated, imperfect radar observations of a supercell storm are assimilated under the assumption of a perfect forecast model. Overall, both assimilation schemes perform well and are able to recover the supercell with comparable accuracy, given radial-velocity and reflectivity observations where rain was present. 4DVAR produces generally better analyses than the EnKF given observations limited to a period of 10 min (or three volume scans), particularly for the wind components. In contrast, the EnKF typically produces better analyses than 4DVAR after several assimilation cycles, especially for model variables not functionally related to the observations. The advantages of the EnKF in later cycles arise at least in part from the fact that the 4DVAR scheme implemented here does not use a forecast from a previous cycle as background or evolve its error covariance. Possible reasons for the initial advantage of 4DVAR are deficiencies in the initial ensemble used by the EnKF, the temporal smoothness constraint used in 4DVAR, and nonlinearities in the evolution of forecast errors over the assimilation window.","container-title":"Monthly Weather Review","DOI":"10.1175/MWR3021.1","ISSN":"1520-0493, 0027-0644","issue":"11","language":"EN","note":"publisher: American Meteorological Society\nsection: Monthly Weather Review","page":"3081-3094","source":"journals.ametsoc.org","title":"A Comparison between the 4DVAR and the Ensemble Kalman Filter Techniques for Radar Data Assimilation","volume":"133","author":[{"family":"Caya","given":"A."},{"family":"Sun","given":"J."},{"family":"Snyder","given":"C."}],"issued":{"date-parts":[["2005",11,1]]},"citation-key":"cayaComparison4DVAREnsemble2005"}}],"schema":"https://github.com/citation-style-language/schema/raw/master/csl-citation.json"} </w:instrText>
      </w:r>
      <w:r w:rsidR="002C0CFC">
        <w:fldChar w:fldCharType="separate"/>
      </w:r>
      <w:r w:rsidR="002C0CFC">
        <w:rPr>
          <w:noProof/>
        </w:rPr>
        <w:t>Caya et al. (2005)</w:t>
      </w:r>
      <w:r w:rsidR="002C0CFC">
        <w:fldChar w:fldCharType="end"/>
      </w:r>
      <w:r>
        <w:t>,</w:t>
      </w:r>
      <w:r w:rsidRPr="00A415F3">
        <w:t xml:space="preserve"> </w:t>
      </w:r>
      <w:r w:rsidR="002C0CFC">
        <w:fldChar w:fldCharType="begin"/>
      </w:r>
      <w:r w:rsidR="00186B73">
        <w:instrText xml:space="preserve"> ADDIN ZOTERO_ITEM CSL_CITATION {"citationID":"g8sqgJHS","properties":{"formattedCitation":"(Kalnay and Yang 2010)","plainCitation":"(Kalnay and Yang 2010)","dontUpdate":true,"noteIndex":0},"citationItems":[{"id":531,"uris":["http://zotero.org/users/local/6VSApgKp/items/F4MTWFC5"],"itemData":{"id":531,"type":"article-journal","abstract":"Ensemble Kalman Filter (EnKF) may have a longer spin-up time to reach its asymptotic level of accuracy than the corresponding spin-up time in variational methods (3D-Var or 4D-Var). During the spin-up EnKF has to fulfill two independent requirements, namely that the ensemble mean be close to the true state, and that the ensemble perturbations represent the ‘errors of the day’. As a result, there are cases, such as radar observations of a severe storm, or regional forecast of a hurricane, where EnKF may spin-up too slowly to be useful. A heuristic scheme is proposed to accelerate the spin-up of EnKF by applying a no-cost Ensemble Kalman Smoother, and using the observations more than once in each assimilation window during spin-up in order to maximize the initial extraction of information. The performance of this scheme is tested with the Local Ensemble Transform Kalman Filter (LETKF) implemented in a quasi-geostrophic model, which requires a very long spin-up time when initialized from random initial perturbations from a uniform distribution. Results show that with the new ‘running in place’ (RIP) scheme the LETKF spins up and converges to the optimal level of error faster than 3D-Var or 4D-Var, even in the absence of any prior information. Additional computations (2 to 12 iterations for each assimilation window) are only required during the initial spin-up, since the scheme naturally returns to the original LETKF after spin-up is achieved. RIP also accelerates spin-up when the initial perturbations are drawn from a well-tuned 3D-Var background-error covariance, rather than being uniform noise, and fewer iterations and RIP cycles are required than in the case without such prior information. Copyright © 2010 Royal Meteorological Society","container-title":"Quarterly Journal of the Royal Meteorological Society","DOI":"10.1002/qj.652","ISSN":"1477-870X","issue":"651","language":"en","note":"_eprint: https://onlinelibrary.wiley.com/doi/pdf/10.1002/qj.652","page":"1644-1651","source":"Wiley Online Library","title":"Accelerating the spin-up of Ensemble Kalman Filtering","volume":"136","author":[{"family":"Kalnay","given":"Eugenia"},{"family":"Yang","given":"Shu-Chih"}],"issued":{"date-parts":[["2010"]]},"citation-key":"kalnayAcceleratingSpinupEnsemble2010"}}],"schema":"https://github.com/citation-style-language/schema/raw/master/csl-citation.json"} </w:instrText>
      </w:r>
      <w:r w:rsidR="002C0CFC">
        <w:fldChar w:fldCharType="separate"/>
      </w:r>
      <w:r w:rsidR="002C0CFC">
        <w:rPr>
          <w:noProof/>
        </w:rPr>
        <w:t xml:space="preserve">Kalnay and Yang </w:t>
      </w:r>
      <w:r w:rsidR="006C3737">
        <w:rPr>
          <w:noProof/>
        </w:rPr>
        <w:t>(</w:t>
      </w:r>
      <w:r w:rsidR="002C0CFC">
        <w:rPr>
          <w:noProof/>
        </w:rPr>
        <w:t>2010)</w:t>
      </w:r>
      <w:r w:rsidR="002C0CFC">
        <w:fldChar w:fldCharType="end"/>
      </w:r>
      <w:r w:rsidRPr="00A415F3">
        <w:t xml:space="preserve">, </w:t>
      </w:r>
      <w:r>
        <w:t>and</w:t>
      </w:r>
      <w:r w:rsidRPr="00A415F3">
        <w:t xml:space="preserve"> </w:t>
      </w:r>
      <w:r w:rsidR="006C3737">
        <w:fldChar w:fldCharType="begin"/>
      </w:r>
      <w:r w:rsidR="00186B73">
        <w:instrText xml:space="preserve"> ADDIN ZOTERO_ITEM CSL_CITATION {"citationID":"bH8RvZs5","properties":{"formattedCitation":"(Gao and Coauthors 2022)","plainCitation":"(Gao and Coauthors 2022)","dontUpdate":true,"noteIndex":0},"citationItems":[{"id":468,"uris":["http://zotero.org/users/local/6VSApgKp/items/TMCE7VYS"],"itemData":{"id":468,"type":"webpage","container-title":"AMS - 30th Conference on Severe Local Storms","title":"The Performance of the Warn-on-Forecast Hybrid Data Assimilation and Forecasting System During the HWT Spring Forecast Experiment in 2021","URL":"https://ams.confex.com/ams/30SLS/meetingapp.cgi/Home/0","author":[{"family":"Gao","given":"Jidong"},{"family":"Coauthors","given":""}],"accessed":{"date-parts":[["2023",3,22]]},"issued":{"date-parts":[["2022"]]},"citation-key":"gaoPerformanceWarnonForecastHybrid2022"}}],"schema":"https://github.com/citation-style-language/schema/raw/master/csl-citation.json"} </w:instrText>
      </w:r>
      <w:r w:rsidR="006C3737">
        <w:fldChar w:fldCharType="separate"/>
      </w:r>
      <w:r w:rsidR="006C3737">
        <w:rPr>
          <w:noProof/>
        </w:rPr>
        <w:t>Gao et al. (2022)</w:t>
      </w:r>
      <w:r w:rsidR="006C3737">
        <w:fldChar w:fldCharType="end"/>
      </w:r>
      <w:r w:rsidRPr="00A415F3">
        <w:t xml:space="preserve">. </w:t>
      </w:r>
      <w:r>
        <w:t xml:space="preserve">Additionally, </w:t>
      </w:r>
      <w:r w:rsidRPr="00A415F3">
        <w:t xml:space="preserve">EnKF is computationally </w:t>
      </w:r>
      <w:r>
        <w:t>expensive</w:t>
      </w:r>
      <w:r w:rsidRPr="00A415F3">
        <w:t xml:space="preserve"> when applied </w:t>
      </w:r>
      <w:r>
        <w:t>to high-resolution applications</w:t>
      </w:r>
      <w:r w:rsidRPr="00A415F3">
        <w:t xml:space="preserve">. </w:t>
      </w:r>
    </w:p>
    <w:p w14:paraId="31153553" w14:textId="24299A06" w:rsidR="00F52997" w:rsidRDefault="00F52997" w:rsidP="00F52997">
      <w:r>
        <w:t xml:space="preserve">Owing to its efficiency, </w:t>
      </w:r>
      <w:r w:rsidRPr="00F569CF">
        <w:rPr>
          <w:rFonts w:eastAsia="Cambria"/>
        </w:rPr>
        <w:t>3DV</w:t>
      </w:r>
      <w:r w:rsidR="00EA1DF0">
        <w:rPr>
          <w:rFonts w:eastAsia="Cambria"/>
        </w:rPr>
        <w:t>AR</w:t>
      </w:r>
      <w:r w:rsidRPr="00F569CF">
        <w:rPr>
          <w:rFonts w:eastAsia="Cambria"/>
        </w:rPr>
        <w:t xml:space="preserve"> </w:t>
      </w:r>
      <w:r w:rsidRPr="00F569CF">
        <w:t xml:space="preserve">has been </w:t>
      </w:r>
      <w:r>
        <w:t>also used during the past two decades</w:t>
      </w:r>
      <w:r w:rsidRPr="00F569CF">
        <w:t xml:space="preserve"> </w:t>
      </w:r>
      <w:r>
        <w:t xml:space="preserve">to </w:t>
      </w:r>
      <w:r w:rsidRPr="00F569CF">
        <w:t>assimilat</w:t>
      </w:r>
      <w:r>
        <w:t>e conventional observations,</w:t>
      </w:r>
      <w:r w:rsidRPr="00F569CF">
        <w:t xml:space="preserve"> Doppler radar and other remote</w:t>
      </w:r>
      <w:r>
        <w:t xml:space="preserve"> </w:t>
      </w:r>
      <w:r w:rsidRPr="00F569CF">
        <w:t>sens</w:t>
      </w:r>
      <w:r>
        <w:t>ing</w:t>
      </w:r>
      <w:r w:rsidRPr="00F569CF">
        <w:t xml:space="preserve"> </w:t>
      </w:r>
      <w:r>
        <w:t>observations</w:t>
      </w:r>
      <w:r w:rsidRPr="00F569CF">
        <w:t xml:space="preserve"> into </w:t>
      </w:r>
      <w:r>
        <w:t xml:space="preserve">high-resolution </w:t>
      </w:r>
      <w:r w:rsidRPr="00F569CF">
        <w:t>nonhydrostatic NWP models</w:t>
      </w:r>
      <w:r>
        <w:t xml:space="preserve"> </w:t>
      </w:r>
      <w:r>
        <w:fldChar w:fldCharType="begin"/>
      </w:r>
      <w:r>
        <w:instrText xml:space="preserve"> ADDIN ZOTERO_ITEM CSL_CITATION {"citationID":"q7Sw8175","properties":{"formattedCitation":"(Gao et al. 2004; Hu et al. 2006; Xiao et al. 2005; Xiao and Sun 2007; Wattrelot et al. 2014)","plainCitation":"(Gao et al. 2004; Hu et al. 2006; Xiao et al. 2005; Xiao and Sun 2007; Wattrelot et al. 2014)","noteIndex":0},"citationItems":[{"id":80,"uris":["http://zotero.org/users/local/6VSApgKp/items/8I9QVS4P"],"itemData":{"id":80,"type":"article-journal","abstract":"&lt;section class=\"abstract\"&gt;&lt;h2 class=\"abstractTitle text-title my-1\" id=\"d155362577e78\"&gt;Abstract&lt;/h2&gt;&lt;p&gt;In this paper, a new method of dual-Doppler radar wind analysis based on a three-dimensional variational data assimilation (3DVAR) approach is proposed. In it, a cost function, including background term and radial observation term, is minimized through a limited memory, quasi-Newton conjugate-gradient algorithm with the mass continuity equation imposed as a weak constraint. In the method, the background error covariance matrix, though simple in this case, is modeled by a recursive filter. Furthermore, the square root of this matrix is used to precondition the minimization problem.&lt;/p&gt;&lt;p&gt;The current method is applied to Doppler radar observation of a supercell storm, and the analysis results are compared to a conceptual model and previous research. It is shown that the horizontal circulations, both within and around the storms, as well as the strong updraft and the associated downdraft, are well analyzed. Because no explicit integration of the anelastic mass continuity equation is involved, error accumulation associated with such integration is avoided. As a result, the method is less sensitive to the vertical boundary uncertainties.&lt;/p&gt;&lt;/section&gt;","container-title":"Journal of Atmospheric and Oceanic Technology","DOI":"10.1175/1520-0426(2004)021&lt;0457:ATVDAM&gt;2.0.CO;2","ISSN":"0739-0572, 1520-0426","issue":"3","language":"EN","note":"publisher: American Meteorological Society\nsection: Journal of Atmospheric and Oceanic Technology","page":"457-469","source":"journals.ametsoc.org","title":"A Three-Dimensional Variational Data Analysis Method with Recursive Filter for Doppler Radars","volume":"21","author":[{"family":"Gao","given":"Jidong"},{"family":"Xue","given":"Ming"},{"family":"Brewster","given":"Keith"},{"family":"Droegemeier","given":"Kelvin K."}],"issued":{"date-parts":[["2004",3,1]]},"citation-key":"gaoThreeDimensionalVariationalData2004"}},{"id":389,"uris":["http://zotero.org/users/local/6VSApgKp/items/RMJHCMWP"],"itemData":{"id":389,"type":"article-journal","abstract":"Abstract In this two-part paper, the impact of level-II Weather Surveillance Radar-1988 Doppler (WSR-88D) reflectivity and radial velocity data on the prediction of a cluster of tornadic thunderstorms in the Advanced Regional Prediction System (ARPS) model are studied. Radar reflectivity data are used primarily in a cloud analysis procedure that retrieves the amount of hydrometeors and adjusts in-cloud temperature, moisture, and cloud fields, while radial velocity data are analyzed through a three-dimensional variational (3DVAR) scheme that contains a mass divergence constraint in the cost function. In Part I, the impact of the cloud analysis and modifications to the scheme are examined while Part II focuses on the impact of radial velocity and the mass divergence constraint. The case studied is that of the 28 March 2000 Fort Worth, Texas, tornado outbreaks. The same case was studied by Xue et al. using the ARPS Data Analysis System (ADAS) and an earlier version of the cloud analysis procedure with WSR-88D level-III data. Since then, several modifications to the cloud analysis procedure, including those to the in-cloud temperature adjustment and the analysis of precipitation species, have been made. They are described in detail with examples. The assimilation and predictions use a 3-km grid nested inside a 9-km one. The level-II reflectivity data are assimilated, through the cloud analysis, at 10-min intervals in a 1-h period that ends a little over 1 h preceding the first tornado outbreak. Experiments with different settings within the cloud analysis procedure are examined. It is found that the experiment using the improved cloud analysis procedure with reflectivity data can capture the important characteristics of the main tornadic thunderstorm more accurately than the experiment using the early version of cloud analysis. The contributions of different modifications to the above improvements are investigated.","container-title":"Monthly Weather Review","DOI":"10.1175/MWR3092.1","ISSN":"1520-0493, 0027-0644","issue":"2","language":"EN","note":"publisher: American Meteorological Society\nsection: Monthly Weather Review","page":"675-698","source":"journals-ametsoc-org.ezproxy.lib.ou.edu","title":"3DVAR and Cloud Analysis with WSR-88D Level-II Data for the Prediction of the Fort Worth, Texas, Tornadic Thunderstorms. Part I: Cloud Analysis and Its Impact","title-short":"3DVAR and Cloud Analysis with WSR-88D Level-II Data for the Prediction of the Fort Worth, Texas, Tornadic Thunderstorms. Part I","volume":"134","author":[{"family":"Hu","given":"Ming"},{"family":"Xue","given":"Ming"},{"family":"Brewster","given":"Keith"}],"issued":{"date-parts":[["2006",2,1]]},"citation-key":"hu3DVARCloudAnalysis2006"}},{"id":533,"uris":["http://zotero.org/users/local/6VSApgKp/items/TEXSQITI"],"itemData":{"id":533,"type":"article-journal","abstract":"Abstract In this paper, the impact of Doppler radar radial velocity on the prediction of a heavy rainfall event is examined. The three-dimensional variational data assimilation (3DVAR) system for use with the fifth-generation Pennsylvania State University–NCAR Mesoscale Model (MM5) is further developed to enable the assimilation of radial velocity observations. Doppler velocities from the Korean Jindo radar are assimilated into MM5 using the 3DVAR system for a heavy rainfall case that occurred on 10 June 2002. The results show that the assimilation of Doppler velocities has a positive impact on the short-range prediction of heavy rainfall. The dynamic balance between atmospheric wind and thermodynamic fields, based on the Richardson equation, is introduced to the 3DVAR system. Vertical velocity (w) increments are included in the 3DVAR system to enable the assimilation of the vertical velocity component of the Doppler radial velocity observation. The forecast of the hydrometeor variables of cloud water (qc) and rainwater (qr) is used in the 3DVAR background fields. The observation operator for Doppler radial velocity is developed and implemented within the 3DVAR system. A series of experiments, assimilating the Korean Jindo radar data for the 10 June 2002 heavy rainfall case, indicates that the scheme for Doppler velocity assimilation is stable and robust in a cycling mode making use of high-frequency radar data. The 3DVAR with assimilation of Doppler radial velocities is shown to improve the prediction of the rainband movement and intensity change. As a result, an improved skill for the short-range heavy rainfall forecast is obtained. The forecasts of other quantities, for example, winds, are also improved. Continuous assimilation with 3-h update cycles is important in producing an improved heavy rainfall forecast. Assimilation of Doppler radar radial velocities using the 3DVAR background fields from a cycling procedure produces skillful rainfall forecasts when verified against observations.","container-title":"Journal of Applied Meteorology and Climatology","DOI":"10.1175/JAM2248.1","ISSN":"1520-0450, 0894-8763","issue":"6","language":"EN","note":"publisher: American Meteorological Society\nsection: Journal of Applied Meteorology and Climatology","page":"768-788","source":"journals.ametsoc.org","title":"Assimilation of Doppler Radar Observations with a Regional 3DVAR System: Impact of Doppler Velocities on Forecasts of a Heavy Rainfall Case","title-short":"Assimilation of Doppler Radar Observations with a Regional 3DVAR System","volume":"44","author":[{"family":"Xiao","given":"Qingnong"},{"family":"Kuo","given":"Ying-Hwa"},{"family":"Sun","given":"Juanzhen"},{"family":"Lee","given":"Wen-Chau"},{"family":"Lim","given":"Eunha"},{"family":"Guo","given":"Yong-Run"},{"family":"Barker","given":"Dale M."}],"issued":{"date-parts":[["2005",6,1]]},"citation-key":"xiaoAssimilationDopplerRadar2005"}},{"id":535,"uris":["http://zotero.org/users/local/6VSApgKp/items/Z8YH5L8Z"],"itemData":{"id":535,"type":"article-journal","abstract":"Abstract The impact of multiple–Doppler radar data assimilation on quantitative precipitation forecasting (QPF) is examined in this study. The newly developed Weather Research and Forecasting (WRF) model Advanced Research WRF (ARW) and its three-dimensional variational data assimilation system (WRF 3DVAR) are used. In this study, multiple–Doppler radar data assimilation is applied in WRF 3DVAR cycling mode to initialize a squall-line convective system on 13 June 2002 during the International H2O Project (IHOP_2002) and the ARW QPF skills are evaluated for the case. Numerical experiments demonstrate that WRF 3DVAR can successfully assimilate Doppler radial velocity and reflectivity from multiple radar sites and extract useful information from the radar data to initiate the squall-line convective system. Assimilation of both radial velocity and reflectivity results in sound analyses that show adjustments in both the dynamical and thermodynamical fields that are consistent with the WRF 3DVAR balance constraint and background error correlation. The cycling of the Doppler radar data from the 12 radar sites at 2100 UTC 12 June and 0000 UTC 13 June produces a more detailed mesoscale structure of the squall-line convection in the model initial conditions at 0000 UTC 13 June. Evaluations of the ARW QPF skills with initialization via Doppler radar data assimilation demonstrate that the more radar data in the temporal and spatial dimensions are assimilated, the more positive is the impact on the QPF skill. Assimilation of both radial velocity and reflectivity has more positive impact on the QPF skill than does assimilation of either radial velocity or reflectivity only. The improvement of the QPF skill with multiple-radar data assimilation is more clearly observed in heavy rainfall than in light rainfall. In addition to the improvement of the QPF skill, the simulated structure of the squall line is also enhanced by the multiple–Doppler radar data assimilation in the WRF 3DVAR cycling experiment. The vertical airflow pattern shows typical characteristics of squall-line convection. The cold pool and its related squall-line convection triggering process are better initiated in the WRF 3DVAR analysis and simulated in the ARW forecast when multiple–Doppler radar data are assimilated.","container-title":"Monthly Weather Review","DOI":"10.1175/MWR3471.1","ISSN":"1520-0493, 0027-0644","issue":"10","language":"EN","note":"publisher: American Meteorological Society\nsection: Monthly Weather Review","page":"3381-3404","source":"journals.ametsoc.org","title":"Multiple-Radar Data Assimilation and Short-Range Quantitative Precipitation Forecasting of a Squall Line Observed during IHOP_2002","volume":"135","author":[{"family":"Xiao","given":"Qingnong"},{"family":"Sun","given":"Juanzhen"}],"issued":{"date-parts":[["2007",10,1]]},"citation-key":"xiaoMultipleRadarDataAssimilation2007"}},{"id":427,"uris":["http://zotero.org/users/local/6VSApgKp/items/P3TL9WW7"],"itemData":{"id":427,"type":"article-journal","abstract":"Abstract This paper presents results from radar reflectivity data assimilation experiments with the nonhydrostatic limited-area model Application of Research to Operations at Mesoscale (AROME) in an operational context. A one-dimensional (1D) Bayesian retrieval of relative humidity profiles followed by a three-dimensional variational data assimilation (3D-Var) technique is adopted. Several preprocessing procedures of raw reflectivity data are presented and the use of the nonrainy signal in the assimilation is widely discussed and illustrated. This two-step methodology allows the authors to build up a screening procedure that takes into account the evaluation of the results from the 1D Bayesian retrieval. In particular, the 1D retrieval is checked by comparing a pseudoanalyzed reflectivity to the observed reflectivity. Additionally, a physical consistency between the reflectivity innovations and the 1D relative humidity increments is imposed before assimilating relative humidity pseudo-observations with other observations. This allows the authors to counteract the difficulty of the current 3D-Var system to correct strong differences between model and observed clouds from the crude specification of background-error covariances. Assimilation experiments of radar reflectivity data in a preoperational configuration are first performed over a 1-month period. Positive impacts on short-term precipitation forecast scores are systematically found. The evaluation shows improvements on the analysis and also on objective conventional forecast scores, in particular for the model wind field up to 12 h. A case study for a specific precipitating system demonstrates the capacity of the method for improving significantly short-term forecasts of organized convection.","container-title":"Monthly Weather Review","DOI":"10.1175/MWR-D-13-00230.1","ISSN":"1520-0493, 0027-0644","issue":"5","language":"EN","note":"publisher: American Meteorological Society\nsection: Monthly Weather Review","page":"1852-1873","source":"journals.ametsoc.org","title":"Operational Implementation of the 1D+3D-Var Assimilation Method of Radar Reflectivity Data in the AROME Model","volume":"142","author":[{"family":"Wattrelot","given":"Eric"},{"family":"Caumont","given":"Olivier"},{"family":"Mahfouf","given":"Jean-François"}],"issued":{"date-parts":[["2014",5,1]]},"citation-key":"wattrelotOperationalImplementation1D2014"}}],"schema":"https://github.com/citation-style-language/schema/raw/master/csl-citation.json"} </w:instrText>
      </w:r>
      <w:r>
        <w:fldChar w:fldCharType="separate"/>
      </w:r>
      <w:r>
        <w:rPr>
          <w:noProof/>
        </w:rPr>
        <w:t>(Gao et al. 2004; Hu et al. 2006; Xiao et al. 2005; Xiao and Sun 2007; Wattrelot et al. 2014)</w:t>
      </w:r>
      <w:r>
        <w:fldChar w:fldCharType="end"/>
      </w:r>
      <w:r w:rsidRPr="00F569CF">
        <w:t xml:space="preserve">. </w:t>
      </w:r>
      <w:r>
        <w:t xml:space="preserve">Among these studies, a </w:t>
      </w:r>
      <w:r w:rsidRPr="00F569CF">
        <w:t>3DV</w:t>
      </w:r>
      <w:r w:rsidR="00EA1DF0">
        <w:t>AR</w:t>
      </w:r>
      <w:r w:rsidRPr="00F569CF">
        <w:t xml:space="preserve"> system</w:t>
      </w:r>
      <w:r>
        <w:t xml:space="preserve"> initially developed at the </w:t>
      </w:r>
      <w:r w:rsidR="00025945">
        <w:t>CAPS</w:t>
      </w:r>
      <w:r>
        <w:t xml:space="preserve"> </w:t>
      </w:r>
      <w:r>
        <w:fldChar w:fldCharType="begin"/>
      </w:r>
      <w:r>
        <w:instrText xml:space="preserve"> ADDIN ZOTERO_ITEM CSL_CITATION {"citationID":"sqHRPgYS","properties":{"formattedCitation":"(Gao et al. 1999, 2004)","plainCitation":"(Gao et al. 1999, 2004)","noteIndex":0},"citationItems":[{"id":285,"uris":["http://zotero.org/users/local/6VSApgKp/items/PK26CMSC"],"itemData":{"id":285,"type":"article-journal","abstract":"Abstract This paper proposes a new method of dual-Doppler radar analysis based on a variational approach. In it, a cost function, defined as the distance between the analysis and the observations at the data points, is minimized through a limited memory, quasi-Newton conjugate gradient algorithm with the mass continuity equation imposed as a weak constraint. The analysis is performed in Cartesian space. Compared with traditional methods, the variational method offers much more flexibility in its use of observational data and various constraints. Using the radar data directly at observation locations avoids an interpolation step, which is often a source of error, especially in the presence of data voids. In addition, using the mass continuity equation as a weak instead of strong constraint avoids the error accumulation and the subsequent somewhat arbitrary adjustment associated with the explicit vertical integration of the continuity equation. The current method is tested on both model-simulated and observed datasets of supercell storms. It is shown that the circulation inside and around the storms, including the strong updraft and associated downdraft, is well analyzed in both cases. Furthermore, the authors found that the analysis is not very sensitive to the specification of boundary conditions and to data contamination. The method also has the potential for retrieving, with reasonable accuracy, the wind in regions of single-Doppler radar coverage.","container-title":"Monthly Weather Review","DOI":"10.1175/1520-0493(1999)127&lt;2128:AVMFTA&gt;2.0.CO;2","ISSN":"1520-0493, 0027-0644","issue":"9","language":"EN","note":"publisher: American Meteorological Society\nsection: Monthly Weather Review","page":"2128-2142","source":"journals.ametsoc.org","title":"A Variational Method for the Analysis of Three-Dimensional Wind Fields from Two Doppler Radars","volume":"127","author":[{"family":"Gao","given":"Jidong"},{"family":"Xue","given":"Ming"},{"family":"Shapiro","given":"Alan"},{"family":"Droegemeier","given":"Kelvin K."}],"issued":{"date-parts":[["1999",9,1]]},"citation-key":"gaoVariationalMethodAnalysis1999"}},{"id":80,"uris":["http://zotero.org/users/local/6VSApgKp/items/8I9QVS4P"],"itemData":{"id":80,"type":"article-journal","abstract":"&lt;section class=\"abstract\"&gt;&lt;h2 class=\"abstractTitle text-title my-1\" id=\"d155362577e78\"&gt;Abstract&lt;/h2&gt;&lt;p&gt;In this paper, a new method of dual-Doppler radar wind analysis based on a three-dimensional variational data assimilation (3DVAR) approach is proposed. In it, a cost function, including background term and radial observation term, is minimized through a limited memory, quasi-Newton conjugate-gradient algorithm with the mass continuity equation imposed as a weak constraint. In the method, the background error covariance matrix, though simple in this case, is modeled by a recursive filter. Furthermore, the square root of this matrix is used to precondition the minimization problem.&lt;/p&gt;&lt;p&gt;The current method is applied to Doppler radar observation of a supercell storm, and the analysis results are compared to a conceptual model and previous research. It is shown that the horizontal circulations, both within and around the storms, as well as the strong updraft and the associated downdraft, are well analyzed. Because no explicit integration of the anelastic mass continuity equation is involved, error accumulation associated with such integration is avoided. As a result, the method is less sensitive to the vertical boundary uncertainties.&lt;/p&gt;&lt;/section&gt;","container-title":"Journal of Atmospheric and Oceanic Technology","DOI":"10.1175/1520-0426(2004)021&lt;0457:ATVDAM&gt;2.0.CO;2","ISSN":"0739-0572, 1520-0426","issue":"3","language":"EN","note":"publisher: American Meteorological Society\nsection: Journal of Atmospheric and Oceanic Technology","page":"457-469","source":"journals.ametsoc.org","title":"A Three-Dimensional Variational Data Analysis Method with Recursive Filter for Doppler Radars","volume":"21","author":[{"family":"Gao","given":"Jidong"},{"family":"Xue","given":"Ming"},{"family":"Brewster","given":"Keith"},{"family":"Droegemeier","given":"Kelvin K."}],"issued":{"date-parts":[["2004",3,1]]},"citation-key":"gaoThreeDimensionalVariationalData2004"}}],"schema":"https://github.com/citation-style-language/schema/raw/master/csl-citation.json"} </w:instrText>
      </w:r>
      <w:r>
        <w:fldChar w:fldCharType="separate"/>
      </w:r>
      <w:r>
        <w:rPr>
          <w:noProof/>
        </w:rPr>
        <w:t>(Gao et al. 1999, 2004)</w:t>
      </w:r>
      <w:r>
        <w:fldChar w:fldCharType="end"/>
      </w:r>
      <w:r>
        <w:t xml:space="preserve"> and then at NSSL </w:t>
      </w:r>
      <w:r>
        <w:fldChar w:fldCharType="begin"/>
      </w:r>
      <w:r>
        <w:instrText xml:space="preserve"> ADDIN ZOTERO_ITEM CSL_CITATION {"citationID":"wUWUFB2w","properties":{"formattedCitation":"(Gao et al. 2013)","plainCitation":"(Gao et al. 2013)","noteIndex":0},"citationItems":[{"id":359,"uris":["http://zotero.org/users/local/6VSApgKp/items/5X8IN2IW"],"itemData":{"id":359,"type":"article-journal","abstract":"Abstract A real-time, weather-adaptive three-dimensional variational data assimilation (3DVAR) system has been adapted for the NOAA Warn-on-Forecast (WoF) project to incorporate all available radar observations within a moveable analysis domain. The key features of the system include 1) incorporating radar observations from multiple Weather Surveillance Radars-1988 Doppler (WSR-88Ds) with NCEP forecast products as a background state, 2) the ability to automatically detect and analyze severe local hazardous weather events at 1-km horizontal resolution every 5 min in real time based on the current weather situation, and 3) the identification of strong circulation patterns embedded in thunderstorms. Although still in the early development stage, the system performed very well within the NOAA's Hazardous Weather Testbed (HWT) Experimental Warning Program during preliminary testing in spring 2010 when many severe weather events were successfully detected and analyzed. This study represents a first step in the assessment of this type of 3DVAR analysis for use in severe weather warnings. The eventual goal of this real-time 3DVAR system is to help meteorologists better track severe weather events and eventually provide better warning information to the public, ultimately saving lives and reducing property damage.","container-title":"Weather and Forecasting","DOI":"10.1175/WAF-D-12-00093.1","ISSN":"1520-0434, 0882-8156","issue":"3","language":"EN","note":"publisher: American Meteorological Society\nsection: Weather and Forecasting","page":"727-745","source":"journals.ametsoc.org","title":"A Real-Time Weather-Adaptive 3DVAR Analysis System for Severe Weather Detections and Warnings","volume":"28","author":[{"family":"Gao","given":"Jidong"},{"family":"Smith","given":"Travis M."},{"family":"Stensrud","given":"David J."},{"family":"Fu","given":"Chenghao"},{"family":"Calhoun","given":"Kristin"},{"family":"Manross","given":"Kevin L."},{"family":"Brogden","given":"Jeffrey"},{"family":"Lakshmanan","given":"Valliappa"},{"family":"Wang","given":"Yunheng"},{"family":"Thomas","given":"Kevin W."},{"family":"Brewster","given":"Keith"},{"family":"Xue","given":"Ming"}],"issued":{"date-parts":[["2013",6,1]]},"citation-key":"gaoRealTimeWeatherAdaptive3DVAR2013"}}],"schema":"https://github.com/citation-style-language/schema/raw/master/csl-citation.json"} </w:instrText>
      </w:r>
      <w:r>
        <w:fldChar w:fldCharType="separate"/>
      </w:r>
      <w:r>
        <w:rPr>
          <w:noProof/>
        </w:rPr>
        <w:t>(Gao et al. 2013)</w:t>
      </w:r>
      <w:r>
        <w:fldChar w:fldCharType="end"/>
      </w:r>
      <w:r>
        <w:t xml:space="preserve">, has been </w:t>
      </w:r>
      <w:r w:rsidRPr="00042836">
        <w:t xml:space="preserve">explored in </w:t>
      </w:r>
      <w:r>
        <w:t>a wide variety of</w:t>
      </w:r>
      <w:r w:rsidRPr="00042836">
        <w:t xml:space="preserve"> ways</w:t>
      </w:r>
      <w:r>
        <w:t xml:space="preserve"> and partially introduced in the previous chapters, i</w:t>
      </w:r>
      <w:r w:rsidRPr="00F569CF">
        <w:t xml:space="preserve">ncluding 1) </w:t>
      </w:r>
      <w:r>
        <w:t xml:space="preserve">assimilating </w:t>
      </w:r>
      <w:r w:rsidRPr="00F569CF">
        <w:t xml:space="preserve">satellite-derived </w:t>
      </w:r>
      <w:r>
        <w:t>CWP</w:t>
      </w:r>
      <w:r w:rsidRPr="00F569CF">
        <w:t xml:space="preserve"> and </w:t>
      </w:r>
      <w:r w:rsidR="00FE78E0">
        <w:t>LPW</w:t>
      </w:r>
      <w:r w:rsidR="00AE2C4E">
        <w:t xml:space="preserve"> (Pan et al. 2018, 2021)</w:t>
      </w:r>
      <w:r>
        <w:t>;</w:t>
      </w:r>
      <w:r w:rsidRPr="00F569CF">
        <w:t xml:space="preserve"> 2) </w:t>
      </w:r>
      <w:r>
        <w:t xml:space="preserve">assimilating </w:t>
      </w:r>
      <w:r w:rsidRPr="00F569CF">
        <w:t xml:space="preserve">pseudo-observations of </w:t>
      </w:r>
      <w:r w:rsidRPr="00F569CF">
        <w:lastRenderedPageBreak/>
        <w:t>water vapor mixing ratio derived from vertically integrated liquid water</w:t>
      </w:r>
      <w:r w:rsidR="00FE78E0">
        <w:t xml:space="preserve"> </w:t>
      </w:r>
      <w:r w:rsidR="00FE78E0">
        <w:fldChar w:fldCharType="begin"/>
      </w:r>
      <w:r w:rsidR="00FE78E0">
        <w:instrText xml:space="preserve"> ADDIN ZOTERO_ITEM CSL_CITATION {"citationID":"1S5S2IJZ","properties":{"formattedCitation":"(Lai et al. 2019)","plainCitation":"(Lai et al. 2019)","noteIndex":0},"citationItems":[{"id":326,"uris":["http://zotero.org/users/local/6VSApgKp/items/SS65U4N2"],"itemData":{"id":326,"type":"article-journal","abstract":"Abstract To improve severe thunderstorm prediction, a novel pseudo-observation and assimilation approach involving water vapor mass mixing ratio is proposed to better initialize NWP forecasts at convection-resolving scales. The first step of the algorithm identifies areas of deep moist convection by utilizing the vertically integrated liquid water (VIL) derived from three-dimensional radar reflectivity fields. Once VIL is obtained, pseudo–water vapor observations are derived based on reflectivity thresholds within columns characterized by deep moist convection. Areas of spurious convection also are identified by the algorithm to help reduce their detrimental impact on the forecast. The third step is to assimilate the derived pseudo–water vapor observations into a convection-resolving-scale NWP model along with radar radial velocity and reflectivity fields in a 3DVAR framework during 4-h data assimilation cycles. Finally, 3-h forecasts are launched every hour during that period. The performance of this method is examined for two selected high-impact severe thunderstorm events: namely, the 24 May 2011 Oklahoma and 16 May 2017 Texas and Oklahoma tornado outbreaks. Relative to a control simulation that only assimilated radar data, the analyses and forecasts of these supercells (reflectivity patterns, tracks, and updraft helicity tracks) are qualitatively and quantitatively improved in both cases when the water vapor information is added into the analysis.","container-title":"Monthly Weather Review","DOI":"10.1175/MWR-D-18-0403.1","ISSN":"1520-0493, 0027-0644","issue":"8","language":"EN","note":"publisher: American Meteorological Society\nsection: Monthly Weather Review","page":"2877-2900","source":"journals.ametsoc.org","title":"Assimilation of Radar Radial Velocity, Reflectivity, and Pseudo–Water Vapor for Convective-Scale NWP in a Variational Framework","volume":"147","author":[{"family":"Lai","given":"Anwei"},{"family":"Gao","given":"Jidong"},{"family":"Koch","given":"Steven E."},{"family":"Wang","given":"Yunheng"},{"family":"Pan","given":"Sijie"},{"family":"Fierro","given":"Alexandre O."},{"family":"Cui","given":"Chunguang"},{"family":"Min","given":"Jinzhong"}],"issued":{"date-parts":[["2019",8,1]]},"citation-key":"laiAssimilationRadarRadial2019"}}],"schema":"https://github.com/citation-style-language/schema/raw/master/csl-citation.json"} </w:instrText>
      </w:r>
      <w:r w:rsidR="00FE78E0">
        <w:fldChar w:fldCharType="separate"/>
      </w:r>
      <w:r w:rsidR="00FE78E0">
        <w:rPr>
          <w:noProof/>
        </w:rPr>
        <w:t>(Lai et al. 2019)</w:t>
      </w:r>
      <w:r w:rsidR="00FE78E0">
        <w:fldChar w:fldCharType="end"/>
      </w:r>
      <w:r w:rsidR="00FE78E0">
        <w:t>,</w:t>
      </w:r>
      <w:r w:rsidRPr="00F569CF">
        <w:t xml:space="preserve"> and total lightning data provided by the </w:t>
      </w:r>
      <w:r w:rsidR="007E6330">
        <w:t>GLM</w:t>
      </w:r>
      <w:r w:rsidRPr="00F569CF">
        <w:t xml:space="preserve"> aboard the </w:t>
      </w:r>
      <w:r w:rsidR="007E6330">
        <w:t>GOES-</w:t>
      </w:r>
      <w:r w:rsidRPr="00F569CF">
        <w:t xml:space="preserve">R Series </w:t>
      </w:r>
      <w:r w:rsidR="007E6330">
        <w:fldChar w:fldCharType="begin"/>
      </w:r>
      <w:r w:rsidR="00186B73">
        <w:instrText xml:space="preserve"> ADDIN ZOTERO_ITEM CSL_CITATION {"citationID":"158hIPpp","properties":{"formattedCitation":"(Fierro et al. 2016, 2019; Hu et al. 2020, 2021)","plainCitation":"(Fierro et al. 2016, 2019; Hu et al. 2020, 2021)","dontUpdate":true,"noteIndex":0},"citationItems":[{"id":36,"uris":["http://zotero.org/users/local/6VSApgKp/items/8K8EJCVF"],"itemData":{"id":36,"type":"article-journal","abstract":"&lt;section class=\"abstract\"&gt;&lt;h2 class=\"abstractTitle text-title my-1\" id=\"d137406800e102\"&gt;Abstract&lt;/h2&gt;&lt;p&gt;This work evaluates the performance of the assimilation of total lightning data within a three-dimensional variational (3DVAR) framework for the analysis and short-term forecast of the 24 May 2011 tornado outbreak using the Weather Research and Forecasting (WRF) Model at convection-allowing scales. Between the lifted condensation level and a fixed upper height, pseudo-observations for water vapor mass first are created based on either the flash extent densities derived from Oklahoma Lightning Mapping Array data or the lightning source densities derived from the Earth Networks pulse data, and then assimilated by the 3DVAR system. Assimilation of radar data with 3DVAR and a cloud analysis algorithm (RAD) also are performed as a baseline for comparison and in tandem with lightning to evaluate the added value of this lightning data assimilation (LDA) method.&lt;/p&gt;&lt;p&gt;Given a scenario wherein the control experiment without radar or lightning data assimilation fails to accurately initiate and forecast the observed storms, the LDA and RAD yield comparable short-term forecast improvements. The RAD alone produces storms of similar strength to the observations during the first 30 min of forecast more rapidly than the LDA alone; however, the LDA is able to better depict individual supercellular features at 1-h forecast. When both the lightning and radar data are assimilated, the 30-min forecast showed noteworthy improvements over RAD in terms of the model’s ability to better resolve individual supercell structures and still maintained a 1-h forecast similar to that from the LDA. The results chiefly illustrate the potential value of assimilating total lightning data along with radar data.&lt;/p&gt;&lt;/section&gt;","container-title":"Monthly Weather Review","DOI":"10.1175/MWR-D-16-0053.1","ISSN":"1520-0493, 0027-0644","issue":"11","language":"EN","note":"publisher: American Meteorological Society\nsection: Monthly Weather Review","page":"4373-4393","source":"journals.ametsoc.org","title":"Assimilation of Flash Extent Data in the Variational Framework at Convection-Allowing Scales: Proof-of-Concept and Evaluation for the Short-Term Forecast of the 24 May 2011 Tornado Outbreak","title-short":"Assimilation of Flash Extent Data in the Variational Framework at Convection-Allowing Scales","volume":"144","author":[{"family":"Fierro","given":"Alexandre O."},{"family":"Gao","given":"Jidong"},{"family":"Ziegler","given":"Conrad L."},{"family":"Calhoun","given":"Kristin M."},{"family":"Mansell","given":"Edward R."},{"family":"MacGorman","given":"Donald R."}],"issued":{"date-parts":[["2016",11,1]]},"citation-key":"fierroAssimilationFlashExtent2016"}},{"id":10,"uris":["http://zotero.org/users/local/6VSApgKp/items/77NV63LL"],"itemData":{"id":10,"type":"article-journal","abstract":"&lt;section class=\"abstract\"&gt;&lt;h2 class=\"abstractTitle text-title my-1\" id=\"d146998611e97\"&gt;Abstract&lt;/h2&gt;&lt;p&gt;The assimilation of water vapor mass mixing ratio derived from total lightning data from the Geostationary Lightning Mapper (GLM) within a three-dimensional variational (</w:instrText>
      </w:r>
      <w:r w:rsidR="00186B73">
        <w:rPr>
          <w:rFonts w:hint="eastAsia"/>
        </w:rPr>
        <w:instrText>3DVAR) system is evaluated for the analysis and short-term forecast (</w:instrText>
      </w:r>
      <w:r w:rsidR="00186B73">
        <w:rPr>
          <w:rFonts w:hint="eastAsia"/>
        </w:rPr>
        <w:instrText>≤</w:instrText>
      </w:r>
      <w:r w:rsidR="00186B73">
        <w:rPr>
          <w:rFonts w:hint="eastAsia"/>
        </w:rPr>
        <w:instrText>6 h) of a high-impact convective event over the northern Great Plains in the United States. Building on recent work, the lightning data assimilation (LDA) method adjusts water vapor mas</w:instrText>
      </w:r>
      <w:r w:rsidR="00186B73">
        <w:instrText xml:space="preserve">s mixing ratio within a fixed layer depth above the lifted condensation level by assuming nearly water-saturated conditions at observed lightning locations. In this algorithm, the total water vapor mass added by the LDA is balanced by an equal removal outside observed lightning locations. Additional refinements were also devised to partially alleviate the seasonal and geographical dependence of the original scheme. To gauge the added value of lightning, radar data (radial velocity and reflectivity) were also assimilated with or without lightning. Although the method was evaluated in quasi–real time for several high-impact weather events throughout 2018, this work will focus on one specific, illustrative severe weather case wherein the control simulation—which did not assimilate any data—was eventually able to initiate and forecast the majority of the observed storms. Given a relatively reasonable forecast in the control experiment, the GLM and radar assimilation experiments were still able to improve the short-term forecast of accumulated rainfall and composite radar reflectivity further, as measured by neighborhood-based metrics. These results held whether the simulations made use of one single 3DVAR analysis or high-frequency (10 min) successive cycling over a 1-h period.&lt;/p&gt;&lt;/section&gt;","container-title":"Monthly Weather Review","DOI":"10.1175/MWR-D-18-0421.1","ISSN":"1520-0493, 0027-0644","issue":"11","language":"EN","note":"publisher: American Meteorological Society\nsection: Monthly Weather Review","page":"4045-4069","source":"journals.ametsoc.org","title":"Variational Assimilation of Radar Data and GLM Lightning-Derived Water Vapor for the Short-Term Forecasts of High-Impact Convective Events","volume":"147","author":[{"family":"Fierro","given":"Alexandre O."},{"family":"Wang","given":"Yunheng"},{"family":"Gao","given":"Jidong"},{"family":"Mansell","given":"Edward R."}],"issued":{"date-parts":[["2019",11,1]]},"citation-key":"fierroVariationalAssimilationRadar2019"}},{"id":214,"uris":["http://zotero.org/users/local/6VSApgKp/items/BZ9XKKYT"],"itemData":{"id":214,"type":"article-journal","abstract":"Abstract The recent successful deployment of the Geostationary Lightning Mapper (GLM) on board the Geostationary Operational Environmental Satellite R series (GOES-16/17) provides nearly uniform spatiotemporal measurements of total lightning (intracloud plus cloud to ground) over the Americas and adjacent vast oceanic regions. This study evaluates the potential value of assimilating GLM-derived water vapor </w:instrText>
      </w:r>
      <w:r w:rsidR="00186B73">
        <w:rPr>
          <w:rFonts w:hint="eastAsia"/>
        </w:rPr>
        <w:instrText>mixing ratio on short-term (</w:instrText>
      </w:r>
      <w:r w:rsidR="00186B73">
        <w:rPr>
          <w:rFonts w:hint="eastAsia"/>
        </w:rPr>
        <w:instrText>≤</w:instrText>
      </w:r>
      <w:r w:rsidR="00186B73">
        <w:rPr>
          <w:rFonts w:hint="eastAsia"/>
        </w:rPr>
        <w:instrText>6 h), cloud-scale (dx = 1.5 km) forecasts of five severe weather events over the Great Plains of the United States using a three-dimensional variational (3DVAR) data assimilation (DA) system. Toward a more systematic assimilat</w:instrText>
      </w:r>
      <w:r w:rsidR="00186B73">
        <w:instrText>ion of real GLM data, this study conducted sensitivity tests aimed at evaluating the impact of the horizontal decorrelation length scale, DA cycling frequency, and the time window size for accumulating GLM lightning observations prior to the DA. Forecast statistics aggregated over all five cases suggested that an optimal forecast performance is obtained when lightning measurements are accumulated over a 10-min interval and GLM-derived water vapor mixing ratio values are assimilated every 15 min with a horizontal decorrelation length scale of 3 km. This suggested configuration for the GLM DA together with companion experiments (i) not assimilating any data, (ii) assimilating radar data only, and (iii) assimilating both GLM and radar data were evaluated for</w:instrText>
      </w:r>
      <w:r w:rsidR="00186B73">
        <w:rPr>
          <w:rFonts w:hint="eastAsia"/>
        </w:rPr>
        <w:instrText xml:space="preserve"> the same five cases. Overall, GLM data have shown potential to help improve the short-term (&lt;3 h) forecast skill of composite reflectivity fields and individual storm tracks. While this result also held for accumulated rainfall, longer-term (</w:instrText>
      </w:r>
      <w:r w:rsidR="00186B73">
        <w:rPr>
          <w:rFonts w:hint="eastAsia"/>
        </w:rPr>
        <w:instrText>≥</w:instrText>
      </w:r>
      <w:r w:rsidR="00186B73">
        <w:rPr>
          <w:rFonts w:hint="eastAsia"/>
        </w:rPr>
        <w:instrText>3 h) foreca</w:instrText>
      </w:r>
      <w:r w:rsidR="00186B73">
        <w:instrText xml:space="preserve">sts were generally characterized by noteworthy wet biases.","container-title":"Monthly Weather Review","DOI":"10.1175/MWR-D-19-0198.1","ISSN":"1520-0493, 0027-0644","issue":"3","language":"EN","note":"publisher: American Meteorological Society\nsection: Monthly Weather Review","page":"1005-1028","source":"journals.ametsoc.org","title":"Exploring the Assimilation of GLM-Derived Water Vapor Mass in a Cycled 3DVAR Framework for the Short-Term Forecasts of High-Impact Convective Events","volume":"148","author":[{"family":"Hu","given":"Junjun"},{"family":"Fierro","given":"Alexandre O."},{"family":"Wang","given":"Yunheng"},{"family":"Gao","given":"Jidong"},{"family":"Mansell","given":"Edward R."}],"issued":{"date-parts":[["2020",2,1]]},"citation-key":"huExploringAssimilationGLMDerived2020"}},{"id":213,"uris":["http://zotero.org/users/local/6VSApgKp/items/76UGQQAL"],"itemData":{"id":213,"type":"article-journal","abstract":"The purpose of this study is to demonstrate the capability of an experimental, weather-adaptive, high-resolution, deterministic Warn-on-Forecast (WoF) analysis and forecast system (WoF3DVAR-AFS) for predicting high-impact severe weather events that occurred during the Hazardous Weather Testbed 2019 Spring Forecast Experiments. WoF3DVAR-AFS uses a three-dimensional variational (3DVAR) method as its core data assimilation system and the Advanced Research Version of the Weather Research and Forecasting (WRF-ARW) model as its forward model. Surface measurements provided in meteorological aviation reports and the Oklahoma Mesonet, Doppler radar data, and spaceborne total lightning observations provided by the Geostationary Lightning Mapper are assimilated at 15-min frequency over a target domain determined by the “Day 1” Convective Outlook product from the Storm Prediction Center. The chief goal of this system is to complement probabilistic forecasts generated by ensemble analysis and forecast systems, such as the experimental Warn-on-Forecast System (WoFS) with a higher-resolution deterministic member to aid forecasters' decision-making. We performed both qualitative and quantitative evaluations on 0–6 hr forecasts launched hourly from 1900 to 0300 UTC the next day for each of the 12 cases. Aggregated subjective forecast evaluation metrics from each individual case, as well as detailed comparison against available verification datasets, suggest that the forecasts are generally skillful in terms of composite reflectivity fields, quantitative precipitation forecasts, and the strength and location of rotation tracks and damaging winds. This study presents initial efforts to assess the performance of WoF3DVAR-AFS and provides possible directions for further improvements, including the development of a weather-adaptive, dual-resolution analysis and forecast system hybrid with an ensemble system, such as the experimental Warn-on-Forecast system.","container-title":"Quarterly Journal of the Royal Meteorological Society","DOI":"10.1002/qj.4168","ISSN":"1477-870X","issue":"741","language":"en","note":"_eprint: https://onlinelibrary.wiley.com/doi/pdf/10.1002/qj.4168","page":"4063-4082","source":"Wiley Online Library","title":"Evaluation of an experimental Warn-on-Forecast 3DVAR analysis and forecast system on quasi-real-time short-term forecasts of high-impact weather events","volume":"147","author":[{"family":"Hu","given":"Junjun"},{"family":"Gao","given":"Jidong"},{"family":"Wang","given":"Yunheng"},{"family":"Pan","given":"Sijie"},{"family":"Fierro","given":"Alexandre O."},{"family":"Skinner","given":"Patrick S."},{"family":"Knopfmeier","given":"Kent"},{"family":"Mansell","given":"Edward R."},{"family":"Heinselman","given":"Pamela L."}],"issued":{"date-parts":[["2021"]]},"citation-key":"huEvaluationExperimentalWarnonForecast2021"}}],"schema":"https://github.com/citation-style-language/schema/raw/master/csl-citation.json"} </w:instrText>
      </w:r>
      <w:r w:rsidR="007E6330">
        <w:fldChar w:fldCharType="separate"/>
      </w:r>
      <w:r w:rsidR="007E6330">
        <w:rPr>
          <w:noProof/>
        </w:rPr>
        <w:t>(</w:t>
      </w:r>
      <w:r w:rsidR="007E6330" w:rsidRPr="00F569CF">
        <w:t>operationally known as GOES-16 and 17;</w:t>
      </w:r>
      <w:r w:rsidR="007E6330">
        <w:t xml:space="preserve"> </w:t>
      </w:r>
      <w:r w:rsidR="007E6330">
        <w:rPr>
          <w:noProof/>
        </w:rPr>
        <w:t>Fierro et al. 2016, 2019; Hu et al. 2020, 2021)</w:t>
      </w:r>
      <w:r w:rsidR="007E6330">
        <w:fldChar w:fldCharType="end"/>
      </w:r>
      <w:r>
        <w:t>; 3)</w:t>
      </w:r>
      <w:r w:rsidRPr="00F569CF">
        <w:t xml:space="preserve"> incorporat</w:t>
      </w:r>
      <w:r>
        <w:t>ing</w:t>
      </w:r>
      <w:r w:rsidRPr="00F569CF">
        <w:t xml:space="preserve"> </w:t>
      </w:r>
      <w:r>
        <w:t xml:space="preserve">flow-dependent </w:t>
      </w:r>
      <w:r w:rsidRPr="00F569CF">
        <w:t>background error covariance</w:t>
      </w:r>
      <w:r w:rsidR="00F35DB8">
        <w:t>s</w:t>
      </w:r>
      <w:r w:rsidRPr="00F569CF">
        <w:t xml:space="preserve"> estimate</w:t>
      </w:r>
      <w:r w:rsidR="00F35DB8">
        <w:t>d</w:t>
      </w:r>
      <w:r w:rsidRPr="00F569CF">
        <w:t xml:space="preserve"> from ensemble forecasts </w:t>
      </w:r>
      <w:r w:rsidR="007E6330">
        <w:fldChar w:fldCharType="begin"/>
      </w:r>
      <w:r w:rsidR="007E6330">
        <w:instrText xml:space="preserve"> ADDIN ZOTERO_ITEM CSL_CITATION {"citationID":"fLpTYeBK","properties":{"formattedCitation":"(Gao and Stensrud 2014; Gao et al. 2016; Wang et al. 2019)","plainCitation":"(Gao and Stensrud 2014; Gao et al. 2016; Wang et al. 2019)","noteIndex":0},"citationItems":[{"id":78,"uris":["http://zotero.org/users/local/6VSApgKp/items/7553UDVX"],"itemData":{"id":78,"type":"article-journal","abstract":"&lt;section class=\"abstract\"&gt;&lt;h2 class=\"abstractTitle text-title my-1\" id=\"d130372467e65\"&gt;Abstract&lt;/h2&gt;&lt;p&gt;A hybrid three-dimensional ensemble–variational data assimilation (3DEnVAR) algorithm is developed based on the 3D variational data assimilation (3DVAR) and ensemble Kalman filter (EnKF) programs with the Advanced Regional Prediction System (ARPS). The method uses the extended control variable approach to combine the static and ensemble-derived flow-dependent forecast error covariances. The method is applied to the assimilation of simulated data from two radars for a supercell storm. Some sensitivity experiments are performed to answer questions about how flow-dependent covariance estimated from the forecast ensemble can be best used in the hybrid 3DEnVAR scheme. When the ensemble size is relatively small (with 5 or 10 ensemble members), it is found that experiments with a weaker weighting value for the ensemble covariance leads to better analysis results. Even when severe sampling errors exist, introducing ensemble-estimated covariances into the variational method still benefits the analysis. For reasonably large ensemble sizes (50–100 members), a stronger relative weighting (&amp;gt;0.8) for the ensemble covariance leads to better analyses from the hybrid 3DEnVAR. In addition, the sensitivity experiments also indicate that the best results are obtained when the number of the augmented control variables is a function of three spatial dimensions and ensemble members, and is the same for all analysis variables.&lt;/p&gt;&lt;/section&gt;","container-title":"Monthly Weather Review","DOI":"10.1175/MWR-D-14-00025.1","ISSN":"1520-0493, 0027-0644","issue":"9","language":"EN","note":"publisher: American Meteorological Society\nsection: Monthly Weather Review","page":"3326-3346","source":"journals.ametsoc.org","title":"Some Observing System Simulation Experiments with a Hybrid 3DEnVAR System for Storm-Scale Radar Data Assimilation","volume":"142","author":[{"family":"Gao","given":"Jidong"},{"family":"Stensrud","given":"David J."}],"issued":{"date-parts":[["2014",9,1]]},"citation-key":"gaoObservingSystemSimulation2014"}},{"id":465,"uris":["http://zotero.org/users/local/6VSApgKp/items/R93AHVXK"],"itemData":{"id":465,"type":"article-journal","abstract":"Abstract An ensemble of the three-dimensional variational data assimilation (En3DA) method for convective-scale weather has been developed. It consists of an ensemble of three-dimensional variational data assimilations and forecasts in which member differences are introduced by perturbing initial conditions and/or observations, and it uses flow-dependent error covariances generated by the ensemble forecasts. The method is applied to the assimilation of simulated radar data for a supercell storm. Results indicate that the flow-dependent ensemble covariances are effective in enabling convective-scale analyses, as the most important features of the simulated storm, including the low-level cold pool and midlevel mesocyclone, are well analyzed. Several groups of sensitivity experiments are conducted to test the robustness of the method. The first group demonstrates that incorporating a mass continuity equation as a weak constraint into the En3DA algorithm can improve the quality of the analyses when radial velocity observations contain large errors. In the second group of experiments, the sensitivity of analyses to the microphysical parameterization scheme is explored. Results indicate that the En3DA analyses are quite sensitive to differences in the microphysics scheme, suggesting that ensemble forecasts with multiple microphysics schemes could reduce uncertainty related to model physics errors. Experiments also show that assimilating reflectivity observations can reduce spinup time and that it has a small positive impact on the quality of the wind field analysis. Of the threshold values tested for assimilating reflectivity observations, 15 dBZ provides the best analysis. The final group of experiments demonstrates that it is not necessary to perturb radial velocity observations for every ensemble number in order to improve the quality of the analysis.","container-title":"Journal of the Atmospheric Sciences","DOI":"10.1175/JAS-D-15-0311.1","ISSN":"0022-4928, 1520-0469","issue":"6","language":"EN","note":"publisher: American Meteorological Society\nsection: Journal of the Atmospheric Sciences","page":"2403-2426","source":"journals.ametsoc.org","title":"OSSEs for an Ensemble 3DVAR Data Assimilation System with Radar Observations of Convective Storms","volume":"73","author":[{"family":"Gao","given":"Jidong"},{"family":"Fu","given":"Chenghao"},{"family":"Stensrud","given":"David J."},{"family":"Kain","given":"John S."}],"issued":{"date-parts":[["2016",6,1]]},"citation-key":"gaoOSSEsEnsemble3DVAR2016"}},{"id":293,"uris":["http://zotero.org/users/local/6VSApgKp/items/XKWFNB2K"],"itemData":{"id":293,"type":"article-journal","abstract":"Abstract A real-time, weather adaptive, dual-resolution, hybrid Warn-on-Forecast (WoF) analysis and forecast system using the WRF-ARW forecast model has been developed and implemented. The system includes two components, an ensemble analysis and forecast component, and a deterministic hybrid three-dimensional ensemble–variational (3DEnVAR) analysis and forecast component. The goal of the system is to provide on-demand, ensemble-based, and physically consistent gridded analysis and forecast products to forecasters for making warning decisions. Both components, the WRF-DART system with 36 ensemble members and the hybrid 3DEnVAR system, assimilate radar data, satellite-retrieved cloud water path, and surface observations at 15-min intervals with dual-resolution capability. In the current hybrid configuration, one-way coupling of the two analysis systems is performed: ensemble covariances derived from the WRF-DART system are incorporated into the hybrid 3DEnVAR system with each data assimilation (DA) cycle. This study examines deterministic, 3-h forecasts launched from the hybrid 3DEnVAR analyses every 30 min for three severe weather events in 2017. The performance of the deterministic component is evaluated for four configurations: dual-resolution coupling, single-resolution coupling, forecasts initialized using a cloud analysis for reflectivity assimilation, and forecasts initialized from the WRF-DART ensemble mean. Quantitative and subjective evaluation of composite reflectivity and updraft helicity (UH) swath forecasts for the three events indicate that the dual-resolution strategy without the cloud analysis performs best among the four configurations and provides the most realistic prediction of reflectivity patterns and UH tracks.","container-title":"Weather and Forecasting","DOI":"10.1175/WAF-D-19-0071.1","ISSN":"1520-0434, 0882-8156","issue":"6","language":"EN","note":"publisher: American Meteorological Society\nsection: Weather and Forecasting","page":"1807-1827","source":"journals.ametsoc.org","title":"Test of a Weather-Adaptive Dual-Resolution Hybrid Warn-on-Forecast Analysis and Forecast System for Several Severe Weather Events","volume":"34","author":[{"family":"Wang","given":"Yunheng"},{"family":"Gao","given":"Jidong"},{"family":"Skinner","given":"Patrick S."},{"family":"Knopfmeier","given":"Kent"},{"family":"Jones","given":"Thomas"},{"family":"Creager","given":"Gerry"},{"family":"Heiselman","given":"Pamela L."},{"family":"Wicker","given":"Louis J."}],"issued":{"date-parts":[["2019",12,1]]},"citation-key":"wangTestWeatherAdaptiveDualResolution2019"}}],"schema":"https://github.com/citation-style-language/schema/raw/master/csl-citation.json"} </w:instrText>
      </w:r>
      <w:r w:rsidR="007E6330">
        <w:fldChar w:fldCharType="separate"/>
      </w:r>
      <w:r w:rsidR="007E6330">
        <w:rPr>
          <w:noProof/>
        </w:rPr>
        <w:t>(Gao and Stensrud 2014; Gao et al. 2016; Wang et al. 2019)</w:t>
      </w:r>
      <w:r w:rsidR="007E6330">
        <w:fldChar w:fldCharType="end"/>
      </w:r>
      <w:r w:rsidRPr="00F569CF">
        <w:t xml:space="preserve">. </w:t>
      </w:r>
      <w:r>
        <w:t>However, the static background covariances used in the system are still similar to those used in the synoptic scale applications and do not consider the intermittent nature of convective flow.</w:t>
      </w:r>
    </w:p>
    <w:p w14:paraId="15AB8826" w14:textId="7E20B6D0" w:rsidR="00F52997" w:rsidRPr="00A415F3" w:rsidRDefault="00F52997" w:rsidP="00F52997">
      <w:r w:rsidRPr="0035480D">
        <w:t>Inspired by</w:t>
      </w:r>
      <w:r>
        <w:t xml:space="preserve"> the</w:t>
      </w:r>
      <w:r w:rsidRPr="0035480D">
        <w:t xml:space="preserve"> studies</w:t>
      </w:r>
      <w:r w:rsidR="007E6330">
        <w:t xml:space="preserve"> like </w:t>
      </w:r>
      <w:r w:rsidR="007E6330">
        <w:fldChar w:fldCharType="begin"/>
      </w:r>
      <w:r w:rsidR="007E6330">
        <w:instrText xml:space="preserve"> ADDIN ZOTERO_ITEM CSL_CITATION {"citationID":"9u99BHwm","properties":{"formattedCitation":"(Michel et al. 2011)","plainCitation":"(Michel et al. 2011)","dontUpdate":true,"noteIndex":0},"citationItems":[{"id":272,"uris":["http://zotero.org/users/local/6VSApgKp/items/E2VYXJ5I"],"itemData":{"id":272,"type":"article-journal","abstract":"Abstract Convective-scale models used in NWP nowadays include detailed realistic parameterization for the representation of cloud and precipitation processes. Yet they still lack advanced data assimilation schemes able to efficiently use observations to initialize hydrometeor fields. This challenging task may benefit from a better understanding of the statistical structure of background errors in precipitating areas for both traditional and hydrometeor variables, which is the goal of this study. A special binning has been devised to compute separate background error covariance matrices for precipitating and nonprecipitating areas. This binning is based on bidimensional geographical masks defined by the vertical averaged rain content of the background error perturbations. The sample for computing the covariances is taken from an ensemble of short range forecasts run at 3-km resolution for the prediction of two specific cases of convective storms over the United States. The covariance matrices and associated diagnostics are built on the control variable transform formulation typical of variational data assimilation. The comparison especially highlights the strong coupling of specific humidity, cloud, and rain content with divergence. Shorter horizontal correlations have been obtained in precipitating areas. Vertical correlations mostly reflect the cloud vertical extension due to the convective processes. The statistics for hydrometeor variables show physically meaningful autocovariances and statistical couplings with other variables. Issues for data assimilation of radar reflectivity or more generally of observations linked to cloud and rain content with this kind of background error matrix formulation are thereon briefly discussed.","container-title":"Monthly Weather Review","DOI":"10.1175/2011MWR3632.1","ISSN":"1520-0493, 0027-0644","issue":"9","language":"EN","note":"publisher: American Meteorological Society\nsection: Monthly Weather Review","page":"2994-3015","source":"journals.ametsoc.org","title":"Heterogeneous Convective-Scale Background Error Covariances with the Inclusion of Hydrometeor Variables","volume":"139","author":[{"family":"Michel","given":"Yann"},{"family":"Auligné","given":"Thomas"},{"family":"Montmerle","given":"Thibaut"}],"issued":{"date-parts":[["2011",9,1]]},"citation-key":"michelHeterogeneousConvectiveScaleBackground2011"}}],"schema":"https://github.com/citation-style-language/schema/raw/master/csl-citation.json"} </w:instrText>
      </w:r>
      <w:r w:rsidR="007E6330">
        <w:fldChar w:fldCharType="separate"/>
      </w:r>
      <w:r w:rsidR="007E6330">
        <w:rPr>
          <w:noProof/>
        </w:rPr>
        <w:t>Michel et al. (2011)</w:t>
      </w:r>
      <w:r w:rsidR="007E6330">
        <w:fldChar w:fldCharType="end"/>
      </w:r>
      <w:r w:rsidR="007E6330">
        <w:t xml:space="preserve"> and </w:t>
      </w:r>
      <w:r w:rsidR="007E6330">
        <w:fldChar w:fldCharType="begin"/>
      </w:r>
      <w:r w:rsidR="007E6330">
        <w:instrText xml:space="preserve"> ADDIN ZOTERO_ITEM CSL_CITATION {"citationID":"5pngBBg1","properties":{"formattedCitation":"(Wang and Wang 2021)","plainCitation":"(Wang and Wang 2021)","dontUpdate":true,"noteIndex":0},"citationItems":[{"id":200,"uris":["http://zotero.org/users/local/6VSApgKp/items/CEJYAR6W"],"itemData":{"id":200,"type":"article-journal","abstract":"Abstract A convective-scale static background-error covariance (BEC) matrix is further developed to include the capability of direct reflectivity assimilation and evaluated within the GSI-based three-dimensional variational (3DVar) and hybrid ensemble–variational (EnVar) methods. Specific developments are summarized as follows: 1) Control variables (CVs) are extended to include reflectivity, vertical velocity, and all hydrometeor types. Various horizontal momentum and moisture CV options are included. 2) Cross correlations between all CVs are established. 3) A storm intensity-dependent binning method is adopted to separately calculate static error matrices for clear-air and storms with varying intensities. The resultant static BEC matrices are simultaneously applied at proper locations guided by the observed reflectivity. 4) The EnVar is extended to adaptively incorporate static BECs based on the quality of ensemble covariances. Evaluation and examination of the new static BECs are first performed on the 8 May 2003 Oklahoma City supercell. Detailed diagnostics and 3DVar examinations suggest zonal/meridional winds and pseudo–relative humidity are selected as horizontal momentum and moisture CVs for direct reflectivity assimilation, respectively; inclusion of cross correlations favors spin up and maintains the analyzed storms; application of binning improves characteristics and persistence of the simulated storm. Relative to an experiment using the full ensemble BECs (Exp-PureEnVar), incorporating static BECs in hybrid EnVar reduces spinup time and better analyzes reflectivity distributions while the background ensemble is deficient in sampling errors. Compared to both pure 3DVar and Exp-PureEnVar, hybrid EnVar better predicts reflectivity distributions and better maintains a strong mesocyclone. Further examination through the 20 May 2013 Oklahoma supercells confirms these results and additionally demonstrates the effectiveness of adaptive hybridization.","container-title":"Monthly Weather Review","DOI":"10.1175/MWR-D-20-0215.1","ISSN":"1520-0493, 0027-0644","issue":"8","language":"EN","note":"publisher: American Meteorological Society\nsection: Monthly Weather Review","page":"2713-2736","source":"journals.ametsoc.org","title":"Development of Convective-Scale Static Background Error Covariance within GSI-Based Hybrid EnVar System for Direct Radar Reflectivity Data Assimilation","volume":"149","author":[{"family":"Wang","given":"Yongming"},{"family":"Wang","given":"Xuguang"}],"issued":{"date-parts":[["2021",8,1]]},"citation-key":"wangDevelopmentConvectiveScaleStatic2021"}}],"schema":"https://github.com/citation-style-language/schema/raw/master/csl-citation.json"} </w:instrText>
      </w:r>
      <w:r w:rsidR="007E6330">
        <w:fldChar w:fldCharType="separate"/>
      </w:r>
      <w:r w:rsidR="007E6330">
        <w:rPr>
          <w:noProof/>
        </w:rPr>
        <w:t>Wang and Wang (2021)</w:t>
      </w:r>
      <w:r w:rsidR="007E6330">
        <w:fldChar w:fldCharType="end"/>
      </w:r>
      <w:r w:rsidRPr="0035480D">
        <w:t xml:space="preserve">, </w:t>
      </w:r>
      <w:r>
        <w:t xml:space="preserve">Chapter </w:t>
      </w:r>
      <w:r w:rsidR="007E6330">
        <w:t>4</w:t>
      </w:r>
      <w:r>
        <w:t xml:space="preserve"> introduces</w:t>
      </w:r>
      <w:r w:rsidRPr="0035480D">
        <w:t xml:space="preserve"> a more flexible method </w:t>
      </w:r>
      <w:r w:rsidR="007E6330">
        <w:t>to construct static background error covariance</w:t>
      </w:r>
      <w:r w:rsidR="00F35DB8">
        <w:t>s</w:t>
      </w:r>
      <w:r w:rsidR="007E6330">
        <w:t xml:space="preserve"> for </w:t>
      </w:r>
      <w:r w:rsidR="002C1860">
        <w:t>convective-scale</w:t>
      </w:r>
      <w:r w:rsidR="007E6330">
        <w:t xml:space="preserve"> DA</w:t>
      </w:r>
      <w:r>
        <w:t xml:space="preserve">. </w:t>
      </w:r>
      <w:r>
        <w:rPr>
          <w:color w:val="000000" w:themeColor="text1"/>
        </w:rPr>
        <w:t>In it, the weather-dependent binning approach</w:t>
      </w:r>
      <w:r w:rsidR="007E6330">
        <w:rPr>
          <w:color w:val="000000" w:themeColor="text1"/>
        </w:rPr>
        <w:t xml:space="preserve"> </w:t>
      </w:r>
      <w:r>
        <w:rPr>
          <w:color w:val="000000" w:themeColor="text1"/>
        </w:rPr>
        <w:t xml:space="preserve">is adopted to separately construct background error structures for the clear sky and the 6 other weather classes </w:t>
      </w:r>
      <w:r w:rsidR="007E6330">
        <w:rPr>
          <w:color w:val="000000" w:themeColor="text1"/>
        </w:rPr>
        <w:t>according to</w:t>
      </w:r>
      <w:r>
        <w:rPr>
          <w:color w:val="000000" w:themeColor="text1"/>
        </w:rPr>
        <w:t xml:space="preserve"> the strength of </w:t>
      </w:r>
      <w:r w:rsidR="007E6330">
        <w:rPr>
          <w:color w:val="000000" w:themeColor="text1"/>
        </w:rPr>
        <w:t xml:space="preserve">probability matched mean </w:t>
      </w:r>
      <w:r>
        <w:rPr>
          <w:color w:val="000000" w:themeColor="text1"/>
        </w:rPr>
        <w:t>composite reflectivity derived from an ensemble forecast product (i.e., a total of 7 classes). T</w:t>
      </w:r>
      <w:r w:rsidRPr="00830061">
        <w:rPr>
          <w:color w:val="000000" w:themeColor="text1"/>
        </w:rPr>
        <w:t xml:space="preserve">he </w:t>
      </w:r>
      <w:r>
        <w:rPr>
          <w:color w:val="000000" w:themeColor="text1"/>
        </w:rPr>
        <w:t>sampled weather-dependent</w:t>
      </w:r>
      <w:r w:rsidRPr="00830061">
        <w:rPr>
          <w:color w:val="000000" w:themeColor="text1"/>
        </w:rPr>
        <w:t xml:space="preserve"> </w:t>
      </w:r>
      <w:r>
        <w:rPr>
          <w:color w:val="000000" w:themeColor="text1"/>
        </w:rPr>
        <w:t>background error</w:t>
      </w:r>
      <w:r w:rsidRPr="00830061">
        <w:rPr>
          <w:color w:val="000000" w:themeColor="text1"/>
        </w:rPr>
        <w:t xml:space="preserve"> </w:t>
      </w:r>
      <w:r>
        <w:rPr>
          <w:color w:val="000000" w:themeColor="text1"/>
        </w:rPr>
        <w:t>profiles</w:t>
      </w:r>
      <w:r w:rsidRPr="00830061">
        <w:rPr>
          <w:color w:val="000000" w:themeColor="text1"/>
        </w:rPr>
        <w:t xml:space="preserve"> </w:t>
      </w:r>
      <w:r>
        <w:rPr>
          <w:color w:val="000000" w:themeColor="text1"/>
        </w:rPr>
        <w:t>are integrated</w:t>
      </w:r>
      <w:r w:rsidRPr="00830061">
        <w:rPr>
          <w:color w:val="000000" w:themeColor="text1"/>
        </w:rPr>
        <w:t xml:space="preserve"> </w:t>
      </w:r>
      <w:r>
        <w:rPr>
          <w:color w:val="000000" w:themeColor="text1"/>
        </w:rPr>
        <w:t>into</w:t>
      </w:r>
      <w:r w:rsidRPr="00830061">
        <w:rPr>
          <w:color w:val="000000" w:themeColor="text1"/>
        </w:rPr>
        <w:t xml:space="preserve"> the </w:t>
      </w:r>
      <w:r>
        <w:rPr>
          <w:color w:val="000000" w:themeColor="text1"/>
        </w:rPr>
        <w:t xml:space="preserve">NSSL </w:t>
      </w:r>
      <w:r w:rsidR="007E6330">
        <w:rPr>
          <w:color w:val="000000" w:themeColor="text1"/>
        </w:rPr>
        <w:t>WoF-Var</w:t>
      </w:r>
      <w:r>
        <w:rPr>
          <w:color w:val="000000" w:themeColor="text1"/>
        </w:rPr>
        <w:t xml:space="preserve"> and are evaluated using two high-impact severe weather events. </w:t>
      </w:r>
      <w:r w:rsidRPr="000930D4">
        <w:rPr>
          <w:iCs/>
        </w:rPr>
        <w:t xml:space="preserve">The results show that the </w:t>
      </w:r>
      <w:r>
        <w:rPr>
          <w:iCs/>
        </w:rPr>
        <w:t>new system</w:t>
      </w:r>
      <w:r w:rsidRPr="000930D4">
        <w:rPr>
          <w:iCs/>
        </w:rPr>
        <w:t xml:space="preserve"> </w:t>
      </w:r>
      <w:r w:rsidRPr="00B10508">
        <w:rPr>
          <w:iCs/>
        </w:rPr>
        <w:t>improve</w:t>
      </w:r>
      <w:r>
        <w:rPr>
          <w:iCs/>
        </w:rPr>
        <w:t>s</w:t>
      </w:r>
      <w:r w:rsidRPr="00B10508">
        <w:rPr>
          <w:iCs/>
        </w:rPr>
        <w:t xml:space="preserve"> the analysis of in-storm structure, including dynamic and thermodynamic structure, </w:t>
      </w:r>
      <w:r>
        <w:rPr>
          <w:iCs/>
        </w:rPr>
        <w:t>as well as</w:t>
      </w:r>
      <w:r w:rsidRPr="00B10508">
        <w:rPr>
          <w:iCs/>
        </w:rPr>
        <w:t xml:space="preserve"> subsequent 6-hour forecasts</w:t>
      </w:r>
      <w:r>
        <w:rPr>
          <w:color w:val="000000" w:themeColor="text1"/>
        </w:rPr>
        <w:t>.</w:t>
      </w:r>
    </w:p>
    <w:p w14:paraId="7092C8DB" w14:textId="3A975301" w:rsidR="00F52997" w:rsidRPr="005D2C4E" w:rsidRDefault="00F52997" w:rsidP="00F52997">
      <w:pPr>
        <w:rPr>
          <w:bCs/>
        </w:rPr>
      </w:pPr>
      <w:r>
        <w:rPr>
          <w:iCs/>
        </w:rPr>
        <w:fldChar w:fldCharType="begin"/>
      </w:r>
      <w:r>
        <w:rPr>
          <w:iCs/>
        </w:rPr>
        <w:instrText xml:space="preserve"> ADDIN ZOTERO_ITEM CSL_CITATION {"citationID":"pFPNyY8k","properties":{"formattedCitation":"(Hamill and Snyder 2000; Wang et al. 2008)","plainCitation":"(Hamill and Snyder 2000; Wang et al. 2008)","dontUpdate":true,"noteIndex":0},"citationItems":[{"id":383,"uris":["http://zotero.org/users/local/6VSApgKp/items/IABCVT25"],"itemData":{"id":383,"type":"article-journal","abstract":"Abstract A hybrid ensemble Kalman filter–three-dimensional variational (3DVAR) analysis scheme is demonstrated using a quasigeostrophic model under perfect-model assumptions. Four networks with differing observational densities are tested, including one network with a data void. The hybrid scheme operates by computing a set of parallel data assimilation cycles, with each member of the set receiving unique perturbed observations. The perturbed observations are generated by adding random noise consistent with observation error statistics to the control set of observations. Background error statistics for the data assimilation are estimated from a linear combination of time-invariant 3DVAR covariances and flow-dependent covariances developed from the ensemble of short-range forecasts. The hybrid scheme allows the user to weight the relative contributions of the 3DVAR and ensemble-based background covariances. The analysis scheme was cycled for 90 days, with new observations assimilated every 12 h. Generally, it was found that the analysis performs best when background error covariances are estimated almost fully from the ensemble, especially when the ensemble size was large. When small-sized ensembles are used, some lessened weighting of ensemble-based covariances is desirable. The relative improvement over 3DVAR analyses was dependent upon the observational data density and norm; generally, there is less improvement for data-rich networks than for data-poor networks, with the largest improvement for the network with the data void. As expected, errors depend on the size of the ensemble, with errors decreasing as more ensemble members are added. The sets of initial conditions generated from the hybrid are generally well calibrated and provide an improved set of initial conditions for ensemble forecasts.","container-title":"Monthly Weather Review","DOI":"10.1175/1520-0493(2000)128&lt;2905:AHEKFV&gt;2.0.CO;2","ISSN":"1520-0493, 0027-0644","issue":"8","language":"EN","note":"publisher: American Meteorological Society\nsection: Monthly Weather Review","page":"2905-2919","source":"journals-ametsoc-org.ezproxy.lib.ou.edu","title":"A Hybrid Ensemble Kalman Filter–3D Variational Analysis Scheme","volume":"128","author":[{"family":"Hamill","given":"Thomas M."},{"family":"Snyder","given":"Chris"}],"issued":{"date-parts":[["2000",8,1]]},"citation-key":"hamillHybridEnsembleKalman2000"}},{"id":385,"uris":["http://zotero.org/users/local/6VSApgKp/items/VW2UN7G7"],"itemData":{"id":385,"type":"article-journal","abstract":"Abstract A hybrid ensemble transform Kalman filter–three-dimensional variational data assimilation (ETKF–3DVAR) system for the Weather Research and Forecasting (WRF) Model is introduced. The system is based on the existing WRF 3DVAR. Unlike WRF 3DVAR, which utilizes a simple, static covariance model to estimate the forecast-error statistics, the hybrid system combines ensemble covariances with the static covariances to estimate the complex, flow-dependent forecast-error statistics. Ensemble covariances are incorporated by using the extended control variable method during the variational minimization. The ensemble perturbations are maintained by the computationally efficient ETKF. As an initial attempt to test and understand the newly developed system, both an observing system simulation experiment under the perfect model assumption (Part I) and the real observation experiment (Part II) were conducted. In these pilot studies, the WRF was run over the North America domain at a coarse grid spacing (200 km) to emphasize synoptic scales, owing to limited computational resources and the large number of experiments conducted. In Part I, simulated radiosonde wind and temperature observations were assimilated. The results demonstrated that the hybrid data assimilation method provided more accurate analyses than the 3DVAR. The horizontal distributions of the errors demonstrated the hybrid analyses had larger improvements over data-sparse regions than over data-dense regions. It was also found that the ETKF ensemble spread in general agreed with the root-mean-square background forecast error for both the first- and second-order measures. Given the coarse resolution, relatively sparse observation network, and perfect model assumption adopted in this part of the study, caution is warranted when extrapolating the results to operational applications.","container-title":"Monthly Weather Review","DOI":"10.1175/2008MWR2444.1","ISSN":"1520-0493, 0027-0644","issue":"12","language":"EN","note":"publisher: American Meteorological Society\nsection: Monthly Weather Review","page":"5116-5131","source":"journals-ametsoc-org.ezproxy.lib.ou.edu","title":"A Hybrid ETKF–3DVAR Data Assimilation Scheme for the WRF Model. Part I: Observing System Simulation Experiment","title-short":"A Hybrid ETKF–3DVAR Data Assimilation Scheme for the WRF Model. Part I","volume":"136","author":[{"family":"Wang","given":"Xuguang"},{"family":"Barker","given":"Dale M."},{"family":"Snyder","given":"Chris"},{"family":"Hamill","given":"Thomas M."}],"issued":{"date-parts":[["2008",12,1]]},"citation-key":"wangHybridETKF3DVAR2008"}}],"schema":"https://github.com/citation-style-language/schema/raw/master/csl-citation.json"} </w:instrText>
      </w:r>
      <w:r>
        <w:rPr>
          <w:iCs/>
        </w:rPr>
        <w:fldChar w:fldCharType="separate"/>
      </w:r>
      <w:r>
        <w:rPr>
          <w:iCs/>
          <w:noProof/>
        </w:rPr>
        <w:t>Hamill and Snyder (2000)</w:t>
      </w:r>
      <w:r w:rsidR="00B9611D">
        <w:rPr>
          <w:iCs/>
          <w:noProof/>
        </w:rPr>
        <w:t>, Buehner (2005),</w:t>
      </w:r>
      <w:r>
        <w:rPr>
          <w:iCs/>
          <w:noProof/>
        </w:rPr>
        <w:t xml:space="preserve"> and Wang et al. (2007, 2008, 2009)</w:t>
      </w:r>
      <w:r>
        <w:rPr>
          <w:iCs/>
        </w:rPr>
        <w:fldChar w:fldCharType="end"/>
      </w:r>
      <w:r>
        <w:rPr>
          <w:iCs/>
        </w:rPr>
        <w:t xml:space="preserve"> </w:t>
      </w:r>
      <w:r w:rsidRPr="006B25C8">
        <w:rPr>
          <w:iCs/>
        </w:rPr>
        <w:t>showed that the hybrid ensemble-variational method ha</w:t>
      </w:r>
      <w:r>
        <w:rPr>
          <w:iCs/>
        </w:rPr>
        <w:t>d</w:t>
      </w:r>
      <w:r w:rsidRPr="006B25C8">
        <w:rPr>
          <w:iCs/>
        </w:rPr>
        <w:t xml:space="preserve"> potential to improve analyses </w:t>
      </w:r>
      <w:r>
        <w:rPr>
          <w:iCs/>
        </w:rPr>
        <w:t>better than</w:t>
      </w:r>
      <w:r w:rsidRPr="006B25C8">
        <w:rPr>
          <w:iCs/>
        </w:rPr>
        <w:t xml:space="preserve"> either the ensemble-based method or the pure variational method.</w:t>
      </w:r>
      <w:r>
        <w:rPr>
          <w:iCs/>
        </w:rPr>
        <w:t xml:space="preserve"> So a</w:t>
      </w:r>
      <w:r w:rsidRPr="00CD0541">
        <w:rPr>
          <w:iCs/>
        </w:rPr>
        <w:t xml:space="preserve"> hybrid </w:t>
      </w:r>
      <w:r>
        <w:rPr>
          <w:iCs/>
        </w:rPr>
        <w:t xml:space="preserve">ensemble and variational </w:t>
      </w:r>
      <w:r w:rsidR="003F0051">
        <w:rPr>
          <w:iCs/>
        </w:rPr>
        <w:t>DA</w:t>
      </w:r>
      <w:r>
        <w:rPr>
          <w:iCs/>
        </w:rPr>
        <w:t xml:space="preserve"> </w:t>
      </w:r>
      <w:r w:rsidRPr="00CD0541">
        <w:rPr>
          <w:iCs/>
        </w:rPr>
        <w:t xml:space="preserve">system was </w:t>
      </w:r>
      <w:r>
        <w:rPr>
          <w:iCs/>
        </w:rPr>
        <w:t xml:space="preserve">also </w:t>
      </w:r>
      <w:r w:rsidRPr="00CD0541">
        <w:rPr>
          <w:iCs/>
        </w:rPr>
        <w:t xml:space="preserve">developed in the </w:t>
      </w:r>
      <w:r w:rsidR="007E6330">
        <w:rPr>
          <w:iCs/>
        </w:rPr>
        <w:t>NSSL</w:t>
      </w:r>
      <w:r>
        <w:rPr>
          <w:iCs/>
        </w:rPr>
        <w:t xml:space="preserve"> </w:t>
      </w:r>
      <w:r w:rsidRPr="00CD0541">
        <w:rPr>
          <w:iCs/>
        </w:rPr>
        <w:t xml:space="preserve"> </w:t>
      </w:r>
      <w:r>
        <w:rPr>
          <w:iCs/>
        </w:rPr>
        <w:t xml:space="preserve">supported by the NOAA </w:t>
      </w:r>
      <w:r w:rsidRPr="00CD0541">
        <w:rPr>
          <w:iCs/>
        </w:rPr>
        <w:t xml:space="preserve">Warn-on-Forecast </w:t>
      </w:r>
      <w:r>
        <w:rPr>
          <w:iCs/>
        </w:rPr>
        <w:t xml:space="preserve">project </w:t>
      </w:r>
      <w:r>
        <w:rPr>
          <w:iCs/>
        </w:rPr>
        <w:fldChar w:fldCharType="begin"/>
      </w:r>
      <w:r>
        <w:rPr>
          <w:iCs/>
        </w:rPr>
        <w:instrText xml:space="preserve"> ADDIN ZOTERO_ITEM CSL_CITATION {"citationID":"Du4SVtgX","properties":{"formattedCitation":"(Stensrud et al. 2009, 2013)","plainCitation":"(Stensrud et al. 2009, 2013)","dontUpdate":true,"noteIndex":0},"citationItems":[{"id":355,"uris":["http://zotero.org/users/local/6VSApgKp/items/QD6E5MD8"],"itemData":{"id":355,"type":"article-journal","abstract":"The National Oceanic and Atmospheric Administration's (NOAA's) National Weather Service (NWS) issues warnings for severe thunderstorms, tornadoes, and flash floods because these phenomena are a threat to life and property. These warnings are presently based upon either visual confirmation of the phenomena or the observational detection of proxy signatures that are largely based upon radar observations. Convective-scale weather warnings are unique in the NWS, having little reliance on direct numerical forecast guidance. Because increasing severe thunderstorm, tornado, and flash-flood warning lead times are a key NOAA strategic mission goal designed to reduce the loss of life, injury, and economic costs of these high-impact weather phenomena, a new warning paradigm is needed in which numerical model forecasts play a larger role in convective-scale warnings. This new paradigm shifts the warning process from warn on detection to warn on forecast, and it has the potential to dramatically increase warning lead times. A warn-on-forecast system is envisioned as a probabilistic convective-scale ensemble analysis and forecast system that assimilates in-storm observations into a high-resolution convection-resolving model ensemble. The building blocks needed for such a system are presently available, and initial research results clearly illustrate the value of radar observations to the production of accurate analyses of convective weather systems and improved forecasts. Although a number of scientific and cultural challenges still need to be overcome, the potential benefits are significant. A probabilistic convective-scale warn-on-forecast system is a vision worth pursuing.","container-title":"Bulletin of the American Meteorological Society","DOI":"10.1175/2009BAMS2795.1","ISSN":"0003-0007, 1520-0477","issue":"10","language":"en","note":"publisher: American Meteorological Society\nsection: Bulletin of the American Meteorological Society","page":"1487-1500","source":"journals.ametsoc.org","title":"Convective-Scale Warn-on-Forecast System: A Vision for 2020","title-short":"Convective-Scale Warn-on-Forecast System","volume":"90","author":[{"family":"Stensrud","given":"David J."},{"family":"Xue","given":"Ming"},{"family":"Wicker","given":"Louis J."},{"family":"Kelleher","given":"Kevin E."},{"family":"Foster","given":"Michael P."},{"family":"Schaefer","given":"Joseph T."},{"family":"Schneider","given":"Russell S."},{"family":"Benjamin","given":"Stanley G."},{"family":"Weygandt","given":"Stephen S."},{"family":"Ferree","given":"John T."},{"family":"Tuell","given":"Jason P."}],"issued":{"date-parts":[["2009",10,1]]},"citation-key":"stensrudConvectiveScaleWarnonForecastSystem2009"}},{"id":356,"uris":["http://zotero.org/users/local/6VSApgKp/items/WFHAKFVX"],"itemData":{"id":356,"type":"article-journal","abstract":"The current status and challenges associated with two aspects of Warn-on-Forecast—a National Oceanic and Atmospheric Administration research project exploring the use of a convective-scale ensemble analysis and forecast system to support hazardous weather warning operations—are outlined. These two project aspects are the production of a rapidly-updating assimilation system to incorporate data from multiple radars into a single analysis, and the ability of short-range ensemble forecasts of hazardous convective weather events to provide guidance that could be used to extend warning lead times for tornadoes, hailstorms, damaging windstorms and flash floods. Results indicate that a three-dimensional variational assimilation system, that blends observations from multiple radars into a single analysis, shows utility when evaluated by forecasters in the Hazardous Weather Testbed and may help increase confidence in a warning decision. The ability of short-range convective-scale ensemble forecasts to provide guidance that could be used in warning operations is explored for five events: two tornadic supercell thunderstorms, a macroburst, a damaging windstorm and a flash flood. Results show that the ensemble forecasts of the three individual severe thunderstorm events are very good, while the forecasts from the damaging windstorm and flash flood events, associated with mesoscale convective systems, are mixed. Important interactions between mesoscale and convective-scale features occur for the mesoscale convective system events that strongly influence the quality of the convective-scale forecasts. The development of a successful Warn-on-Forecast system will take many years and require the collaborative efforts of researchers and operational forecasters to succeed.","collection-title":"6th European Conference on Severe Storms 2011. Palma de Mallorca, Spain","container-title":"Atmospheric Research","DOI":"10.1016/j.atmosres.2012.04.004","ISSN":"0169-8095","journalAbbreviation":"Atmospheric Research","language":"en","page":"2-16","source":"ScienceDirect","title":"Progress and challenges with Warn-on-Forecast","volume":"123","author":[{"family":"Stensrud","given":"David J."},{"family":"Wicker","given":"Louis J."},{"family":"Xue","given":"Ming"},{"family":"Dawson","given":"Daniel T."},{"family":"Yussouf","given":"Nusrat"},{"family":"Wheatley","given":"Dustan M."},{"family":"Thompson","given":"Therese E."},{"family":"Snook","given":"Nathan A."},{"family":"Smith","given":"Travis M."},{"family":"Schenkman","given":"Alexander D."},{"family":"Potvin","given":"Corey K."},{"family":"Mansell","given":"Edward R."},{"family":"Lei","given":"Ting"},{"family":"Kuhlman","given":"Kristin M."},{"family":"Jung","given":"Youngsun"},{"family":"Jones","given":"Thomas A."},{"family":"Gao","given":"Jidong"},{"family":"Coniglio","given":"Michael C."},{"family":"Brooks","given":"Harold E."},{"family":"Brewster","given":"Keith A."}],"issued":{"date-parts":[["2013",4,1]]},"citation-key":"stensrudProgressChallengesWarnonForecast2013"}}],"schema":"https://github.com/citation-style-language/schema/raw/master/csl-citation.json"} </w:instrText>
      </w:r>
      <w:r>
        <w:rPr>
          <w:iCs/>
        </w:rPr>
        <w:fldChar w:fldCharType="separate"/>
      </w:r>
      <w:r>
        <w:rPr>
          <w:iCs/>
          <w:noProof/>
        </w:rPr>
        <w:t>(</w:t>
      </w:r>
      <w:r w:rsidRPr="00CD0541">
        <w:rPr>
          <w:iCs/>
        </w:rPr>
        <w:t>WoF</w:t>
      </w:r>
      <w:r>
        <w:rPr>
          <w:iCs/>
        </w:rPr>
        <w:t>;</w:t>
      </w:r>
      <w:r>
        <w:rPr>
          <w:iCs/>
          <w:noProof/>
        </w:rPr>
        <w:t xml:space="preserve"> Stensrud et al. 2009, 2013)</w:t>
      </w:r>
      <w:r>
        <w:rPr>
          <w:iCs/>
        </w:rPr>
        <w:fldChar w:fldCharType="end"/>
      </w:r>
      <w:r>
        <w:rPr>
          <w:iCs/>
        </w:rPr>
        <w:t xml:space="preserve"> and</w:t>
      </w:r>
      <w:r w:rsidRPr="00CD0541">
        <w:rPr>
          <w:iCs/>
        </w:rPr>
        <w:t xml:space="preserve"> </w:t>
      </w:r>
      <w:r>
        <w:rPr>
          <w:iCs/>
        </w:rPr>
        <w:t>it is nam</w:t>
      </w:r>
      <w:r w:rsidRPr="00CD0541">
        <w:rPr>
          <w:iCs/>
        </w:rPr>
        <w:t xml:space="preserve">ed </w:t>
      </w:r>
      <w:r>
        <w:rPr>
          <w:iCs/>
        </w:rPr>
        <w:t xml:space="preserve">as WoF-Hybrid. </w:t>
      </w:r>
      <w:r w:rsidRPr="00CD0541">
        <w:rPr>
          <w:iCs/>
        </w:rPr>
        <w:t xml:space="preserve">It is a real-time, deterministic, weather adaptive, dual-resolution analysis and forecasting system. </w:t>
      </w:r>
      <w:r>
        <w:rPr>
          <w:iCs/>
        </w:rPr>
        <w:t>WoF-Hybrid</w:t>
      </w:r>
      <w:r w:rsidRPr="00CD0541">
        <w:rPr>
          <w:iCs/>
        </w:rPr>
        <w:t xml:space="preserve"> </w:t>
      </w:r>
      <w:r>
        <w:rPr>
          <w:iCs/>
        </w:rPr>
        <w:t>utilizes</w:t>
      </w:r>
      <w:r w:rsidRPr="00CD0541">
        <w:rPr>
          <w:iCs/>
        </w:rPr>
        <w:t xml:space="preserve"> </w:t>
      </w:r>
      <w:r>
        <w:rPr>
          <w:iCs/>
        </w:rPr>
        <w:t xml:space="preserve">the flow-dependent covariances from ensemble forecasts provided by </w:t>
      </w:r>
      <w:r w:rsidRPr="00CD0541">
        <w:rPr>
          <w:iCs/>
        </w:rPr>
        <w:t xml:space="preserve">the </w:t>
      </w:r>
      <w:r w:rsidR="007E6330">
        <w:rPr>
          <w:iCs/>
        </w:rPr>
        <w:t>WoFS</w:t>
      </w:r>
      <w:r w:rsidR="001964E0">
        <w:rPr>
          <w:iCs/>
        </w:rPr>
        <w:t xml:space="preserve"> </w:t>
      </w:r>
      <w:r w:rsidR="001964E0">
        <w:rPr>
          <w:iCs/>
        </w:rPr>
        <w:fldChar w:fldCharType="begin"/>
      </w:r>
      <w:r w:rsidR="001964E0">
        <w:rPr>
          <w:iCs/>
        </w:rPr>
        <w:instrText xml:space="preserve"> ADDIN ZOTERO_ITEM CSL_CITATION {"citationID":"NgYYex6o","properties":{"formattedCitation":"(Wheatley et al. 2015; Jones et al. 2016; Skinner et al. 2018; Yussouf et al. 2020a,b)","plainCitation":"(Wheatley et al. 2015; Jones et al. 2016; Skinner et al. 2018; Yussouf et al. 2020a,b)","noteIndex":0},"citationItems":[{"id":86,"uris":["http://zotero.org/users/local/6VSApgKp/items/4BQRKSFC"],"itemData":{"id":86,"type":"article-journal","abstract":"&lt;section class=\"abstract\"&gt;&lt;h2 class=\"abstractTitle text-title my-1\" id=\"d4223959e74\"&gt;Abstract&lt;/h2&gt;&lt;p&gt;This first part of a two-part study on storm-scale radar and satellite data assimilation provides an overview of a multicase study conducted as part of the NOAA Warn-on-Forecast (WoF) project. The NSSL Experimental WoF System for ensembles (NEWS-e) is used to produce storm-scale analyses and forecasts of six diverse severe weather events from spring 2013 and 2014. In this study, only Doppler reflectivity and radial velocity observations (and, when available, surface mesonet data) are assimilated into a 36-member, storm-scale ensemble using an ensemble Kalman filter (EnKF) approach. A series of 1-h ensemble forecasts are then initialized from storm-scale analyses during the 1-h period preceding the onset of storm reports. Of particular interest is the ability of these 0–1-h ensemble forecasts to reproduce the low-level rotational characteristics of supercell thunderstorms, as well as other convective hazards. For the tornado-producing thunderstorms considered in this study, ensemble probabilistic forecasts of low-level rotation generally indicated a rotating thunderstorm approximately 30 min before the time of first observed tornado. Displacement errors (often to the north of tornado-affected areas) associated with vorticity swaths were greatest in those forecasts launched 30–60 min before the time of first tornado. Similar forecasts were produced for a tornadic mesovortex along the leading edge of a bow echo and, again, highlighted a well-defined vorticity swath as much as 30 min prior to the first tornado.&lt;/p&gt;&lt;/section&gt;","container-title":"Weather and Forecasting","DOI":"10.1175/WAF-D-15-0043.1","ISSN":"1520-0434, 0882-8156","issue":"6","language":"EN","note":"publisher: American Meteorological Society\nsection: Weather and Forecasting","page":"1795-1817","source":"journals.ametsoc.org","title":"Storm-Scale Data Assimilation and Ensemble Forecasting with the NSSL Experimental Warn-on-Forecast System. Part I: Radar Data Experiments","title-short":"Storm-Scale Data Assimilation and Ensemble Forecasting with the NSSL Experimental Warn-on-Forecast System. Part I","volume":"30","author":[{"family":"Wheatley","given":"Dustan M."},{"family":"Knopfmeier","given":"Kent H."},{"family":"Jones","given":"Thomas A."},{"family":"Creager","given":"Gerald J."}],"issued":{"date-parts":[["2015",12,1]]},"citation-key":"wheatleyStormScaleDataAssimilation2015"}},{"id":94,"uris":["http://zotero.org/users/local/6VSApgKp/items/R7ACBQF9"],"itemData":{"id":94,"type":"article-journal","abstract":"&lt;section class=\"abstract\"&gt;&lt;h2 class=\"abstractTitle text-title my-1\" id=\"d4105766e88\"&gt;Abstract&lt;/h2&gt;&lt;p&gt;This research represents the second part of a two-part series describing the development of a prototype ensemble data assimilation system for the Warn-on-Forecast (WoF) project known as the NSSL Experimental WoF System for ensembles (NEWS-e). Part I describes the NEWS-e design and results from radar reflectivity and radial velocity data assimilation for six severe weather events occurring during 2013 and 2014. Part II describes the impact of assimilating satellite liquid and ice water path (LWP and IWP, respectively) retrievals from the GOES Imager along with the radar observations. Assimilating LWP and IWP observations may improve thermodynamic conditions at the surface over the storm-scale domain through better analysis of cloud coverage in the model compared to radar-only experiments. These improvements sometimes corresponded to an improved analysis of supercell storms leading to better forecasts of low-level vorticity. This positive impact was most evident for events where convection is not ongoing at the beginning of the radar and satellite data assimilation period. For more complex cases containing significant amounts of ongoing convection, only assimilating clear-sky satellite retrievals in place of clear-air reflectivity resulted in spurious regions of light precipitation compared to the radar-only experiments. The analyzed tornadic storms in these experiments are sometimes too weak and quickly diminished in intensity in the forecasts. The lessons learned as part of these experiments should lead to improved iterations of the NEWS-e system, building on the modestly successful results described here.&lt;/p&gt;&lt;/section&gt;","container-title":"Weather and Forecasting","DOI":"10.1175/WAF-D-15-0107.1","ISSN":"1520-0434, 0882-8156","issue":"1","language":"EN","note":"publisher: American Meteorological Society\nsection: Weather and Forecasting","page":"297-327","source":"journals.ametsoc.org","title":"Storm-Scale Data Assimilation and Ensemble Forecasting with the NSSL Experimental Warn-on-Forecast System. Part II: Combined Radar and Satellite Data Experiments","title-short":"Storm-Scale Data Assimilation and Ensemble Forecasting with the NSSL Experimental Warn-on-Forecast System. Part II","volume":"31","author":[{"family":"Jones","given":"Thomas A."},{"family":"Knopfmeier","given":"Kent"},{"family":"Wheatley","given":"Dustan"},{"family":"Creager","given":"Gerald"},{"family":"Minnis","given":"Patrick"},{"family":"Palikonda","given":"Rabindra"}],"issued":{"date-parts":[["2016",2,1]]},"citation-key":"jonesStormScaleDataAssimilation2016"}},{"id":135,"uris":["http://zotero.org/users/local/6VSApgKp/items/7CQRI4D5"],"itemData":{"id":135,"type":"article-journal","abstract":"&lt;section class=\"abstract\"&gt;&lt;h2 class=\"abstractTitle text-title my-1\" id=\"d3629245e265\"&gt;Abstract&lt;/h2&gt;&lt;p&gt;An object-based verification methodology for the NSSL Experimental Warn-on-Forecast System for ensembles (NEWS-e) has been developed and applied to 32 cases between December 2015 and June 2017. NEWS-e forecast objects of composite reflectivity and 30-min updraft helicity swaths are matched to corresponding reflectivity and rotation track objects in Multi-Radar Multi-Sensor system data on space and time scales typical of a National Weather Service warning. Object matching allows contingency-table-based verification statistics to be used to establish baseline performance metrics for NEWS-e thunderstorm and mesocyclone forecasts. NEWS-e critical success index (CSI) scores of reflectivity (updraft helicity) forecasts decrease from approximately 0.7 (0.4) to 0.4 (0.2) over 3 h of forecast time. CSI scores decrease through the forecast period, indicating that errors do not saturate during the 3-h forecast. Lower verification scores for rotation track forecasts are primarily a result of a high-frequency bias. Comparison of different system configurations used in 2016 and 2017 shows an increase in skill for 2017 reflectivity forecasts, attributable mainly to improvements in the forecast initial conditions. A small decrease in skill in 2017 rotation track forecasts is likely a result of sample differences between 2016 and 2017. Although large case-to-case variation is present, evidence is found that NEWS-e forecast skill improves with increasing object size and intensity.&lt;/p&gt;&lt;/section&gt;","container-title":"Weather and Forecasting","DOI":"10.1175/WAF-D-18-0020.1","ISSN":"1520-0434, 0882-8156","issue":"5","language":"EN","note":"publisher: American Meteorological Society\nsection: Weather and Forecasting","page":"1225-1250","source":"journals.ametsoc.org","title":"Object-Based Verification of a Prototype Warn-on-Forecast System","volume":"33","author":[{"family":"Skinner","given":"Patrick S."},{"family":"Wheatley","given":"Dustan M."},{"family":"Knopfmeier","given":"Kent H."},{"family":"Reinhart","given":"Anthony E."},{"family":"Choate","given":"Jessica J."},{"family":"Jones","given":"Thomas A."},{"family":"Creager","given":"Gerald J."},{"family":"Dowell","given":"David C."},{"family":"Alexander","given":"Curtis R."},{"family":"Ladwig","given":"Therese T."},{"family":"Wicker","given":"Louis J."},{"family":"Heinselman","given":"Pamela L."},{"family":"Minnis","given":"Patrick"},{"family":"Palikonda","given":"Rabindra"}],"issued":{"date-parts":[["2018",10,1]]},"citation-key":"skinnerObjectBasedVerificationPrototype2018"}},{"id":224,"uris":["http://zotero.org/users/local/6VSApgKp/items/R4RW4K64"],"itemData":{"id":224,"type":"article-journal","abstract":"Intense rainfall and flash flooding from landfalling tropical cyclones (LTC) can have devastating impacts on human life and property in coastal areas. The years 2017 and 2018 are examples of how the North Atlantic LTCs can create widespread destruction in the United States. Better preparedness is needed to mitigate the impact from the violent LTCs and can be achieved by improving the accuracy of forecasts and increased lead-time of guidance products. However, predicting the fine-scale details of rain bands in LTC is very challenging. This study attempts to elucidate the potential of National Severe Storms Laboratory's convective-scale ensemble analysis and prediction system, known as the Warn-on-Forecast System (WoFS), in improving 0–6 hr probabilistic intense rainfall forecasts from three recent LTCs in the United States. Results indicate that the frequent 15 min assimilation cycling can accurately analyse the small-scale details from the LTC rain bands in the WoFS analyses. The WoFS 0–6 hr ensemble forecasts initialized from those analyses represent the location, intensity and spatial distribution of intense rainfall (with the potential to cause flash flooding) as well as low-level rotation with reasonably good accuracy. The continuous flow of the frequently updated WoFS rainfall guidance has the potential to aid operational forecasters in issuing watches, warnings, and short-term forecast products of life-threatening LTC with higher spatial and temporal specificity.","container-title":"Quarterly Journal of the Royal Meteorological Society","DOI":"10.1002/qj.3779","ISSN":"1477-870X","issue":"730","language":"en","note":"_eprint: https://onlinelibrary.wiley.com/doi/pdf/10.1002/qj.3779","page":"2050-2065","source":"Wiley Online Library","title":"Probabilistic high-impact rainfall forecasts from landfalling tropical cyclones using Warn-on-Forecast system","volume":"146","author":[{"family":"Yussouf","given":"Nusrat"},{"family":"Jones","given":"Thomas A."},{"family":"Skinner","given":"Patrick S."}],"issued":{"date-parts":[["2020"]]},"citation-key":"yussoufProbabilisticHighimpactRainfall2020"}},{"id":369,"uris":["http://zotero.org/users/local/6VSApgKp/items/DIC4SSHE"],"itemData":{"id":369,"type":"article-journal","abstract":"Abstract The goal of the National Oceanic and Atmospheric Administration’s (NOAA) Warn-on-Forecast (WoF) program is to provide frequently updating, probabilistic model guidance that will enable National Weather Service (NWS) forecasters to produce more continuous communication of hazardous weather threats (e.g., heavy rainfall, flash floods, damaging wind, large hail, and tornadoes) between the watch and warning temporal and spatial scales. To evaluate the application of this WoF concept for probabilistic short-term flash flood prediction, the 0–3-h rainfall forecasts from NOAA National Severe Storms Laboratory’s (NSSL) experimental WoF System (WoFS) were integrated as the forcing to the NWS operational hydrologic modeling core within the Flooded Locations and Simulated Hydrographs (FLASH) system. Initial assessment of the potential impacts of probabilistic short-term flash flood forecasts from this coupled atmosphere–hydrology (WoFS-FLASH) modeling system were evaluated in the 2018 Hydrometeorology Testbed Multi-Radar Multi-Sensor Hydrology experiment held in Norman, Oklahoma. During the 3-week experiment period, a total of nine NWS forecasters analyzed three retrospective flash flood events in archive mode. This study will describe specifically what information participants extracted from the WoFS-FLASH products during these three archived events, and how this type of information is expected to impact operational decision-making processes. Overall feedback from the testbed participants’ evaluations show promise for the coupled NSSL WoFS-FLASH system probabilistic flash flood model guidance to enable earlier assessment and detection of flash flood threats and to advance the current warning lead time for these events.","container-title":"Journal of Hydrometeorology","DOI":"10.1175/JHM-D-19-0131.1","ISSN":"1525-7541, 1525-755X","issue":"1","language":"EN","note":"publisher: American Meteorological Society\nsection: Journal of Hydrometeorology","page":"123-141","source":"journals-ametsoc-org.ezproxy.lib.ou.edu","title":"The Coupling of NSSL Warn-on-Forecast and FLASH Systems for Probabilistic Flash Flood Prediction","volume":"21","author":[{"family":"Yussouf","given":"Nusrat"},{"family":"Wilson","given":"Katie A."},{"family":"Martinaitis","given":"Steven M."},{"family":"Vergara","given":"Humberto"},{"family":"Heinselman","given":"Pamela L."},{"family":"Gourley","given":"Jonathan J."}],"issued":{"date-parts":[["2020",1,1]]},"citation-key":"yussoufCouplingNSSLWarnonForecast2020"}}],"schema":"https://github.com/citation-style-language/schema/raw/master/csl-citation.json"} </w:instrText>
      </w:r>
      <w:r w:rsidR="001964E0">
        <w:rPr>
          <w:iCs/>
        </w:rPr>
        <w:fldChar w:fldCharType="separate"/>
      </w:r>
      <w:r w:rsidR="001964E0">
        <w:rPr>
          <w:iCs/>
          <w:noProof/>
        </w:rPr>
        <w:t xml:space="preserve">(Wheatley et al. 2015; </w:t>
      </w:r>
      <w:r w:rsidR="001964E0">
        <w:rPr>
          <w:iCs/>
          <w:noProof/>
        </w:rPr>
        <w:lastRenderedPageBreak/>
        <w:t>Jones et al. 2016; Skinner et al. 2018; Yussouf et al. 2020a,b)</w:t>
      </w:r>
      <w:r w:rsidR="001964E0">
        <w:rPr>
          <w:iCs/>
        </w:rPr>
        <w:fldChar w:fldCharType="end"/>
      </w:r>
      <w:r>
        <w:rPr>
          <w:iCs/>
        </w:rPr>
        <w:t>,</w:t>
      </w:r>
      <w:r w:rsidRPr="00CD0541">
        <w:rPr>
          <w:iCs/>
        </w:rPr>
        <w:t xml:space="preserve"> which provides an on-demand, rapidly updating, convection-allowing ensemble</w:t>
      </w:r>
      <w:r>
        <w:rPr>
          <w:iCs/>
        </w:rPr>
        <w:t xml:space="preserve"> forecasts to the end users</w:t>
      </w:r>
      <w:r w:rsidRPr="00CD0541">
        <w:rPr>
          <w:iCs/>
        </w:rPr>
        <w:t xml:space="preserve">. </w:t>
      </w:r>
      <w:r>
        <w:rPr>
          <w:iCs/>
        </w:rPr>
        <w:t xml:space="preserve">In WoF-Hybrid, </w:t>
      </w:r>
      <w:r>
        <w:rPr>
          <w:bCs/>
        </w:rPr>
        <w:t xml:space="preserve">the total static background covariances </w:t>
      </w:r>
      <w:r>
        <w:t>are prescribed a weight of 50% of the ensemble covariance</w:t>
      </w:r>
      <w:r w:rsidR="00F35DB8">
        <w:t>s</w:t>
      </w:r>
      <w:r>
        <w:t xml:space="preserve"> and the static error covariance</w:t>
      </w:r>
      <w:r w:rsidR="00F35DB8">
        <w:t>s</w:t>
      </w:r>
      <w:r>
        <w:t xml:space="preserve"> the remaining 50%</w:t>
      </w:r>
      <w:r w:rsidR="006A7CB4">
        <w:t xml:space="preserve"> </w:t>
      </w:r>
      <w:r w:rsidR="006A7CB4">
        <w:fldChar w:fldCharType="begin"/>
      </w:r>
      <w:r w:rsidR="006A7CB4">
        <w:instrText xml:space="preserve"> ADDIN ZOTERO_ITEM CSL_CITATION {"citationID":"1RBlSkpI","properties":{"formattedCitation":"(Wang et al. 2019)","plainCitation":"(Wang et al. 2019)","noteIndex":0},"citationItems":[{"id":293,"uris":["http://zotero.org/users/local/6VSApgKp/items/XKWFNB2K"],"itemData":{"id":293,"type":"article-journal","abstract":"Abstract A real-time, weather adaptive, dual-resolution, hybrid Warn-on-Forecast (WoF) analysis and forecast system using the WRF-ARW forecast model has been developed and implemented. The system includes two components, an ensemble analysis and forecast component, and a deterministic hybrid three-dimensional ensemble–variational (3DEnVAR) analysis and forecast component. The goal of the system is to provide on-demand, ensemble-based, and physically consistent gridded analysis and forecast products to forecasters for making warning decisions. Both components, the WRF-DART system with 36 ensemble members and the hybrid 3DEnVAR system, assimilate radar data, satellite-retrieved cloud water path, and surface observations at 15-min intervals with dual-resolution capability. In the current hybrid configuration, one-way coupling of the two analysis systems is performed: ensemble covariances derived from the WRF-DART system are incorporated into the hybrid 3DEnVAR system with each data assimilation (DA) cycle. This study examines deterministic, 3-h forecasts launched from the hybrid 3DEnVAR analyses every 30 min for three severe weather events in 2017. The performance of the deterministic component is evaluated for four configurations: dual-resolution coupling, single-resolution coupling, forecasts initialized using a cloud analysis for reflectivity assimilation, and forecasts initialized from the WRF-DART ensemble mean. Quantitative and subjective evaluation of composite reflectivity and updraft helicity (UH) swath forecasts for the three events indicate that the dual-resolution strategy without the cloud analysis performs best among the four configurations and provides the most realistic prediction of reflectivity patterns and UH tracks.","container-title":"Weather and Forecasting","DOI":"10.1175/WAF-D-19-0071.1","ISSN":"1520-0434, 0882-8156","issue":"6","language":"EN","note":"publisher: American Meteorological Society\nsection: Weather and Forecasting","page":"1807-1827","source":"journals.ametsoc.org","title":"Test of a Weather-Adaptive Dual-Resolution Hybrid Warn-on-Forecast Analysis and Forecast System for Several Severe Weather Events","volume":"34","author":[{"family":"Wang","given":"Yunheng"},{"family":"Gao","given":"Jidong"},{"family":"Skinner","given":"Patrick S."},{"family":"Knopfmeier","given":"Kent"},{"family":"Jones","given":"Thomas"},{"family":"Creager","given":"Gerry"},{"family":"Heiselman","given":"Pamela L."},{"family":"Wicker","given":"Louis J."}],"issued":{"date-parts":[["2019",12,1]]},"citation-key":"wangTestWeatherAdaptiveDualResolution2019"}}],"schema":"https://github.com/citation-style-language/schema/raw/master/csl-citation.json"} </w:instrText>
      </w:r>
      <w:r w:rsidR="006A7CB4">
        <w:fldChar w:fldCharType="separate"/>
      </w:r>
      <w:r w:rsidR="006A7CB4">
        <w:rPr>
          <w:noProof/>
        </w:rPr>
        <w:t>(Wang et al. 2019)</w:t>
      </w:r>
      <w:r w:rsidR="006A7CB4">
        <w:fldChar w:fldCharType="end"/>
      </w:r>
      <w:r>
        <w:t xml:space="preserve">. </w:t>
      </w:r>
      <w:r w:rsidRPr="00D738B7">
        <w:t>The weather-</w:t>
      </w:r>
      <w:r>
        <w:t>dependent</w:t>
      </w:r>
      <w:r w:rsidRPr="00D738B7">
        <w:t xml:space="preserve"> background error covariances </w:t>
      </w:r>
      <w:r>
        <w:t xml:space="preserve">tested in Chapter </w:t>
      </w:r>
      <w:r w:rsidR="006A7CB4">
        <w:t>4</w:t>
      </w:r>
      <w:r w:rsidRPr="00D738B7">
        <w:t xml:space="preserve"> are attractive due to their intuitive nature and simplicity. </w:t>
      </w:r>
      <w:r>
        <w:t xml:space="preserve">The question is how this new type of </w:t>
      </w:r>
      <w:r w:rsidRPr="00D738B7">
        <w:t>weather-</w:t>
      </w:r>
      <w:r>
        <w:t>dependent</w:t>
      </w:r>
      <w:r w:rsidRPr="00D738B7">
        <w:t xml:space="preserve"> background error covariances</w:t>
      </w:r>
      <w:r>
        <w:t xml:space="preserve"> could be combined and used in WoF-Hybrid? </w:t>
      </w:r>
      <w:r>
        <w:rPr>
          <w:bCs/>
        </w:rPr>
        <w:t>Under the hybrid ensemble variational framework, can utilizing the weather-dependent static background error covariance</w:t>
      </w:r>
      <w:r w:rsidR="00F35DB8">
        <w:rPr>
          <w:bCs/>
        </w:rPr>
        <w:t>s</w:t>
      </w:r>
      <w:r>
        <w:rPr>
          <w:bCs/>
        </w:rPr>
        <w:t xml:space="preserve"> also help improve the short-term severe weather forecasts? In this </w:t>
      </w:r>
      <w:r w:rsidR="00461A20">
        <w:rPr>
          <w:bCs/>
        </w:rPr>
        <w:t>chapter</w:t>
      </w:r>
      <w:r>
        <w:rPr>
          <w:bCs/>
        </w:rPr>
        <w:t>, we try to answer the above questions by</w:t>
      </w:r>
      <w:r w:rsidRPr="00A4024D">
        <w:rPr>
          <w:bCs/>
        </w:rPr>
        <w:t xml:space="preserve"> incorporat</w:t>
      </w:r>
      <w:r>
        <w:rPr>
          <w:bCs/>
        </w:rPr>
        <w:t>ing</w:t>
      </w:r>
      <w:r w:rsidRPr="00A4024D">
        <w:rPr>
          <w:bCs/>
        </w:rPr>
        <w:t xml:space="preserve"> weather-dependent background error covariances into </w:t>
      </w:r>
      <w:r w:rsidR="00DB6CE6">
        <w:rPr>
          <w:bCs/>
        </w:rPr>
        <w:t xml:space="preserve">the </w:t>
      </w:r>
      <w:r w:rsidRPr="00A4024D">
        <w:rPr>
          <w:bCs/>
        </w:rPr>
        <w:t xml:space="preserve">WoF-Hybrid system and </w:t>
      </w:r>
      <w:r w:rsidR="00DB6CE6" w:rsidRPr="00A4024D">
        <w:rPr>
          <w:bCs/>
        </w:rPr>
        <w:t>evaluat</w:t>
      </w:r>
      <w:r w:rsidR="00DB6CE6">
        <w:rPr>
          <w:bCs/>
        </w:rPr>
        <w:t>ing</w:t>
      </w:r>
      <w:r w:rsidR="00DB6CE6" w:rsidRPr="00A4024D">
        <w:rPr>
          <w:bCs/>
        </w:rPr>
        <w:t xml:space="preserve"> </w:t>
      </w:r>
      <w:r w:rsidRPr="00A4024D">
        <w:rPr>
          <w:bCs/>
        </w:rPr>
        <w:t>their impact on convective-scale analyses and short-term</w:t>
      </w:r>
      <w:r>
        <w:rPr>
          <w:bCs/>
        </w:rPr>
        <w:t xml:space="preserve"> </w:t>
      </w:r>
      <w:r w:rsidRPr="000F10E5">
        <w:rPr>
          <w:bCs/>
        </w:rPr>
        <w:t>0</w:t>
      </w:r>
      <w:r w:rsidR="00461A20">
        <w:rPr>
          <w:bCs/>
        </w:rPr>
        <w:t>-</w:t>
      </w:r>
      <w:r w:rsidRPr="000F10E5">
        <w:rPr>
          <w:bCs/>
        </w:rPr>
        <w:t xml:space="preserve"> </w:t>
      </w:r>
      <w:r w:rsidR="00461A20">
        <w:rPr>
          <w:bCs/>
        </w:rPr>
        <w:t>to</w:t>
      </w:r>
      <w:r w:rsidRPr="000F10E5">
        <w:rPr>
          <w:bCs/>
        </w:rPr>
        <w:t xml:space="preserve"> 6-h</w:t>
      </w:r>
      <w:r w:rsidR="00461A20">
        <w:rPr>
          <w:bCs/>
        </w:rPr>
        <w:t>our</w:t>
      </w:r>
      <w:r w:rsidRPr="000F10E5">
        <w:rPr>
          <w:bCs/>
        </w:rPr>
        <w:t xml:space="preserve"> </w:t>
      </w:r>
      <w:r w:rsidRPr="00A4024D">
        <w:rPr>
          <w:bCs/>
        </w:rPr>
        <w:t>severe weather forecasts</w:t>
      </w:r>
      <w:r>
        <w:rPr>
          <w:bCs/>
        </w:rPr>
        <w:t xml:space="preserve"> with five high-impact severe weather events</w:t>
      </w:r>
      <w:r w:rsidRPr="00A4024D">
        <w:rPr>
          <w:bCs/>
        </w:rPr>
        <w:t>.</w:t>
      </w:r>
    </w:p>
    <w:p w14:paraId="4A307C75" w14:textId="2084CDA2" w:rsidR="00F52997" w:rsidRPr="00B26AF4" w:rsidRDefault="00F52997" w:rsidP="00F52997">
      <w:pPr>
        <w:rPr>
          <w:bCs/>
        </w:rPr>
      </w:pPr>
      <w:r w:rsidRPr="00B26AF4">
        <w:rPr>
          <w:bCs/>
        </w:rPr>
        <w:t xml:space="preserve">This </w:t>
      </w:r>
      <w:r w:rsidR="00461A20">
        <w:rPr>
          <w:bCs/>
        </w:rPr>
        <w:t>chapter</w:t>
      </w:r>
      <w:r w:rsidRPr="00B26AF4">
        <w:rPr>
          <w:bCs/>
        </w:rPr>
        <w:t xml:space="preserve"> is organized as follows.</w:t>
      </w:r>
      <w:r>
        <w:rPr>
          <w:bCs/>
        </w:rPr>
        <w:t xml:space="preserve"> </w:t>
      </w:r>
      <w:r w:rsidR="00E762B3">
        <w:rPr>
          <w:bCs/>
        </w:rPr>
        <w:t>D</w:t>
      </w:r>
      <w:r w:rsidRPr="007F240A">
        <w:rPr>
          <w:bCs/>
        </w:rPr>
        <w:t>escription</w:t>
      </w:r>
      <w:r w:rsidR="00E762B3">
        <w:rPr>
          <w:bCs/>
        </w:rPr>
        <w:t>s</w:t>
      </w:r>
      <w:r w:rsidRPr="007F240A">
        <w:rPr>
          <w:bCs/>
        </w:rPr>
        <w:t xml:space="preserve"> of the experimental design and</w:t>
      </w:r>
      <w:r w:rsidR="00E762B3">
        <w:rPr>
          <w:bCs/>
        </w:rPr>
        <w:t xml:space="preserve"> the</w:t>
      </w:r>
      <w:r w:rsidRPr="007F240A">
        <w:rPr>
          <w:bCs/>
        </w:rPr>
        <w:t xml:space="preserve"> verification methods are detailed in Section </w:t>
      </w:r>
      <w:r w:rsidR="00E762B3">
        <w:rPr>
          <w:bCs/>
        </w:rPr>
        <w:t>5.2</w:t>
      </w:r>
      <w:r w:rsidRPr="007F240A">
        <w:rPr>
          <w:bCs/>
        </w:rPr>
        <w:t xml:space="preserve">. The results of the evaluation are presented in Section </w:t>
      </w:r>
      <w:r w:rsidR="00E762B3">
        <w:rPr>
          <w:bCs/>
        </w:rPr>
        <w:t>5.3</w:t>
      </w:r>
      <w:r w:rsidRPr="007F240A">
        <w:rPr>
          <w:bCs/>
        </w:rPr>
        <w:t>, which begins with a discussion of the aggregated results over all five selected severe weather events</w:t>
      </w:r>
      <w:r>
        <w:rPr>
          <w:bCs/>
        </w:rPr>
        <w:t>,</w:t>
      </w:r>
      <w:r w:rsidRPr="007F240A">
        <w:rPr>
          <w:bCs/>
        </w:rPr>
        <w:t xml:space="preserve"> </w:t>
      </w:r>
      <w:r>
        <w:rPr>
          <w:bCs/>
        </w:rPr>
        <w:t>followed by</w:t>
      </w:r>
      <w:r w:rsidRPr="007F240A">
        <w:rPr>
          <w:bCs/>
        </w:rPr>
        <w:t xml:space="preserve"> </w:t>
      </w:r>
      <w:r>
        <w:rPr>
          <w:bCs/>
        </w:rPr>
        <w:t xml:space="preserve">detailed </w:t>
      </w:r>
      <w:r w:rsidRPr="007F240A">
        <w:rPr>
          <w:bCs/>
        </w:rPr>
        <w:t>comparison</w:t>
      </w:r>
      <w:r>
        <w:rPr>
          <w:bCs/>
        </w:rPr>
        <w:t>s and discussions</w:t>
      </w:r>
      <w:r w:rsidRPr="007F240A">
        <w:rPr>
          <w:bCs/>
        </w:rPr>
        <w:t xml:space="preserve"> of the results</w:t>
      </w:r>
      <w:r>
        <w:rPr>
          <w:bCs/>
        </w:rPr>
        <w:t xml:space="preserve"> for three</w:t>
      </w:r>
      <w:r w:rsidR="00E762B3">
        <w:rPr>
          <w:bCs/>
        </w:rPr>
        <w:t xml:space="preserve"> selected</w:t>
      </w:r>
      <w:r>
        <w:rPr>
          <w:bCs/>
        </w:rPr>
        <w:t xml:space="preserve"> severe weather </w:t>
      </w:r>
      <w:r w:rsidR="00E762B3">
        <w:rPr>
          <w:bCs/>
        </w:rPr>
        <w:t>events</w:t>
      </w:r>
      <w:r w:rsidRPr="007F240A">
        <w:rPr>
          <w:bCs/>
        </w:rPr>
        <w:t xml:space="preserve">. The conclusions are finally provided in Section </w:t>
      </w:r>
      <w:r w:rsidR="00E762B3">
        <w:rPr>
          <w:bCs/>
        </w:rPr>
        <w:t>5.4</w:t>
      </w:r>
      <w:r w:rsidRPr="007F240A">
        <w:rPr>
          <w:bCs/>
        </w:rPr>
        <w:t>.</w:t>
      </w:r>
    </w:p>
    <w:p w14:paraId="69A32B1C" w14:textId="21D18144" w:rsidR="007F311C" w:rsidRDefault="007F311C" w:rsidP="00E762B3">
      <w:pPr>
        <w:ind w:firstLine="0"/>
      </w:pPr>
    </w:p>
    <w:p w14:paraId="3E420603" w14:textId="508C1F61" w:rsidR="00E762B3" w:rsidRPr="00AE184E" w:rsidRDefault="00E762B3">
      <w:pPr>
        <w:pStyle w:val="Heading2"/>
      </w:pPr>
      <w:bookmarkStart w:id="128" w:name="_Toc130995464"/>
      <w:bookmarkStart w:id="129" w:name="_Toc131018329"/>
      <w:r>
        <w:t xml:space="preserve">Description of </w:t>
      </w:r>
      <w:r w:rsidR="00025945">
        <w:t>E</w:t>
      </w:r>
      <w:r>
        <w:t xml:space="preserve">xperiments, </w:t>
      </w:r>
      <w:r w:rsidR="00025945">
        <w:t>A</w:t>
      </w:r>
      <w:r>
        <w:t xml:space="preserve">ssimilated </w:t>
      </w:r>
      <w:r w:rsidR="00025945">
        <w:t>O</w:t>
      </w:r>
      <w:r>
        <w:t xml:space="preserve">bservations and </w:t>
      </w:r>
      <w:r w:rsidR="00025945">
        <w:t>V</w:t>
      </w:r>
      <w:r>
        <w:t xml:space="preserve">erification </w:t>
      </w:r>
      <w:r w:rsidR="00025945">
        <w:t>M</w:t>
      </w:r>
      <w:r>
        <w:t>ethod</w:t>
      </w:r>
      <w:bookmarkEnd w:id="128"/>
      <w:bookmarkEnd w:id="129"/>
    </w:p>
    <w:p w14:paraId="315033D3" w14:textId="2407983B" w:rsidR="00E762B3" w:rsidRPr="00EF5D37" w:rsidRDefault="00E762B3">
      <w:pPr>
        <w:pStyle w:val="Heading3"/>
      </w:pPr>
      <w:bookmarkStart w:id="130" w:name="_Toc130995465"/>
      <w:bookmarkStart w:id="131" w:name="_Toc131018330"/>
      <w:r>
        <w:t xml:space="preserve">Experimental </w:t>
      </w:r>
      <w:r w:rsidR="00E6523E">
        <w:t>d</w:t>
      </w:r>
      <w:r>
        <w:t xml:space="preserve">esign and </w:t>
      </w:r>
      <w:r w:rsidR="00E6523E">
        <w:t>a</w:t>
      </w:r>
      <w:r>
        <w:t xml:space="preserve">ssimilated </w:t>
      </w:r>
      <w:r w:rsidR="00E6523E">
        <w:t>o</w:t>
      </w:r>
      <w:r>
        <w:t>bservations</w:t>
      </w:r>
      <w:bookmarkEnd w:id="130"/>
      <w:bookmarkEnd w:id="131"/>
    </w:p>
    <w:p w14:paraId="7897C7AE" w14:textId="55FD551C" w:rsidR="00E762B3" w:rsidRDefault="00E762B3" w:rsidP="00E762B3">
      <w:r>
        <w:t>WoF-Hybrid</w:t>
      </w:r>
      <w:r w:rsidRPr="0061623C">
        <w:t xml:space="preserve"> was </w:t>
      </w:r>
      <w:r w:rsidR="005F1423">
        <w:t>operated</w:t>
      </w:r>
      <w:r w:rsidRPr="0061623C">
        <w:t xml:space="preserve"> in real</w:t>
      </w:r>
      <w:r>
        <w:t>-</w:t>
      </w:r>
      <w:r w:rsidRPr="0061623C">
        <w:t xml:space="preserve">time for </w:t>
      </w:r>
      <w:r w:rsidR="005F1423">
        <w:t>roughly</w:t>
      </w:r>
      <w:r>
        <w:t xml:space="preserve"> 60 days</w:t>
      </w:r>
      <w:r w:rsidR="005F1423">
        <w:t xml:space="preserve">, excluding </w:t>
      </w:r>
      <w:r>
        <w:t>weekends</w:t>
      </w:r>
      <w:r w:rsidR="005F1423">
        <w:t>, during</w:t>
      </w:r>
      <w:r w:rsidR="005F1423" w:rsidRPr="0061623C">
        <w:t xml:space="preserve"> </w:t>
      </w:r>
      <w:r w:rsidR="005F1423">
        <w:t>two</w:t>
      </w:r>
      <w:r w:rsidR="005F1423" w:rsidRPr="0061623C">
        <w:t xml:space="preserve"> </w:t>
      </w:r>
      <w:r w:rsidR="005F1423">
        <w:t xml:space="preserve">separate </w:t>
      </w:r>
      <w:r w:rsidR="005F1423" w:rsidRPr="0061623C">
        <w:t>5-week HWT</w:t>
      </w:r>
      <w:r w:rsidR="005F1423">
        <w:t xml:space="preserve"> </w:t>
      </w:r>
      <w:r w:rsidR="005F1423" w:rsidRPr="0061623C">
        <w:t>SFE</w:t>
      </w:r>
      <w:r w:rsidR="005F1423">
        <w:t>s</w:t>
      </w:r>
      <w:r w:rsidR="005F1423" w:rsidRPr="0061623C">
        <w:t xml:space="preserve"> </w:t>
      </w:r>
      <w:r w:rsidR="005F1423">
        <w:t>occurring between</w:t>
      </w:r>
      <w:r w:rsidR="005F1423" w:rsidRPr="0061623C">
        <w:t xml:space="preserve"> April 2</w:t>
      </w:r>
      <w:r w:rsidR="005F1423">
        <w:t>7</w:t>
      </w:r>
      <w:r w:rsidR="005F1423" w:rsidRPr="00AE184E">
        <w:rPr>
          <w:vertAlign w:val="superscript"/>
        </w:rPr>
        <w:t>th</w:t>
      </w:r>
      <w:r w:rsidR="005F1423" w:rsidRPr="0061623C">
        <w:t xml:space="preserve"> </w:t>
      </w:r>
      <w:r w:rsidR="005F1423">
        <w:t>and</w:t>
      </w:r>
      <w:r w:rsidR="005F1423" w:rsidRPr="0061623C">
        <w:t xml:space="preserve"> May </w:t>
      </w:r>
      <w:r w:rsidR="005F1423">
        <w:t>29</w:t>
      </w:r>
      <w:r w:rsidR="005F1423" w:rsidRPr="00AE184E">
        <w:rPr>
          <w:vertAlign w:val="superscript"/>
        </w:rPr>
        <w:t>th</w:t>
      </w:r>
      <w:r w:rsidR="005F1423">
        <w:t>,</w:t>
      </w:r>
      <w:r w:rsidR="005F1423" w:rsidRPr="0061623C">
        <w:t xml:space="preserve"> 20</w:t>
      </w:r>
      <w:r w:rsidR="005F1423">
        <w:t>20 and between May 3</w:t>
      </w:r>
      <w:r w:rsidR="005F1423" w:rsidRPr="00AE184E">
        <w:rPr>
          <w:vertAlign w:val="superscript"/>
        </w:rPr>
        <w:t>rd</w:t>
      </w:r>
      <w:r w:rsidR="005F1423">
        <w:t xml:space="preserve"> to June 4</w:t>
      </w:r>
      <w:r w:rsidR="005F1423" w:rsidRPr="00AE184E">
        <w:rPr>
          <w:vertAlign w:val="superscript"/>
        </w:rPr>
        <w:t>th</w:t>
      </w:r>
      <w:r w:rsidR="005F1423">
        <w:t>, 2021</w:t>
      </w:r>
      <w:r w:rsidRPr="0061623C">
        <w:t xml:space="preserve">. </w:t>
      </w:r>
      <w:r w:rsidRPr="00407062">
        <w:t xml:space="preserve">Five </w:t>
      </w:r>
      <w:r>
        <w:t>high</w:t>
      </w:r>
      <w:r w:rsidR="00101AEA">
        <w:t>-</w:t>
      </w:r>
      <w:r>
        <w:t xml:space="preserve">impact </w:t>
      </w:r>
      <w:r w:rsidRPr="00407062">
        <w:t xml:space="preserve">severe weather events, each of which resulted in fatalities, </w:t>
      </w:r>
      <w:r w:rsidRPr="00407062">
        <w:lastRenderedPageBreak/>
        <w:t xml:space="preserve">injuries, or significant economic losses, </w:t>
      </w:r>
      <w:r>
        <w:t>are</w:t>
      </w:r>
      <w:r w:rsidRPr="00407062">
        <w:t xml:space="preserve"> selected </w:t>
      </w:r>
      <w:r>
        <w:t>from the above days for this study</w:t>
      </w:r>
      <w:r w:rsidRPr="00407062">
        <w:t xml:space="preserve">. The events </w:t>
      </w:r>
      <w:r>
        <w:rPr>
          <w:bCs/>
        </w:rPr>
        <w:t>occurred on 5 May 2020, 15 May 2020, 22 May 2020, 26 May 2021, and 10 Dec 2021 respectively.</w:t>
      </w:r>
      <w:r>
        <w:t xml:space="preserve"> </w:t>
      </w:r>
      <w:r w:rsidRPr="0061623C">
        <w:t xml:space="preserve">The date, </w:t>
      </w:r>
      <w:r>
        <w:t xml:space="preserve">the </w:t>
      </w:r>
      <w:r w:rsidRPr="0061623C">
        <w:t>highest risk</w:t>
      </w:r>
      <w:r>
        <w:t xml:space="preserve"> assigned by NOAA SPC</w:t>
      </w:r>
      <w:r w:rsidRPr="0061623C">
        <w:t>,</w:t>
      </w:r>
      <w:r>
        <w:t xml:space="preserve"> the</w:t>
      </w:r>
      <w:r w:rsidRPr="0061623C">
        <w:t xml:space="preserve"> </w:t>
      </w:r>
      <w:r>
        <w:t>number</w:t>
      </w:r>
      <w:r w:rsidRPr="0061623C">
        <w:t xml:space="preserve"> of tornado and hail</w:t>
      </w:r>
      <w:r>
        <w:t xml:space="preserve"> reports</w:t>
      </w:r>
      <w:r w:rsidRPr="0061623C">
        <w:t xml:space="preserve">, the storm mode </w:t>
      </w:r>
      <w:r>
        <w:t xml:space="preserve">and the verification period </w:t>
      </w:r>
      <w:r w:rsidRPr="0061623C">
        <w:t xml:space="preserve">for these events are presented in </w:t>
      </w:r>
      <w:r>
        <w:t>Table 5.1</w:t>
      </w:r>
      <w:r w:rsidRPr="0061623C">
        <w:t xml:space="preserve">. </w:t>
      </w:r>
      <w:r>
        <w:t>For each event, the domain covers an area of 601 × 601 grid points with 1.5-km horizontal grid spacing, resulting in a 900 × 900 km</w:t>
      </w:r>
      <w:r>
        <w:rPr>
          <w:vertAlign w:val="superscript"/>
        </w:rPr>
        <w:t>2</w:t>
      </w:r>
      <w:r>
        <w:t xml:space="preserve"> area, with its center determined by the Day 1 Convective Outlook from SPC. The domain has 51 </w:t>
      </w:r>
      <w:r w:rsidR="00842DEA">
        <w:rPr>
          <w:rFonts w:hint="eastAsia"/>
        </w:rPr>
        <w:t>vertical</w:t>
      </w:r>
      <w:r w:rsidR="00842DEA">
        <w:t xml:space="preserve"> </w:t>
      </w:r>
      <w:r>
        <w:t xml:space="preserve">levels. </w:t>
      </w:r>
      <w:r w:rsidRPr="00742A79">
        <w:t xml:space="preserve">The model physics configuration includes the </w:t>
      </w:r>
      <w:r>
        <w:t xml:space="preserve">NSSL 2-moment with CCN prediction microphysics scheme </w:t>
      </w:r>
      <w:r>
        <w:fldChar w:fldCharType="begin"/>
      </w:r>
      <w:r>
        <w:instrText xml:space="preserve"> ADDIN ZOTERO_ITEM CSL_CITATION {"citationID":"e0oXGMhJ","properties":{"formattedCitation":"(Mansell et al. 2010)","plainCitation":"(Mansell et al. 2010)","noteIndex":0},"citationItems":[{"id":161,"uris":["http://zotero.org/users/local/6VSApgKp/items/3EP5K4KA"],"itemData":{"id":161,"type":"article-journal","abstract":"&lt;section class=\"abstract\"&gt;&lt;h2 class=\"abstractTitle text-title my-1\" id=\"d132267571e75\"&gt;Abstract&lt;/h2&gt;&lt;p&gt;Electrification and lightning are simulated for a small continental multicell storm. The results are consistent with observations and thus provide additional understanding of the charging processes and evolution of this storm. The first six observed lightning flashes were all negative cloud-to-ground (CG) flashes, after which intracloud (IC) flashes also occurred between middle and upper levels of the storm. The model simulation reproduces the basic evolution of lightning from low and middle levels to upper levels. The observed lightning indicated an initial charge structure of at least an inverted dipole (negative charge above positive). The simulations show that noninductive charge separation higher in the storm can enhance the main negative charge sufficiently to produce negative CG flashes before upper-level IC flashes commence. The result is a “bottom-heavy” tripole charge structure with midlevel negative charge and a lower positive charge region that is more significant than the upper positive region, in contrast to the traditional tripole structure that has a less significant lower positive charge region. Additionally, the occurrence of cloud-to-ground lightning is not necessarily a result of excess net charge carried by the storm, but it is primarily caused by the local potential imbalance between the lowest charge regions.&lt;/p&gt;&lt;p&gt;The two-moment microphysics scheme used for this study predicted mass mixing ratio and number concentration of cloud droplets, rain, ice crystals, snow, and graupel. Bulk particle density of graupel was also predicted, which allows a single category to represent a greater range of particle characteristics. (An additional hail category is available but was not needed for the present study.) The prediction of hydrometeor number concentration is particularly critical for charge separation at higher temperatures (−5° &amp;lt; &lt;em&gt;T&lt;/em&gt; &amp;lt; −20°C) in the mixed phase region, where ice crystals are produced by rime fracturing (Hallett–Mossop process) and by splintering of freezing drops. Cloud droplet concentration prediction also affected the rates of inductive charge separation between graupel and droplets.&lt;/p&gt;&lt;/section&gt;","container-title":"Journal of the Atmospheric Sciences","DOI":"10.1175/2009JAS2965.1","ISSN":"0022-4928, 1520-0469","issue":"1","language":"EN","note":"publisher: American Meteorological Society\nsection: Journal of the Atmospheric Sciences","page":"171-194","source":"journals.ametsoc.org","title":"Simulated Electrification of a Small Thunderstorm with Two-Moment Bulk Microphysics","volume":"67","author":[{"family":"Mansell","given":"Edward R."},{"family":"Ziegler","given":"Conrad L."},{"family":"Bruning","given":"Eric C."}],"issued":{"date-parts":[["2010",1,1]]},"citation-key":"mansellSimulatedElectrificationSmall2010"}}],"schema":"https://github.com/citation-style-language/schema/raw/master/csl-citation.json"} </w:instrText>
      </w:r>
      <w:r>
        <w:fldChar w:fldCharType="separate"/>
      </w:r>
      <w:r>
        <w:rPr>
          <w:noProof/>
        </w:rPr>
        <w:t>(Mansell et al. 2010)</w:t>
      </w:r>
      <w:r>
        <w:fldChar w:fldCharType="end"/>
      </w:r>
      <w:r w:rsidRPr="00742A79">
        <w:t xml:space="preserve">, the </w:t>
      </w:r>
      <w:r>
        <w:rPr>
          <w:color w:val="000000"/>
          <w:shd w:val="clear" w:color="auto" w:fill="FFFFFF"/>
        </w:rPr>
        <w:t xml:space="preserve">Mellor-Yamada-Janjic </w:t>
      </w:r>
      <w:r w:rsidRPr="00742A79">
        <w:t>planetary boundary layer scheme</w:t>
      </w:r>
      <w:r>
        <w:t xml:space="preserve"> </w:t>
      </w:r>
      <w:r>
        <w:fldChar w:fldCharType="begin"/>
      </w:r>
      <w:r>
        <w:instrText xml:space="preserve"> ADDIN ZOTERO_ITEM CSL_CITATION {"citationID":"sRky4FnS","properties":{"formattedCitation":"(Janji\\uc0\\u263{} 1994)","plainCitation":"(Janjić 1994)","noteIndex":0},"citationItems":[{"id":319,"uris":["http://zotero.org/users/local/6VSApgKp/items/JQYYMSPH"],"itemData":{"id":319,"type":"article-journal","abstract":"Abstract The step-mountain eta model has shown a surprising skill in forecasting severe storms. Much of the credit for this should be given to the Betts and Miller (hereafter referred to as BM) convection scheme and the Mellor-Yamada (hereafter referred to as MY) planetary boundary layer (PBL) formulation. However, the eta model was occasionally producing heavy spurious precipitation over warm water, as well as widely spread light precipitation over oceans. In addition, the convective forcing, particularly the shallow one, could lead to negative entropy changes. As the possible causes of the problems, the convection scheme, the processes at the air-water interface, and the MY level 2 and level 2.5 PBL schemes were reexamined. A major revision of the BM scheme was made, a new marine viscous sublayer scheme was designed, and the MY schemes were retuned. The deep convective regimes are postulated to be characterized by a parameter called “cloud efficiency.” The relaxation time is extended for low cloud efficiencies and vice versa. It is also postulated that there is a range of reference equilibrium states. The specific reference state is chosen depending on the cloud efficiency. The treatment of the shallow cloud tops was modified, and the shallow reference humidity profiles are specified requiring that the entropy change be nonnegative. Over the oceans there are two layers: (a) a viscous sublayer with the vertical transports determined by the molecular diffusion, and (b) a layer above it with the vertical transports determined by the turbulence. The viscous sublayer operates in different regimes depending on the roughness Reynolds number. The MY level 2.5 turbulent kinetic energy (TKE) is initialized from above in the PBL, so that excessive TKE is dissipated at most places during the PBL spinup. The method for calculating the MY level 2.5 master length scale was rectified. To demonstrate the effects of the new schemes for the deep convection and the viscous sublayer, tests were made using two summer cases: one with heavy spurious precipitation, and another with a successful 36-h forecast of a tropical storm. The new schemes had dramatic positive impacts on the case with the spurious precipitation. The results were also favorable in the tropical storm case. The developments presented here were incorporated into the eta model in 1990. The details of further research will be reported elsewhere. The eta model became operational at the National Meteorological Center, Washington, D.C., in June 1993.","container-title":"Monthly Weather Review","DOI":"10.1175/1520-0493(1994)122&lt;0927:TSMECM&gt;2.0.CO;2","ISSN":"1520-0493, 0027-0644","issue":"5","language":"EN","note":"publisher: American Meteorological Society\nsection: Monthly Weather Review","page":"927-945","source":"journals.ametsoc.org","title":"The Step-Mountain Eta Coordinate Model: Further Developments of the Convection, Viscous Sublayer, and Turbulence Closure Schemes","title-short":"The Step-Mountain Eta Coordinate Model","volume":"122","author":[{"family":"Janjić","given":"Zaviša I."}],"issued":{"date-parts":[["1994",5,1]]},"citation-key":"janjicStepMountainEtaCoordinate1994"}}],"schema":"https://github.com/citation-style-language/schema/raw/master/csl-citation.json"} </w:instrText>
      </w:r>
      <w:r>
        <w:fldChar w:fldCharType="separate"/>
      </w:r>
      <w:r w:rsidRPr="00742A79">
        <w:t>(Janjić 1994)</w:t>
      </w:r>
      <w:r>
        <w:fldChar w:fldCharType="end"/>
      </w:r>
      <w:r w:rsidRPr="00742A79">
        <w:t xml:space="preserve">, the Rapid Radiative Transfer Model </w:t>
      </w:r>
      <w:r>
        <w:t xml:space="preserve">for general circulation models </w:t>
      </w:r>
      <w:r w:rsidRPr="00742A79">
        <w:t>(RRTM</w:t>
      </w:r>
      <w:r>
        <w:t>G</w:t>
      </w:r>
      <w:r w:rsidRPr="00742A79">
        <w:t>) longwave</w:t>
      </w:r>
      <w:r>
        <w:t xml:space="preserve"> and shortwave</w:t>
      </w:r>
      <w:r w:rsidRPr="00742A79">
        <w:t xml:space="preserve"> radiation scheme </w:t>
      </w:r>
      <w:r>
        <w:fldChar w:fldCharType="begin"/>
      </w:r>
      <w:r>
        <w:instrText xml:space="preserve"> ADDIN ZOTERO_ITEM CSL_CITATION {"citationID":"phdSzp29","properties":{"formattedCitation":"(Iacono et al. 2008)","plainCitation":"(Iacono et al. 2008)","noteIndex":0},"citationItems":[{"id":321,"uris":["http://zotero.org/users/local/6VSApgKp/items/C8MBS8WZ"],"itemData":{"id":321,"type":"article-journal","abstract":"A primary component of the observed recent climate change is the radiative forcing from increased concentrations of long-lived greenhouse gases (LLGHGs). Effective simulation of anthropogenic climate change by general circulation models (GCMs) is strongly dependent on the accurate representation of radiative processes associated with water vapor, ozone, and LLGHGs. In the context of the increasing application of the Atmospheric and Environmental Research, Inc. (AER), radiation models within the GCM community, their capability to calculate longwave and shortwave radiative forcing for clear sky scenarios previously examined by the radiative transfer model intercomparison project (RTMIP) is presented. Forcing calculations with the AER line-by-line (LBL) models are very consistent with the RTMIP line-by-line results in the longwave and shortwave. The AER broadband models, in all but one case, calculate longwave forcings within a range of −0.20 to 0.23 W m−2 of LBL calculations and shortwave forcings within a range of −0.16 to 0.38 W m−2 of LBL results. These models also perform well at the surface, which RTMIP identified as a level at which GCM radiation models have particular difficulty reproducing LBL fluxes. Heating profile perturbations calculated by the broadband models generally reproduce high-resolution calculations within a few hundredths K d−1 in the troposphere and within 0.15 K d−1 in the peak stratospheric heating near 1 hPa. In most cases, the AER broadband models provide radiative forcing results that are in closer agreement with high-resolution calculations than the GCM radiation codes examined by RTMIP, which supports the application of the AER models to climate change research.","container-title":"Journal of Geophysical Research: Atmospheres","DOI":"10.1029/2008JD009944","ISSN":"2156-2202","issue":"D13","language":"en","note":"_eprint: https://onlinelibrary.wiley.com/doi/pdf/10.1029/2008JD009944","source":"Wiley Online Library","title":"Radiative forcing by long-lived greenhouse gases: Calculations with the AER radiative transfer models","title-short":"Radiative forcing by long-lived greenhouse gases","URL":"https://onlinelibrary.wiley.com/doi/abs/10.1029/2008JD009944","volume":"113","author":[{"family":"Iacono","given":"Michael J."},{"family":"Delamere","given":"Jennifer S."},{"family":"Mlawer","given":"Eli J."},{"family":"Shephard","given":"Mark W."},{"family":"Clough","given":"Shepard A."},{"family":"Collins","given":"William D."}],"accessed":{"date-parts":[["2023",1,23]]},"issued":{"date-parts":[["2008"]]},"citation-key":"iaconoRadiativeForcingLonglived2008"}}],"schema":"https://github.com/citation-style-language/schema/raw/master/csl-citation.json"} </w:instrText>
      </w:r>
      <w:r>
        <w:fldChar w:fldCharType="separate"/>
      </w:r>
      <w:r>
        <w:rPr>
          <w:noProof/>
        </w:rPr>
        <w:t>(Iacono et al. 2008)</w:t>
      </w:r>
      <w:r>
        <w:fldChar w:fldCharType="end"/>
      </w:r>
      <w:r>
        <w:t xml:space="preserve">. </w:t>
      </w:r>
      <w:r w:rsidRPr="00742A79">
        <w:t>N</w:t>
      </w:r>
      <w:r>
        <w:t>o</w:t>
      </w:r>
      <w:r w:rsidRPr="00742A79">
        <w:t xml:space="preserve"> cumulus parameterization scheme </w:t>
      </w:r>
      <w:r>
        <w:t>is</w:t>
      </w:r>
      <w:r w:rsidRPr="00742A79">
        <w:t xml:space="preserve"> employed.</w:t>
      </w:r>
      <w:r w:rsidRPr="00D031ED">
        <w:t xml:space="preserve"> </w:t>
      </w:r>
      <w:r>
        <w:t>The initial background field is generated from 1-h forecasts initialized from 1400 UTC HRRR analyses, and the boundary conditions are generated by using HRRR forecasts launched at 1200 UTC. Each day, analyses are produced</w:t>
      </w:r>
      <w:r w:rsidRPr="00750572">
        <w:t xml:space="preserve"> </w:t>
      </w:r>
      <w:r>
        <w:t>at 15-min intervals between 1500 and 0300 UTC the next day. A</w:t>
      </w:r>
      <w:r w:rsidRPr="0061623C">
        <w:t xml:space="preserve"> 6-h forecast was launched at the top of each hour</w:t>
      </w:r>
      <w:r>
        <w:t xml:space="preserve"> </w:t>
      </w:r>
      <w:r w:rsidRPr="0061623C">
        <w:t>from 1</w:t>
      </w:r>
      <w:r>
        <w:t>8</w:t>
      </w:r>
      <w:r w:rsidRPr="0061623C">
        <w:t xml:space="preserve">00 to 0300 UTC the next day </w:t>
      </w:r>
      <w:r>
        <w:t>(Fig. 5.1).</w:t>
      </w:r>
    </w:p>
    <w:p w14:paraId="1B312624" w14:textId="47000EF9" w:rsidR="00E762B3" w:rsidRDefault="00E762B3" w:rsidP="00E762B3">
      <w:pPr>
        <w:pStyle w:val="NoSpacing"/>
      </w:pPr>
    </w:p>
    <w:p w14:paraId="684B3B33" w14:textId="5ACA2843" w:rsidR="00E762B3" w:rsidRPr="00D60A80" w:rsidRDefault="00E762B3" w:rsidP="00E762B3">
      <w:pPr>
        <w:pStyle w:val="Captions"/>
        <w:rPr>
          <w:szCs w:val="24"/>
        </w:rPr>
      </w:pPr>
      <w:bookmarkStart w:id="132" w:name="_Toc134695260"/>
      <w:r w:rsidRPr="00D60A80">
        <w:rPr>
          <w:szCs w:val="24"/>
        </w:rPr>
        <w:t xml:space="preserve">Table </w:t>
      </w:r>
      <w:r w:rsidR="00C96E3B" w:rsidRPr="00D60A80">
        <w:rPr>
          <w:szCs w:val="24"/>
        </w:rPr>
        <w:fldChar w:fldCharType="begin"/>
      </w:r>
      <w:r w:rsidR="00C96E3B" w:rsidRPr="00D60A80">
        <w:rPr>
          <w:szCs w:val="24"/>
        </w:rPr>
        <w:instrText xml:space="preserve"> STYLEREF 1 \s </w:instrText>
      </w:r>
      <w:r w:rsidR="00C96E3B" w:rsidRPr="00D60A80">
        <w:rPr>
          <w:szCs w:val="24"/>
        </w:rPr>
        <w:fldChar w:fldCharType="separate"/>
      </w:r>
      <w:r w:rsidR="00EF6098" w:rsidRPr="00D60A80">
        <w:rPr>
          <w:noProof/>
          <w:szCs w:val="24"/>
        </w:rPr>
        <w:t>5</w:t>
      </w:r>
      <w:r w:rsidR="00C96E3B" w:rsidRPr="00D60A80">
        <w:rPr>
          <w:noProof/>
          <w:szCs w:val="24"/>
        </w:rPr>
        <w:fldChar w:fldCharType="end"/>
      </w:r>
      <w:r w:rsidR="00EF6098" w:rsidRPr="00D60A80">
        <w:rPr>
          <w:szCs w:val="24"/>
        </w:rPr>
        <w:t>.</w:t>
      </w:r>
      <w:r w:rsidR="00C96E3B" w:rsidRPr="00D60A80">
        <w:rPr>
          <w:szCs w:val="24"/>
        </w:rPr>
        <w:fldChar w:fldCharType="begin"/>
      </w:r>
      <w:r w:rsidR="00C96E3B" w:rsidRPr="00D60A80">
        <w:rPr>
          <w:szCs w:val="24"/>
        </w:rPr>
        <w:instrText xml:space="preserve"> SEQ Table \* ARABIC \s 1 </w:instrText>
      </w:r>
      <w:r w:rsidR="00C96E3B" w:rsidRPr="00D60A80">
        <w:rPr>
          <w:szCs w:val="24"/>
        </w:rPr>
        <w:fldChar w:fldCharType="separate"/>
      </w:r>
      <w:r w:rsidR="00EF6098" w:rsidRPr="00D60A80">
        <w:rPr>
          <w:noProof/>
          <w:szCs w:val="24"/>
        </w:rPr>
        <w:t>1</w:t>
      </w:r>
      <w:r w:rsidR="00C96E3B" w:rsidRPr="00D60A80">
        <w:rPr>
          <w:noProof/>
          <w:szCs w:val="24"/>
        </w:rPr>
        <w:fldChar w:fldCharType="end"/>
      </w:r>
      <w:r w:rsidRPr="00D60A80">
        <w:rPr>
          <w:szCs w:val="24"/>
        </w:rPr>
        <w:t xml:space="preserve"> Events used for testing WoF-Hybrid with their associated </w:t>
      </w:r>
      <w:r w:rsidRPr="00D60A80">
        <w:rPr>
          <w:rFonts w:eastAsia="Times New Roman"/>
          <w:szCs w:val="24"/>
        </w:rPr>
        <w:t>highest risk, number of tornado and hail reports, affected states, storm mode and verification period</w:t>
      </w:r>
      <w:r w:rsidRPr="00D60A80">
        <w:rPr>
          <w:szCs w:val="24"/>
        </w:rPr>
        <w:t>.</w:t>
      </w:r>
      <w:bookmarkEnd w:id="132"/>
    </w:p>
    <w:tbl>
      <w:tblPr>
        <w:tblStyle w:val="TableGrid7"/>
        <w:tblW w:w="0" w:type="auto"/>
        <w:tblLayout w:type="fixed"/>
        <w:tblLook w:val="04A0" w:firstRow="1" w:lastRow="0" w:firstColumn="1" w:lastColumn="0" w:noHBand="0" w:noVBand="1"/>
      </w:tblPr>
      <w:tblGrid>
        <w:gridCol w:w="1174"/>
        <w:gridCol w:w="1296"/>
        <w:gridCol w:w="1110"/>
        <w:gridCol w:w="1041"/>
        <w:gridCol w:w="1404"/>
        <w:gridCol w:w="1170"/>
        <w:gridCol w:w="2155"/>
      </w:tblGrid>
      <w:tr w:rsidR="00E762B3" w:rsidRPr="00E762B3" w14:paraId="60DC6780" w14:textId="77777777" w:rsidTr="00B45862">
        <w:tc>
          <w:tcPr>
            <w:tcW w:w="1174" w:type="dxa"/>
            <w:vAlign w:val="center"/>
          </w:tcPr>
          <w:p w14:paraId="1CC07988" w14:textId="77777777" w:rsidR="00E762B3" w:rsidRPr="00E762B3" w:rsidRDefault="00E762B3" w:rsidP="00E762B3">
            <w:pPr>
              <w:spacing w:line="240" w:lineRule="auto"/>
              <w:ind w:firstLine="0"/>
              <w:jc w:val="center"/>
              <w:rPr>
                <w:rFonts w:cs="Times New Roman"/>
                <w:b/>
                <w:bCs/>
                <w:szCs w:val="24"/>
              </w:rPr>
            </w:pPr>
            <w:r w:rsidRPr="00E762B3">
              <w:rPr>
                <w:rFonts w:cs="Times New Roman"/>
                <w:b/>
                <w:bCs/>
                <w:szCs w:val="24"/>
              </w:rPr>
              <w:t>Event</w:t>
            </w:r>
          </w:p>
        </w:tc>
        <w:tc>
          <w:tcPr>
            <w:tcW w:w="1296" w:type="dxa"/>
            <w:vAlign w:val="center"/>
          </w:tcPr>
          <w:p w14:paraId="1F030DDB" w14:textId="77777777" w:rsidR="00E762B3" w:rsidRPr="00E762B3" w:rsidRDefault="00E762B3" w:rsidP="00E762B3">
            <w:pPr>
              <w:spacing w:line="240" w:lineRule="auto"/>
              <w:ind w:firstLine="0"/>
              <w:jc w:val="center"/>
              <w:rPr>
                <w:rFonts w:cs="Times New Roman"/>
                <w:b/>
                <w:bCs/>
                <w:szCs w:val="24"/>
              </w:rPr>
            </w:pPr>
            <w:r w:rsidRPr="00E762B3">
              <w:rPr>
                <w:rFonts w:cs="Times New Roman"/>
                <w:b/>
                <w:bCs/>
                <w:szCs w:val="24"/>
              </w:rPr>
              <w:t>SPC Outlook</w:t>
            </w:r>
          </w:p>
        </w:tc>
        <w:tc>
          <w:tcPr>
            <w:tcW w:w="1110" w:type="dxa"/>
            <w:vAlign w:val="center"/>
          </w:tcPr>
          <w:p w14:paraId="53374DEB" w14:textId="77777777" w:rsidR="00E762B3" w:rsidRPr="00E762B3" w:rsidRDefault="00E762B3" w:rsidP="00E762B3">
            <w:pPr>
              <w:spacing w:line="240" w:lineRule="auto"/>
              <w:ind w:firstLine="0"/>
              <w:jc w:val="center"/>
              <w:rPr>
                <w:rFonts w:cs="Times New Roman"/>
                <w:b/>
                <w:bCs/>
                <w:szCs w:val="24"/>
              </w:rPr>
            </w:pPr>
            <w:r w:rsidRPr="00E762B3">
              <w:rPr>
                <w:rFonts w:cs="Times New Roman"/>
                <w:b/>
                <w:bCs/>
                <w:szCs w:val="24"/>
              </w:rPr>
              <w:t>Tornado Reports</w:t>
            </w:r>
          </w:p>
        </w:tc>
        <w:tc>
          <w:tcPr>
            <w:tcW w:w="1041" w:type="dxa"/>
            <w:vAlign w:val="center"/>
          </w:tcPr>
          <w:p w14:paraId="0BB51587" w14:textId="77777777" w:rsidR="00E762B3" w:rsidRPr="00E762B3" w:rsidRDefault="00E762B3" w:rsidP="00E762B3">
            <w:pPr>
              <w:spacing w:line="240" w:lineRule="auto"/>
              <w:ind w:firstLine="0"/>
              <w:jc w:val="center"/>
              <w:rPr>
                <w:rFonts w:cs="Times New Roman"/>
                <w:b/>
                <w:bCs/>
                <w:szCs w:val="24"/>
              </w:rPr>
            </w:pPr>
            <w:r w:rsidRPr="00E762B3">
              <w:rPr>
                <w:rFonts w:cs="Times New Roman"/>
                <w:b/>
                <w:bCs/>
                <w:szCs w:val="24"/>
              </w:rPr>
              <w:t>Hail Reports</w:t>
            </w:r>
          </w:p>
        </w:tc>
        <w:tc>
          <w:tcPr>
            <w:tcW w:w="1404" w:type="dxa"/>
            <w:vAlign w:val="center"/>
          </w:tcPr>
          <w:p w14:paraId="3D0797C3" w14:textId="77777777" w:rsidR="00E762B3" w:rsidRPr="00E762B3" w:rsidRDefault="00E762B3" w:rsidP="00E762B3">
            <w:pPr>
              <w:spacing w:line="240" w:lineRule="auto"/>
              <w:ind w:firstLine="0"/>
              <w:jc w:val="center"/>
              <w:rPr>
                <w:rFonts w:cs="Times New Roman"/>
                <w:b/>
                <w:bCs/>
                <w:szCs w:val="24"/>
              </w:rPr>
            </w:pPr>
            <w:r w:rsidRPr="00E762B3">
              <w:rPr>
                <w:rFonts w:cs="Times New Roman"/>
                <w:b/>
                <w:bCs/>
                <w:szCs w:val="24"/>
              </w:rPr>
              <w:t>Affected States</w:t>
            </w:r>
          </w:p>
        </w:tc>
        <w:tc>
          <w:tcPr>
            <w:tcW w:w="1170" w:type="dxa"/>
            <w:vAlign w:val="center"/>
          </w:tcPr>
          <w:p w14:paraId="6755E4C3" w14:textId="77777777" w:rsidR="00E762B3" w:rsidRPr="00E762B3" w:rsidRDefault="00E762B3" w:rsidP="00E762B3">
            <w:pPr>
              <w:spacing w:line="240" w:lineRule="auto"/>
              <w:ind w:firstLine="0"/>
              <w:jc w:val="center"/>
              <w:rPr>
                <w:rFonts w:cs="Times New Roman"/>
                <w:b/>
                <w:bCs/>
                <w:szCs w:val="24"/>
              </w:rPr>
            </w:pPr>
            <w:r w:rsidRPr="00E762B3">
              <w:rPr>
                <w:rFonts w:cs="Times New Roman"/>
                <w:b/>
                <w:bCs/>
                <w:szCs w:val="24"/>
              </w:rPr>
              <w:t>Storm Mode</w:t>
            </w:r>
          </w:p>
        </w:tc>
        <w:tc>
          <w:tcPr>
            <w:tcW w:w="2155" w:type="dxa"/>
            <w:vAlign w:val="center"/>
          </w:tcPr>
          <w:p w14:paraId="6535ED45" w14:textId="77777777" w:rsidR="00E762B3" w:rsidRPr="00E762B3" w:rsidRDefault="00E762B3" w:rsidP="00E762B3">
            <w:pPr>
              <w:spacing w:line="240" w:lineRule="auto"/>
              <w:ind w:firstLine="0"/>
              <w:jc w:val="center"/>
              <w:rPr>
                <w:rFonts w:cs="Times New Roman"/>
                <w:b/>
                <w:bCs/>
                <w:szCs w:val="24"/>
              </w:rPr>
            </w:pPr>
            <w:r w:rsidRPr="00E762B3">
              <w:rPr>
                <w:rFonts w:cs="Times New Roman"/>
                <w:b/>
                <w:bCs/>
                <w:szCs w:val="24"/>
              </w:rPr>
              <w:t>Verification Period</w:t>
            </w:r>
          </w:p>
        </w:tc>
      </w:tr>
      <w:tr w:rsidR="00E762B3" w:rsidRPr="00E762B3" w14:paraId="0C8B13E8" w14:textId="77777777" w:rsidTr="00B45862">
        <w:tc>
          <w:tcPr>
            <w:tcW w:w="1174" w:type="dxa"/>
            <w:vAlign w:val="center"/>
          </w:tcPr>
          <w:p w14:paraId="027B87E0" w14:textId="77777777" w:rsidR="00E762B3" w:rsidRPr="00E762B3" w:rsidRDefault="00E762B3" w:rsidP="00E762B3">
            <w:pPr>
              <w:spacing w:line="240" w:lineRule="auto"/>
              <w:ind w:firstLine="0"/>
              <w:jc w:val="center"/>
              <w:rPr>
                <w:rFonts w:cs="Times New Roman"/>
                <w:szCs w:val="24"/>
              </w:rPr>
            </w:pPr>
            <w:r w:rsidRPr="00E762B3">
              <w:rPr>
                <w:rFonts w:cs="Times New Roman"/>
                <w:szCs w:val="24"/>
              </w:rPr>
              <w:t>5 May 2020</w:t>
            </w:r>
          </w:p>
        </w:tc>
        <w:tc>
          <w:tcPr>
            <w:tcW w:w="1296" w:type="dxa"/>
            <w:vAlign w:val="center"/>
          </w:tcPr>
          <w:p w14:paraId="58183ED7" w14:textId="77777777" w:rsidR="00E762B3" w:rsidRPr="00E762B3" w:rsidRDefault="00E762B3" w:rsidP="00E762B3">
            <w:pPr>
              <w:spacing w:line="240" w:lineRule="auto"/>
              <w:ind w:firstLine="0"/>
              <w:jc w:val="center"/>
              <w:rPr>
                <w:rFonts w:cs="Times New Roman"/>
                <w:szCs w:val="24"/>
              </w:rPr>
            </w:pPr>
            <w:r w:rsidRPr="00E762B3">
              <w:rPr>
                <w:rFonts w:cs="Times New Roman"/>
                <w:szCs w:val="24"/>
              </w:rPr>
              <w:t>Slight</w:t>
            </w:r>
          </w:p>
        </w:tc>
        <w:tc>
          <w:tcPr>
            <w:tcW w:w="1110" w:type="dxa"/>
            <w:vAlign w:val="center"/>
          </w:tcPr>
          <w:p w14:paraId="352FAD3A" w14:textId="77777777" w:rsidR="00E762B3" w:rsidRPr="00E762B3" w:rsidRDefault="00E762B3" w:rsidP="00E762B3">
            <w:pPr>
              <w:spacing w:line="240" w:lineRule="auto"/>
              <w:ind w:firstLine="0"/>
              <w:jc w:val="center"/>
              <w:rPr>
                <w:rFonts w:cs="Times New Roman"/>
                <w:szCs w:val="24"/>
              </w:rPr>
            </w:pPr>
            <w:r w:rsidRPr="00E762B3">
              <w:rPr>
                <w:rFonts w:cs="Times New Roman"/>
                <w:szCs w:val="24"/>
              </w:rPr>
              <w:t>3</w:t>
            </w:r>
          </w:p>
        </w:tc>
        <w:tc>
          <w:tcPr>
            <w:tcW w:w="1041" w:type="dxa"/>
            <w:vAlign w:val="center"/>
          </w:tcPr>
          <w:p w14:paraId="011562DD" w14:textId="77777777" w:rsidR="00E762B3" w:rsidRPr="00E762B3" w:rsidRDefault="00E762B3" w:rsidP="00E762B3">
            <w:pPr>
              <w:spacing w:line="240" w:lineRule="auto"/>
              <w:ind w:firstLine="0"/>
              <w:jc w:val="center"/>
              <w:rPr>
                <w:rFonts w:cs="Times New Roman"/>
                <w:szCs w:val="24"/>
              </w:rPr>
            </w:pPr>
            <w:r w:rsidRPr="00E762B3">
              <w:rPr>
                <w:rFonts w:cs="Times New Roman"/>
                <w:szCs w:val="24"/>
              </w:rPr>
              <w:t>25</w:t>
            </w:r>
          </w:p>
        </w:tc>
        <w:tc>
          <w:tcPr>
            <w:tcW w:w="1404" w:type="dxa"/>
            <w:vAlign w:val="center"/>
          </w:tcPr>
          <w:p w14:paraId="2C7E7521" w14:textId="77777777" w:rsidR="00E762B3" w:rsidRPr="00E762B3" w:rsidRDefault="00E762B3" w:rsidP="00E762B3">
            <w:pPr>
              <w:spacing w:line="240" w:lineRule="auto"/>
              <w:ind w:firstLine="0"/>
              <w:jc w:val="center"/>
              <w:rPr>
                <w:rFonts w:cs="Times New Roman"/>
                <w:szCs w:val="24"/>
              </w:rPr>
            </w:pPr>
            <w:r w:rsidRPr="00E762B3">
              <w:rPr>
                <w:rFonts w:cs="Times New Roman"/>
                <w:szCs w:val="24"/>
              </w:rPr>
              <w:t>SC, NC</w:t>
            </w:r>
          </w:p>
        </w:tc>
        <w:tc>
          <w:tcPr>
            <w:tcW w:w="1170" w:type="dxa"/>
            <w:vAlign w:val="center"/>
          </w:tcPr>
          <w:p w14:paraId="0A60395A" w14:textId="77777777" w:rsidR="00E762B3" w:rsidRPr="00E762B3" w:rsidRDefault="00E762B3" w:rsidP="00E762B3">
            <w:pPr>
              <w:spacing w:line="240" w:lineRule="auto"/>
              <w:ind w:firstLine="0"/>
              <w:jc w:val="center"/>
              <w:rPr>
                <w:rFonts w:cs="Times New Roman"/>
                <w:szCs w:val="24"/>
              </w:rPr>
            </w:pPr>
            <w:r w:rsidRPr="00E762B3">
              <w:rPr>
                <w:rFonts w:cs="Times New Roman"/>
                <w:szCs w:val="24"/>
              </w:rPr>
              <w:t>Mixed</w:t>
            </w:r>
          </w:p>
        </w:tc>
        <w:tc>
          <w:tcPr>
            <w:tcW w:w="2155" w:type="dxa"/>
            <w:vAlign w:val="center"/>
          </w:tcPr>
          <w:p w14:paraId="2884DFD1" w14:textId="77777777" w:rsidR="00E762B3" w:rsidRPr="00E762B3" w:rsidRDefault="00E762B3" w:rsidP="00E762B3">
            <w:pPr>
              <w:spacing w:line="240" w:lineRule="auto"/>
              <w:ind w:firstLine="0"/>
              <w:jc w:val="center"/>
              <w:rPr>
                <w:rFonts w:cs="Times New Roman"/>
                <w:szCs w:val="24"/>
              </w:rPr>
            </w:pPr>
            <w:r w:rsidRPr="00E762B3">
              <w:rPr>
                <w:rFonts w:cs="Times New Roman"/>
                <w:szCs w:val="24"/>
              </w:rPr>
              <w:t>1800 – 0000 UTC</w:t>
            </w:r>
          </w:p>
        </w:tc>
      </w:tr>
      <w:tr w:rsidR="00E762B3" w:rsidRPr="00E762B3" w14:paraId="4547E09F" w14:textId="77777777" w:rsidTr="00B45862">
        <w:tc>
          <w:tcPr>
            <w:tcW w:w="1174" w:type="dxa"/>
            <w:vAlign w:val="center"/>
          </w:tcPr>
          <w:p w14:paraId="4E87653D" w14:textId="77777777" w:rsidR="00E762B3" w:rsidRPr="00E762B3" w:rsidRDefault="00E762B3" w:rsidP="00E762B3">
            <w:pPr>
              <w:spacing w:line="240" w:lineRule="auto"/>
              <w:ind w:firstLine="0"/>
              <w:jc w:val="center"/>
              <w:rPr>
                <w:rFonts w:cs="Times New Roman"/>
                <w:szCs w:val="24"/>
              </w:rPr>
            </w:pPr>
            <w:r w:rsidRPr="00E762B3">
              <w:rPr>
                <w:rFonts w:cs="Times New Roman"/>
                <w:szCs w:val="24"/>
              </w:rPr>
              <w:t>15 May 2020</w:t>
            </w:r>
          </w:p>
        </w:tc>
        <w:tc>
          <w:tcPr>
            <w:tcW w:w="1296" w:type="dxa"/>
            <w:vAlign w:val="center"/>
          </w:tcPr>
          <w:p w14:paraId="3B43AEF6" w14:textId="77777777" w:rsidR="00E762B3" w:rsidRPr="00E762B3" w:rsidRDefault="00E762B3" w:rsidP="00E762B3">
            <w:pPr>
              <w:spacing w:line="240" w:lineRule="auto"/>
              <w:ind w:firstLine="0"/>
              <w:jc w:val="center"/>
              <w:rPr>
                <w:rFonts w:cs="Times New Roman"/>
                <w:szCs w:val="24"/>
              </w:rPr>
            </w:pPr>
            <w:r w:rsidRPr="00E762B3">
              <w:rPr>
                <w:rFonts w:cs="Times New Roman"/>
                <w:szCs w:val="24"/>
              </w:rPr>
              <w:t>Enhanced</w:t>
            </w:r>
          </w:p>
        </w:tc>
        <w:tc>
          <w:tcPr>
            <w:tcW w:w="1110" w:type="dxa"/>
            <w:vAlign w:val="center"/>
          </w:tcPr>
          <w:p w14:paraId="2E9BF4C6" w14:textId="77777777" w:rsidR="00E762B3" w:rsidRPr="00E762B3" w:rsidRDefault="00E762B3" w:rsidP="00E762B3">
            <w:pPr>
              <w:spacing w:line="240" w:lineRule="auto"/>
              <w:ind w:firstLine="0"/>
              <w:jc w:val="center"/>
              <w:rPr>
                <w:rFonts w:cs="Times New Roman"/>
                <w:szCs w:val="24"/>
              </w:rPr>
            </w:pPr>
            <w:r w:rsidRPr="00E762B3">
              <w:rPr>
                <w:rFonts w:cs="Times New Roman"/>
                <w:szCs w:val="24"/>
              </w:rPr>
              <w:t>3</w:t>
            </w:r>
          </w:p>
        </w:tc>
        <w:tc>
          <w:tcPr>
            <w:tcW w:w="1041" w:type="dxa"/>
            <w:vAlign w:val="center"/>
          </w:tcPr>
          <w:p w14:paraId="300A2EDD" w14:textId="77777777" w:rsidR="00E762B3" w:rsidRPr="00E762B3" w:rsidRDefault="00E762B3" w:rsidP="00E762B3">
            <w:pPr>
              <w:spacing w:line="240" w:lineRule="auto"/>
              <w:ind w:firstLine="0"/>
              <w:jc w:val="center"/>
              <w:rPr>
                <w:rFonts w:cs="Times New Roman"/>
                <w:szCs w:val="24"/>
              </w:rPr>
            </w:pPr>
            <w:r w:rsidRPr="00E762B3">
              <w:rPr>
                <w:rFonts w:cs="Times New Roman"/>
                <w:szCs w:val="24"/>
              </w:rPr>
              <w:t>50</w:t>
            </w:r>
          </w:p>
        </w:tc>
        <w:tc>
          <w:tcPr>
            <w:tcW w:w="1404" w:type="dxa"/>
            <w:vAlign w:val="center"/>
          </w:tcPr>
          <w:p w14:paraId="11B4B372" w14:textId="77777777" w:rsidR="00E762B3" w:rsidRPr="00E762B3" w:rsidRDefault="00E762B3" w:rsidP="00E762B3">
            <w:pPr>
              <w:spacing w:line="240" w:lineRule="auto"/>
              <w:ind w:firstLine="0"/>
              <w:jc w:val="center"/>
              <w:rPr>
                <w:rFonts w:cs="Times New Roman"/>
                <w:szCs w:val="24"/>
              </w:rPr>
            </w:pPr>
            <w:r w:rsidRPr="00E762B3">
              <w:rPr>
                <w:rFonts w:cs="Times New Roman"/>
                <w:szCs w:val="24"/>
              </w:rPr>
              <w:t>OK, TX, AR</w:t>
            </w:r>
          </w:p>
        </w:tc>
        <w:tc>
          <w:tcPr>
            <w:tcW w:w="1170" w:type="dxa"/>
            <w:vAlign w:val="center"/>
          </w:tcPr>
          <w:p w14:paraId="5C54EA1D" w14:textId="77777777" w:rsidR="00E762B3" w:rsidRPr="00E762B3" w:rsidRDefault="00E762B3" w:rsidP="00E762B3">
            <w:pPr>
              <w:spacing w:line="240" w:lineRule="auto"/>
              <w:ind w:firstLine="0"/>
              <w:jc w:val="center"/>
              <w:rPr>
                <w:rFonts w:cs="Times New Roman"/>
                <w:szCs w:val="24"/>
              </w:rPr>
            </w:pPr>
            <w:r w:rsidRPr="00E762B3">
              <w:rPr>
                <w:rFonts w:cs="Times New Roman"/>
                <w:szCs w:val="24"/>
              </w:rPr>
              <w:t>Linear</w:t>
            </w:r>
          </w:p>
        </w:tc>
        <w:tc>
          <w:tcPr>
            <w:tcW w:w="2155" w:type="dxa"/>
            <w:vAlign w:val="center"/>
          </w:tcPr>
          <w:p w14:paraId="40A6423C" w14:textId="77777777" w:rsidR="00E762B3" w:rsidRPr="00E762B3" w:rsidRDefault="00E762B3" w:rsidP="00E762B3">
            <w:pPr>
              <w:spacing w:line="240" w:lineRule="auto"/>
              <w:ind w:firstLine="0"/>
              <w:jc w:val="center"/>
              <w:rPr>
                <w:rFonts w:cs="Times New Roman"/>
                <w:szCs w:val="24"/>
              </w:rPr>
            </w:pPr>
            <w:r w:rsidRPr="00E762B3">
              <w:rPr>
                <w:rFonts w:cs="Times New Roman"/>
                <w:szCs w:val="24"/>
              </w:rPr>
              <w:t>1800 – 0000 UTC</w:t>
            </w:r>
          </w:p>
        </w:tc>
      </w:tr>
      <w:tr w:rsidR="00E762B3" w:rsidRPr="00E762B3" w14:paraId="0F5CC5C8" w14:textId="77777777" w:rsidTr="00B45862">
        <w:tc>
          <w:tcPr>
            <w:tcW w:w="1174" w:type="dxa"/>
            <w:vAlign w:val="center"/>
          </w:tcPr>
          <w:p w14:paraId="71811205" w14:textId="77777777" w:rsidR="00E762B3" w:rsidRPr="00E762B3" w:rsidRDefault="00E762B3" w:rsidP="00E762B3">
            <w:pPr>
              <w:spacing w:line="240" w:lineRule="auto"/>
              <w:ind w:firstLine="0"/>
              <w:jc w:val="center"/>
              <w:rPr>
                <w:rFonts w:cs="Times New Roman"/>
                <w:szCs w:val="24"/>
              </w:rPr>
            </w:pPr>
            <w:r w:rsidRPr="00E762B3">
              <w:rPr>
                <w:rFonts w:cs="Times New Roman"/>
                <w:szCs w:val="24"/>
              </w:rPr>
              <w:t>22 May 2020</w:t>
            </w:r>
          </w:p>
        </w:tc>
        <w:tc>
          <w:tcPr>
            <w:tcW w:w="1296" w:type="dxa"/>
            <w:vAlign w:val="center"/>
          </w:tcPr>
          <w:p w14:paraId="7F9D36FC" w14:textId="77777777" w:rsidR="00E762B3" w:rsidRPr="00E762B3" w:rsidRDefault="00E762B3" w:rsidP="00E762B3">
            <w:pPr>
              <w:spacing w:line="240" w:lineRule="auto"/>
              <w:ind w:firstLine="0"/>
              <w:jc w:val="center"/>
              <w:rPr>
                <w:rFonts w:cs="Times New Roman"/>
                <w:szCs w:val="24"/>
              </w:rPr>
            </w:pPr>
            <w:r w:rsidRPr="00E762B3">
              <w:rPr>
                <w:rFonts w:cs="Times New Roman"/>
                <w:szCs w:val="24"/>
              </w:rPr>
              <w:t>Enhanced</w:t>
            </w:r>
          </w:p>
        </w:tc>
        <w:tc>
          <w:tcPr>
            <w:tcW w:w="1110" w:type="dxa"/>
            <w:vAlign w:val="center"/>
          </w:tcPr>
          <w:p w14:paraId="4D535469" w14:textId="77777777" w:rsidR="00E762B3" w:rsidRPr="00E762B3" w:rsidRDefault="00E762B3" w:rsidP="00E762B3">
            <w:pPr>
              <w:spacing w:line="240" w:lineRule="auto"/>
              <w:ind w:firstLine="0"/>
              <w:jc w:val="center"/>
              <w:rPr>
                <w:rFonts w:cs="Times New Roman"/>
                <w:szCs w:val="24"/>
              </w:rPr>
            </w:pPr>
            <w:r w:rsidRPr="00E762B3">
              <w:rPr>
                <w:rFonts w:cs="Times New Roman"/>
                <w:szCs w:val="24"/>
              </w:rPr>
              <w:t>8</w:t>
            </w:r>
          </w:p>
        </w:tc>
        <w:tc>
          <w:tcPr>
            <w:tcW w:w="1041" w:type="dxa"/>
            <w:vAlign w:val="center"/>
          </w:tcPr>
          <w:p w14:paraId="10DA2B85" w14:textId="77777777" w:rsidR="00E762B3" w:rsidRPr="00E762B3" w:rsidRDefault="00E762B3" w:rsidP="00E762B3">
            <w:pPr>
              <w:spacing w:line="240" w:lineRule="auto"/>
              <w:ind w:firstLine="0"/>
              <w:jc w:val="center"/>
              <w:rPr>
                <w:rFonts w:cs="Times New Roman"/>
                <w:szCs w:val="24"/>
              </w:rPr>
            </w:pPr>
            <w:r w:rsidRPr="00E762B3">
              <w:rPr>
                <w:rFonts w:cs="Times New Roman"/>
                <w:szCs w:val="24"/>
              </w:rPr>
              <w:t>60</w:t>
            </w:r>
          </w:p>
        </w:tc>
        <w:tc>
          <w:tcPr>
            <w:tcW w:w="1404" w:type="dxa"/>
            <w:vAlign w:val="center"/>
          </w:tcPr>
          <w:p w14:paraId="1CC44BF5" w14:textId="77777777" w:rsidR="00E762B3" w:rsidRPr="00E762B3" w:rsidRDefault="00E762B3" w:rsidP="00E762B3">
            <w:pPr>
              <w:spacing w:line="240" w:lineRule="auto"/>
              <w:ind w:firstLine="0"/>
              <w:jc w:val="center"/>
              <w:rPr>
                <w:rFonts w:cs="Times New Roman"/>
                <w:szCs w:val="24"/>
              </w:rPr>
            </w:pPr>
            <w:r w:rsidRPr="00E762B3">
              <w:rPr>
                <w:rFonts w:cs="Times New Roman"/>
                <w:szCs w:val="24"/>
              </w:rPr>
              <w:t>OK, TX, AR</w:t>
            </w:r>
          </w:p>
        </w:tc>
        <w:tc>
          <w:tcPr>
            <w:tcW w:w="1170" w:type="dxa"/>
            <w:vAlign w:val="center"/>
          </w:tcPr>
          <w:p w14:paraId="31A2CA26" w14:textId="77777777" w:rsidR="00E762B3" w:rsidRPr="00E762B3" w:rsidRDefault="00E762B3" w:rsidP="00E762B3">
            <w:pPr>
              <w:spacing w:line="240" w:lineRule="auto"/>
              <w:ind w:firstLine="0"/>
              <w:jc w:val="center"/>
              <w:rPr>
                <w:rFonts w:cs="Times New Roman"/>
                <w:szCs w:val="24"/>
              </w:rPr>
            </w:pPr>
            <w:r w:rsidRPr="00E762B3">
              <w:rPr>
                <w:rFonts w:cs="Times New Roman"/>
                <w:szCs w:val="24"/>
              </w:rPr>
              <w:t>MCS</w:t>
            </w:r>
          </w:p>
        </w:tc>
        <w:tc>
          <w:tcPr>
            <w:tcW w:w="2155" w:type="dxa"/>
            <w:vAlign w:val="center"/>
          </w:tcPr>
          <w:p w14:paraId="4D31ECF8" w14:textId="77777777" w:rsidR="00E762B3" w:rsidRPr="00E762B3" w:rsidRDefault="00E762B3" w:rsidP="00E762B3">
            <w:pPr>
              <w:spacing w:line="240" w:lineRule="auto"/>
              <w:ind w:firstLine="0"/>
              <w:jc w:val="center"/>
              <w:rPr>
                <w:rFonts w:cs="Times New Roman"/>
                <w:szCs w:val="24"/>
              </w:rPr>
            </w:pPr>
            <w:r w:rsidRPr="00E762B3">
              <w:rPr>
                <w:rFonts w:cs="Times New Roman"/>
                <w:szCs w:val="24"/>
              </w:rPr>
              <w:t>1800 – 0000 UTC</w:t>
            </w:r>
          </w:p>
        </w:tc>
      </w:tr>
      <w:tr w:rsidR="00E762B3" w:rsidRPr="00E762B3" w14:paraId="6DEBD3E0" w14:textId="77777777" w:rsidTr="00B45862">
        <w:tc>
          <w:tcPr>
            <w:tcW w:w="1174" w:type="dxa"/>
            <w:vAlign w:val="center"/>
          </w:tcPr>
          <w:p w14:paraId="751C3B68" w14:textId="77777777" w:rsidR="00E762B3" w:rsidRPr="00E762B3" w:rsidRDefault="00E762B3" w:rsidP="00E762B3">
            <w:pPr>
              <w:spacing w:line="240" w:lineRule="auto"/>
              <w:ind w:firstLine="0"/>
              <w:jc w:val="center"/>
              <w:rPr>
                <w:rFonts w:cs="Times New Roman"/>
                <w:szCs w:val="24"/>
              </w:rPr>
            </w:pPr>
            <w:r w:rsidRPr="00E762B3">
              <w:rPr>
                <w:rFonts w:cs="Times New Roman"/>
                <w:szCs w:val="24"/>
              </w:rPr>
              <w:t>26 May 2021</w:t>
            </w:r>
          </w:p>
        </w:tc>
        <w:tc>
          <w:tcPr>
            <w:tcW w:w="1296" w:type="dxa"/>
            <w:vAlign w:val="center"/>
          </w:tcPr>
          <w:p w14:paraId="571FF5FF" w14:textId="77777777" w:rsidR="00E762B3" w:rsidRPr="00E762B3" w:rsidRDefault="00E762B3" w:rsidP="00E762B3">
            <w:pPr>
              <w:spacing w:line="240" w:lineRule="auto"/>
              <w:ind w:firstLine="0"/>
              <w:jc w:val="center"/>
              <w:rPr>
                <w:rFonts w:cs="Times New Roman"/>
                <w:szCs w:val="24"/>
              </w:rPr>
            </w:pPr>
            <w:r w:rsidRPr="00E762B3">
              <w:rPr>
                <w:rFonts w:cs="Times New Roman"/>
                <w:szCs w:val="24"/>
              </w:rPr>
              <w:t>Moderate</w:t>
            </w:r>
          </w:p>
        </w:tc>
        <w:tc>
          <w:tcPr>
            <w:tcW w:w="1110" w:type="dxa"/>
            <w:vAlign w:val="center"/>
          </w:tcPr>
          <w:p w14:paraId="002D232A" w14:textId="77777777" w:rsidR="00E762B3" w:rsidRPr="00E762B3" w:rsidRDefault="00E762B3" w:rsidP="00E762B3">
            <w:pPr>
              <w:spacing w:line="240" w:lineRule="auto"/>
              <w:ind w:firstLine="0"/>
              <w:jc w:val="center"/>
              <w:rPr>
                <w:rFonts w:cs="Times New Roman"/>
                <w:szCs w:val="24"/>
              </w:rPr>
            </w:pPr>
            <w:r w:rsidRPr="00E762B3">
              <w:rPr>
                <w:rFonts w:cs="Times New Roman"/>
                <w:szCs w:val="24"/>
              </w:rPr>
              <w:t>29</w:t>
            </w:r>
          </w:p>
        </w:tc>
        <w:tc>
          <w:tcPr>
            <w:tcW w:w="1041" w:type="dxa"/>
            <w:vAlign w:val="center"/>
          </w:tcPr>
          <w:p w14:paraId="5EAAA878" w14:textId="77777777" w:rsidR="00E762B3" w:rsidRPr="00E762B3" w:rsidRDefault="00E762B3" w:rsidP="00E762B3">
            <w:pPr>
              <w:spacing w:line="240" w:lineRule="auto"/>
              <w:ind w:firstLine="0"/>
              <w:jc w:val="center"/>
              <w:rPr>
                <w:rFonts w:cs="Times New Roman"/>
                <w:szCs w:val="24"/>
              </w:rPr>
            </w:pPr>
            <w:r w:rsidRPr="00E762B3">
              <w:rPr>
                <w:rFonts w:cs="Times New Roman"/>
                <w:szCs w:val="24"/>
              </w:rPr>
              <w:t>122</w:t>
            </w:r>
          </w:p>
        </w:tc>
        <w:tc>
          <w:tcPr>
            <w:tcW w:w="1404" w:type="dxa"/>
            <w:vAlign w:val="center"/>
          </w:tcPr>
          <w:p w14:paraId="540DF5DC" w14:textId="77777777" w:rsidR="00E762B3" w:rsidRPr="00E762B3" w:rsidRDefault="00E762B3" w:rsidP="00E762B3">
            <w:pPr>
              <w:spacing w:line="240" w:lineRule="auto"/>
              <w:ind w:firstLine="0"/>
              <w:jc w:val="center"/>
              <w:rPr>
                <w:rFonts w:cs="Times New Roman"/>
                <w:szCs w:val="24"/>
              </w:rPr>
            </w:pPr>
            <w:r w:rsidRPr="00E762B3">
              <w:rPr>
                <w:rFonts w:cs="Times New Roman"/>
                <w:szCs w:val="24"/>
              </w:rPr>
              <w:t>KS, NE</w:t>
            </w:r>
          </w:p>
        </w:tc>
        <w:tc>
          <w:tcPr>
            <w:tcW w:w="1170" w:type="dxa"/>
            <w:vAlign w:val="center"/>
          </w:tcPr>
          <w:p w14:paraId="369DE139" w14:textId="77777777" w:rsidR="00E762B3" w:rsidRPr="00E762B3" w:rsidRDefault="00E762B3" w:rsidP="00E762B3">
            <w:pPr>
              <w:spacing w:line="240" w:lineRule="auto"/>
              <w:ind w:firstLine="0"/>
              <w:jc w:val="center"/>
              <w:rPr>
                <w:rFonts w:cs="Times New Roman"/>
                <w:szCs w:val="24"/>
              </w:rPr>
            </w:pPr>
            <w:r w:rsidRPr="00E762B3">
              <w:rPr>
                <w:rFonts w:cs="Times New Roman"/>
                <w:szCs w:val="24"/>
              </w:rPr>
              <w:t>Supercell</w:t>
            </w:r>
          </w:p>
        </w:tc>
        <w:tc>
          <w:tcPr>
            <w:tcW w:w="2155" w:type="dxa"/>
            <w:vAlign w:val="center"/>
          </w:tcPr>
          <w:p w14:paraId="61D61B8D" w14:textId="77777777" w:rsidR="00E762B3" w:rsidRPr="00E762B3" w:rsidRDefault="00E762B3" w:rsidP="00E762B3">
            <w:pPr>
              <w:spacing w:line="240" w:lineRule="auto"/>
              <w:ind w:firstLine="0"/>
              <w:jc w:val="center"/>
              <w:rPr>
                <w:rFonts w:cs="Times New Roman"/>
                <w:szCs w:val="24"/>
              </w:rPr>
            </w:pPr>
            <w:r w:rsidRPr="00E762B3">
              <w:rPr>
                <w:rFonts w:cs="Times New Roman"/>
                <w:szCs w:val="24"/>
              </w:rPr>
              <w:t>1800 – 0000 UTC</w:t>
            </w:r>
          </w:p>
        </w:tc>
      </w:tr>
      <w:tr w:rsidR="00E762B3" w:rsidRPr="00E762B3" w14:paraId="2400B029" w14:textId="77777777" w:rsidTr="00B45862">
        <w:tc>
          <w:tcPr>
            <w:tcW w:w="1174" w:type="dxa"/>
            <w:vAlign w:val="center"/>
          </w:tcPr>
          <w:p w14:paraId="0B2C288C" w14:textId="77777777" w:rsidR="00E762B3" w:rsidRPr="00E762B3" w:rsidRDefault="00E762B3" w:rsidP="00E762B3">
            <w:pPr>
              <w:spacing w:line="240" w:lineRule="auto"/>
              <w:ind w:firstLine="0"/>
              <w:jc w:val="center"/>
              <w:rPr>
                <w:rFonts w:cs="Times New Roman"/>
                <w:szCs w:val="24"/>
              </w:rPr>
            </w:pPr>
            <w:r w:rsidRPr="00E762B3">
              <w:rPr>
                <w:rFonts w:cs="Times New Roman"/>
                <w:szCs w:val="24"/>
              </w:rPr>
              <w:t>10 Dec 2021</w:t>
            </w:r>
          </w:p>
        </w:tc>
        <w:tc>
          <w:tcPr>
            <w:tcW w:w="1296" w:type="dxa"/>
            <w:vAlign w:val="center"/>
          </w:tcPr>
          <w:p w14:paraId="381C3330" w14:textId="77777777" w:rsidR="00E762B3" w:rsidRPr="00E762B3" w:rsidRDefault="00E762B3" w:rsidP="00E762B3">
            <w:pPr>
              <w:spacing w:line="240" w:lineRule="auto"/>
              <w:ind w:firstLine="0"/>
              <w:jc w:val="center"/>
              <w:rPr>
                <w:rFonts w:cs="Times New Roman"/>
                <w:szCs w:val="24"/>
              </w:rPr>
            </w:pPr>
            <w:r w:rsidRPr="00E762B3">
              <w:rPr>
                <w:rFonts w:cs="Times New Roman"/>
                <w:szCs w:val="24"/>
              </w:rPr>
              <w:t>Moderate</w:t>
            </w:r>
          </w:p>
        </w:tc>
        <w:tc>
          <w:tcPr>
            <w:tcW w:w="1110" w:type="dxa"/>
            <w:vAlign w:val="center"/>
          </w:tcPr>
          <w:p w14:paraId="2CE49859" w14:textId="77777777" w:rsidR="00E762B3" w:rsidRPr="00E762B3" w:rsidRDefault="00E762B3" w:rsidP="00E762B3">
            <w:pPr>
              <w:spacing w:line="240" w:lineRule="auto"/>
              <w:ind w:firstLine="0"/>
              <w:jc w:val="center"/>
              <w:rPr>
                <w:rFonts w:cs="Times New Roman"/>
                <w:szCs w:val="24"/>
              </w:rPr>
            </w:pPr>
            <w:r w:rsidRPr="00E762B3">
              <w:rPr>
                <w:rFonts w:cs="Times New Roman"/>
                <w:szCs w:val="24"/>
              </w:rPr>
              <w:t>97</w:t>
            </w:r>
          </w:p>
        </w:tc>
        <w:tc>
          <w:tcPr>
            <w:tcW w:w="1041" w:type="dxa"/>
            <w:vAlign w:val="center"/>
          </w:tcPr>
          <w:p w14:paraId="58B554FD" w14:textId="77777777" w:rsidR="00E762B3" w:rsidRPr="00E762B3" w:rsidRDefault="00E762B3" w:rsidP="00E762B3">
            <w:pPr>
              <w:spacing w:line="240" w:lineRule="auto"/>
              <w:ind w:firstLine="0"/>
              <w:jc w:val="center"/>
              <w:rPr>
                <w:rFonts w:cs="Times New Roman"/>
                <w:szCs w:val="24"/>
              </w:rPr>
            </w:pPr>
            <w:r w:rsidRPr="00E762B3">
              <w:rPr>
                <w:rFonts w:cs="Times New Roman"/>
                <w:szCs w:val="24"/>
              </w:rPr>
              <w:t>17</w:t>
            </w:r>
          </w:p>
        </w:tc>
        <w:tc>
          <w:tcPr>
            <w:tcW w:w="1404" w:type="dxa"/>
            <w:vAlign w:val="center"/>
          </w:tcPr>
          <w:p w14:paraId="3F8A52C4" w14:textId="77777777" w:rsidR="00E762B3" w:rsidRPr="00E762B3" w:rsidRDefault="00E762B3" w:rsidP="00E762B3">
            <w:pPr>
              <w:spacing w:line="240" w:lineRule="auto"/>
              <w:ind w:firstLine="0"/>
              <w:jc w:val="center"/>
              <w:rPr>
                <w:rFonts w:cs="Times New Roman"/>
                <w:szCs w:val="24"/>
              </w:rPr>
            </w:pPr>
            <w:r w:rsidRPr="00E762B3">
              <w:rPr>
                <w:rFonts w:cs="Times New Roman"/>
                <w:szCs w:val="24"/>
              </w:rPr>
              <w:t>AR, MO, TN, KY, IL</w:t>
            </w:r>
          </w:p>
        </w:tc>
        <w:tc>
          <w:tcPr>
            <w:tcW w:w="1170" w:type="dxa"/>
            <w:vAlign w:val="center"/>
          </w:tcPr>
          <w:p w14:paraId="3895EF69" w14:textId="77777777" w:rsidR="00E762B3" w:rsidRPr="00E762B3" w:rsidRDefault="00E762B3" w:rsidP="00E762B3">
            <w:pPr>
              <w:spacing w:line="240" w:lineRule="auto"/>
              <w:ind w:firstLine="0"/>
              <w:jc w:val="center"/>
              <w:rPr>
                <w:rFonts w:cs="Times New Roman"/>
                <w:szCs w:val="24"/>
              </w:rPr>
            </w:pPr>
            <w:r w:rsidRPr="00E762B3">
              <w:rPr>
                <w:rFonts w:cs="Times New Roman"/>
                <w:szCs w:val="24"/>
              </w:rPr>
              <w:t>Mixed</w:t>
            </w:r>
          </w:p>
        </w:tc>
        <w:tc>
          <w:tcPr>
            <w:tcW w:w="2155" w:type="dxa"/>
            <w:vAlign w:val="center"/>
          </w:tcPr>
          <w:p w14:paraId="6B0E708D" w14:textId="77777777" w:rsidR="00E762B3" w:rsidRPr="00E762B3" w:rsidRDefault="00E762B3" w:rsidP="00E762B3">
            <w:pPr>
              <w:spacing w:line="240" w:lineRule="auto"/>
              <w:ind w:firstLine="0"/>
              <w:jc w:val="center"/>
              <w:rPr>
                <w:rFonts w:cs="Times New Roman"/>
                <w:szCs w:val="24"/>
              </w:rPr>
            </w:pPr>
            <w:r w:rsidRPr="00E762B3">
              <w:rPr>
                <w:rFonts w:cs="Times New Roman"/>
                <w:szCs w:val="24"/>
              </w:rPr>
              <w:t>2100 – 0300 UTC</w:t>
            </w:r>
          </w:p>
        </w:tc>
      </w:tr>
    </w:tbl>
    <w:p w14:paraId="4972CDC4" w14:textId="000D4277" w:rsidR="00E762B3" w:rsidRDefault="00E762B3" w:rsidP="00E762B3">
      <w:pPr>
        <w:pStyle w:val="NoSpacing"/>
      </w:pPr>
    </w:p>
    <w:p w14:paraId="061D9261" w14:textId="30EF5C6A" w:rsidR="00E762B3" w:rsidRDefault="00E762B3" w:rsidP="00AE2400">
      <w:pPr>
        <w:spacing w:line="240" w:lineRule="auto"/>
        <w:ind w:firstLine="0"/>
      </w:pPr>
      <w:r>
        <w:rPr>
          <w:noProof/>
        </w:rPr>
        <w:drawing>
          <wp:inline distT="0" distB="0" distL="0" distR="0" wp14:anchorId="0F724698" wp14:editId="2E0AF6DB">
            <wp:extent cx="5624982" cy="1754802"/>
            <wp:effectExtent l="0" t="0" r="127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Picture 128"/>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647511" cy="1761830"/>
                    </a:xfrm>
                    <a:prstGeom prst="rect">
                      <a:avLst/>
                    </a:prstGeom>
                  </pic:spPr>
                </pic:pic>
              </a:graphicData>
            </a:graphic>
          </wp:inline>
        </w:drawing>
      </w:r>
    </w:p>
    <w:p w14:paraId="378549F0" w14:textId="1DF8F7D5" w:rsidR="00E762B3" w:rsidRPr="00D60A80" w:rsidRDefault="00E762B3" w:rsidP="00F44E30">
      <w:pPr>
        <w:pStyle w:val="Captions"/>
        <w:rPr>
          <w:szCs w:val="24"/>
        </w:rPr>
      </w:pPr>
      <w:bookmarkStart w:id="133" w:name="_Toc134695296"/>
      <w:r w:rsidRPr="00D60A80">
        <w:rPr>
          <w:szCs w:val="24"/>
        </w:rPr>
        <w:t xml:space="preserve">Figure </w:t>
      </w:r>
      <w:r w:rsidR="00C96E3B" w:rsidRPr="00D60A80">
        <w:rPr>
          <w:szCs w:val="24"/>
        </w:rPr>
        <w:fldChar w:fldCharType="begin"/>
      </w:r>
      <w:r w:rsidR="00C96E3B" w:rsidRPr="00D60A80">
        <w:rPr>
          <w:szCs w:val="24"/>
        </w:rPr>
        <w:instrText xml:space="preserve"> STYLEREF 1 \s </w:instrText>
      </w:r>
      <w:r w:rsidR="00C96E3B" w:rsidRPr="00D60A80">
        <w:rPr>
          <w:szCs w:val="24"/>
        </w:rPr>
        <w:fldChar w:fldCharType="separate"/>
      </w:r>
      <w:r w:rsidR="00C77C87" w:rsidRPr="00D60A80">
        <w:rPr>
          <w:noProof/>
          <w:szCs w:val="24"/>
        </w:rPr>
        <w:t>5</w:t>
      </w:r>
      <w:r w:rsidR="00C96E3B" w:rsidRPr="00D60A80">
        <w:rPr>
          <w:noProof/>
          <w:szCs w:val="24"/>
        </w:rPr>
        <w:fldChar w:fldCharType="end"/>
      </w:r>
      <w:r w:rsidR="00C77C87" w:rsidRPr="00D60A80">
        <w:rPr>
          <w:szCs w:val="24"/>
        </w:rPr>
        <w:t>.</w:t>
      </w:r>
      <w:r w:rsidR="00C96E3B" w:rsidRPr="00D60A80">
        <w:rPr>
          <w:szCs w:val="24"/>
        </w:rPr>
        <w:fldChar w:fldCharType="begin"/>
      </w:r>
      <w:r w:rsidR="00C96E3B" w:rsidRPr="00D60A80">
        <w:rPr>
          <w:szCs w:val="24"/>
        </w:rPr>
        <w:instrText xml:space="preserve"> SEQ Figure \* ARABIC \s 1 </w:instrText>
      </w:r>
      <w:r w:rsidR="00C96E3B" w:rsidRPr="00D60A80">
        <w:rPr>
          <w:szCs w:val="24"/>
        </w:rPr>
        <w:fldChar w:fldCharType="separate"/>
      </w:r>
      <w:r w:rsidR="00C77C87" w:rsidRPr="00D60A80">
        <w:rPr>
          <w:noProof/>
          <w:szCs w:val="24"/>
        </w:rPr>
        <w:t>1</w:t>
      </w:r>
      <w:r w:rsidR="00C96E3B" w:rsidRPr="00D60A80">
        <w:rPr>
          <w:noProof/>
          <w:szCs w:val="24"/>
        </w:rPr>
        <w:fldChar w:fldCharType="end"/>
      </w:r>
      <w:r w:rsidR="00F44E30" w:rsidRPr="00D60A80">
        <w:rPr>
          <w:szCs w:val="24"/>
        </w:rPr>
        <w:t xml:space="preserve"> </w:t>
      </w:r>
      <w:r w:rsidRPr="00D60A80">
        <w:rPr>
          <w:szCs w:val="24"/>
        </w:rPr>
        <w:t>The workflow for estimating background error profiles from WoFS ensemble perturbations.</w:t>
      </w:r>
      <w:bookmarkEnd w:id="133"/>
    </w:p>
    <w:p w14:paraId="17BB7B84" w14:textId="77777777" w:rsidR="00E762B3" w:rsidRPr="00E762B3" w:rsidRDefault="00E762B3" w:rsidP="00E762B3">
      <w:pPr>
        <w:pStyle w:val="NoSpacing"/>
      </w:pPr>
    </w:p>
    <w:p w14:paraId="71D44B14" w14:textId="3AF26C05" w:rsidR="00E762B3" w:rsidRDefault="00E762B3" w:rsidP="00E762B3">
      <w:pPr>
        <w:rPr>
          <w:bCs/>
        </w:rPr>
      </w:pPr>
      <w:r>
        <w:t xml:space="preserve">To investigate the impact of incorporating weather-dependent static </w:t>
      </w:r>
      <m:oMath>
        <m:r>
          <m:rPr>
            <m:sty m:val="b"/>
          </m:rPr>
          <w:rPr>
            <w:rFonts w:ascii="Cambria Math" w:hAnsi="Cambria Math"/>
          </w:rPr>
          <m:t>B</m:t>
        </m:r>
      </m:oMath>
      <w:r>
        <w:rPr>
          <w:bCs/>
        </w:rPr>
        <w:t xml:space="preserve"> within WoF-Hybrid on convective-scale analyses and forecasts, </w:t>
      </w:r>
      <w:r w:rsidRPr="00854399">
        <w:rPr>
          <w:bCs/>
        </w:rPr>
        <w:t>two experiments are performed, namely Hyb_retro and</w:t>
      </w:r>
      <w:r>
        <w:rPr>
          <w:bCs/>
        </w:rPr>
        <w:t xml:space="preserve"> Hyb_</w:t>
      </w:r>
      <w:r w:rsidR="00BE0098">
        <w:rPr>
          <w:bCs/>
        </w:rPr>
        <w:t>WD</w:t>
      </w:r>
      <w:r>
        <w:rPr>
          <w:bCs/>
        </w:rPr>
        <w:t>.</w:t>
      </w:r>
      <w:r w:rsidRPr="00A4024D">
        <w:rPr>
          <w:bCs/>
        </w:rPr>
        <w:t xml:space="preserve"> In the </w:t>
      </w:r>
      <w:r>
        <w:rPr>
          <w:bCs/>
        </w:rPr>
        <w:t>Hyb_retro</w:t>
      </w:r>
      <w:r w:rsidRPr="00A4024D">
        <w:rPr>
          <w:bCs/>
        </w:rPr>
        <w:t xml:space="preserve"> experiment</w:t>
      </w:r>
      <w:r>
        <w:rPr>
          <w:bCs/>
        </w:rPr>
        <w:t>, the original homogeneous and isotropic static</w:t>
      </w:r>
      <w:r w:rsidR="00CD621F">
        <w:rPr>
          <w:bCs/>
        </w:rPr>
        <w:t xml:space="preserve"> covariances</w:t>
      </w:r>
      <w:r>
        <w:rPr>
          <w:bCs/>
        </w:rPr>
        <w:t xml:space="preserve"> </w:t>
      </w:r>
      <m:oMath>
        <m:r>
          <m:rPr>
            <m:sty m:val="b"/>
          </m:rPr>
          <w:rPr>
            <w:rFonts w:ascii="Cambria Math" w:hAnsi="Cambria Math"/>
          </w:rPr>
          <m:t>B</m:t>
        </m:r>
      </m:oMath>
      <w:r>
        <w:rPr>
          <w:bCs/>
        </w:rPr>
        <w:t xml:space="preserve"> </w:t>
      </w:r>
      <w:r w:rsidR="00CD621F">
        <w:rPr>
          <w:bCs/>
        </w:rPr>
        <w:t>and</w:t>
      </w:r>
      <w:r>
        <w:rPr>
          <w:bCs/>
        </w:rPr>
        <w:t xml:space="preserve"> ensemble covariances </w:t>
      </w:r>
      <m:oMath>
        <m:r>
          <m:rPr>
            <m:sty m:val="b"/>
          </m:rPr>
          <w:rPr>
            <w:rFonts w:ascii="Cambria Math" w:hAnsi="Cambria Math"/>
          </w:rPr>
          <m:t>P</m:t>
        </m:r>
      </m:oMath>
      <w:r>
        <w:rPr>
          <w:bCs/>
        </w:rPr>
        <w:t xml:space="preserve"> are equally blended, as was done in the real-time testing in 2019 and 2020. The Hyb_WD experiment utilizes weather-dependent static</w:t>
      </w:r>
      <w:r w:rsidR="00CD621F">
        <w:rPr>
          <w:bCs/>
        </w:rPr>
        <w:t xml:space="preserve"> covariances</w:t>
      </w:r>
      <w:r>
        <w:rPr>
          <w:bCs/>
        </w:rPr>
        <w:t xml:space="preserve"> </w:t>
      </w:r>
      <m:oMath>
        <m:r>
          <m:rPr>
            <m:sty m:val="b"/>
          </m:rPr>
          <w:rPr>
            <w:rFonts w:ascii="Cambria Math" w:hAnsi="Cambria Math"/>
          </w:rPr>
          <m:t>B</m:t>
        </m:r>
      </m:oMath>
      <w:r>
        <w:rPr>
          <w:bCs/>
        </w:rPr>
        <w:t xml:space="preserve"> and ensemble </w:t>
      </w:r>
      <w:r w:rsidR="00CD621F">
        <w:rPr>
          <w:bCs/>
        </w:rPr>
        <w:t xml:space="preserve">covariances </w:t>
      </w:r>
      <m:oMath>
        <m:r>
          <m:rPr>
            <m:sty m:val="b"/>
          </m:rPr>
          <w:rPr>
            <w:rFonts w:ascii="Cambria Math" w:hAnsi="Cambria Math"/>
          </w:rPr>
          <m:t>P</m:t>
        </m:r>
      </m:oMath>
      <w:r>
        <w:rPr>
          <w:bCs/>
        </w:rPr>
        <w:t xml:space="preserve"> with equal weighting,</w:t>
      </w:r>
      <w:r w:rsidR="00CD621F">
        <w:rPr>
          <w:bCs/>
        </w:rPr>
        <w:t xml:space="preserve"> similar to</w:t>
      </w:r>
      <w:r>
        <w:rPr>
          <w:bCs/>
        </w:rPr>
        <w:t xml:space="preserve"> Hyb_retro. Table </w:t>
      </w:r>
      <w:r w:rsidR="00F44E30">
        <w:rPr>
          <w:bCs/>
        </w:rPr>
        <w:t>5.</w:t>
      </w:r>
      <w:r>
        <w:rPr>
          <w:bCs/>
        </w:rPr>
        <w:t>2 provides detailed descriptions of these experiments and their accompanying configurations.</w:t>
      </w:r>
    </w:p>
    <w:p w14:paraId="4541EA33" w14:textId="0CC26FE3" w:rsidR="00F44E30" w:rsidRDefault="00F44E30" w:rsidP="00B73C87">
      <w:pPr>
        <w:pStyle w:val="NoSpacing"/>
      </w:pPr>
    </w:p>
    <w:p w14:paraId="1A4B0446" w14:textId="58C23379" w:rsidR="00F44E30" w:rsidRPr="00D60A80" w:rsidRDefault="00B73C87" w:rsidP="00B73C87">
      <w:pPr>
        <w:pStyle w:val="Captions"/>
        <w:rPr>
          <w:szCs w:val="24"/>
        </w:rPr>
      </w:pPr>
      <w:bookmarkStart w:id="134" w:name="_Toc134695261"/>
      <w:r w:rsidRPr="00D60A80">
        <w:rPr>
          <w:szCs w:val="24"/>
        </w:rPr>
        <w:t xml:space="preserve">Table </w:t>
      </w:r>
      <w:r w:rsidR="00C96E3B" w:rsidRPr="00D60A80">
        <w:rPr>
          <w:szCs w:val="24"/>
        </w:rPr>
        <w:fldChar w:fldCharType="begin"/>
      </w:r>
      <w:r w:rsidR="00C96E3B" w:rsidRPr="00D60A80">
        <w:rPr>
          <w:szCs w:val="24"/>
        </w:rPr>
        <w:instrText xml:space="preserve"> STYLEREF 1 \s </w:instrText>
      </w:r>
      <w:r w:rsidR="00C96E3B" w:rsidRPr="00D60A80">
        <w:rPr>
          <w:szCs w:val="24"/>
        </w:rPr>
        <w:fldChar w:fldCharType="separate"/>
      </w:r>
      <w:r w:rsidR="00EF6098" w:rsidRPr="00D60A80">
        <w:rPr>
          <w:noProof/>
          <w:szCs w:val="24"/>
        </w:rPr>
        <w:t>5</w:t>
      </w:r>
      <w:r w:rsidR="00C96E3B" w:rsidRPr="00D60A80">
        <w:rPr>
          <w:noProof/>
          <w:szCs w:val="24"/>
        </w:rPr>
        <w:fldChar w:fldCharType="end"/>
      </w:r>
      <w:r w:rsidR="00EF6098" w:rsidRPr="00D60A80">
        <w:rPr>
          <w:szCs w:val="24"/>
        </w:rPr>
        <w:t>.</w:t>
      </w:r>
      <w:r w:rsidR="00C96E3B" w:rsidRPr="00D60A80">
        <w:rPr>
          <w:szCs w:val="24"/>
        </w:rPr>
        <w:fldChar w:fldCharType="begin"/>
      </w:r>
      <w:r w:rsidR="00C96E3B" w:rsidRPr="00D60A80">
        <w:rPr>
          <w:szCs w:val="24"/>
        </w:rPr>
        <w:instrText xml:space="preserve"> SEQ Table \* ARABIC \s 1 </w:instrText>
      </w:r>
      <w:r w:rsidR="00C96E3B" w:rsidRPr="00D60A80">
        <w:rPr>
          <w:szCs w:val="24"/>
        </w:rPr>
        <w:fldChar w:fldCharType="separate"/>
      </w:r>
      <w:r w:rsidR="00EF6098" w:rsidRPr="00D60A80">
        <w:rPr>
          <w:noProof/>
          <w:szCs w:val="24"/>
        </w:rPr>
        <w:t>2</w:t>
      </w:r>
      <w:r w:rsidR="00C96E3B" w:rsidRPr="00D60A80">
        <w:rPr>
          <w:noProof/>
          <w:szCs w:val="24"/>
        </w:rPr>
        <w:fldChar w:fldCharType="end"/>
      </w:r>
      <w:r w:rsidRPr="00D60A80">
        <w:rPr>
          <w:szCs w:val="24"/>
        </w:rPr>
        <w:t xml:space="preserve"> </w:t>
      </w:r>
      <w:r w:rsidR="00F44E30" w:rsidRPr="00D60A80">
        <w:rPr>
          <w:szCs w:val="24"/>
        </w:rPr>
        <w:t xml:space="preserve">Experiments used for examining the weather-dependent static B in </w:t>
      </w:r>
      <w:proofErr w:type="spellStart"/>
      <w:r w:rsidR="00F44E30" w:rsidRPr="00D60A80">
        <w:rPr>
          <w:szCs w:val="24"/>
        </w:rPr>
        <w:t>WoF</w:t>
      </w:r>
      <w:proofErr w:type="spellEnd"/>
      <w:r w:rsidR="00F44E30" w:rsidRPr="00D60A80">
        <w:rPr>
          <w:szCs w:val="24"/>
        </w:rPr>
        <w:t>-Hybrid.</w:t>
      </w:r>
      <w:bookmarkEnd w:id="134"/>
    </w:p>
    <w:tbl>
      <w:tblPr>
        <w:tblStyle w:val="TableGrid8"/>
        <w:tblW w:w="0" w:type="auto"/>
        <w:jc w:val="center"/>
        <w:tblLook w:val="04A0" w:firstRow="1" w:lastRow="0" w:firstColumn="1" w:lastColumn="0" w:noHBand="0" w:noVBand="1"/>
      </w:tblPr>
      <w:tblGrid>
        <w:gridCol w:w="1795"/>
        <w:gridCol w:w="5490"/>
      </w:tblGrid>
      <w:tr w:rsidR="00B73C87" w:rsidRPr="00B73C87" w14:paraId="745B9519" w14:textId="77777777" w:rsidTr="00B73C87">
        <w:trPr>
          <w:trHeight w:val="260"/>
          <w:jc w:val="center"/>
        </w:trPr>
        <w:tc>
          <w:tcPr>
            <w:tcW w:w="1795" w:type="dxa"/>
            <w:vAlign w:val="center"/>
          </w:tcPr>
          <w:p w14:paraId="786991C5" w14:textId="77777777" w:rsidR="00B73C87" w:rsidRPr="00B73C87" w:rsidRDefault="00B73C87" w:rsidP="00B73C87">
            <w:pPr>
              <w:spacing w:line="240" w:lineRule="auto"/>
              <w:ind w:firstLine="0"/>
              <w:jc w:val="center"/>
              <w:rPr>
                <w:rFonts w:cs="Times New Roman"/>
                <w:b/>
                <w:bCs/>
                <w:szCs w:val="24"/>
              </w:rPr>
            </w:pPr>
            <w:r w:rsidRPr="00B73C87">
              <w:rPr>
                <w:rFonts w:cs="Times New Roman"/>
                <w:b/>
                <w:bCs/>
                <w:szCs w:val="24"/>
              </w:rPr>
              <w:t>Experiment</w:t>
            </w:r>
          </w:p>
        </w:tc>
        <w:tc>
          <w:tcPr>
            <w:tcW w:w="5490" w:type="dxa"/>
            <w:vAlign w:val="center"/>
          </w:tcPr>
          <w:p w14:paraId="050A39E4" w14:textId="77777777" w:rsidR="00B73C87" w:rsidRPr="00B73C87" w:rsidRDefault="00B73C87" w:rsidP="00B73C87">
            <w:pPr>
              <w:spacing w:line="240" w:lineRule="auto"/>
              <w:ind w:firstLine="0"/>
              <w:jc w:val="center"/>
              <w:rPr>
                <w:rFonts w:cs="Times New Roman"/>
                <w:b/>
                <w:bCs/>
                <w:szCs w:val="24"/>
              </w:rPr>
            </w:pPr>
            <w:r w:rsidRPr="00B73C87">
              <w:rPr>
                <w:rFonts w:cs="Times New Roman"/>
                <w:b/>
                <w:bCs/>
                <w:szCs w:val="24"/>
              </w:rPr>
              <w:t>Configuration</w:t>
            </w:r>
          </w:p>
        </w:tc>
      </w:tr>
      <w:tr w:rsidR="00B73C87" w:rsidRPr="00B73C87" w14:paraId="078350CF" w14:textId="77777777" w:rsidTr="00B73C87">
        <w:trPr>
          <w:jc w:val="center"/>
        </w:trPr>
        <w:tc>
          <w:tcPr>
            <w:tcW w:w="1795" w:type="dxa"/>
            <w:vAlign w:val="center"/>
          </w:tcPr>
          <w:p w14:paraId="7873E5E7" w14:textId="77777777" w:rsidR="00B73C87" w:rsidRPr="00B73C87" w:rsidRDefault="00B73C87" w:rsidP="00B73C87">
            <w:pPr>
              <w:spacing w:line="240" w:lineRule="auto"/>
              <w:ind w:firstLine="0"/>
              <w:jc w:val="center"/>
              <w:rPr>
                <w:rFonts w:cs="Times New Roman"/>
                <w:szCs w:val="24"/>
              </w:rPr>
            </w:pPr>
            <w:r w:rsidRPr="00B73C87">
              <w:rPr>
                <w:rFonts w:cs="Times New Roman"/>
                <w:szCs w:val="24"/>
              </w:rPr>
              <w:t>Hyb_retro</w:t>
            </w:r>
          </w:p>
        </w:tc>
        <w:tc>
          <w:tcPr>
            <w:tcW w:w="5490" w:type="dxa"/>
            <w:vAlign w:val="center"/>
          </w:tcPr>
          <w:p w14:paraId="1147B8A5" w14:textId="77777777" w:rsidR="00B73C87" w:rsidRPr="00B73C87" w:rsidRDefault="00B73C87" w:rsidP="00B73C87">
            <w:pPr>
              <w:spacing w:line="240" w:lineRule="auto"/>
              <w:ind w:firstLine="0"/>
              <w:jc w:val="center"/>
              <w:rPr>
                <w:rFonts w:cs="Times New Roman"/>
                <w:szCs w:val="24"/>
              </w:rPr>
            </w:pPr>
            <w:r w:rsidRPr="00B73C87">
              <w:rPr>
                <w:rFonts w:cs="Times New Roman"/>
                <w:szCs w:val="24"/>
              </w:rPr>
              <w:t xml:space="preserve">Background error includes 50% of homogeneous static </w:t>
            </w:r>
            <w:r w:rsidRPr="00B73C87">
              <w:rPr>
                <w:rFonts w:cs="Times New Roman"/>
                <w:b/>
                <w:bCs/>
                <w:szCs w:val="24"/>
              </w:rPr>
              <w:t>B</w:t>
            </w:r>
            <w:r w:rsidRPr="00B73C87">
              <w:rPr>
                <w:rFonts w:cs="Times New Roman"/>
                <w:szCs w:val="24"/>
              </w:rPr>
              <w:t xml:space="preserve"> and 50% of ensemble flow-dependent </w:t>
            </w:r>
            <w:r w:rsidRPr="00B73C87">
              <w:rPr>
                <w:rFonts w:cs="Times New Roman"/>
                <w:b/>
                <w:bCs/>
                <w:szCs w:val="24"/>
              </w:rPr>
              <w:t>P</w:t>
            </w:r>
          </w:p>
        </w:tc>
      </w:tr>
      <w:tr w:rsidR="00B73C87" w:rsidRPr="00B73C87" w14:paraId="3A79CD83" w14:textId="77777777" w:rsidTr="00B73C87">
        <w:trPr>
          <w:jc w:val="center"/>
        </w:trPr>
        <w:tc>
          <w:tcPr>
            <w:tcW w:w="1795" w:type="dxa"/>
            <w:vAlign w:val="center"/>
          </w:tcPr>
          <w:p w14:paraId="53BFD7E2" w14:textId="77777777" w:rsidR="00B73C87" w:rsidRPr="00B73C87" w:rsidRDefault="00B73C87" w:rsidP="00B73C87">
            <w:pPr>
              <w:spacing w:line="240" w:lineRule="auto"/>
              <w:ind w:firstLine="0"/>
              <w:jc w:val="center"/>
              <w:rPr>
                <w:rFonts w:cs="Times New Roman"/>
                <w:szCs w:val="24"/>
              </w:rPr>
            </w:pPr>
            <w:r w:rsidRPr="00B73C87">
              <w:rPr>
                <w:rFonts w:cs="Times New Roman"/>
                <w:szCs w:val="24"/>
              </w:rPr>
              <w:t>Hyb_WD</w:t>
            </w:r>
          </w:p>
        </w:tc>
        <w:tc>
          <w:tcPr>
            <w:tcW w:w="5490" w:type="dxa"/>
            <w:vAlign w:val="center"/>
          </w:tcPr>
          <w:p w14:paraId="01C9EC45" w14:textId="77777777" w:rsidR="00B73C87" w:rsidRPr="00B73C87" w:rsidRDefault="00B73C87" w:rsidP="00B73C87">
            <w:pPr>
              <w:spacing w:line="240" w:lineRule="auto"/>
              <w:ind w:firstLine="0"/>
              <w:jc w:val="center"/>
              <w:rPr>
                <w:rFonts w:cs="Times New Roman"/>
                <w:szCs w:val="24"/>
              </w:rPr>
            </w:pPr>
            <w:r w:rsidRPr="00B73C87">
              <w:rPr>
                <w:rFonts w:cs="Times New Roman"/>
                <w:szCs w:val="24"/>
              </w:rPr>
              <w:t xml:space="preserve">Background error includes 50% of weather-dependent static </w:t>
            </w:r>
            <w:r w:rsidRPr="00B73C87">
              <w:rPr>
                <w:rFonts w:cs="Times New Roman"/>
                <w:b/>
                <w:bCs/>
                <w:szCs w:val="24"/>
              </w:rPr>
              <w:t>B</w:t>
            </w:r>
            <w:r w:rsidRPr="00B73C87">
              <w:rPr>
                <w:rFonts w:cs="Times New Roman"/>
                <w:szCs w:val="24"/>
              </w:rPr>
              <w:t xml:space="preserve"> and 50% of ensemble flow-dependent </w:t>
            </w:r>
            <w:r w:rsidRPr="00B73C87">
              <w:rPr>
                <w:rFonts w:cs="Times New Roman"/>
                <w:b/>
                <w:bCs/>
                <w:szCs w:val="24"/>
              </w:rPr>
              <w:t>P</w:t>
            </w:r>
          </w:p>
        </w:tc>
      </w:tr>
    </w:tbl>
    <w:p w14:paraId="4AE12358" w14:textId="77777777" w:rsidR="00B73C87" w:rsidRPr="00EF5D37" w:rsidRDefault="00B73C87" w:rsidP="00B73C87">
      <w:pPr>
        <w:pStyle w:val="NoSpacing"/>
      </w:pPr>
    </w:p>
    <w:p w14:paraId="78513B9E" w14:textId="65635FD5" w:rsidR="00E762B3" w:rsidRDefault="00E762B3" w:rsidP="00E762B3">
      <w:r>
        <w:t xml:space="preserve">Several types of observations were assimilated into the experiments, including data from </w:t>
      </w:r>
      <w:r w:rsidRPr="0061623C">
        <w:t xml:space="preserve">the U.S. </w:t>
      </w:r>
      <w:r>
        <w:t>National Weather Service</w:t>
      </w:r>
      <w:r w:rsidRPr="00750572">
        <w:t>'</w:t>
      </w:r>
      <w:r>
        <w:t>s</w:t>
      </w:r>
      <w:r w:rsidRPr="0061623C">
        <w:t xml:space="preserve"> operational Weather Surveillance Radar</w:t>
      </w:r>
      <w:r>
        <w:t xml:space="preserve"> </w:t>
      </w:r>
      <w:r w:rsidRPr="0061623C">
        <w:t>–</w:t>
      </w:r>
      <w:r>
        <w:t xml:space="preserve"> </w:t>
      </w:r>
      <w:r w:rsidRPr="0061623C">
        <w:t>1988 Doppler (WSR-88D)</w:t>
      </w:r>
      <w:r>
        <w:t xml:space="preserve">, surface observations and pseudo-water vapor observations. The WSR-88D radar data </w:t>
      </w:r>
      <w:r w:rsidRPr="0061623C">
        <w:t>includ</w:t>
      </w:r>
      <w:r>
        <w:t>es</w:t>
      </w:r>
      <w:r w:rsidRPr="0061623C">
        <w:t xml:space="preserve"> radial velocity</w:t>
      </w:r>
      <w:r>
        <w:t>, reflectivity</w:t>
      </w:r>
      <w:r w:rsidRPr="0061623C">
        <w:t xml:space="preserve"> and Velocity Azimuth Display (VAD) wind</w:t>
      </w:r>
      <w:r>
        <w:t>s derived from each WSR-88D radar within the analysis and forecast domains.</w:t>
      </w:r>
      <w:r w:rsidRPr="0061623C">
        <w:t xml:space="preserve"> </w:t>
      </w:r>
      <w:r>
        <w:t>S</w:t>
      </w:r>
      <w:r w:rsidRPr="0061623C">
        <w:t xml:space="preserve">urface observations </w:t>
      </w:r>
      <w:r>
        <w:t xml:space="preserve">were </w:t>
      </w:r>
      <w:r>
        <w:lastRenderedPageBreak/>
        <w:t>obtained</w:t>
      </w:r>
      <w:r w:rsidRPr="0061623C">
        <w:t xml:space="preserve"> </w:t>
      </w:r>
      <w:r>
        <w:t>from</w:t>
      </w:r>
      <w:r w:rsidRPr="0061623C">
        <w:t xml:space="preserve"> </w:t>
      </w:r>
      <w:r w:rsidR="001A3D30" w:rsidRPr="00506D3C">
        <w:rPr>
          <w:rFonts w:eastAsia="Times New Roman" w:cs="Times New Roman"/>
          <w:szCs w:val="24"/>
        </w:rPr>
        <w:t>PREPBUFR</w:t>
      </w:r>
      <w:r w:rsidRPr="0061623C">
        <w:t xml:space="preserve"> and </w:t>
      </w:r>
      <w:r>
        <w:t xml:space="preserve">the </w:t>
      </w:r>
      <w:r w:rsidRPr="0061623C">
        <w:t>Oklahoma Mesonet</w:t>
      </w:r>
      <w:r>
        <w:t>.</w:t>
      </w:r>
      <w:r w:rsidRPr="0061623C">
        <w:t xml:space="preserve"> </w:t>
      </w:r>
      <w:r>
        <w:t>Pseudo-water vapor observations</w:t>
      </w:r>
      <w:r w:rsidRPr="0061623C">
        <w:t xml:space="preserve"> </w:t>
      </w:r>
      <w:r>
        <w:t xml:space="preserve">were </w:t>
      </w:r>
      <w:r w:rsidRPr="0061623C">
        <w:t xml:space="preserve">derived </w:t>
      </w:r>
      <w:r>
        <w:t xml:space="preserve">from reflectivity measurements </w:t>
      </w:r>
      <w:r>
        <w:fldChar w:fldCharType="begin"/>
      </w:r>
      <w:r>
        <w:instrText xml:space="preserve"> ADDIN ZOTERO_ITEM CSL_CITATION {"citationID":"2LBTTj6t","properties":{"formattedCitation":"(Lai et al. 2019)","plainCitation":"(Lai et al. 2019)","noteIndex":0},"citationItems":[{"id":326,"uris":["http://zotero.org/users/local/6VSApgKp/items/SS65U4N2"],"itemData":{"id":326,"type":"article-journal","abstract":"Abstract To improve severe thunderstorm prediction, a novel pseudo-observation and assimilation approach involving water vapor mass mixing ratio is proposed to better initialize NWP forecasts at convection-resolving scales. The first step of the algorithm identifies areas of deep moist convection by utilizing the vertically integrated liquid water (VIL) derived from three-dimensional radar reflectivity fields. Once VIL is obtained, pseudo–water vapor observations are derived based on reflectivity thresholds within columns characterized by deep moist convection. Areas of spurious convection also are identified by the algorithm to help reduce their detrimental impact on the forecast. The third step is to assimilate the derived pseudo–water vapor observations into a convection-resolving-scale NWP model along with radar radial velocity and reflectivity fields in a 3DVAR framework during 4-h data assimilation cycles. Finally, 3-h forecasts are launched every hour during that period. The performance of this method is examined for two selected high-impact severe thunderstorm events: namely, the 24 May 2011 Oklahoma and 16 May 2017 Texas and Oklahoma tornado outbreaks. Relative to a control simulation that only assimilated radar data, the analyses and forecasts of these supercells (reflectivity patterns, tracks, and updraft helicity tracks) are qualitatively and quantitatively improved in both cases when the water vapor information is added into the analysis.","container-title":"Monthly Weather Review","DOI":"10.1175/MWR-D-18-0403.1","ISSN":"1520-0493, 0027-0644","issue":"8","language":"EN","note":"publisher: American Meteorological Society\nsection: Monthly Weather Review","page":"2877-2900","source":"journals.ametsoc.org","title":"Assimilation of Radar Radial Velocity, Reflectivity, and Pseudo–Water Vapor for Convective-Scale NWP in a Variational Framework","volume":"147","author":[{"family":"Lai","given":"Anwei"},{"family":"Gao","given":"Jidong"},{"family":"Koch","given":"Steven E."},{"family":"Wang","given":"Yunheng"},{"family":"Pan","given":"Sijie"},{"family":"Fierro","given":"Alexandre O."},{"family":"Cui","given":"Chunguang"},{"family":"Min","given":"Jinzhong"}],"issued":{"date-parts":[["2019",8,1]]},"citation-key":"laiAssimilationRadarRadial2019"}}],"schema":"https://github.com/citation-style-language/schema/raw/master/csl-citation.json"} </w:instrText>
      </w:r>
      <w:r>
        <w:fldChar w:fldCharType="separate"/>
      </w:r>
      <w:r>
        <w:rPr>
          <w:noProof/>
        </w:rPr>
        <w:t>(Lai et al. 2019)</w:t>
      </w:r>
      <w:r>
        <w:fldChar w:fldCharType="end"/>
      </w:r>
      <w:r>
        <w:t xml:space="preserve"> and</w:t>
      </w:r>
      <w:r w:rsidRPr="0061623C">
        <w:t xml:space="preserve"> GOES-16 GLM total lightning </w:t>
      </w:r>
      <w:r>
        <w:t xml:space="preserve">observations </w:t>
      </w:r>
      <w:r>
        <w:fldChar w:fldCharType="begin"/>
      </w:r>
      <w:r>
        <w:instrText xml:space="preserve"> ADDIN ZOTERO_ITEM CSL_CITATION {"citationID":"HMYoegG6","properties":{"formattedCitation":"(Fierro et al. 2019)","plainCitation":"(Fierro et al. 2019)","noteIndex":0},"citationItems":[{"id":10,"uris":["http://zotero.org/users/local/6VSApgKp/items/77NV63LL"],"itemData":{"id":10,"type":"article-journal","abstract":"&lt;section class=\"abstract\"&gt;&lt;h2 class=\"abstractTitle text-title my-1\" id=\"d146998611e97\"&gt;Abstract&lt;/h2&gt;&lt;p&gt;The assimilation of water vapor mass mixing ratio derived from total lightning data from the Geostationary Lightning Mapper (GLM) within a three-dimensional variational (3DVAR) system is evaluated for the analysis and short-term forecast (≤6 h) of a high-impact convective event over the northern Great Plains in the United States. Building on recent work, the lightning data assimilation (LDA) method adjusts water vapor mass mixing ratio within a fixed layer depth above the lifted condensation level by assuming nearly water-saturated conditions at observed lightning locations. In this algorithm, the total water vapor mass added by the LDA is balanced by an equal removal outside observed lightning locations. Additional refinements were also devised to partially alleviate the seasonal and geographical dependence of the original scheme. To gauge the added value of lightning, radar data (radial velocity and reflectivity) were also assimilated with or without lightning. Although the method was evaluated in quasi–real time for several high-impact weather events throughout 2018, this work will focus on one specific, illustrative severe weather case wherein the control simulation—which did not assimilate any data—was eventually able to initiate and forecast the majority of the observed storms. Given a relatively reasonable forecast in the control experiment, the GLM and radar assimilation experiments were still able to improve the short-term forecast of accumulated rainfall and composite radar reflectivity further, as measured by neighborhood-based metrics. These results held whether the simulations made use of one single 3DVAR analysis or high-frequency (10 min) successive cycling over a 1-h period.&lt;/p&gt;&lt;/section&gt;","container-title":"Monthly Weather Review","DOI":"10.1175/MWR-D-18-0421.1","ISSN":"1520-0493, 0027-0644","issue":"11","language":"EN","note":"publisher: American Meteorological Society\nsection: Monthly Weather Review","page":"4045-4069","source":"journals.ametsoc.org","title":"Variational Assimilation of Radar Data and GLM Lightning-Derived Water Vapor for the Short-Term Forecasts of High-Impact Convective Events","volume":"147","author":[{"family":"Fierro","given":"Alexandre O."},{"family":"Wang","given":"Yunheng"},{"family":"Gao","given":"Jidong"},{"family":"Mansell","given":"Edward R."}],"issued":{"date-parts":[["2019",11,1]]},"citation-key":"fierroVariationalAssimilationRadar2019"}}],"schema":"https://github.com/citation-style-language/schema/raw/master/csl-citation.json"} </w:instrText>
      </w:r>
      <w:r>
        <w:fldChar w:fldCharType="separate"/>
      </w:r>
      <w:r>
        <w:rPr>
          <w:noProof/>
        </w:rPr>
        <w:t>(Fierro et al. 2019)</w:t>
      </w:r>
      <w:r>
        <w:fldChar w:fldCharType="end"/>
      </w:r>
      <w:r w:rsidRPr="0061623C">
        <w:t xml:space="preserve">. </w:t>
      </w:r>
      <w:r>
        <w:t>All these</w:t>
      </w:r>
      <w:r w:rsidRPr="0061623C">
        <w:t xml:space="preserve"> observations were assimilated </w:t>
      </w:r>
      <w:r>
        <w:t>every</w:t>
      </w:r>
      <w:r w:rsidRPr="0061623C">
        <w:t xml:space="preserve"> 15</w:t>
      </w:r>
      <w:r>
        <w:t xml:space="preserve"> minutes</w:t>
      </w:r>
      <w:r w:rsidRPr="0061623C">
        <w:t>.</w:t>
      </w:r>
    </w:p>
    <w:p w14:paraId="19F496A6" w14:textId="0A27D030" w:rsidR="001A3D30" w:rsidRPr="00EF5D37" w:rsidRDefault="001A3D30">
      <w:pPr>
        <w:pStyle w:val="Heading3"/>
      </w:pPr>
      <w:bookmarkStart w:id="135" w:name="_Toc130995466"/>
      <w:bookmarkStart w:id="136" w:name="_Toc131018331"/>
      <w:r>
        <w:t xml:space="preserve">Verification </w:t>
      </w:r>
      <w:r w:rsidR="00E6523E">
        <w:t>m</w:t>
      </w:r>
      <w:r>
        <w:t>ethod</w:t>
      </w:r>
      <w:bookmarkEnd w:id="135"/>
      <w:bookmarkEnd w:id="136"/>
    </w:p>
    <w:p w14:paraId="1DA3FB7A" w14:textId="3694E174" w:rsidR="001A3D30" w:rsidRDefault="001A3D30" w:rsidP="001A3D30">
      <w:r>
        <w:t xml:space="preserve">The performance of WoF-Hybrid is evaluated through a combination of qualitative and quantitative methods, utilizing several observation datasets. To assess </w:t>
      </w:r>
      <w:r w:rsidRPr="00750572">
        <w:t>the</w:t>
      </w:r>
      <w:r>
        <w:t xml:space="preserve"> accuracy of the</w:t>
      </w:r>
      <w:r w:rsidRPr="00750572">
        <w:t xml:space="preserve"> 0</w:t>
      </w:r>
      <w:r>
        <w:t xml:space="preserve"> – 6-</w:t>
      </w:r>
      <w:r w:rsidRPr="00750572">
        <w:t xml:space="preserve">h composite reflectivity forecasts, NSSL's </w:t>
      </w:r>
      <w:r>
        <w:t>MRMS</w:t>
      </w:r>
      <w:r w:rsidRPr="00750572">
        <w:t xml:space="preserve"> composite reflectivity</w:t>
      </w:r>
      <w:r>
        <w:t xml:space="preserve"> (CREF)</w:t>
      </w:r>
      <w:r w:rsidRPr="00750572">
        <w:t xml:space="preserve"> product </w:t>
      </w:r>
      <w:r>
        <w:t>is</w:t>
      </w:r>
      <w:r w:rsidRPr="00750572">
        <w:t xml:space="preserve"> used. </w:t>
      </w:r>
      <w:r>
        <w:t>Meanwhile, t</w:t>
      </w:r>
      <w:r w:rsidRPr="00750572">
        <w:t>he skill</w:t>
      </w:r>
      <w:r>
        <w:t>s</w:t>
      </w:r>
      <w:r w:rsidRPr="00750572">
        <w:t xml:space="preserve"> </w:t>
      </w:r>
      <w:r>
        <w:t>for</w:t>
      </w:r>
      <w:r w:rsidRPr="00750572">
        <w:t xml:space="preserve"> the</w:t>
      </w:r>
      <w:r>
        <w:t xml:space="preserve"> 2 – 5 km updraft helicity </w:t>
      </w:r>
      <w:r>
        <w:fldChar w:fldCharType="begin"/>
      </w:r>
      <w:r>
        <w:instrText xml:space="preserve"> ADDIN ZOTERO_ITEM CSL_CITATION {"citationID":"yAOdm73l","properties":{"formattedCitation":"(Kain et al. 2008)","plainCitation":"(Kain et al. 2008)","dontUpdate":true,"noteIndex":0},"citationItems":[{"id":339,"uris":["http://zotero.org/users/local/6VSApgKp/items/ML6QAHU4"],"itemData":{"id":339,"type":"article-journal","abstract":"Abstract During the 2005 NOAA Hazardous Weather Testbed Spring Experiment two different high-resolution configurations of the Weather Research and Forecasting-Advanced Research WRF (WRF-ARW) model were used to produce 30-h forecasts 5 days a week for a total of 7 weeks. These configurations used the same physical parameterizations and the same input dataset for the initial and boundary conditions, differing primarily in their spatial resolution. The first set of runs used 4-km horizontal grid spacing with 35 vertical levels while the second used 2-km grid spacing and 51 vertical levels. Output from these daily forecasts is analyzed to assess the numerical forecast sensitivity to spatial resolution in the upper end of the convection-allowing range of grid spacing. The focus is on the central United States and the time period 18–30 h after model initialization. The analysis is based on a combination of visual comparison, systematic subjective verification conducted during the Spring Experiment, and objective metrics based largely on the mean diurnal cycle of the simulated reflectivity and precipitation fields. Additional insight is gained by examining the size distributions of the individual reflectivity and precipitation entities, and by comparing forecasts of mesocyclone occurrence in the two sets of forecasts. In general, the 2-km forecasts provide more detailed presentations of convective activity, but there appears to be little, if any, forecast skill on the scales where the added details emerge. On the scales where both model configurations show higher levels of skill—the scale of mesoscale convective features—the numerical forecasts appear to provide comparable utility as guidance for severe weather forecasters. These results suggest that, for the geographical, phenomenological, and temporal parameters of this study, any added value provided by decreasing the grid increment from 4 to 2 km (with commensurate adjustments to the vertical resolution) may not be worth the considerable increases in computational expense.","container-title":"Weather and Forecasting","DOI":"10.1175/WAF2007106.1","ISSN":"1520-0434, 0882-8156","issue":"5","language":"EN","note":"publisher: American Meteorological Society\nsection: Weather and Forecasting","page":"931-952","source":"journals-ametsoc-org.ezproxy.lib.ou.edu","title":"Some Practical Considerations Regarding Horizontal Resolution in the First Generation of Operational Convection-Allowing NWP","volume":"23","author":[{"family":"Kain","given":"John S."},{"family":"Weiss","given":"Steven J."},{"family":"Bright","given":"David R."},{"family":"Baldwin","given":"Michael E."},{"family":"Levit","given":"Jason J."},{"family":"Carbin","given":"Gregory W."},{"family":"Schwartz","given":"Craig S."},{"family":"Weisman","given":"Morris L."},{"family":"Droegemeier","given":"Kelvin K."},{"family":"Weber","given":"Daniel B."},{"family":"Thomas","given":"Kevin W."}],"issued":{"date-parts":[["2008",10,1]]},"citation-key":"kainPracticalConsiderationsRegarding2008"}}],"schema":"https://github.com/citation-style-language/schema/raw/master/csl-citation.json"} </w:instrText>
      </w:r>
      <w:r>
        <w:fldChar w:fldCharType="separate"/>
      </w:r>
      <w:r>
        <w:rPr>
          <w:noProof/>
        </w:rPr>
        <w:t>(UH, Kain et al. 2008)</w:t>
      </w:r>
      <w:r>
        <w:fldChar w:fldCharType="end"/>
      </w:r>
      <w:r w:rsidRPr="00750572">
        <w:t xml:space="preserve"> </w:t>
      </w:r>
      <w:r>
        <w:t>forecasts are</w:t>
      </w:r>
      <w:r w:rsidRPr="00750572">
        <w:t xml:space="preserve"> evaluated using </w:t>
      </w:r>
      <w:r>
        <w:t>NSSL</w:t>
      </w:r>
      <w:r w:rsidRPr="00750572">
        <w:t>'</w:t>
      </w:r>
      <w:r>
        <w:t>s MRMS midlevel azimuthal shear (AzShear) product and NWS/SPC severe weather reports</w:t>
      </w:r>
      <w:r w:rsidRPr="00750572">
        <w:t xml:space="preserve">. Both MRMS CREF and </w:t>
      </w:r>
      <w:r>
        <w:t>AzShear</w:t>
      </w:r>
      <w:r w:rsidRPr="00750572">
        <w:t xml:space="preserve"> products </w:t>
      </w:r>
      <w:r>
        <w:t>are</w:t>
      </w:r>
      <w:r w:rsidRPr="00750572">
        <w:t xml:space="preserve"> interpolated onto the 1.5-km model grid </w:t>
      </w:r>
      <w:r>
        <w:t>before the verification process</w:t>
      </w:r>
      <w:r w:rsidRPr="00750572">
        <w:t>.</w:t>
      </w:r>
    </w:p>
    <w:p w14:paraId="36F32E65" w14:textId="60AE0063" w:rsidR="001A3D30" w:rsidRPr="00CD40E2" w:rsidRDefault="001A3D30" w:rsidP="00AE2400">
      <w:r>
        <w:t>In order t</w:t>
      </w:r>
      <w:r w:rsidRPr="00750572">
        <w:t xml:space="preserve">o </w:t>
      </w:r>
      <w:r>
        <w:t>quantitatively evaluate</w:t>
      </w:r>
      <w:r w:rsidRPr="00750572">
        <w:t xml:space="preserve"> the </w:t>
      </w:r>
      <w:r>
        <w:t>accuracy</w:t>
      </w:r>
      <w:r w:rsidRPr="00750572">
        <w:t xml:space="preserve"> of</w:t>
      </w:r>
      <w:r>
        <w:t xml:space="preserve"> short-term severe weather forecasts</w:t>
      </w:r>
      <w:r w:rsidRPr="00750572">
        <w:t xml:space="preserve">, </w:t>
      </w:r>
      <w:r>
        <w:t>a series of</w:t>
      </w:r>
      <w:r w:rsidRPr="00750572">
        <w:t xml:space="preserve"> metrics </w:t>
      </w:r>
      <w:r>
        <w:t>are</w:t>
      </w:r>
      <w:r w:rsidRPr="00750572">
        <w:t xml:space="preserve"> </w:t>
      </w:r>
      <w:r>
        <w:t>used</w:t>
      </w:r>
      <w:r w:rsidRPr="00750572">
        <w:t xml:space="preserve">. </w:t>
      </w:r>
      <w:r>
        <w:t>These metrics</w:t>
      </w:r>
      <w:r w:rsidRPr="00750572">
        <w:t xml:space="preserve"> </w:t>
      </w:r>
      <w:r>
        <w:t>are</w:t>
      </w:r>
      <w:r w:rsidRPr="00750572">
        <w:t xml:space="preserve"> </w:t>
      </w:r>
      <w:r>
        <w:t>calculated</w:t>
      </w:r>
      <w:r w:rsidRPr="00750572">
        <w:t xml:space="preserve"> for</w:t>
      </w:r>
      <w:r>
        <w:t xml:space="preserve"> the</w:t>
      </w:r>
      <w:r w:rsidRPr="00750572">
        <w:t xml:space="preserve"> CREF and </w:t>
      </w:r>
      <w:r w:rsidR="00AE2400">
        <w:t>30-min</w:t>
      </w:r>
      <w:r w:rsidR="00AE2400" w:rsidRPr="00750572">
        <w:t xml:space="preserve"> </w:t>
      </w:r>
      <w:r w:rsidR="00AE2400">
        <w:t xml:space="preserve">interval 2 – 5 km </w:t>
      </w:r>
      <w:r>
        <w:t xml:space="preserve">UH </w:t>
      </w:r>
      <w:r w:rsidRPr="00750572">
        <w:t>forecasts</w:t>
      </w:r>
      <w:r>
        <w:t>, against</w:t>
      </w:r>
      <w:r w:rsidRPr="00750572">
        <w:t xml:space="preserve"> MRMS CREF and </w:t>
      </w:r>
      <w:r>
        <w:t>midlevel AzShear</w:t>
      </w:r>
      <w:r w:rsidRPr="00750572">
        <w:t xml:space="preserve"> </w:t>
      </w:r>
      <w:r>
        <w:t>products</w:t>
      </w:r>
      <w:r w:rsidRPr="00750572">
        <w:t xml:space="preserve">. </w:t>
      </w:r>
      <w:r>
        <w:t>The s</w:t>
      </w:r>
      <w:r w:rsidRPr="00750572">
        <w:t xml:space="preserve">cores </w:t>
      </w:r>
      <w:r>
        <w:t>are</w:t>
      </w:r>
      <w:r w:rsidRPr="00750572">
        <w:t xml:space="preserve"> calculated using neighborhood radii of </w:t>
      </w:r>
      <w:r>
        <w:t>9</w:t>
      </w:r>
      <w:r w:rsidRPr="00750572">
        <w:t>, 12, and 1</w:t>
      </w:r>
      <w:r>
        <w:t>5</w:t>
      </w:r>
      <w:r w:rsidRPr="00750572">
        <w:t xml:space="preserve"> km, respectively. </w:t>
      </w:r>
      <w:r>
        <w:t>The</w:t>
      </w:r>
      <w:r w:rsidRPr="00750572">
        <w:t xml:space="preserve"> thresholds</w:t>
      </w:r>
      <w:r>
        <w:t xml:space="preserve"> for CREF</w:t>
      </w:r>
      <w:r w:rsidRPr="00750572">
        <w:t xml:space="preserve"> </w:t>
      </w:r>
      <w:r>
        <w:t>are set at</w:t>
      </w:r>
      <w:r w:rsidRPr="00750572">
        <w:t xml:space="preserve"> 20 and 40 dBZ</w:t>
      </w:r>
      <w:r>
        <w:t xml:space="preserve">. Since UH and AzShear are two distinct measurements, the thresholds for </w:t>
      </w:r>
      <w:r>
        <w:rPr>
          <w:rFonts w:hint="eastAsia"/>
        </w:rPr>
        <w:t>U</w:t>
      </w:r>
      <w:r>
        <w:t>H and midlevel AzShear are separately determined by considering the 95</w:t>
      </w:r>
      <w:r w:rsidRPr="0036740F">
        <w:rPr>
          <w:vertAlign w:val="superscript"/>
        </w:rPr>
        <w:t>th</w:t>
      </w:r>
      <w:r>
        <w:t xml:space="preserve"> and 99.95</w:t>
      </w:r>
      <w:r w:rsidRPr="00750572">
        <w:rPr>
          <w:vertAlign w:val="superscript"/>
        </w:rPr>
        <w:t>th</w:t>
      </w:r>
      <w:r>
        <w:t xml:space="preserve"> percentile values in </w:t>
      </w:r>
      <w:r>
        <w:rPr>
          <w:rFonts w:hint="eastAsia"/>
        </w:rPr>
        <w:t>t</w:t>
      </w:r>
      <w:r>
        <w:t xml:space="preserve">he real-time WoFS ensemble forecasts and the MRMS AzShear dataset </w:t>
      </w:r>
      <w:r>
        <w:fldChar w:fldCharType="begin"/>
      </w:r>
      <w:r>
        <w:instrText xml:space="preserve"> ADDIN ZOTERO_ITEM CSL_CITATION {"citationID":"7wYJUmyT","properties":{"formattedCitation":"(Skinner et al. 2018)","plainCitation":"(Skinner et al. 2018)","noteIndex":0},"citationItems":[{"id":135,"uris":["http://zotero.org/users/local/6VSApgKp/items/7CQRI4D5"],"itemData":{"id":135,"type":"article-journal","abstract":"&lt;section class=\"abstract\"&gt;&lt;h2 class=\"abstractTitle text-title my-1\" id=\"d3629245e265\"&gt;Abstract&lt;/h2&gt;&lt;p&gt;An object-based verification methodology for the NSSL Experimental Warn-on-Forecast System for ensembles (NEWS-e) has been developed and applied to 32 cases between December 2015 and June 2017. NEWS-e forecast objects of composite reflectivity and 30-min updraft helicity swaths are matched to corresponding reflectivity and rotation track objects in Multi-Radar Multi-Sensor system data on space and time scales typical of a National Weather Service warning. Object matching allows contingency-table-based verification statistics to be used to establish baseline performance metrics for NEWS-e thunderstorm and mesocyclone forecasts. NEWS-e critical success index (CSI) scores of reflectivity (updraft helicity) forecasts decrease from approximately 0.7 (0.4) to 0.4 (0.2) over 3 h of forecast time. CSI scores decrease through the forecast period, indicating that errors do not saturate during the 3-h forecast. Lower verification scores for rotation track forecasts are primarily a result of a high-frequency bias. Comparison of different system configurations used in 2016 and 2017 shows an increase in skill for 2017 reflectivity forecasts, attributable mainly to improvements in the forecast initial conditions. A small decrease in skill in 2017 rotation track forecasts is likely a result of sample differences between 2016 and 2017. Although large case-to-case variation is present, evidence is found that NEWS-e forecast skill improves with increasing object size and intensity.&lt;/p&gt;&lt;/section&gt;","container-title":"Weather and Forecasting","DOI":"10.1175/WAF-D-18-0020.1","ISSN":"1520-0434, 0882-8156","issue":"5","language":"EN","note":"publisher: American Meteorological Society\nsection: Weather and Forecasting","page":"1225-1250","source":"journals.ametsoc.org","title":"Object-Based Verification of a Prototype Warn-on-Forecast System","volume":"33","author":[{"family":"Skinner","given":"Patrick S."},{"family":"Wheatley","given":"Dustan M."},{"family":"Knopfmeier","given":"Kent H."},{"family":"Reinhart","given":"Anthony E."},{"family":"Choate","given":"Jessica J."},{"family":"Jones","given":"Thomas A."},{"family":"Creager","given":"Gerald J."},{"family":"Dowell","given":"David C."},{"family":"Alexander","given":"Curtis R."},{"family":"Ladwig","given":"Therese T."},{"family":"Wicker","given":"Louis J."},{"family":"Heinselman","given":"Pamela L."},{"family":"Minnis","given":"Patrick"},{"family":"Palikonda","given":"Rabindra"}],"issued":{"date-parts":[["2018",10,1]]},"citation-key":"skinnerObjectBasedVerificationPrototype2018"}}],"schema":"https://github.com/citation-style-language/schema/raw/master/csl-citation.json"} </w:instrText>
      </w:r>
      <w:r>
        <w:fldChar w:fldCharType="separate"/>
      </w:r>
      <w:r>
        <w:rPr>
          <w:noProof/>
        </w:rPr>
        <w:t>(Skinner et al. 2018)</w:t>
      </w:r>
      <w:r>
        <w:fldChar w:fldCharType="end"/>
      </w:r>
      <w:r>
        <w:t xml:space="preserve"> of 19 severe weather events in 2020 and 2021. Therefore, the </w:t>
      </w:r>
      <w:r w:rsidRPr="00750572">
        <w:t>thresholds</w:t>
      </w:r>
      <w:r>
        <w:t xml:space="preserve"> for UH</w:t>
      </w:r>
      <w:r w:rsidRPr="00750572">
        <w:t xml:space="preserve"> </w:t>
      </w:r>
      <w:r>
        <w:t>are set at</w:t>
      </w:r>
      <w:r w:rsidRPr="00750572">
        <w:t xml:space="preserve"> </w:t>
      </w:r>
      <w:r>
        <w:t xml:space="preserve">65.79 and 80.0 </w:t>
      </w:r>
      <w:r w:rsidRPr="0088260C">
        <w:t>m</w:t>
      </w:r>
      <w:r w:rsidRPr="0088260C">
        <w:rPr>
          <w:vertAlign w:val="superscript"/>
        </w:rPr>
        <w:t>2</w:t>
      </w:r>
      <w:r>
        <w:t xml:space="preserve"> </w:t>
      </w:r>
      <w:r w:rsidRPr="0088260C">
        <w:t>s</w:t>
      </w:r>
      <w:r>
        <w:rPr>
          <w:vertAlign w:val="superscript"/>
        </w:rPr>
        <w:t>-2</w:t>
      </w:r>
      <w:r>
        <w:t xml:space="preserve">; and the thresholds for AzShear are set at </w:t>
      </w:r>
      <w:r w:rsidRPr="00750572">
        <w:t>0.00206</w:t>
      </w:r>
      <w:r>
        <w:t xml:space="preserve"> and </w:t>
      </w:r>
      <w:r w:rsidRPr="00750572">
        <w:t>0.00215</w:t>
      </w:r>
      <w:r>
        <w:t xml:space="preserve"> s</w:t>
      </w:r>
      <w:r>
        <w:rPr>
          <w:vertAlign w:val="superscript"/>
        </w:rPr>
        <w:t xml:space="preserve">-1 </w:t>
      </w:r>
      <w:r>
        <w:t>for the 95</w:t>
      </w:r>
      <w:r w:rsidRPr="0036740F">
        <w:rPr>
          <w:vertAlign w:val="superscript"/>
        </w:rPr>
        <w:t>th</w:t>
      </w:r>
      <w:r>
        <w:t xml:space="preserve"> and 99.95</w:t>
      </w:r>
      <w:r w:rsidRPr="00750572">
        <w:rPr>
          <w:vertAlign w:val="superscript"/>
        </w:rPr>
        <w:t>th</w:t>
      </w:r>
      <w:r>
        <w:t xml:space="preserve"> percentile respectively. </w:t>
      </w:r>
      <w:r w:rsidRPr="00750572">
        <w:t>Using the</w:t>
      </w:r>
      <w:r>
        <w:t>se</w:t>
      </w:r>
      <w:r w:rsidRPr="00750572">
        <w:t xml:space="preserve"> neighborhood radii and thresholds, contingency-table based metrics</w:t>
      </w:r>
      <w:r>
        <w:t xml:space="preserve"> </w:t>
      </w:r>
      <w:r>
        <w:fldChar w:fldCharType="begin"/>
      </w:r>
      <w:r>
        <w:instrText xml:space="preserve"> ADDIN ZOTERO_ITEM CSL_CITATION {"citationID":"fWAFi2jj","properties":{"formattedCitation":"(Roebber 2009)","plainCitation":"(Roebber 2009)","noteIndex":0},"citationItems":[{"id":335,"uris":["http://zotero.org/users/local/6VSApgKp/items/YGJH6DHN"],"itemData":{"id":335,"type":"article-journal","abstract":"Abstract A method for visually representing multiple measures of dichotomous (yes–no) forecast quality (probability of detection, false alarm ratio, bias, and critical success index) in a single diagram is presented. Illustration of the method is provided using performance statistics from two previously published forecast verification studies (snowfall density and convective initiation) and a verification of several new forecast datasets: Storm Prediction Center forecasts of severe storms (nontornadic and tornadic), Hydrometeorological Prediction Center forecasts of heavy precipitation (greater than 12.5 mm in a 6-h period), National Weather Service Forecast Office terminal aviation forecasts (ceiling and visibility), and medium-range ensemble forecasts of 500-hPa height anomalies. The use of such verification metrics in concert with more detailed investigations to advance forecasting is briefly discussed.","container-title":"Weather and Forecasting","DOI":"10.1175/2008WAF2222159.1","ISSN":"1520-0434, 0882-8156","issue":"2","language":"EN","note":"publisher: American Meteorological Society\nsection: Weather and Forecasting","page":"601-608","source":"journals-ametsoc-org.ezproxy.lib.ou.edu","title":"Visualizing Multiple Measures of Forecast Quality","volume":"24","author":[{"family":"Roebber","given":"Paul J."}],"issued":{"date-parts":[["2009",4,1]]},"citation-key":"roebberVisualizingMultipleMeasures2009"}}],"schema":"https://github.com/citation-style-language/schema/raw/master/csl-citation.json"} </w:instrText>
      </w:r>
      <w:r>
        <w:fldChar w:fldCharType="separate"/>
      </w:r>
      <w:r>
        <w:rPr>
          <w:noProof/>
        </w:rPr>
        <w:t>(Roebber 2009)</w:t>
      </w:r>
      <w:r>
        <w:fldChar w:fldCharType="end"/>
      </w:r>
      <w:r w:rsidRPr="00750572">
        <w:t xml:space="preserve"> such as the probability of detection (POD), false alarm ratio (FAR), success ratio (SR = 1 – FAR), frequency bias (BIAS), and critical success index (CSI) </w:t>
      </w:r>
      <w:r>
        <w:t>are</w:t>
      </w:r>
      <w:r w:rsidRPr="00750572">
        <w:t xml:space="preserve"> </w:t>
      </w:r>
      <w:r w:rsidRPr="00750572">
        <w:lastRenderedPageBreak/>
        <w:t>calculated.</w:t>
      </w:r>
      <w:r>
        <w:t xml:space="preserve"> </w:t>
      </w:r>
      <w:r w:rsidRPr="00854399">
        <w:rPr>
          <w:rFonts w:cs="Times"/>
          <w:color w:val="000000" w:themeColor="text1"/>
          <w:szCs w:val="17"/>
        </w:rPr>
        <w:t xml:space="preserve">The closer the values of POD, SR, BIAS, and CSI approach unity, the better forecast is achieved. Therefore, these metrics </w:t>
      </w:r>
      <w:r w:rsidRPr="00854399">
        <w:rPr>
          <w:color w:val="000000" w:themeColor="text1"/>
        </w:rPr>
        <w:t>can be put into one performance diagram plot,</w:t>
      </w:r>
      <w:r w:rsidRPr="00854399">
        <w:rPr>
          <w:rFonts w:cs="Times"/>
          <w:color w:val="000000" w:themeColor="text1"/>
          <w:szCs w:val="17"/>
        </w:rPr>
        <w:t xml:space="preserve"> with the perfect forecast located at the upper-right corner of the diagram. </w:t>
      </w:r>
      <w:r>
        <w:t>Finally, a n</w:t>
      </w:r>
      <w:r w:rsidRPr="00750572">
        <w:t xml:space="preserve">eighborhood </w:t>
      </w:r>
      <w:r>
        <w:t xml:space="preserve">ETS is calculated based on the contingency table. A permutation test </w:t>
      </w:r>
      <w:r>
        <w:fldChar w:fldCharType="begin"/>
      </w:r>
      <w:r>
        <w:instrText xml:space="preserve"> ADDIN ZOTERO_ITEM CSL_CITATION {"citationID":"nFIOCxJ1","properties":{"formattedCitation":"(Hamill 1999)","plainCitation":"(Hamill 1999)","noteIndex":0},"citationItems":[{"id":227,"uris":["http://zotero.org/users/local/6VSApgKp/items/SNS2LKH5"],"itemData":{"id":227,"type":"article-journal","abstract":"Abstract When evaluating differences between competing precipitation forecasts, formal hypothesis testing is rarely performed. This may be due to the difficulty in applying common tests given the spatial correlation of and non-normality of errors. Possible ways around these difficulties are explored here. Two datasets of precipitation forecasts are evaluated, a set of two competing gridded precipitation forecasts from operational weather prediction models and sets of competing probabilistic quantitative precipitation forecasts from model output statistics and from an ensemble of forecasts. For each test, data from each competing forecast are collected into one sample for each case day to avoid problems with spatial correlation. Next, several possible hypothesis test methods are evaluated: the paired t test, the nonparametric Wilcoxon signed-rank test, and two resampling tests. The more involved resampling test methodology is the most appropriate when testing threat scores from nonprobabilistic forecasts. The simpler paired t test or Wilcoxon test is appropriate to use in testing the skill of probabilistic forecasts evaluated with the ranked probability score.","container-title":"Weather and Forecasting","DOI":"10.1175/1520-0434(1999)014&lt;0155:HTFENP&gt;2.0.CO;2","ISSN":"1520-0434, 0882-8156","issue":"2","language":"EN","note":"publisher: American Meteorological Society\nsection: Weather and Forecasting","page":"155-167","source":"journals.ametsoc.org","title":"Hypothesis Tests for Evaluating Numerical Precipitation Forecasts","volume":"14","author":[{"family":"Hamill","given":"Thomas M."}],"issued":{"date-parts":[["1999",4,1]]},"citation-key":"hamillHypothesisTestsEvaluating1999"}}],"schema":"https://github.com/citation-style-language/schema/raw/master/csl-citation.json"} </w:instrText>
      </w:r>
      <w:r>
        <w:fldChar w:fldCharType="separate"/>
      </w:r>
      <w:r>
        <w:rPr>
          <w:noProof/>
        </w:rPr>
        <w:t>(Hamill 1999)</w:t>
      </w:r>
      <w:r>
        <w:fldChar w:fldCharType="end"/>
      </w:r>
      <w:r>
        <w:t xml:space="preserve"> is conducted as well to further examine if the variations in scores of the experiments with the use of weather-dependent static </w:t>
      </w:r>
      <m:oMath>
        <m:r>
          <m:rPr>
            <m:sty m:val="b"/>
          </m:rPr>
          <w:rPr>
            <w:rFonts w:ascii="Cambria Math" w:hAnsi="Cambria Math"/>
          </w:rPr>
          <m:t>B</m:t>
        </m:r>
      </m:oMath>
      <w:r>
        <w:t xml:space="preserve"> in WoF-Hybrid are statistically significant.</w:t>
      </w:r>
    </w:p>
    <w:p w14:paraId="2A479F93" w14:textId="6F842C26" w:rsidR="001A3D30" w:rsidRPr="0061623C" w:rsidRDefault="001A3D30" w:rsidP="001A3D30">
      <w:r>
        <w:t xml:space="preserve">In addition, </w:t>
      </w:r>
      <w:r w:rsidRPr="00750572">
        <w:t>UH swaths aggregated over a 0</w:t>
      </w:r>
      <w:r>
        <w:t xml:space="preserve">- to </w:t>
      </w:r>
      <w:r w:rsidRPr="00750572">
        <w:t>6</w:t>
      </w:r>
      <w:r>
        <w:t xml:space="preserve">-hour </w:t>
      </w:r>
      <w:r w:rsidRPr="00750572">
        <w:t>period with a 1</w:t>
      </w:r>
      <w:r>
        <w:t>0</w:t>
      </w:r>
      <w:r w:rsidRPr="00750572">
        <w:t xml:space="preserve">-minute output interval </w:t>
      </w:r>
      <w:r>
        <w:t>are</w:t>
      </w:r>
      <w:r w:rsidRPr="00750572">
        <w:t xml:space="preserve"> subjectively compared against the</w:t>
      </w:r>
      <w:r>
        <w:t xml:space="preserve"> NWS/SPC</w:t>
      </w:r>
      <w:r w:rsidRPr="00750572">
        <w:t xml:space="preserve"> </w:t>
      </w:r>
      <w:r>
        <w:t>severe</w:t>
      </w:r>
      <w:r w:rsidRPr="00750572">
        <w:t xml:space="preserve"> </w:t>
      </w:r>
      <w:r>
        <w:t xml:space="preserve">weather </w:t>
      </w:r>
      <w:r w:rsidRPr="00750572">
        <w:t>reports</w:t>
      </w:r>
      <w:r>
        <w:t>,</w:t>
      </w:r>
      <w:r w:rsidRPr="00750572">
        <w:t xml:space="preserve"> which </w:t>
      </w:r>
      <w:r>
        <w:t>document</w:t>
      </w:r>
      <w:r w:rsidRPr="00750572">
        <w:t xml:space="preserve"> the occurrence of hazardous weather events across the United States, including tornadoes, wind gusts of 26 m</w:t>
      </w:r>
      <w:r>
        <w:t xml:space="preserve"> s</w:t>
      </w:r>
      <w:r>
        <w:rPr>
          <w:vertAlign w:val="superscript"/>
        </w:rPr>
        <w:t>-1</w:t>
      </w:r>
      <w:r w:rsidRPr="00750572">
        <w:t xml:space="preserve"> or greater, and hail with </w:t>
      </w:r>
      <w:r>
        <w:t xml:space="preserve">a diameter of </w:t>
      </w:r>
      <w:r w:rsidRPr="00750572">
        <w:t>25 mm or larger</w:t>
      </w:r>
      <w:r>
        <w:t>, to verify the forecast qualitatively</w:t>
      </w:r>
      <w:r w:rsidRPr="00750572">
        <w:t xml:space="preserve">. </w:t>
      </w:r>
      <w:r>
        <w:t>Despite</w:t>
      </w:r>
      <w:r w:rsidRPr="00750572">
        <w:t xml:space="preserve"> some biases in these reports</w:t>
      </w:r>
      <w:r>
        <w:t xml:space="preserve"> </w:t>
      </w:r>
      <w:r>
        <w:fldChar w:fldCharType="begin"/>
      </w:r>
      <w:r>
        <w:instrText xml:space="preserve"> ADDIN ZOTERO_ITEM CSL_CITATION {"citationID":"6IsAsKRm","properties":{"formattedCitation":"(Trapp et al. 2006; Potvin et al. 2019)","plainCitation":"(Trapp et al. 2006; Potvin et al. 2019)","noteIndex":0},"citationItems":[{"id":341,"uris":["http://zotero.org/users/local/6VSApgKp/items/Y4IXKFTA"],"itemData":{"id":341,"type":"article-journal","abstract":"Abstract Postevent damage surveys conducted during the Bow Echo and Mesoscale Convective Vortex Experiment demonstrate that the severe thunderstorm wind reports in Storm Data served as a poor characterization of the actual scope and magnitude of the surveyed damage. Contrasting examples are presented in which a few reports grossly underrepresented a significant event (in terms of property damage and actual areal coverage of damage), while a large number of reports overrepresented a relatively less significant event. Explanations and further discussion of this problem are provided, as are some of the implications, which may include a skewed understanding of how and when systems of thunderstorms cause damage. A number of recommendations pertaining to severe wind reporting are offered.","container-title":"Weather and Forecasting","DOI":"10.1175/WAF925.1","ISSN":"1520-0434, 0882-8156","issue":"3","language":"EN","note":"publisher: American Meteorological Society\nsection: Weather and Forecasting","page":"408-415","source":"journals-ametsoc-org.ezproxy.lib.ou.edu","title":"Buyer Beware: Some Words of Caution on the Use of Severe Wind Reports in Postevent Assessment and Research","title-short":"Buyer Beware","volume":"21","author":[{"family":"Trapp","given":"Robert J."},{"family":"Wheatley","given":"Dustan M."},{"family":"Atkins","given":"Nolan T."},{"family":"Przybylinski","given":"Ronald W."},{"family":"Wolf","given":"Ray"}],"issued":{"date-parts":[["2006",6,1]]},"citation-key":"trappBuyerBewareWords2006"}},{"id":343,"uris":["http://zotero.org/users/local/6VSApgKp/items/B9LGCPMF"],"itemData":{"id":343,"type":"article-journal","abstract":"Abstract The Storm Prediction Center (SPC) tornado database, generated from NCEI’s Storm Data publication, is indispensable for assessing U.S. tornado risk and investigating tornado–climate connections. Maximizing the value of this database, however, requires accounting for systemically lower reported tornado counts in rural areas owing to a lack of observers. This study uses Bayesian hierarchical modeling to estimate tornado reporting rates and expected tornado counts over the central United States during 1975–2016. Our method addresses a serious solution nonuniqueness issue that may have affected previous studies. The adopted model explains 73% (&gt;90%) of the variance in reported counts at scales of 50 km (&gt;100 km). Population density explains more of the variance in reported tornado counts than other examined geographical covariates, including distance from nearest city, terrain ruggedness index, and road density. The model estimates that approximately 45% of tornadoes within the analysis domain were reported. The estimated tornado reporting rate decreases sharply away from population centers; for example, while &gt;90% of tornadoes that occur within 5 km of a city with population &gt; 100 000 are reported, this rate decreases to &lt;70% at distances of 20–25 km. The method is directly extendable to other events subject to underreporting (e.g., severe hail and wind) and could be used to improve climate studies and tornado and other hazard models for forecasters, planners, and insurance/reinsurance companies, as well as for the development and verification of storm-scale prediction systems.","container-title":"Weather and Forecasting","DOI":"10.1175/WAF-D-18-0137.1","ISSN":"1520-0434, 0882-8156","issue":"1","language":"EN","note":"publisher: American Meteorological Society\nsection: Weather and Forecasting","page":"15-30","source":"journals-ametsoc-org.ezproxy.lib.ou.edu","title":"A Bayesian Hierarchical Modeling Framework for Correcting Reporting Bias in the U.S. Tornado Database","volume":"34","author":[{"family":"Potvin","given":"Corey K."},{"family":"Broyles","given":"Chris"},{"family":"Skinner","given":"Patrick S."},{"family":"Brooks","given":"Harold E."},{"family":"Rasmussen","given":"Erik"}],"issued":{"date-parts":[["2019",2,1]]},"citation-key":"potvinBayesianHierarchicalModeling2019"}}],"schema":"https://github.com/citation-style-language/schema/raw/master/csl-citation.json"} </w:instrText>
      </w:r>
      <w:r>
        <w:fldChar w:fldCharType="separate"/>
      </w:r>
      <w:r>
        <w:rPr>
          <w:noProof/>
        </w:rPr>
        <w:t>(Trapp et al. 2006; Potvin et al. 2019)</w:t>
      </w:r>
      <w:r>
        <w:fldChar w:fldCharType="end"/>
      </w:r>
      <w:r w:rsidRPr="00750572">
        <w:t xml:space="preserve">, </w:t>
      </w:r>
      <w:r>
        <w:t>NWS/SPC severe weather reports</w:t>
      </w:r>
      <w:r w:rsidRPr="00750572">
        <w:t xml:space="preserve"> are still a commonly used resource for </w:t>
      </w:r>
      <w:r>
        <w:t xml:space="preserve">qualitative </w:t>
      </w:r>
      <w:r w:rsidRPr="00750572">
        <w:t>forecast verification.</w:t>
      </w:r>
    </w:p>
    <w:p w14:paraId="7D58D721" w14:textId="64D71FCC" w:rsidR="00E762B3" w:rsidRDefault="00E762B3" w:rsidP="00E762B3">
      <w:pPr>
        <w:ind w:firstLine="0"/>
      </w:pPr>
    </w:p>
    <w:p w14:paraId="2BEBB9F7" w14:textId="4E47F5B1" w:rsidR="00E6523E" w:rsidRDefault="00E6523E">
      <w:pPr>
        <w:pStyle w:val="Heading2"/>
      </w:pPr>
      <w:bookmarkStart w:id="137" w:name="_Toc130995467"/>
      <w:bookmarkStart w:id="138" w:name="_Toc131018332"/>
      <w:r>
        <w:t>Results</w:t>
      </w:r>
      <w:bookmarkEnd w:id="137"/>
      <w:bookmarkEnd w:id="138"/>
    </w:p>
    <w:p w14:paraId="5267D078" w14:textId="77777777" w:rsidR="00E6523E" w:rsidRPr="00EF5D37" w:rsidRDefault="00E6523E">
      <w:pPr>
        <w:pStyle w:val="Heading3"/>
      </w:pPr>
      <w:bookmarkStart w:id="139" w:name="_Toc130995468"/>
      <w:bookmarkStart w:id="140" w:name="_Toc131018333"/>
      <w:r>
        <w:t>Aggregate forecast performance</w:t>
      </w:r>
      <w:bookmarkEnd w:id="139"/>
      <w:bookmarkEnd w:id="140"/>
    </w:p>
    <w:p w14:paraId="6F0FBF9A" w14:textId="20A84B87" w:rsidR="00E6523E" w:rsidRDefault="00E6523E" w:rsidP="00E6523E">
      <w:r w:rsidRPr="00CD40E2">
        <w:t xml:space="preserve">To gain an in-depth understanding of the forecasting capabilities of reflectivity and rotation track in </w:t>
      </w:r>
      <w:r>
        <w:t>WoF-Hybrid</w:t>
      </w:r>
      <w:r w:rsidRPr="00CD40E2">
        <w:t xml:space="preserve">, which incorporates weather-dependent static </w:t>
      </w:r>
      <m:oMath>
        <m:r>
          <m:rPr>
            <m:sty m:val="b"/>
          </m:rPr>
          <w:rPr>
            <w:rFonts w:ascii="Cambria Math" w:hAnsi="Cambria Math"/>
          </w:rPr>
          <m:t>B</m:t>
        </m:r>
      </m:oMath>
      <w:r w:rsidRPr="00CD40E2">
        <w:t xml:space="preserve">, various evaluation metrics such as POD, FAR/SR, CSI, BIAS, and ETS </w:t>
      </w:r>
      <w:r>
        <w:t>are</w:t>
      </w:r>
      <w:r w:rsidRPr="00CD40E2">
        <w:t xml:space="preserve"> </w:t>
      </w:r>
      <w:r>
        <w:t>calculated</w:t>
      </w:r>
      <w:r w:rsidRPr="00CD40E2">
        <w:t xml:space="preserve"> for both CREF and UH. These metrics </w:t>
      </w:r>
      <w:r>
        <w:t>are</w:t>
      </w:r>
      <w:r w:rsidRPr="00CD40E2">
        <w:t xml:space="preserve"> </w:t>
      </w:r>
      <w:r>
        <w:t>aggregated</w:t>
      </w:r>
      <w:r w:rsidRPr="00CD40E2">
        <w:t xml:space="preserve"> from forecasts initia</w:t>
      </w:r>
      <w:r>
        <w:t>lized</w:t>
      </w:r>
      <w:r w:rsidRPr="00CD40E2">
        <w:t xml:space="preserve"> at hourly intervals between 2100 UTC and 0300 UTC </w:t>
      </w:r>
      <w:r>
        <w:t xml:space="preserve">for the event </w:t>
      </w:r>
      <w:r w:rsidRPr="00CD40E2">
        <w:t xml:space="preserve">on </w:t>
      </w:r>
      <w:r>
        <w:t>10 Dec</w:t>
      </w:r>
      <w:r w:rsidRPr="00CD40E2">
        <w:t xml:space="preserve"> 2021, as well as between 1800 UTC and 0000 UTC for the remaining four events. </w:t>
      </w:r>
      <w:r w:rsidRPr="00317B49">
        <w:t xml:space="preserve">The reason why the aggregate period for the event on </w:t>
      </w:r>
      <w:r>
        <w:t>10 Dec</w:t>
      </w:r>
      <w:r w:rsidRPr="00317B49">
        <w:t xml:space="preserve"> 2021 is different from that for other events is because severe weather was active</w:t>
      </w:r>
      <w:r>
        <w:t xml:space="preserve"> </w:t>
      </w:r>
      <w:r w:rsidR="00F535BF">
        <w:t>during</w:t>
      </w:r>
      <w:r>
        <w:t xml:space="preserve"> a different time period for this event</w:t>
      </w:r>
      <w:r w:rsidRPr="00317B49">
        <w:t>.</w:t>
      </w:r>
      <w:r w:rsidRPr="00317B49" w:rsidDel="00317B49">
        <w:t xml:space="preserve"> </w:t>
      </w:r>
      <w:r>
        <w:lastRenderedPageBreak/>
        <w:t>P</w:t>
      </w:r>
      <w:r w:rsidRPr="00CD40E2">
        <w:t xml:space="preserve">erformance diagrams </w:t>
      </w:r>
      <w:r w:rsidR="00A46728">
        <w:rPr>
          <w:rFonts w:hint="eastAsia"/>
        </w:rPr>
        <w:t>with</w:t>
      </w:r>
      <w:r w:rsidR="00A46728">
        <w:t xml:space="preserve"> </w:t>
      </w:r>
      <w:r w:rsidRPr="00CD40E2">
        <w:t xml:space="preserve">varying thresholds and neighborhood radii </w:t>
      </w:r>
      <w:r>
        <w:t>are</w:t>
      </w:r>
      <w:r w:rsidRPr="00CD40E2">
        <w:t xml:space="preserve"> used to provide a clear and concise representation of forecast ability for CREF and</w:t>
      </w:r>
      <w:r>
        <w:t xml:space="preserve"> 30-min</w:t>
      </w:r>
      <w:r w:rsidRPr="00CD40E2">
        <w:t xml:space="preserve"> midlevel </w:t>
      </w:r>
      <w:r>
        <w:t>rotation track</w:t>
      </w:r>
      <w:r w:rsidRPr="00CD40E2">
        <w:t xml:space="preserve">. These diagrams, shown in Figure </w:t>
      </w:r>
      <w:r w:rsidR="00383D41">
        <w:t>5.</w:t>
      </w:r>
      <w:r w:rsidRPr="00CD40E2">
        <w:t xml:space="preserve">2, </w:t>
      </w:r>
      <w:r>
        <w:t>are</w:t>
      </w:r>
      <w:r w:rsidRPr="00CD40E2">
        <w:t xml:space="preserve"> created by combining POD, FAR/SR, CSI, and BIAS into one graph.</w:t>
      </w:r>
    </w:p>
    <w:p w14:paraId="719F22ED" w14:textId="44400086" w:rsidR="00383D41" w:rsidRDefault="00383D41" w:rsidP="00383D41">
      <w:pPr>
        <w:pStyle w:val="NoSpacing"/>
      </w:pPr>
    </w:p>
    <w:p w14:paraId="4C24FE72" w14:textId="04CD4331" w:rsidR="00383D41" w:rsidRDefault="00383D41" w:rsidP="00AE2400">
      <w:pPr>
        <w:spacing w:line="240" w:lineRule="auto"/>
        <w:ind w:firstLine="0"/>
        <w:jc w:val="center"/>
      </w:pPr>
      <w:r w:rsidRPr="00052CA0">
        <w:rPr>
          <w:noProof/>
        </w:rPr>
        <w:drawing>
          <wp:inline distT="0" distB="0" distL="0" distR="0" wp14:anchorId="01A888CA" wp14:editId="13278C7E">
            <wp:extent cx="5909000" cy="2842101"/>
            <wp:effectExtent l="0" t="0" r="0" b="3175"/>
            <wp:docPr id="38" name="Picture 3">
              <a:extLst xmlns:a="http://schemas.openxmlformats.org/drawingml/2006/main">
                <a:ext uri="{FF2B5EF4-FFF2-40B4-BE49-F238E27FC236}">
                  <a16:creationId xmlns:a16="http://schemas.microsoft.com/office/drawing/2014/main" id="{508E779E-FB0A-44BD-9853-1316FA1675C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
                      <a:extLst>
                        <a:ext uri="{FF2B5EF4-FFF2-40B4-BE49-F238E27FC236}">
                          <a16:creationId xmlns:a16="http://schemas.microsoft.com/office/drawing/2014/main" id="{508E779E-FB0A-44BD-9853-1316FA1675CA}"/>
                        </a:ext>
                      </a:extLst>
                    </pic:cNvPr>
                    <pic:cNvPicPr>
                      <a:picLocks noChangeAspect="1"/>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909000" cy="2842101"/>
                    </a:xfrm>
                    <a:prstGeom prst="rect">
                      <a:avLst/>
                    </a:prstGeom>
                  </pic:spPr>
                </pic:pic>
              </a:graphicData>
            </a:graphic>
          </wp:inline>
        </w:drawing>
      </w:r>
    </w:p>
    <w:p w14:paraId="42423999" w14:textId="7433A7DE" w:rsidR="00383D41" w:rsidRPr="00D60A80" w:rsidRDefault="00383D41" w:rsidP="00383D41">
      <w:pPr>
        <w:pStyle w:val="Captions"/>
        <w:rPr>
          <w:szCs w:val="24"/>
        </w:rPr>
      </w:pPr>
      <w:bookmarkStart w:id="141" w:name="_Toc134695297"/>
      <w:r w:rsidRPr="00D60A80">
        <w:rPr>
          <w:szCs w:val="24"/>
        </w:rPr>
        <w:t xml:space="preserve">Figure </w:t>
      </w:r>
      <w:r w:rsidR="00C96E3B" w:rsidRPr="00D60A80">
        <w:rPr>
          <w:szCs w:val="24"/>
        </w:rPr>
        <w:fldChar w:fldCharType="begin"/>
      </w:r>
      <w:r w:rsidR="00C96E3B" w:rsidRPr="00D60A80">
        <w:rPr>
          <w:szCs w:val="24"/>
        </w:rPr>
        <w:instrText xml:space="preserve"> STYLEREF 1 \s </w:instrText>
      </w:r>
      <w:r w:rsidR="00C96E3B" w:rsidRPr="00D60A80">
        <w:rPr>
          <w:szCs w:val="24"/>
        </w:rPr>
        <w:fldChar w:fldCharType="separate"/>
      </w:r>
      <w:r w:rsidR="00C77C87" w:rsidRPr="00D60A80">
        <w:rPr>
          <w:noProof/>
          <w:szCs w:val="24"/>
        </w:rPr>
        <w:t>5</w:t>
      </w:r>
      <w:r w:rsidR="00C96E3B" w:rsidRPr="00D60A80">
        <w:rPr>
          <w:noProof/>
          <w:szCs w:val="24"/>
        </w:rPr>
        <w:fldChar w:fldCharType="end"/>
      </w:r>
      <w:r w:rsidR="00C77C87" w:rsidRPr="00D60A80">
        <w:rPr>
          <w:szCs w:val="24"/>
        </w:rPr>
        <w:t>.</w:t>
      </w:r>
      <w:r w:rsidR="00C96E3B" w:rsidRPr="00D60A80">
        <w:rPr>
          <w:szCs w:val="24"/>
        </w:rPr>
        <w:fldChar w:fldCharType="begin"/>
      </w:r>
      <w:r w:rsidR="00C96E3B" w:rsidRPr="00D60A80">
        <w:rPr>
          <w:szCs w:val="24"/>
        </w:rPr>
        <w:instrText xml:space="preserve"> SEQ Figure \* ARABIC \s 1 </w:instrText>
      </w:r>
      <w:r w:rsidR="00C96E3B" w:rsidRPr="00D60A80">
        <w:rPr>
          <w:szCs w:val="24"/>
        </w:rPr>
        <w:fldChar w:fldCharType="separate"/>
      </w:r>
      <w:r w:rsidR="00C77C87" w:rsidRPr="00D60A80">
        <w:rPr>
          <w:noProof/>
          <w:szCs w:val="24"/>
        </w:rPr>
        <w:t>2</w:t>
      </w:r>
      <w:r w:rsidR="00C96E3B" w:rsidRPr="00D60A80">
        <w:rPr>
          <w:noProof/>
          <w:szCs w:val="24"/>
        </w:rPr>
        <w:fldChar w:fldCharType="end"/>
      </w:r>
      <w:r w:rsidRPr="00D60A80">
        <w:rPr>
          <w:szCs w:val="24"/>
        </w:rPr>
        <w:t xml:space="preserve"> Performance diagrams for 1</w:t>
      </w:r>
      <w:r w:rsidR="00532C06" w:rsidRPr="00D60A80">
        <w:rPr>
          <w:szCs w:val="24"/>
        </w:rPr>
        <w:t xml:space="preserve">- to </w:t>
      </w:r>
      <w:r w:rsidRPr="00D60A80">
        <w:rPr>
          <w:szCs w:val="24"/>
        </w:rPr>
        <w:t>6</w:t>
      </w:r>
      <w:r w:rsidR="00532C06" w:rsidRPr="00D60A80">
        <w:rPr>
          <w:szCs w:val="24"/>
        </w:rPr>
        <w:t>-</w:t>
      </w:r>
      <w:r w:rsidRPr="00D60A80">
        <w:rPr>
          <w:szCs w:val="24"/>
        </w:rPr>
        <w:t>h</w:t>
      </w:r>
      <w:r w:rsidR="00532C06" w:rsidRPr="00D60A80">
        <w:rPr>
          <w:szCs w:val="24"/>
        </w:rPr>
        <w:t>our</w:t>
      </w:r>
      <w:r w:rsidRPr="00D60A80">
        <w:rPr>
          <w:szCs w:val="24"/>
        </w:rPr>
        <w:t xml:space="preserve"> composite reflectivity (CREF) and midlevel rotation track forecasts, aggregated from each initialization hour between 2100 and 0300 UTC the next day for 10 Dec 2021, and between 1800 and 0000 UTC the next day across the other 4 events. The numbers within the colored circles indicate the forecast hour, i.e., 1-, 3- and 6</w:t>
      </w:r>
      <w:r w:rsidR="00857FCC" w:rsidRPr="00D60A80">
        <w:rPr>
          <w:szCs w:val="24"/>
        </w:rPr>
        <w:t>-hour</w:t>
      </w:r>
      <w:r w:rsidRPr="00D60A80">
        <w:rPr>
          <w:szCs w:val="24"/>
        </w:rPr>
        <w:t xml:space="preserve"> forecasts. Top row shows the performance diagrams for CREF forecasts relative to MRMS CREF observations using thresholds of (a, c) 20 dBZ and (b, d) 40 dBZ. Bottom row shows the performance diagrams for middle-level UH forecasts relative to MRMS Azimuthal Shear using thresholds of (e, g) 65.79 m</w:t>
      </w:r>
      <w:r w:rsidRPr="00D60A80">
        <w:rPr>
          <w:szCs w:val="24"/>
          <w:vertAlign w:val="superscript"/>
        </w:rPr>
        <w:t>2</w:t>
      </w:r>
      <w:r w:rsidRPr="00D60A80">
        <w:rPr>
          <w:szCs w:val="24"/>
        </w:rPr>
        <w:t xml:space="preserve"> s</w:t>
      </w:r>
      <w:r w:rsidRPr="00D60A80">
        <w:rPr>
          <w:szCs w:val="24"/>
          <w:vertAlign w:val="superscript"/>
        </w:rPr>
        <w:t>-2</w:t>
      </w:r>
      <w:r w:rsidRPr="00D60A80">
        <w:rPr>
          <w:szCs w:val="24"/>
        </w:rPr>
        <w:t xml:space="preserve"> / 0.00206 s</w:t>
      </w:r>
      <w:r w:rsidRPr="00D60A80">
        <w:rPr>
          <w:szCs w:val="24"/>
          <w:vertAlign w:val="superscript"/>
        </w:rPr>
        <w:t>-1</w:t>
      </w:r>
      <w:r w:rsidRPr="00D60A80">
        <w:rPr>
          <w:szCs w:val="24"/>
        </w:rPr>
        <w:t xml:space="preserve"> and (f, h) 80.0 m</w:t>
      </w:r>
      <w:r w:rsidRPr="00D60A80">
        <w:rPr>
          <w:szCs w:val="24"/>
          <w:vertAlign w:val="superscript"/>
        </w:rPr>
        <w:t>2</w:t>
      </w:r>
      <w:r w:rsidRPr="00D60A80">
        <w:rPr>
          <w:szCs w:val="24"/>
        </w:rPr>
        <w:t xml:space="preserve"> s</w:t>
      </w:r>
      <w:r w:rsidRPr="00D60A80">
        <w:rPr>
          <w:szCs w:val="24"/>
          <w:vertAlign w:val="superscript"/>
        </w:rPr>
        <w:t>-2</w:t>
      </w:r>
      <w:r w:rsidRPr="00D60A80">
        <w:rPr>
          <w:szCs w:val="24"/>
        </w:rPr>
        <w:t xml:space="preserve"> / 0.00215 s</w:t>
      </w:r>
      <w:r w:rsidRPr="00D60A80">
        <w:rPr>
          <w:szCs w:val="24"/>
          <w:vertAlign w:val="superscript"/>
        </w:rPr>
        <w:t>-1</w:t>
      </w:r>
      <w:r w:rsidRPr="00D60A80">
        <w:rPr>
          <w:szCs w:val="24"/>
        </w:rPr>
        <w:t>. The experiments Hyb_retro and Hyb_WD are represented by blue and red circles, respectively. The figure only displays the results for neighborhood radii of 9 km and 12 km.</w:t>
      </w:r>
      <w:bookmarkEnd w:id="141"/>
    </w:p>
    <w:p w14:paraId="6660F962" w14:textId="77777777" w:rsidR="00383D41" w:rsidRPr="00383D41" w:rsidRDefault="00383D41" w:rsidP="00383D41">
      <w:pPr>
        <w:pStyle w:val="NoSpacing"/>
      </w:pPr>
    </w:p>
    <w:p w14:paraId="4A365C40" w14:textId="2C244566" w:rsidR="00E6523E" w:rsidRDefault="00E6523E" w:rsidP="00E6523E">
      <w:r>
        <w:t>As is frequently seen in earlier studies that evaluated short-term forecasts</w:t>
      </w:r>
      <w:r w:rsidRPr="00CD40E2">
        <w:t>, the forecasting skill is observed to degrade as lead time increases</w:t>
      </w:r>
      <w:r>
        <w:t xml:space="preserve"> (Fig. </w:t>
      </w:r>
      <w:r w:rsidR="00383D41">
        <w:t>5.</w:t>
      </w:r>
      <w:r>
        <w:t>2)</w:t>
      </w:r>
      <w:r w:rsidRPr="00CD40E2">
        <w:t xml:space="preserve">. This degradation is manifest in a general trend of decreasing </w:t>
      </w:r>
      <w:r>
        <w:t>POD</w:t>
      </w:r>
      <w:r w:rsidRPr="00CD40E2">
        <w:t xml:space="preserve"> and </w:t>
      </w:r>
      <w:r>
        <w:t>CSI</w:t>
      </w:r>
      <w:r w:rsidRPr="00CD40E2">
        <w:t xml:space="preserve"> values, </w:t>
      </w:r>
      <w:r w:rsidR="00ED6964" w:rsidRPr="00ED6964">
        <w:t>alongside an escalation in FAR (or a decline in SR),</w:t>
      </w:r>
      <w:r w:rsidR="00857FCC">
        <w:t xml:space="preserve"> and </w:t>
      </w:r>
      <w:r w:rsidRPr="00CD40E2">
        <w:t xml:space="preserve">is more pronounced for higher </w:t>
      </w:r>
      <w:r>
        <w:t>CREF</w:t>
      </w:r>
      <w:r w:rsidRPr="00CD40E2">
        <w:t xml:space="preserve"> thresholds</w:t>
      </w:r>
      <w:r w:rsidR="00857FCC">
        <w:t>.</w:t>
      </w:r>
      <w:r w:rsidRPr="00CD40E2">
        <w:t xml:space="preserve"> </w:t>
      </w:r>
      <w:r w:rsidR="00857FCC">
        <w:t>However, it is</w:t>
      </w:r>
      <w:r w:rsidRPr="00CD40E2">
        <w:t xml:space="preserve"> less so for </w:t>
      </w:r>
      <w:r w:rsidR="00755919">
        <w:t>midlevel</w:t>
      </w:r>
      <w:r w:rsidRPr="00CD40E2">
        <w:t xml:space="preserve"> rotating updrafts</w:t>
      </w:r>
      <w:r>
        <w:t>, or UH</w:t>
      </w:r>
      <w:r w:rsidRPr="00CD40E2">
        <w:t>. A</w:t>
      </w:r>
      <w:r>
        <w:t>n</w:t>
      </w:r>
      <w:r w:rsidRPr="00CD40E2">
        <w:t xml:space="preserve"> </w:t>
      </w:r>
      <w:r>
        <w:t xml:space="preserve">increase in </w:t>
      </w:r>
      <w:r w:rsidRPr="00CD40E2">
        <w:t>threshold values (</w:t>
      </w:r>
      <w:r>
        <w:t xml:space="preserve">for CREF from 20 to 40 dBZ; for UH </w:t>
      </w:r>
      <w:r>
        <w:lastRenderedPageBreak/>
        <w:t xml:space="preserve">from 65.79 to 80 </w:t>
      </w:r>
      <w:r w:rsidRPr="0088260C">
        <w:t>m</w:t>
      </w:r>
      <w:r w:rsidRPr="0088260C">
        <w:rPr>
          <w:vertAlign w:val="superscript"/>
        </w:rPr>
        <w:t>2</w:t>
      </w:r>
      <w:r>
        <w:t xml:space="preserve"> </w:t>
      </w:r>
      <w:r w:rsidRPr="0088260C">
        <w:t>s</w:t>
      </w:r>
      <w:r>
        <w:rPr>
          <w:vertAlign w:val="superscript"/>
        </w:rPr>
        <w:t>-2</w:t>
      </w:r>
      <w:r w:rsidRPr="00CD40E2">
        <w:t xml:space="preserve">) or </w:t>
      </w:r>
      <w:r w:rsidR="00025BE2">
        <w:t xml:space="preserve">a decrease </w:t>
      </w:r>
      <w:r>
        <w:t xml:space="preserve">in </w:t>
      </w:r>
      <w:r w:rsidRPr="00CD40E2">
        <w:t>neighborhood radi</w:t>
      </w:r>
      <w:r>
        <w:t>us</w:t>
      </w:r>
      <w:r w:rsidRPr="00CD40E2">
        <w:t xml:space="preserve"> (</w:t>
      </w:r>
      <w:r>
        <w:t xml:space="preserve">from </w:t>
      </w:r>
      <w:r w:rsidR="00025BE2">
        <w:t>12</w:t>
      </w:r>
      <w:r>
        <w:t xml:space="preserve"> km to </w:t>
      </w:r>
      <w:r w:rsidR="00025BE2">
        <w:t>9</w:t>
      </w:r>
      <w:r>
        <w:t xml:space="preserve"> km</w:t>
      </w:r>
      <w:r w:rsidRPr="00CD40E2">
        <w:t xml:space="preserve">), </w:t>
      </w:r>
      <w:r>
        <w:t xml:space="preserve">results in </w:t>
      </w:r>
      <w:r w:rsidR="00025BE2">
        <w:t>decreased</w:t>
      </w:r>
      <w:r w:rsidRPr="00EF5D37">
        <w:t xml:space="preserve"> values </w:t>
      </w:r>
      <w:r>
        <w:t>for</w:t>
      </w:r>
      <w:r w:rsidRPr="00EF5D37">
        <w:t xml:space="preserve"> POD</w:t>
      </w:r>
      <w:r>
        <w:t>, SR</w:t>
      </w:r>
      <w:r w:rsidRPr="00EF5D37">
        <w:t xml:space="preserve"> and CSI</w:t>
      </w:r>
      <w:r w:rsidRPr="00CD40E2">
        <w:t xml:space="preserve">. This </w:t>
      </w:r>
      <w:r>
        <w:t>trend</w:t>
      </w:r>
      <w:r w:rsidRPr="00CD40E2">
        <w:t xml:space="preserve"> occurs because, as threshold values increase or </w:t>
      </w:r>
      <w:r w:rsidR="00025BE2">
        <w:t>less</w:t>
      </w:r>
      <w:r w:rsidRPr="00CD40E2">
        <w:t xml:space="preserve"> grid points are considered within a certain neighborhood, the criteria for correct forecasts become more </w:t>
      </w:r>
      <w:r w:rsidR="00025BE2">
        <w:t>stringent</w:t>
      </w:r>
      <w:r w:rsidRPr="00CD40E2">
        <w:t xml:space="preserve">, resulting in </w:t>
      </w:r>
      <w:r w:rsidR="00025BE2" w:rsidRPr="00CD40E2">
        <w:t>a greater penalty for underestimating strong convection or displacement of ongoing convections</w:t>
      </w:r>
      <w:r w:rsidRPr="00CD40E2">
        <w:t>. Underprediction, represented by a bias value of less than 1.0, is consistently observed in 30-min</w:t>
      </w:r>
      <w:r>
        <w:t xml:space="preserve"> interval</w:t>
      </w:r>
      <w:r w:rsidRPr="00CD40E2">
        <w:t xml:space="preserve"> </w:t>
      </w:r>
      <w:r w:rsidR="00755919">
        <w:t>midlevel</w:t>
      </w:r>
      <w:r w:rsidRPr="00CD40E2">
        <w:t xml:space="preserve"> rotation track forecast at all threshold values (Fig</w:t>
      </w:r>
      <w:r>
        <w:t>s.</w:t>
      </w:r>
      <w:r w:rsidRPr="00CD40E2">
        <w:t xml:space="preserve"> </w:t>
      </w:r>
      <w:r w:rsidR="00857FCC">
        <w:t>5.</w:t>
      </w:r>
      <w:r w:rsidRPr="00CD40E2">
        <w:t>2</w:t>
      </w:r>
      <w:r w:rsidR="00857FCC">
        <w:t xml:space="preserve"> </w:t>
      </w:r>
      <w:r w:rsidRPr="00CD40E2">
        <w:t>e</w:t>
      </w:r>
      <w:r w:rsidR="00857FCC">
        <w:t xml:space="preserve"> </w:t>
      </w:r>
      <w:r w:rsidRPr="00CD40E2">
        <w:t>-</w:t>
      </w:r>
      <w:r w:rsidR="00857FCC">
        <w:t xml:space="preserve"> </w:t>
      </w:r>
      <w:r w:rsidRPr="00CD40E2">
        <w:t>h)</w:t>
      </w:r>
      <w:r>
        <w:t>,</w:t>
      </w:r>
      <w:r w:rsidRPr="00CD40E2">
        <w:t xml:space="preserve"> and reflectivity forecasts at </w:t>
      </w:r>
      <w:r>
        <w:t>20 dBZ</w:t>
      </w:r>
      <w:r w:rsidRPr="00CD40E2">
        <w:t xml:space="preserve"> threshold (</w:t>
      </w:r>
      <w:r>
        <w:t xml:space="preserve">Figs. </w:t>
      </w:r>
      <w:r w:rsidR="00857FCC">
        <w:t xml:space="preserve">5. </w:t>
      </w:r>
      <w:r>
        <w:t>2</w:t>
      </w:r>
      <w:r w:rsidR="00857FCC">
        <w:t xml:space="preserve"> </w:t>
      </w:r>
      <w:r>
        <w:t>a</w:t>
      </w:r>
      <w:r w:rsidR="00857FCC">
        <w:t>,</w:t>
      </w:r>
      <w:r>
        <w:t xml:space="preserve"> c</w:t>
      </w:r>
      <w:r w:rsidRPr="00CD40E2">
        <w:t xml:space="preserve">) with the exception of </w:t>
      </w:r>
      <w:r w:rsidR="00DB6CE6">
        <w:t xml:space="preserve">the </w:t>
      </w:r>
      <w:r w:rsidRPr="00CD40E2">
        <w:t>1-h</w:t>
      </w:r>
      <w:r w:rsidR="00857FCC">
        <w:t>our</w:t>
      </w:r>
      <w:r w:rsidRPr="00CD40E2">
        <w:t xml:space="preserve"> CREF forecast</w:t>
      </w:r>
      <w:r w:rsidR="00DB6CE6">
        <w:t>s</w:t>
      </w:r>
      <w:r w:rsidRPr="00CD40E2">
        <w:t>. In contrast, overestimation, represented by a bias value greater than 1.0, is only observed in 1-h</w:t>
      </w:r>
      <w:r w:rsidR="00857FCC">
        <w:t>our</w:t>
      </w:r>
      <w:r w:rsidRPr="00CD40E2">
        <w:t xml:space="preserve"> CREF forecast</w:t>
      </w:r>
      <w:r>
        <w:t>s</w:t>
      </w:r>
      <w:r w:rsidRPr="00CD40E2">
        <w:t xml:space="preserve"> </w:t>
      </w:r>
      <w:r>
        <w:t>with the</w:t>
      </w:r>
      <w:r w:rsidRPr="00CD40E2">
        <w:t xml:space="preserve"> 40 dBZ threshold (</w:t>
      </w:r>
      <w:r>
        <w:t xml:space="preserve">Fig. </w:t>
      </w:r>
      <w:r w:rsidR="00957D1F">
        <w:t>5.</w:t>
      </w:r>
      <w:r w:rsidRPr="00CD40E2">
        <w:t>2</w:t>
      </w:r>
      <w:r w:rsidR="00957D1F">
        <w:t xml:space="preserve"> </w:t>
      </w:r>
      <w:r w:rsidRPr="00CD40E2">
        <w:t>b</w:t>
      </w:r>
      <w:r w:rsidR="00957D1F">
        <w:t>,</w:t>
      </w:r>
      <w:r>
        <w:t xml:space="preserve"> d</w:t>
      </w:r>
      <w:r w:rsidRPr="00CD40E2">
        <w:t xml:space="preserve">). </w:t>
      </w:r>
      <w:r>
        <w:t>Furthermore</w:t>
      </w:r>
      <w:r w:rsidRPr="00CD40E2">
        <w:t>, the characteristic of overestimation or underestimation for a specific forecast does not significantly change when the neighborhood radius is varied from 9 km to 1</w:t>
      </w:r>
      <w:r>
        <w:t>2</w:t>
      </w:r>
      <w:r w:rsidRPr="00CD40E2">
        <w:t xml:space="preserve"> km. </w:t>
      </w:r>
      <w:r>
        <w:t>This suggests</w:t>
      </w:r>
      <w:r w:rsidRPr="00CD40E2">
        <w:t xml:space="preserve"> that the </w:t>
      </w:r>
      <w:r>
        <w:t>forecast</w:t>
      </w:r>
      <w:r w:rsidRPr="00CD40E2">
        <w:t xml:space="preserve"> model</w:t>
      </w:r>
      <w:r>
        <w:t xml:space="preserve"> may have difficulties</w:t>
      </w:r>
      <w:r w:rsidRPr="00CD40E2">
        <w:t xml:space="preserve"> in accurately </w:t>
      </w:r>
      <w:r>
        <w:t>simulating</w:t>
      </w:r>
      <w:r w:rsidRPr="00CD40E2">
        <w:t xml:space="preserve"> the processes </w:t>
      </w:r>
      <w:r>
        <w:t>associated with</w:t>
      </w:r>
      <w:r w:rsidRPr="00CD40E2">
        <w:t xml:space="preserve"> rotating updrafts and stratiform precipitation.</w:t>
      </w:r>
    </w:p>
    <w:p w14:paraId="227DCCE8" w14:textId="5E64FD78" w:rsidR="00E6523E" w:rsidRDefault="00E6523E" w:rsidP="00E6523E">
      <w:r w:rsidRPr="00CD40E2">
        <w:t xml:space="preserve">The experiment </w:t>
      </w:r>
      <w:r>
        <w:t>Hyb_WD</w:t>
      </w:r>
      <w:r w:rsidRPr="00CD40E2">
        <w:t xml:space="preserve"> consistently demonstrates superior performance in comparison </w:t>
      </w:r>
      <w:r>
        <w:t>with</w:t>
      </w:r>
      <w:r w:rsidRPr="00CD40E2">
        <w:t xml:space="preserve"> the experiment </w:t>
      </w:r>
      <w:r>
        <w:t>Hyb_retro</w:t>
      </w:r>
      <w:r w:rsidRPr="00CD40E2">
        <w:t xml:space="preserve">, as evidenced by metrics POD, FAR/SR, and CSI. </w:t>
      </w:r>
      <w:r>
        <w:t xml:space="preserve">While the superiority </w:t>
      </w:r>
      <w:r w:rsidRPr="00CD40E2">
        <w:t xml:space="preserve">of </w:t>
      </w:r>
      <w:r>
        <w:t>Hyb_WD</w:t>
      </w:r>
      <w:r w:rsidRPr="00CD40E2">
        <w:t xml:space="preserve"> over </w:t>
      </w:r>
      <w:r>
        <w:t>Hyb_retro</w:t>
      </w:r>
      <w:r w:rsidRPr="00CD40E2">
        <w:t xml:space="preserve"> </w:t>
      </w:r>
      <w:r>
        <w:t>diminishes</w:t>
      </w:r>
      <w:r w:rsidRPr="00CD40E2">
        <w:t xml:space="preserve"> with increasing lead time for CREF forecasts</w:t>
      </w:r>
      <w:r>
        <w:t xml:space="preserve"> (e.g., Figs. </w:t>
      </w:r>
      <w:r w:rsidR="00957D1F">
        <w:t>5.</w:t>
      </w:r>
      <w:r>
        <w:t>2</w:t>
      </w:r>
      <w:r w:rsidR="00957D1F">
        <w:t xml:space="preserve"> </w:t>
      </w:r>
      <w:r>
        <w:t>b</w:t>
      </w:r>
      <w:r w:rsidR="00957D1F">
        <w:t>,</w:t>
      </w:r>
      <w:r>
        <w:t xml:space="preserve"> d)</w:t>
      </w:r>
      <w:r w:rsidRPr="00CD40E2">
        <w:t xml:space="preserve">, the margin of superiority for rotation track forecasts </w:t>
      </w:r>
      <w:r>
        <w:t>remains evident</w:t>
      </w:r>
      <w:r w:rsidRPr="00CD40E2">
        <w:t xml:space="preserve"> for longer lead times (</w:t>
      </w:r>
      <w:r>
        <w:t xml:space="preserve">Figs. </w:t>
      </w:r>
      <w:r w:rsidR="00957D1F">
        <w:t>5.</w:t>
      </w:r>
      <w:r>
        <w:t>2</w:t>
      </w:r>
      <w:r w:rsidR="00957D1F">
        <w:t xml:space="preserve"> </w:t>
      </w:r>
      <w:r>
        <w:t>e</w:t>
      </w:r>
      <w:r w:rsidR="00957D1F">
        <w:t xml:space="preserve"> </w:t>
      </w:r>
      <w:r>
        <w:t>-</w:t>
      </w:r>
      <w:r w:rsidR="00957D1F">
        <w:t xml:space="preserve"> </w:t>
      </w:r>
      <w:r>
        <w:t>h</w:t>
      </w:r>
      <w:r w:rsidRPr="00CD40E2">
        <w:t xml:space="preserve">). It is </w:t>
      </w:r>
      <w:r>
        <w:t xml:space="preserve">worth </w:t>
      </w:r>
      <w:r w:rsidRPr="00CD40E2">
        <w:t>not</w:t>
      </w:r>
      <w:r>
        <w:t>ing</w:t>
      </w:r>
      <w:r w:rsidRPr="00CD40E2">
        <w:t xml:space="preserve"> that the improvement in </w:t>
      </w:r>
      <w:r>
        <w:t>WoF-Hybrid</w:t>
      </w:r>
      <w:r w:rsidRPr="00CD40E2">
        <w:t xml:space="preserve"> from incorporati</w:t>
      </w:r>
      <w:r>
        <w:t>ng</w:t>
      </w:r>
      <w:r w:rsidRPr="00CD40E2">
        <w:t xml:space="preserve"> weather-dependent </w:t>
      </w:r>
      <w:r>
        <w:t xml:space="preserve">static </w:t>
      </w:r>
      <m:oMath>
        <m:r>
          <m:rPr>
            <m:sty m:val="b"/>
          </m:rPr>
          <w:rPr>
            <w:rFonts w:ascii="Cambria Math" w:hAnsi="Cambria Math"/>
          </w:rPr>
          <m:t>B</m:t>
        </m:r>
      </m:oMath>
      <w:r w:rsidRPr="00CD40E2">
        <w:t xml:space="preserve"> do</w:t>
      </w:r>
      <w:r>
        <w:t>es</w:t>
      </w:r>
      <w:r w:rsidRPr="00CD40E2">
        <w:t xml:space="preserve"> not affect the level of overestimation or underestimation for either CREF or rotation track forecasts. </w:t>
      </w:r>
      <w:r>
        <w:t>In general</w:t>
      </w:r>
      <w:r w:rsidRPr="00CD40E2">
        <w:t xml:space="preserve">, the experiment </w:t>
      </w:r>
      <w:r>
        <w:t>Hyb_WD</w:t>
      </w:r>
      <w:r w:rsidRPr="00CD40E2">
        <w:t xml:space="preserve"> exhibits </w:t>
      </w:r>
      <w:r>
        <w:t>better</w:t>
      </w:r>
      <w:r w:rsidRPr="00CD40E2">
        <w:t xml:space="preserve"> forecast</w:t>
      </w:r>
      <w:r>
        <w:t>ing</w:t>
      </w:r>
      <w:r w:rsidRPr="00CD40E2">
        <w:t xml:space="preserve"> skill</w:t>
      </w:r>
      <w:r>
        <w:t>s</w:t>
      </w:r>
      <w:r w:rsidRPr="00CD40E2">
        <w:t xml:space="preserve"> for both </w:t>
      </w:r>
      <w:r w:rsidR="00957D1F" w:rsidRPr="00CD40E2">
        <w:t>CREF,</w:t>
      </w:r>
      <w:r w:rsidRPr="00CD40E2">
        <w:t xml:space="preserve"> and rotation track forecasts</w:t>
      </w:r>
      <w:r>
        <w:t xml:space="preserve"> compared to Hyb_retro</w:t>
      </w:r>
      <w:r w:rsidRPr="00CD40E2">
        <w:t xml:space="preserve">, with a similar </w:t>
      </w:r>
      <w:r>
        <w:t>bias</w:t>
      </w:r>
      <w:r w:rsidRPr="00CD40E2">
        <w:t xml:space="preserve"> value. The improvement </w:t>
      </w:r>
      <w:r>
        <w:t>is slightly more significant</w:t>
      </w:r>
      <w:r w:rsidRPr="00CD40E2">
        <w:t xml:space="preserve"> in early CREF and later rotation track forecasts.</w:t>
      </w:r>
    </w:p>
    <w:p w14:paraId="7AE0A68A" w14:textId="7AF342B1" w:rsidR="00156B42" w:rsidRDefault="00156B42" w:rsidP="00156B42">
      <w:pPr>
        <w:pStyle w:val="NoSpacing"/>
      </w:pPr>
    </w:p>
    <w:p w14:paraId="61527E54" w14:textId="1CABA2DE" w:rsidR="00156B42" w:rsidRDefault="00156B42" w:rsidP="00156B42">
      <w:pPr>
        <w:pStyle w:val="NoSpacing"/>
        <w:jc w:val="center"/>
      </w:pPr>
      <w:r>
        <w:rPr>
          <w:noProof/>
        </w:rPr>
        <w:drawing>
          <wp:inline distT="0" distB="0" distL="0" distR="0" wp14:anchorId="1BA066CC" wp14:editId="00E7B4FC">
            <wp:extent cx="5943600" cy="5801206"/>
            <wp:effectExtent l="0" t="0" r="0" b="317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943600" cy="5801206"/>
                    </a:xfrm>
                    <a:prstGeom prst="rect">
                      <a:avLst/>
                    </a:prstGeom>
                  </pic:spPr>
                </pic:pic>
              </a:graphicData>
            </a:graphic>
          </wp:inline>
        </w:drawing>
      </w:r>
    </w:p>
    <w:p w14:paraId="7F93E7DA" w14:textId="769C238B" w:rsidR="00156B42" w:rsidRPr="00D60A80" w:rsidRDefault="00156B42" w:rsidP="00156B42">
      <w:pPr>
        <w:pStyle w:val="Captions"/>
        <w:rPr>
          <w:szCs w:val="24"/>
        </w:rPr>
      </w:pPr>
      <w:bookmarkStart w:id="142" w:name="_Toc134695298"/>
      <w:r w:rsidRPr="00D60A80">
        <w:rPr>
          <w:szCs w:val="24"/>
        </w:rPr>
        <w:t xml:space="preserve">Figure </w:t>
      </w:r>
      <w:r w:rsidR="00C96E3B" w:rsidRPr="00D60A80">
        <w:rPr>
          <w:szCs w:val="24"/>
        </w:rPr>
        <w:fldChar w:fldCharType="begin"/>
      </w:r>
      <w:r w:rsidR="00C96E3B" w:rsidRPr="00D60A80">
        <w:rPr>
          <w:szCs w:val="24"/>
        </w:rPr>
        <w:instrText xml:space="preserve"> STYLEREF 1 \s </w:instrText>
      </w:r>
      <w:r w:rsidR="00C96E3B" w:rsidRPr="00D60A80">
        <w:rPr>
          <w:szCs w:val="24"/>
        </w:rPr>
        <w:fldChar w:fldCharType="separate"/>
      </w:r>
      <w:r w:rsidR="00C77C87" w:rsidRPr="00D60A80">
        <w:rPr>
          <w:noProof/>
          <w:szCs w:val="24"/>
        </w:rPr>
        <w:t>5</w:t>
      </w:r>
      <w:r w:rsidR="00C96E3B" w:rsidRPr="00D60A80">
        <w:rPr>
          <w:noProof/>
          <w:szCs w:val="24"/>
        </w:rPr>
        <w:fldChar w:fldCharType="end"/>
      </w:r>
      <w:r w:rsidR="00C77C87" w:rsidRPr="00D60A80">
        <w:rPr>
          <w:szCs w:val="24"/>
        </w:rPr>
        <w:t>.</w:t>
      </w:r>
      <w:r w:rsidR="00C96E3B" w:rsidRPr="00D60A80">
        <w:rPr>
          <w:szCs w:val="24"/>
        </w:rPr>
        <w:fldChar w:fldCharType="begin"/>
      </w:r>
      <w:r w:rsidR="00C96E3B" w:rsidRPr="00D60A80">
        <w:rPr>
          <w:szCs w:val="24"/>
        </w:rPr>
        <w:instrText xml:space="preserve"> SEQ Figure \* ARABIC \s 1 </w:instrText>
      </w:r>
      <w:r w:rsidR="00C96E3B" w:rsidRPr="00D60A80">
        <w:rPr>
          <w:szCs w:val="24"/>
        </w:rPr>
        <w:fldChar w:fldCharType="separate"/>
      </w:r>
      <w:r w:rsidR="00C77C87" w:rsidRPr="00D60A80">
        <w:rPr>
          <w:noProof/>
          <w:szCs w:val="24"/>
        </w:rPr>
        <w:t>3</w:t>
      </w:r>
      <w:r w:rsidR="00C96E3B" w:rsidRPr="00D60A80">
        <w:rPr>
          <w:noProof/>
          <w:szCs w:val="24"/>
        </w:rPr>
        <w:fldChar w:fldCharType="end"/>
      </w:r>
      <w:r w:rsidRPr="00D60A80">
        <w:rPr>
          <w:szCs w:val="24"/>
        </w:rPr>
        <w:t xml:space="preserve"> ETS for 0- to 6-hour CREF forecasts (top row), and 30-min midlevel rotation track forecasts (bottom row) aggregated from each initialization hour between 2100 and 0300 UTC the next day for 10 Dec 2021, and between 1800 and 0000 UTC the next day across the other 4 events. Top row displays the ETS for CREF forecasts with </w:t>
      </w:r>
      <w:r w:rsidR="00C56B7F" w:rsidRPr="00D60A80">
        <w:rPr>
          <w:szCs w:val="24"/>
        </w:rPr>
        <w:t xml:space="preserve">a </w:t>
      </w:r>
      <w:r w:rsidRPr="00D60A80">
        <w:rPr>
          <w:szCs w:val="24"/>
        </w:rPr>
        <w:t>neighborhood radius of (a) 9 km and (b) 12 km, and at thresholds of 20 dBZ (blue), (red) and 40 dBZ (red). Bottom row displays the ETS for 30-min midlevel rotation track forecasts with neighborhood radius of (c) 9 km and (d) 12 km at thresholds of (blue) 65.79 m</w:t>
      </w:r>
      <w:r w:rsidRPr="00D60A80">
        <w:rPr>
          <w:szCs w:val="24"/>
          <w:vertAlign w:val="superscript"/>
        </w:rPr>
        <w:t>2</w:t>
      </w:r>
      <w:r w:rsidRPr="00D60A80">
        <w:rPr>
          <w:szCs w:val="24"/>
        </w:rPr>
        <w:t xml:space="preserve"> s</w:t>
      </w:r>
      <w:r w:rsidRPr="00D60A80">
        <w:rPr>
          <w:szCs w:val="24"/>
          <w:vertAlign w:val="superscript"/>
        </w:rPr>
        <w:t>-2</w:t>
      </w:r>
      <w:r w:rsidRPr="00D60A80">
        <w:rPr>
          <w:szCs w:val="24"/>
        </w:rPr>
        <w:t xml:space="preserve"> / 0.00206 s</w:t>
      </w:r>
      <w:r w:rsidRPr="00D60A80">
        <w:rPr>
          <w:szCs w:val="24"/>
          <w:vertAlign w:val="superscript"/>
        </w:rPr>
        <w:t>-1</w:t>
      </w:r>
      <w:r w:rsidRPr="00D60A80">
        <w:rPr>
          <w:szCs w:val="24"/>
        </w:rPr>
        <w:t xml:space="preserve"> and (red) 80.0 m</w:t>
      </w:r>
      <w:r w:rsidRPr="00D60A80">
        <w:rPr>
          <w:szCs w:val="24"/>
          <w:vertAlign w:val="superscript"/>
        </w:rPr>
        <w:t>2</w:t>
      </w:r>
      <w:r w:rsidRPr="00D60A80">
        <w:rPr>
          <w:szCs w:val="24"/>
        </w:rPr>
        <w:t xml:space="preserve"> s</w:t>
      </w:r>
      <w:r w:rsidRPr="00D60A80">
        <w:rPr>
          <w:szCs w:val="24"/>
          <w:vertAlign w:val="superscript"/>
        </w:rPr>
        <w:t>-2</w:t>
      </w:r>
      <w:r w:rsidRPr="00D60A80">
        <w:rPr>
          <w:szCs w:val="24"/>
        </w:rPr>
        <w:t xml:space="preserve"> / 0.00215 s</w:t>
      </w:r>
      <w:r w:rsidRPr="00D60A80">
        <w:rPr>
          <w:szCs w:val="24"/>
          <w:vertAlign w:val="superscript"/>
        </w:rPr>
        <w:t>-1</w:t>
      </w:r>
      <w:r w:rsidRPr="00D60A80">
        <w:rPr>
          <w:szCs w:val="24"/>
        </w:rPr>
        <w:t>. The experiments Hyb_retro and Hyb_WD are represented by dashed and solid lines, respectively, with dots on each solid line indicating that the changes of Hyb_WD are statistically significant in comparison to Hyb_retro.</w:t>
      </w:r>
      <w:bookmarkEnd w:id="142"/>
    </w:p>
    <w:p w14:paraId="5F6C10A9" w14:textId="59034343" w:rsidR="00156B42" w:rsidRDefault="00156B42" w:rsidP="00156B42">
      <w:pPr>
        <w:pStyle w:val="NoSpacing"/>
      </w:pPr>
    </w:p>
    <w:p w14:paraId="21432563" w14:textId="77777777" w:rsidR="00025945" w:rsidRDefault="00025945" w:rsidP="00025945">
      <w:pPr>
        <w:rPr>
          <w:rFonts w:ascii="宋体" w:eastAsia="宋体" w:hAnsi="宋体" w:cs="宋体"/>
        </w:rPr>
      </w:pPr>
      <w:r>
        <w:lastRenderedPageBreak/>
        <w:t>T</w:t>
      </w:r>
      <w:r w:rsidRPr="00CD40E2">
        <w:t xml:space="preserve">he aggregated ETSs </w:t>
      </w:r>
      <w:r>
        <w:t xml:space="preserve">clearly exhibit a </w:t>
      </w:r>
      <w:r w:rsidRPr="00CD40E2">
        <w:t>uniform</w:t>
      </w:r>
      <w:r w:rsidRPr="00CD40E2">
        <w:rPr>
          <w:rFonts w:hint="eastAsia"/>
        </w:rPr>
        <w:t xml:space="preserve"> </w:t>
      </w:r>
      <w:r w:rsidRPr="00CD40E2">
        <w:t>decline</w:t>
      </w:r>
      <w:r>
        <w:t xml:space="preserve"> trend</w:t>
      </w:r>
      <w:r w:rsidRPr="00CD40E2">
        <w:t xml:space="preserve"> </w:t>
      </w:r>
      <w:r>
        <w:t>as</w:t>
      </w:r>
      <w:r w:rsidRPr="00CD40E2">
        <w:t xml:space="preserve"> </w:t>
      </w:r>
      <w:r>
        <w:t>lead</w:t>
      </w:r>
      <w:r w:rsidRPr="00CD40E2">
        <w:t xml:space="preserve"> time</w:t>
      </w:r>
      <w:r>
        <w:t xml:space="preserve"> increases (Fig. 5.3), similar to </w:t>
      </w:r>
      <w:r w:rsidRPr="00CD40E2">
        <w:t>the performance diagrams</w:t>
      </w:r>
      <w:r>
        <w:t>.</w:t>
      </w:r>
      <w:r w:rsidRPr="00CD40E2">
        <w:t xml:space="preserve"> The </w:t>
      </w:r>
      <w:r>
        <w:t xml:space="preserve">decrease rate </w:t>
      </w:r>
      <w:r w:rsidRPr="00CD40E2">
        <w:t xml:space="preserve">of </w:t>
      </w:r>
      <w:r>
        <w:t xml:space="preserve">rotation track forecast skill (Figs. 5.3 c - d) is comparable to that of </w:t>
      </w:r>
      <w:r w:rsidRPr="00CD40E2">
        <w:t>CREF forecast</w:t>
      </w:r>
      <w:r>
        <w:t xml:space="preserve"> skill using a</w:t>
      </w:r>
      <w:r w:rsidRPr="00CD40E2">
        <w:t xml:space="preserve"> 40 dBZ threshold</w:t>
      </w:r>
      <w:r>
        <w:t xml:space="preserve"> (Fig. 5.3 b) and</w:t>
      </w:r>
      <w:r w:rsidRPr="00CD40E2">
        <w:t xml:space="preserve"> </w:t>
      </w:r>
      <w:r>
        <w:t>apparently faster</w:t>
      </w:r>
      <w:r w:rsidRPr="00CD40E2">
        <w:t xml:space="preserve"> than that </w:t>
      </w:r>
      <w:r>
        <w:t xml:space="preserve">of CREF forecast skill </w:t>
      </w:r>
      <w:r w:rsidRPr="00CD40E2">
        <w:t>using</w:t>
      </w:r>
      <w:r>
        <w:t xml:space="preserve"> a</w:t>
      </w:r>
      <w:r w:rsidRPr="00CD40E2">
        <w:t xml:space="preserve"> 20</w:t>
      </w:r>
      <w:r>
        <w:t xml:space="preserve"> dBZ</w:t>
      </w:r>
      <w:r w:rsidRPr="00CD40E2">
        <w:t xml:space="preserve"> </w:t>
      </w:r>
      <w:r>
        <w:t>threshold (Figs. 5.3 a)</w:t>
      </w:r>
      <w:r w:rsidRPr="00CD40E2">
        <w:t>.</w:t>
      </w:r>
      <w:r>
        <w:t xml:space="preserve"> </w:t>
      </w:r>
      <w:r w:rsidRPr="00CD40E2">
        <w:t xml:space="preserve">This </w:t>
      </w:r>
      <w:r>
        <w:t>agrees with</w:t>
      </w:r>
      <w:r w:rsidRPr="00CD40E2">
        <w:t xml:space="preserve"> </w:t>
      </w:r>
      <w:r>
        <w:t xml:space="preserve">the commonly observed phenomenon </w:t>
      </w:r>
      <w:r w:rsidRPr="00CD40E2">
        <w:t xml:space="preserve">that high reflectivity </w:t>
      </w:r>
      <w:r>
        <w:t>is often indicative of a</w:t>
      </w:r>
      <w:r w:rsidRPr="00CD40E2">
        <w:t xml:space="preserve"> strong rotating up</w:t>
      </w:r>
      <w:r>
        <w:t>draft</w:t>
      </w:r>
      <w:r w:rsidRPr="00CD40E2">
        <w:t xml:space="preserve">. </w:t>
      </w:r>
      <w:r>
        <w:t>Similar to the performance diagram, higher</w:t>
      </w:r>
      <w:r w:rsidRPr="00CD40E2">
        <w:t xml:space="preserve"> ETSs are </w:t>
      </w:r>
      <w:r>
        <w:t>noticed</w:t>
      </w:r>
      <w:r w:rsidRPr="00CD40E2">
        <w:t xml:space="preserve"> for </w:t>
      </w:r>
      <w:r>
        <w:rPr>
          <w:rFonts w:hint="eastAsia"/>
        </w:rPr>
        <w:t>both</w:t>
      </w:r>
      <w:r>
        <w:t xml:space="preserve"> </w:t>
      </w:r>
      <w:r w:rsidRPr="00CD40E2">
        <w:t xml:space="preserve">reflectivity </w:t>
      </w:r>
      <w:r>
        <w:t>and</w:t>
      </w:r>
      <w:r w:rsidRPr="00CD40E2">
        <w:t xml:space="preserve"> rotation</w:t>
      </w:r>
      <w:r>
        <w:t xml:space="preserve"> track</w:t>
      </w:r>
      <w:r w:rsidRPr="00CD40E2">
        <w:t xml:space="preserve"> </w:t>
      </w:r>
      <w:r>
        <w:t xml:space="preserve">forecasts </w:t>
      </w:r>
      <w:r w:rsidRPr="00CD40E2">
        <w:t xml:space="preserve">when using a </w:t>
      </w:r>
      <w:r>
        <w:t>larger</w:t>
      </w:r>
      <w:r w:rsidRPr="00CD40E2">
        <w:t xml:space="preserve"> neighborhood radius or </w:t>
      </w:r>
      <w:r>
        <w:t>lower</w:t>
      </w:r>
      <w:r w:rsidRPr="00CD40E2">
        <w:t xml:space="preserve"> verification thresholds, which is </w:t>
      </w:r>
      <w:r>
        <w:t>the result of</w:t>
      </w:r>
      <w:r w:rsidRPr="00CD40E2">
        <w:t xml:space="preserve"> </w:t>
      </w:r>
      <w:r>
        <w:t>an</w:t>
      </w:r>
      <w:r w:rsidRPr="00CD40E2">
        <w:t xml:space="preserve"> </w:t>
      </w:r>
      <w:r>
        <w:t>increase in</w:t>
      </w:r>
      <w:r w:rsidRPr="00CD40E2">
        <w:t xml:space="preserve"> POD</w:t>
      </w:r>
      <w:r>
        <w:t xml:space="preserve"> coupled</w:t>
      </w:r>
      <w:r w:rsidRPr="00CD40E2">
        <w:t xml:space="preserve"> with </w:t>
      </w:r>
      <w:r>
        <w:t xml:space="preserve">a decrease in </w:t>
      </w:r>
      <w:r w:rsidRPr="00CD40E2">
        <w:t xml:space="preserve">FAR </w:t>
      </w:r>
      <w:r>
        <w:t>due to</w:t>
      </w:r>
      <w:r w:rsidRPr="00CD40E2">
        <w:t xml:space="preserve"> </w:t>
      </w:r>
      <w:r>
        <w:t>stricter</w:t>
      </w:r>
      <w:r w:rsidRPr="00CD40E2">
        <w:t xml:space="preserve"> criteria for correct forecasts. </w:t>
      </w:r>
      <w:r>
        <w:t>Hyb_WD consistently outperforms Hyb_retro</w:t>
      </w:r>
      <w:r w:rsidRPr="00C225A4">
        <w:t xml:space="preserve"> </w:t>
      </w:r>
      <w:r>
        <w:t xml:space="preserve">for both CREF and rotation track forecasts, regardless of the neighborhood radii or thresholds used. For CREF using lower thresholds, the improvements of Hyb_WD are more obvious within the first 4 hours (Figs. 5.3 a - b). The improvements in Hyb_WD are more pronounced within the first and last 2 hours for rotation track forecast (Figs. 5.3 c - d) and the first 2 hours for CREF forecast using a 40 dBZ threshold (Figs. 5.3 a - c). These results demonstrate that the use of weather-dependent static </w:t>
      </w:r>
      <m:oMath>
        <m:r>
          <m:rPr>
            <m:sty m:val="b"/>
          </m:rPr>
          <w:rPr>
            <w:rFonts w:ascii="Cambria Math" w:hAnsi="Cambria Math"/>
          </w:rPr>
          <m:t>B</m:t>
        </m:r>
      </m:oMath>
      <w:r>
        <w:t xml:space="preserve"> instead of homogeneous static </w:t>
      </w:r>
      <m:oMath>
        <m:r>
          <m:rPr>
            <m:sty m:val="b"/>
          </m:rPr>
          <w:rPr>
            <w:rFonts w:ascii="Cambria Math" w:hAnsi="Cambria Math"/>
          </w:rPr>
          <m:t>B</m:t>
        </m:r>
      </m:oMath>
      <w:r>
        <w:t xml:space="preserve"> in WoF-Hybrid has the potential to improve convective-scale forecasts</w:t>
      </w:r>
      <w:r>
        <w:rPr>
          <w:rFonts w:ascii="宋体" w:eastAsia="宋体" w:hAnsi="宋体" w:cs="宋体"/>
        </w:rPr>
        <w:t>.</w:t>
      </w:r>
    </w:p>
    <w:p w14:paraId="5572133D" w14:textId="17305D40" w:rsidR="00025945" w:rsidRDefault="00025945" w:rsidP="00025945">
      <w:r w:rsidRPr="00AE184E">
        <w:t>In order to analyze forecast skill</w:t>
      </w:r>
      <w:r>
        <w:t>s</w:t>
      </w:r>
      <w:r w:rsidRPr="00AE184E">
        <w:t xml:space="preserve"> with greater specificity,</w:t>
      </w:r>
      <w:r>
        <w:t xml:space="preserve"> </w:t>
      </w:r>
      <w:r w:rsidRPr="00AE184E">
        <w:t xml:space="preserve">contingency tables </w:t>
      </w:r>
      <w:r>
        <w:t>are</w:t>
      </w:r>
      <w:r w:rsidRPr="00AE184E">
        <w:t xml:space="preserve"> </w:t>
      </w:r>
      <w:r>
        <w:t xml:space="preserve">aggregated and </w:t>
      </w:r>
      <w:r w:rsidRPr="00AE184E">
        <w:t xml:space="preserve">calculated </w:t>
      </w:r>
      <w:r>
        <w:t>over</w:t>
      </w:r>
      <w:r w:rsidRPr="00AE184E">
        <w:t xml:space="preserve"> seven 6-hour forecasts</w:t>
      </w:r>
      <w:r>
        <w:t xml:space="preserve"> </w:t>
      </w:r>
      <w:r w:rsidRPr="00AE184E">
        <w:t xml:space="preserve">for each individual </w:t>
      </w:r>
      <w:r>
        <w:rPr>
          <w:rFonts w:hint="eastAsia"/>
        </w:rPr>
        <w:t>event</w:t>
      </w:r>
      <w:r w:rsidRPr="00AE184E">
        <w:t>.</w:t>
      </w:r>
      <w:r>
        <w:t xml:space="preserve"> </w:t>
      </w:r>
      <w:r w:rsidRPr="00AE184E">
        <w:t xml:space="preserve">As previously mentioned, forecasts </w:t>
      </w:r>
      <w:r>
        <w:t>initialized</w:t>
      </w:r>
      <w:r w:rsidRPr="00AE184E">
        <w:t xml:space="preserve"> from 2100 to 0300 UTC the </w:t>
      </w:r>
      <w:r>
        <w:t>next</w:t>
      </w:r>
      <w:r w:rsidRPr="00AE184E">
        <w:t xml:space="preserve"> day </w:t>
      </w:r>
      <w:r>
        <w:t>are</w:t>
      </w:r>
      <w:r w:rsidRPr="00AE184E">
        <w:t xml:space="preserve"> aggregated for the event on </w:t>
      </w:r>
      <w:r>
        <w:t xml:space="preserve">10 </w:t>
      </w:r>
      <w:r w:rsidRPr="00AE184E">
        <w:t xml:space="preserve">Dec 2021, while those </w:t>
      </w:r>
      <w:r>
        <w:t>initialized</w:t>
      </w:r>
      <w:r w:rsidRPr="00AE184E">
        <w:t xml:space="preserve"> from 1800 to 0000 UTC the </w:t>
      </w:r>
      <w:r>
        <w:t>next</w:t>
      </w:r>
      <w:r w:rsidRPr="00AE184E">
        <w:t xml:space="preserve"> day </w:t>
      </w:r>
      <w:r>
        <w:t>are</w:t>
      </w:r>
      <w:r w:rsidRPr="00AE184E">
        <w:t xml:space="preserve"> aggregated for </w:t>
      </w:r>
      <w:r>
        <w:t xml:space="preserve">the other four </w:t>
      </w:r>
      <w:r w:rsidRPr="00AE184E">
        <w:t>events.</w:t>
      </w:r>
      <w:r>
        <w:t xml:space="preserve"> Here, o</w:t>
      </w:r>
      <w:r w:rsidRPr="00AE184E">
        <w:t xml:space="preserve">nly results obtained using a neighborhood radius of 12 km are presented </w:t>
      </w:r>
      <w:r>
        <w:t>as an example</w:t>
      </w:r>
      <w:r w:rsidRPr="00AE184E">
        <w:t xml:space="preserve">, </w:t>
      </w:r>
      <w:r>
        <w:t xml:space="preserve">and similar </w:t>
      </w:r>
      <w:r w:rsidRPr="00AE184E">
        <w:t xml:space="preserve">results </w:t>
      </w:r>
      <w:r>
        <w:t>are</w:t>
      </w:r>
      <w:r w:rsidRPr="00AE184E">
        <w:t xml:space="preserve"> </w:t>
      </w:r>
      <w:r>
        <w:t>found with</w:t>
      </w:r>
      <w:r w:rsidRPr="00AE184E">
        <w:t xml:space="preserve"> other neighborhood </w:t>
      </w:r>
      <w:r>
        <w:t>radii</w:t>
      </w:r>
      <w:r w:rsidRPr="00AE184E">
        <w:t>.</w:t>
      </w:r>
      <w:r>
        <w:t xml:space="preserve"> </w:t>
      </w:r>
      <w:r w:rsidRPr="00AE184E">
        <w:t>Despite variations in forecast skill</w:t>
      </w:r>
      <w:r>
        <w:t>s</w:t>
      </w:r>
      <w:r w:rsidRPr="00AE184E">
        <w:t xml:space="preserve"> among the</w:t>
      </w:r>
      <w:r>
        <w:t>se</w:t>
      </w:r>
      <w:r w:rsidRPr="00AE184E">
        <w:t xml:space="preserve"> different events </w:t>
      </w:r>
      <w:r>
        <w:t>for</w:t>
      </w:r>
      <w:r w:rsidRPr="00AE184E">
        <w:t xml:space="preserve"> both CREF (Fig</w:t>
      </w:r>
      <w:r>
        <w:t>.</w:t>
      </w:r>
      <w:r w:rsidRPr="00AE184E">
        <w:t xml:space="preserve"> </w:t>
      </w:r>
      <w:r>
        <w:t>5.</w:t>
      </w:r>
      <w:r w:rsidRPr="00AE184E">
        <w:t>4) and rotation</w:t>
      </w:r>
      <w:r>
        <w:t xml:space="preserve"> track</w:t>
      </w:r>
      <w:r w:rsidRPr="00AE184E">
        <w:t xml:space="preserve"> (Fig</w:t>
      </w:r>
      <w:r>
        <w:t>.</w:t>
      </w:r>
      <w:r w:rsidRPr="00AE184E">
        <w:t xml:space="preserve"> </w:t>
      </w:r>
      <w:r>
        <w:t>5.</w:t>
      </w:r>
      <w:r w:rsidRPr="00AE184E">
        <w:t xml:space="preserve">5) forecasts, </w:t>
      </w:r>
      <w:r>
        <w:lastRenderedPageBreak/>
        <w:t xml:space="preserve">the </w:t>
      </w:r>
      <w:r w:rsidRPr="00AE184E">
        <w:t xml:space="preserve">scores for </w:t>
      </w:r>
      <w:r>
        <w:t>Hyb_WD are</w:t>
      </w:r>
      <w:r w:rsidRPr="00AE184E">
        <w:t xml:space="preserve"> generally </w:t>
      </w:r>
      <w:r>
        <w:t>higher than Hyb_retro among all events</w:t>
      </w:r>
      <w:r w:rsidRPr="00AE184E">
        <w:t>.</w:t>
      </w:r>
      <w:r>
        <w:t xml:space="preserve"> Furthermore, t</w:t>
      </w:r>
      <w:r w:rsidRPr="00AE184E">
        <w:t>he forecast skill</w:t>
      </w:r>
      <w:r>
        <w:t>s</w:t>
      </w:r>
      <w:r w:rsidRPr="00AE184E">
        <w:t xml:space="preserve"> </w:t>
      </w:r>
      <w:r>
        <w:t>are</w:t>
      </w:r>
      <w:r w:rsidRPr="00AE184E">
        <w:t xml:space="preserve"> found to exhibit more variability at </w:t>
      </w:r>
      <w:r>
        <w:t xml:space="preserve">longer forecast times (3-hour and 6-hour) and less </w:t>
      </w:r>
      <w:r w:rsidRPr="00AE184E">
        <w:t>variability</w:t>
      </w:r>
      <w:r>
        <w:t xml:space="preserve"> at 1-hour forecasts</w:t>
      </w:r>
      <w:r w:rsidRPr="00AE184E">
        <w:t>.</w:t>
      </w:r>
      <w:r>
        <w:t xml:space="preserve"> For CREF, an underpredicted bias exists for the 20 dBZ threshold for most events at 3-hour and 6-hour forecasts, while an overpredicted bias exists for the 40 dBZ threshold for all forecasts (Fig. 5.4). For rotation forecasts, an</w:t>
      </w:r>
      <w:r w:rsidRPr="00AE184E">
        <w:t xml:space="preserve"> </w:t>
      </w:r>
      <w:r>
        <w:t>underpredicted bias exists for all events (Fig. 5.5).</w:t>
      </w:r>
    </w:p>
    <w:p w14:paraId="6D383B2D" w14:textId="77777777" w:rsidR="00025945" w:rsidRDefault="00025945" w:rsidP="00156B42">
      <w:pPr>
        <w:pStyle w:val="NoSpacing"/>
      </w:pPr>
    </w:p>
    <w:p w14:paraId="0E9A4984" w14:textId="23AF69AE" w:rsidR="00156B42" w:rsidRDefault="00156B42" w:rsidP="00156B42">
      <w:pPr>
        <w:pStyle w:val="NoSpacing"/>
        <w:jc w:val="center"/>
      </w:pPr>
      <w:r>
        <w:rPr>
          <w:noProof/>
        </w:rPr>
        <w:drawing>
          <wp:inline distT="0" distB="0" distL="0" distR="0" wp14:anchorId="455882D3" wp14:editId="10606F78">
            <wp:extent cx="5943489" cy="3888740"/>
            <wp:effectExtent l="0" t="0" r="63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943489" cy="3888740"/>
                    </a:xfrm>
                    <a:prstGeom prst="rect">
                      <a:avLst/>
                    </a:prstGeom>
                  </pic:spPr>
                </pic:pic>
              </a:graphicData>
            </a:graphic>
          </wp:inline>
        </w:drawing>
      </w:r>
    </w:p>
    <w:p w14:paraId="74142C66" w14:textId="23439066" w:rsidR="00156B42" w:rsidRPr="00D60A80" w:rsidRDefault="00156B42" w:rsidP="00156B42">
      <w:pPr>
        <w:pStyle w:val="Captions"/>
        <w:rPr>
          <w:szCs w:val="24"/>
        </w:rPr>
      </w:pPr>
      <w:bookmarkStart w:id="143" w:name="_Toc134695299"/>
      <w:r w:rsidRPr="00D60A80">
        <w:rPr>
          <w:szCs w:val="24"/>
        </w:rPr>
        <w:t xml:space="preserve">Figure </w:t>
      </w:r>
      <w:r w:rsidR="00C96E3B" w:rsidRPr="00D60A80">
        <w:rPr>
          <w:szCs w:val="24"/>
        </w:rPr>
        <w:fldChar w:fldCharType="begin"/>
      </w:r>
      <w:r w:rsidR="00C96E3B" w:rsidRPr="00D60A80">
        <w:rPr>
          <w:szCs w:val="24"/>
        </w:rPr>
        <w:instrText xml:space="preserve"> STYLEREF 1 \s </w:instrText>
      </w:r>
      <w:r w:rsidR="00C96E3B" w:rsidRPr="00D60A80">
        <w:rPr>
          <w:szCs w:val="24"/>
        </w:rPr>
        <w:fldChar w:fldCharType="separate"/>
      </w:r>
      <w:r w:rsidR="00C77C87" w:rsidRPr="00D60A80">
        <w:rPr>
          <w:noProof/>
          <w:szCs w:val="24"/>
        </w:rPr>
        <w:t>5</w:t>
      </w:r>
      <w:r w:rsidR="00C96E3B" w:rsidRPr="00D60A80">
        <w:rPr>
          <w:noProof/>
          <w:szCs w:val="24"/>
        </w:rPr>
        <w:fldChar w:fldCharType="end"/>
      </w:r>
      <w:r w:rsidR="00C77C87" w:rsidRPr="00D60A80">
        <w:rPr>
          <w:szCs w:val="24"/>
        </w:rPr>
        <w:t>.</w:t>
      </w:r>
      <w:r w:rsidR="00C96E3B" w:rsidRPr="00D60A80">
        <w:rPr>
          <w:szCs w:val="24"/>
        </w:rPr>
        <w:fldChar w:fldCharType="begin"/>
      </w:r>
      <w:r w:rsidR="00C96E3B" w:rsidRPr="00D60A80">
        <w:rPr>
          <w:szCs w:val="24"/>
        </w:rPr>
        <w:instrText xml:space="preserve"> SEQ Figure \* ARABIC \s 1 </w:instrText>
      </w:r>
      <w:r w:rsidR="00C96E3B" w:rsidRPr="00D60A80">
        <w:rPr>
          <w:szCs w:val="24"/>
        </w:rPr>
        <w:fldChar w:fldCharType="separate"/>
      </w:r>
      <w:r w:rsidR="00C77C87" w:rsidRPr="00D60A80">
        <w:rPr>
          <w:noProof/>
          <w:szCs w:val="24"/>
        </w:rPr>
        <w:t>4</w:t>
      </w:r>
      <w:r w:rsidR="00C96E3B" w:rsidRPr="00D60A80">
        <w:rPr>
          <w:noProof/>
          <w:szCs w:val="24"/>
        </w:rPr>
        <w:fldChar w:fldCharType="end"/>
      </w:r>
      <w:r w:rsidRPr="00D60A80">
        <w:rPr>
          <w:szCs w:val="24"/>
        </w:rPr>
        <w:t xml:space="preserve"> Performance diagrams for (first column) 1-, (second column) 3-, (third column) 6-hour CREF forecasts from each case relative to MRMS CREF observations at thresholds of (a-c) 20 dBZ, and (d-f) 40 dBZ. The 5 May 2020, 15 May 2020, 22 May 2020, 26 May 2021, and 10 Dec 2021 events are represented by black, blue, red, green and purple symbols, respectively. The circles and triangles indicate Hyb_retro and Hyb_WD, respectively. Scores are provided for a neighborhood radius of 12 km.</w:t>
      </w:r>
      <w:bookmarkEnd w:id="143"/>
    </w:p>
    <w:p w14:paraId="45A936DA" w14:textId="6C588EF4" w:rsidR="00156B42" w:rsidRDefault="00156B42" w:rsidP="00156B42">
      <w:pPr>
        <w:pStyle w:val="NoSpacing"/>
      </w:pPr>
    </w:p>
    <w:p w14:paraId="541BE056" w14:textId="77777777" w:rsidR="008B47A7" w:rsidRDefault="008B47A7" w:rsidP="008B47A7">
      <w:r w:rsidRPr="00AE184E">
        <w:t xml:space="preserve">The CREF and rotation </w:t>
      </w:r>
      <w:r>
        <w:t xml:space="preserve">track </w:t>
      </w:r>
      <w:r w:rsidRPr="00AE184E">
        <w:t xml:space="preserve">forecasts for the event on </w:t>
      </w:r>
      <w:r>
        <w:t>10 Dec</w:t>
      </w:r>
      <w:r w:rsidRPr="00AE184E">
        <w:t xml:space="preserve"> 2021 (purple symbols in Figs</w:t>
      </w:r>
      <w:r>
        <w:t>.</w:t>
      </w:r>
      <w:r w:rsidRPr="00AE184E">
        <w:t xml:space="preserve"> </w:t>
      </w:r>
      <w:r>
        <w:t>5.</w:t>
      </w:r>
      <w:r w:rsidRPr="00AE184E">
        <w:t xml:space="preserve">4 and </w:t>
      </w:r>
      <w:r>
        <w:t>5.</w:t>
      </w:r>
      <w:r w:rsidRPr="00AE184E">
        <w:t>5) exhibit the worst performance across all thresholds</w:t>
      </w:r>
      <w:r>
        <w:t>,</w:t>
      </w:r>
      <w:r w:rsidRPr="00AE184E">
        <w:t xml:space="preserve"> as a result of </w:t>
      </w:r>
      <w:r>
        <w:t xml:space="preserve">a very complicated </w:t>
      </w:r>
      <w:r>
        <w:lastRenderedPageBreak/>
        <w:t>outbreak of tornadoes, hail and damage winds in several states during that day,</w:t>
      </w:r>
      <w:r w:rsidRPr="00AE184E">
        <w:t xml:space="preserve"> </w:t>
      </w:r>
      <w:r>
        <w:t>which was very difficult to be handled by the WRF model</w:t>
      </w:r>
      <w:r w:rsidRPr="00AE184E">
        <w:t>.</w:t>
      </w:r>
      <w:r>
        <w:t xml:space="preserve"> </w:t>
      </w:r>
      <w:r w:rsidRPr="00AE184E">
        <w:t>The 3-hour forecast</w:t>
      </w:r>
      <w:r>
        <w:t>s</w:t>
      </w:r>
      <w:r w:rsidRPr="00AE184E">
        <w:t xml:space="preserve"> of CREF</w:t>
      </w:r>
      <w:r>
        <w:t xml:space="preserve"> (Fig. 5.4 e)</w:t>
      </w:r>
      <w:r w:rsidRPr="00AE184E">
        <w:t xml:space="preserve"> </w:t>
      </w:r>
      <w:r>
        <w:t xml:space="preserve">with a 40 dBZ threshold </w:t>
      </w:r>
      <w:r w:rsidRPr="00AE184E">
        <w:t>and rotation</w:t>
      </w:r>
      <w:r>
        <w:t xml:space="preserve"> track</w:t>
      </w:r>
      <w:r w:rsidRPr="00AE184E">
        <w:t xml:space="preserve"> </w:t>
      </w:r>
      <w:r>
        <w:t xml:space="preserve">with both thresholds (Fig. 5.5 b, e) show the only improvement </w:t>
      </w:r>
      <w:r w:rsidRPr="00AE184E">
        <w:t xml:space="preserve">with the use of weather-dependent static </w:t>
      </w:r>
      <m:oMath>
        <m:r>
          <m:rPr>
            <m:sty m:val="b"/>
          </m:rPr>
          <w:rPr>
            <w:rFonts w:ascii="Cambria Math" w:hAnsi="Cambria Math"/>
          </w:rPr>
          <m:t>B</m:t>
        </m:r>
      </m:oMath>
      <w:r>
        <w:rPr>
          <w:bCs/>
        </w:rPr>
        <w:t>, which</w:t>
      </w:r>
      <w:r w:rsidRPr="00AE184E">
        <w:t xml:space="preserve"> can be attributed to a</w:t>
      </w:r>
      <w:r>
        <w:t>n</w:t>
      </w:r>
      <w:r w:rsidRPr="00AE184E">
        <w:t xml:space="preserve"> </w:t>
      </w:r>
      <w:r>
        <w:t xml:space="preserve">improved forecast of the </w:t>
      </w:r>
      <w:r w:rsidRPr="00AE184E">
        <w:t>supercell that produced EF-4 tornadoes</w:t>
      </w:r>
      <w:r>
        <w:t xml:space="preserve"> in Hyb_WD</w:t>
      </w:r>
      <w:r w:rsidRPr="00AE184E">
        <w:t>.</w:t>
      </w:r>
      <w:r>
        <w:t xml:space="preserve"> </w:t>
      </w:r>
    </w:p>
    <w:p w14:paraId="37F82BBD" w14:textId="46B2CAD3" w:rsidR="008B47A7" w:rsidRDefault="008B47A7" w:rsidP="008B47A7">
      <w:r w:rsidRPr="00D41CCC">
        <w:rPr>
          <w:color w:val="000000" w:themeColor="text1"/>
        </w:rPr>
        <w:t>Relatively low skill scores</w:t>
      </w:r>
      <w:r>
        <w:rPr>
          <w:color w:val="000000" w:themeColor="text1"/>
        </w:rPr>
        <w:t xml:space="preserve"> and high bias are </w:t>
      </w:r>
      <w:r w:rsidRPr="00D41CCC">
        <w:rPr>
          <w:color w:val="000000" w:themeColor="text1"/>
        </w:rPr>
        <w:t>observed for the CREF forecasts longer than 3 hours for 22 May 2020</w:t>
      </w:r>
      <w:r>
        <w:rPr>
          <w:color w:val="000000" w:themeColor="text1"/>
        </w:rPr>
        <w:t xml:space="preserve"> for both reflectivity thresholds with both Hyb_retro</w:t>
      </w:r>
      <w:r w:rsidRPr="002843DF">
        <w:rPr>
          <w:color w:val="000000" w:themeColor="text1"/>
        </w:rPr>
        <w:t xml:space="preserve"> and </w:t>
      </w:r>
      <w:r>
        <w:rPr>
          <w:color w:val="000000" w:themeColor="text1"/>
        </w:rPr>
        <w:t>Hyb_WD</w:t>
      </w:r>
      <w:r w:rsidRPr="002843DF">
        <w:rPr>
          <w:color w:val="000000" w:themeColor="text1"/>
        </w:rPr>
        <w:t xml:space="preserve"> </w:t>
      </w:r>
      <w:r>
        <w:rPr>
          <w:color w:val="000000" w:themeColor="text1"/>
        </w:rPr>
        <w:t>experiments (Fig. 5.4).</w:t>
      </w:r>
      <w:r w:rsidRPr="00D41CCC">
        <w:rPr>
          <w:color w:val="000000" w:themeColor="text1"/>
        </w:rPr>
        <w:t xml:space="preserve"> </w:t>
      </w:r>
      <w:r>
        <w:rPr>
          <w:color w:val="000000" w:themeColor="text1"/>
        </w:rPr>
        <w:t>This</w:t>
      </w:r>
      <w:r w:rsidRPr="00D41CCC">
        <w:rPr>
          <w:color w:val="000000" w:themeColor="text1"/>
        </w:rPr>
        <w:t xml:space="preserve"> is primarily due to the fact that the </w:t>
      </w:r>
      <w:r>
        <w:rPr>
          <w:color w:val="000000" w:themeColor="text1"/>
        </w:rPr>
        <w:t xml:space="preserve">small </w:t>
      </w:r>
      <w:r w:rsidRPr="00D41CCC">
        <w:rPr>
          <w:color w:val="000000" w:themeColor="text1"/>
        </w:rPr>
        <w:t xml:space="preserve">mesoscale convective system </w:t>
      </w:r>
      <w:r>
        <w:rPr>
          <w:color w:val="000000" w:themeColor="text1"/>
        </w:rPr>
        <w:t xml:space="preserve">(MCS) </w:t>
      </w:r>
      <w:r w:rsidRPr="00D41CCC">
        <w:rPr>
          <w:color w:val="000000" w:themeColor="text1"/>
        </w:rPr>
        <w:t xml:space="preserve">in southeastern Oklahoma failed to </w:t>
      </w:r>
      <w:r>
        <w:rPr>
          <w:color w:val="000000" w:themeColor="text1"/>
        </w:rPr>
        <w:t xml:space="preserve">develop </w:t>
      </w:r>
      <w:r w:rsidRPr="00D41CCC">
        <w:rPr>
          <w:color w:val="000000" w:themeColor="text1"/>
        </w:rPr>
        <w:t xml:space="preserve">upscale into a </w:t>
      </w:r>
      <w:r>
        <w:rPr>
          <w:color w:val="000000" w:themeColor="text1"/>
        </w:rPr>
        <w:t>large zonal MCS</w:t>
      </w:r>
      <w:r w:rsidRPr="00D41CCC">
        <w:rPr>
          <w:color w:val="000000" w:themeColor="text1"/>
        </w:rPr>
        <w:t>, as observed</w:t>
      </w:r>
      <w:r>
        <w:rPr>
          <w:color w:val="000000" w:themeColor="text1"/>
        </w:rPr>
        <w:t xml:space="preserve"> (details will be discussed in the next section)</w:t>
      </w:r>
      <w:r w:rsidRPr="00D41CCC">
        <w:rPr>
          <w:color w:val="000000" w:themeColor="text1"/>
        </w:rPr>
        <w:t>.</w:t>
      </w:r>
      <w:r>
        <w:rPr>
          <w:color w:val="000000" w:themeColor="text1"/>
        </w:rPr>
        <w:t xml:space="preserve"> On the other hand, b</w:t>
      </w:r>
      <w:r w:rsidRPr="002843DF">
        <w:rPr>
          <w:color w:val="000000" w:themeColor="text1"/>
        </w:rPr>
        <w:t xml:space="preserve">oth </w:t>
      </w:r>
      <w:r>
        <w:rPr>
          <w:color w:val="000000" w:themeColor="text1"/>
        </w:rPr>
        <w:t>experiments</w:t>
      </w:r>
      <w:r w:rsidRPr="002843DF">
        <w:rPr>
          <w:color w:val="000000" w:themeColor="text1"/>
        </w:rPr>
        <w:t xml:space="preserve"> fairly portray the </w:t>
      </w:r>
      <w:r>
        <w:rPr>
          <w:color w:val="000000" w:themeColor="text1"/>
        </w:rPr>
        <w:t>small MCS</w:t>
      </w:r>
      <w:r w:rsidRPr="002843DF">
        <w:rPr>
          <w:color w:val="000000" w:themeColor="text1"/>
        </w:rPr>
        <w:t xml:space="preserve"> crossing the Oklahoma – Texas border</w:t>
      </w:r>
      <w:r>
        <w:rPr>
          <w:color w:val="000000" w:themeColor="text1"/>
        </w:rPr>
        <w:t xml:space="preserve"> owing </w:t>
      </w:r>
      <w:r w:rsidRPr="002843DF">
        <w:rPr>
          <w:color w:val="000000" w:themeColor="text1"/>
        </w:rPr>
        <w:t xml:space="preserve">to a relatively better and unbiased performance of rotation track forecasts </w:t>
      </w:r>
      <w:r>
        <w:rPr>
          <w:color w:val="000000" w:themeColor="text1"/>
        </w:rPr>
        <w:t xml:space="preserve">in the first 3-hour forecast, leading to higher POD scores for this particular event over all other events </w:t>
      </w:r>
      <w:r w:rsidRPr="002843DF">
        <w:rPr>
          <w:color w:val="000000" w:themeColor="text1"/>
        </w:rPr>
        <w:t xml:space="preserve">(red symbols in Fig. </w:t>
      </w:r>
      <w:r>
        <w:rPr>
          <w:color w:val="000000" w:themeColor="text1"/>
        </w:rPr>
        <w:t>5.</w:t>
      </w:r>
      <w:r w:rsidRPr="002843DF">
        <w:rPr>
          <w:color w:val="000000" w:themeColor="text1"/>
        </w:rPr>
        <w:t>5).</w:t>
      </w:r>
    </w:p>
    <w:p w14:paraId="1C710C78" w14:textId="77777777" w:rsidR="008B47A7" w:rsidRDefault="008B47A7" w:rsidP="00156B42">
      <w:pPr>
        <w:pStyle w:val="NoSpacing"/>
      </w:pPr>
    </w:p>
    <w:p w14:paraId="14D79686" w14:textId="05AE508A" w:rsidR="00156B42" w:rsidRDefault="00156B42" w:rsidP="00156B42">
      <w:pPr>
        <w:pStyle w:val="NoSpacing"/>
        <w:jc w:val="center"/>
      </w:pPr>
      <w:r>
        <w:rPr>
          <w:noProof/>
        </w:rPr>
        <w:lastRenderedPageBreak/>
        <w:drawing>
          <wp:inline distT="0" distB="0" distL="0" distR="0" wp14:anchorId="624A3FB6" wp14:editId="783504D2">
            <wp:extent cx="5943599" cy="3867554"/>
            <wp:effectExtent l="0" t="0" r="63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943599" cy="3867554"/>
                    </a:xfrm>
                    <a:prstGeom prst="rect">
                      <a:avLst/>
                    </a:prstGeom>
                  </pic:spPr>
                </pic:pic>
              </a:graphicData>
            </a:graphic>
          </wp:inline>
        </w:drawing>
      </w:r>
    </w:p>
    <w:p w14:paraId="6DC060B4" w14:textId="662A1134" w:rsidR="00755919" w:rsidRPr="00D60A80" w:rsidRDefault="00755919" w:rsidP="00755919">
      <w:pPr>
        <w:pStyle w:val="Captions"/>
        <w:rPr>
          <w:szCs w:val="24"/>
        </w:rPr>
      </w:pPr>
      <w:bookmarkStart w:id="144" w:name="_Toc134695300"/>
      <w:r w:rsidRPr="00D60A80">
        <w:rPr>
          <w:szCs w:val="24"/>
        </w:rPr>
        <w:t xml:space="preserve">Figure </w:t>
      </w:r>
      <w:r w:rsidR="00C96E3B" w:rsidRPr="00D60A80">
        <w:rPr>
          <w:szCs w:val="24"/>
        </w:rPr>
        <w:fldChar w:fldCharType="begin"/>
      </w:r>
      <w:r w:rsidR="00C96E3B" w:rsidRPr="00D60A80">
        <w:rPr>
          <w:szCs w:val="24"/>
        </w:rPr>
        <w:instrText xml:space="preserve"> STYLEREF 1 \s </w:instrText>
      </w:r>
      <w:r w:rsidR="00C96E3B" w:rsidRPr="00D60A80">
        <w:rPr>
          <w:szCs w:val="24"/>
        </w:rPr>
        <w:fldChar w:fldCharType="separate"/>
      </w:r>
      <w:r w:rsidR="00C77C87" w:rsidRPr="00D60A80">
        <w:rPr>
          <w:noProof/>
          <w:szCs w:val="24"/>
        </w:rPr>
        <w:t>5</w:t>
      </w:r>
      <w:r w:rsidR="00C96E3B" w:rsidRPr="00D60A80">
        <w:rPr>
          <w:noProof/>
          <w:szCs w:val="24"/>
        </w:rPr>
        <w:fldChar w:fldCharType="end"/>
      </w:r>
      <w:r w:rsidR="00C77C87" w:rsidRPr="00D60A80">
        <w:rPr>
          <w:szCs w:val="24"/>
        </w:rPr>
        <w:t>.</w:t>
      </w:r>
      <w:r w:rsidR="00C96E3B" w:rsidRPr="00D60A80">
        <w:rPr>
          <w:szCs w:val="24"/>
        </w:rPr>
        <w:fldChar w:fldCharType="begin"/>
      </w:r>
      <w:r w:rsidR="00C96E3B" w:rsidRPr="00D60A80">
        <w:rPr>
          <w:szCs w:val="24"/>
        </w:rPr>
        <w:instrText xml:space="preserve"> SEQ Figure \* ARABIC \s 1 </w:instrText>
      </w:r>
      <w:r w:rsidR="00C96E3B" w:rsidRPr="00D60A80">
        <w:rPr>
          <w:szCs w:val="24"/>
        </w:rPr>
        <w:fldChar w:fldCharType="separate"/>
      </w:r>
      <w:r w:rsidR="008B47A7" w:rsidRPr="00D60A80">
        <w:rPr>
          <w:noProof/>
          <w:szCs w:val="24"/>
        </w:rPr>
        <w:t>5</w:t>
      </w:r>
      <w:r w:rsidR="00C96E3B" w:rsidRPr="00D60A80">
        <w:rPr>
          <w:noProof/>
          <w:szCs w:val="24"/>
        </w:rPr>
        <w:fldChar w:fldCharType="end"/>
      </w:r>
      <w:r w:rsidRPr="00D60A80">
        <w:rPr>
          <w:szCs w:val="24"/>
        </w:rPr>
        <w:t xml:space="preserve"> As in Fig. 5.4, but for midlevel updraft helicity forecasts relative to MRMS midlevel Azimuthal Shear observations at thresholds of (a-c) 65.79 m</w:t>
      </w:r>
      <w:r w:rsidRPr="00D60A80">
        <w:rPr>
          <w:szCs w:val="24"/>
          <w:vertAlign w:val="superscript"/>
        </w:rPr>
        <w:t>2</w:t>
      </w:r>
      <w:r w:rsidRPr="00D60A80">
        <w:rPr>
          <w:szCs w:val="24"/>
        </w:rPr>
        <w:t xml:space="preserve"> s</w:t>
      </w:r>
      <w:r w:rsidRPr="00D60A80">
        <w:rPr>
          <w:szCs w:val="24"/>
          <w:vertAlign w:val="superscript"/>
        </w:rPr>
        <w:t>-2</w:t>
      </w:r>
      <w:r w:rsidRPr="00D60A80">
        <w:rPr>
          <w:szCs w:val="24"/>
        </w:rPr>
        <w:t xml:space="preserve"> / 0.00206 s</w:t>
      </w:r>
      <w:r w:rsidRPr="00D60A80">
        <w:rPr>
          <w:szCs w:val="24"/>
          <w:vertAlign w:val="superscript"/>
        </w:rPr>
        <w:t>-1</w:t>
      </w:r>
      <w:r w:rsidRPr="00D60A80">
        <w:rPr>
          <w:szCs w:val="24"/>
        </w:rPr>
        <w:t xml:space="preserve"> and (d-f) 80.0 m</w:t>
      </w:r>
      <w:r w:rsidRPr="00D60A80">
        <w:rPr>
          <w:szCs w:val="24"/>
          <w:vertAlign w:val="superscript"/>
        </w:rPr>
        <w:t>2</w:t>
      </w:r>
      <w:r w:rsidRPr="00D60A80">
        <w:rPr>
          <w:szCs w:val="24"/>
        </w:rPr>
        <w:t xml:space="preserve"> s</w:t>
      </w:r>
      <w:r w:rsidRPr="00D60A80">
        <w:rPr>
          <w:szCs w:val="24"/>
          <w:vertAlign w:val="superscript"/>
        </w:rPr>
        <w:t>-2</w:t>
      </w:r>
      <w:r w:rsidRPr="00D60A80">
        <w:rPr>
          <w:szCs w:val="24"/>
        </w:rPr>
        <w:t xml:space="preserve"> / 0.00215 s</w:t>
      </w:r>
      <w:r w:rsidRPr="00D60A80">
        <w:rPr>
          <w:szCs w:val="24"/>
          <w:vertAlign w:val="superscript"/>
        </w:rPr>
        <w:t>-1</w:t>
      </w:r>
      <w:r w:rsidRPr="00D60A80">
        <w:rPr>
          <w:szCs w:val="24"/>
        </w:rPr>
        <w:t>.</w:t>
      </w:r>
      <w:bookmarkEnd w:id="144"/>
    </w:p>
    <w:p w14:paraId="5FEABF1E" w14:textId="084AC537" w:rsidR="00156B42" w:rsidRDefault="00156B42" w:rsidP="00755919">
      <w:pPr>
        <w:pStyle w:val="NoSpacing"/>
      </w:pPr>
    </w:p>
    <w:p w14:paraId="5CEDD940" w14:textId="1033D76B" w:rsidR="00E6523E" w:rsidRDefault="00E6523E" w:rsidP="00E6523E">
      <w:r w:rsidRPr="00AE184E">
        <w:t xml:space="preserve">Forecasts for </w:t>
      </w:r>
      <w:r>
        <w:t xml:space="preserve">5 </w:t>
      </w:r>
      <w:r w:rsidRPr="00AE184E">
        <w:t xml:space="preserve">May 2020, </w:t>
      </w:r>
      <w:r>
        <w:t xml:space="preserve">15 </w:t>
      </w:r>
      <w:r w:rsidRPr="00AE184E">
        <w:t xml:space="preserve">May 2020, and </w:t>
      </w:r>
      <w:r>
        <w:t xml:space="preserve">26 </w:t>
      </w:r>
      <w:r w:rsidRPr="00AE184E">
        <w:t>May 2021, generally</w:t>
      </w:r>
      <w:r>
        <w:t xml:space="preserve"> show </w:t>
      </w:r>
      <w:r w:rsidRPr="00AE184E">
        <w:t xml:space="preserve">the highest POD and lowest FAR for CREF forecasts </w:t>
      </w:r>
      <w:r>
        <w:t xml:space="preserve">from the beginning of the forecast </w:t>
      </w:r>
      <w:r w:rsidRPr="00AE184E">
        <w:t>(Fig</w:t>
      </w:r>
      <w:r>
        <w:t>.</w:t>
      </w:r>
      <w:r w:rsidRPr="00AE184E">
        <w:t xml:space="preserve"> </w:t>
      </w:r>
      <w:r w:rsidR="006C5463">
        <w:t>5.</w:t>
      </w:r>
      <w:r>
        <w:t>4</w:t>
      </w:r>
      <w:r w:rsidRPr="00AE184E">
        <w:t>)</w:t>
      </w:r>
      <w:r>
        <w:t xml:space="preserve">. </w:t>
      </w:r>
      <w:r w:rsidRPr="00AE184E">
        <w:t>However, excessive misplacement of rotations associated with strong convection le</w:t>
      </w:r>
      <w:r>
        <w:t>a</w:t>
      </w:r>
      <w:r w:rsidRPr="00AE184E">
        <w:t>d</w:t>
      </w:r>
      <w:r>
        <w:t>s</w:t>
      </w:r>
      <w:r w:rsidRPr="00AE184E">
        <w:t xml:space="preserve"> to relatively low POD and high FAR for rotation </w:t>
      </w:r>
      <w:r>
        <w:t xml:space="preserve">track </w:t>
      </w:r>
      <w:r w:rsidRPr="00AE184E">
        <w:t>forecasts throughout the forecast period (Fig</w:t>
      </w:r>
      <w:r>
        <w:t>.</w:t>
      </w:r>
      <w:r w:rsidRPr="00AE184E">
        <w:t xml:space="preserve"> </w:t>
      </w:r>
      <w:r w:rsidR="006C5463">
        <w:t>5.</w:t>
      </w:r>
      <w:r w:rsidRPr="00AE184E">
        <w:t>5).</w:t>
      </w:r>
      <w:r>
        <w:t xml:space="preserve"> Figure </w:t>
      </w:r>
      <w:r w:rsidR="006C5463">
        <w:t>5.</w:t>
      </w:r>
      <w:r>
        <w:t xml:space="preserve">5 </w:t>
      </w:r>
      <w:r w:rsidRPr="00AE184E">
        <w:t>also illustrates the neutral to positive impact of</w:t>
      </w:r>
      <w:r>
        <w:t xml:space="preserve"> </w:t>
      </w:r>
      <w:r w:rsidRPr="00AE184E">
        <w:t xml:space="preserve">the implementation of weather-dependent static </w:t>
      </w:r>
      <m:oMath>
        <m:r>
          <m:rPr>
            <m:sty m:val="b"/>
          </m:rPr>
          <w:rPr>
            <w:rFonts w:ascii="Cambria Math" w:hAnsi="Cambria Math"/>
          </w:rPr>
          <m:t>B</m:t>
        </m:r>
      </m:oMath>
      <w:r w:rsidRPr="00AE184E">
        <w:t xml:space="preserve"> in </w:t>
      </w:r>
      <w:r>
        <w:t>WoF-Hybrid</w:t>
      </w:r>
      <w:r w:rsidRPr="00AE184E">
        <w:t xml:space="preserve"> on rotation </w:t>
      </w:r>
      <w:r>
        <w:t xml:space="preserve">track </w:t>
      </w:r>
      <w:r w:rsidRPr="00AE184E">
        <w:t>forecasts.</w:t>
      </w:r>
      <w:r>
        <w:t xml:space="preserve"> </w:t>
      </w:r>
      <w:r w:rsidR="0004258C" w:rsidRPr="0004258C">
        <w:t>Drawing from the aforementioned discussion, the insights will be further discussed regarding the following three events: the 5th of May, 2020 event is used as a representative of the highest-performing event, the 22nd of May, 2020 is included as an example of an event with average performance, and the 10th of December, 2021 is considered the event with the lowest performance.</w:t>
      </w:r>
    </w:p>
    <w:p w14:paraId="2BB457C6" w14:textId="33DCCB5A" w:rsidR="00E6523E" w:rsidRPr="00EF5D37" w:rsidRDefault="00E6523E">
      <w:pPr>
        <w:pStyle w:val="Heading3"/>
      </w:pPr>
      <w:bookmarkStart w:id="145" w:name="_Toc130995469"/>
      <w:bookmarkStart w:id="146" w:name="_Toc131018334"/>
      <w:r>
        <w:lastRenderedPageBreak/>
        <w:t xml:space="preserve">The 5 May 2020 severe weather event in South </w:t>
      </w:r>
      <w:r w:rsidRPr="00AE184E">
        <w:t>Carolina</w:t>
      </w:r>
      <w:bookmarkEnd w:id="145"/>
      <w:bookmarkEnd w:id="146"/>
    </w:p>
    <w:p w14:paraId="40981382" w14:textId="7BF16D4D" w:rsidR="00E6523E" w:rsidRDefault="00E6523E" w:rsidP="00E6523E">
      <w:r w:rsidRPr="00AE184E">
        <w:t xml:space="preserve">On </w:t>
      </w:r>
      <w:r>
        <w:t xml:space="preserve">5 </w:t>
      </w:r>
      <w:r w:rsidRPr="00AE184E">
        <w:t xml:space="preserve">May 2020, a weak front was moving from the west to the east across </w:t>
      </w:r>
      <w:r>
        <w:t>the region</w:t>
      </w:r>
      <w:r w:rsidRPr="00AE184E">
        <w:t xml:space="preserve"> </w:t>
      </w:r>
      <w:r>
        <w:t>spanning</w:t>
      </w:r>
      <w:r w:rsidRPr="00AE184E">
        <w:t xml:space="preserve"> from northern Georgia to northern South Carolina, resulting in the development of </w:t>
      </w:r>
      <w:r>
        <w:t>a mesoscale convective complex</w:t>
      </w:r>
      <w:r w:rsidRPr="00AE184E">
        <w:t xml:space="preserve">. The airmass along the front </w:t>
      </w:r>
      <w:r>
        <w:t xml:space="preserve">originated </w:t>
      </w:r>
      <w:r w:rsidRPr="00AE184E">
        <w:t xml:space="preserve">from the Gulf of Mexico </w:t>
      </w:r>
      <w:r w:rsidR="00842DEA">
        <w:t xml:space="preserve">and </w:t>
      </w:r>
      <w:r w:rsidRPr="00AE184E">
        <w:t xml:space="preserve">was characterized by temperatures in the 70s F and dewpoint temperatures in the mid 60s F near the surface, </w:t>
      </w:r>
      <w:r>
        <w:t>creating</w:t>
      </w:r>
      <w:r w:rsidRPr="00AE184E">
        <w:t xml:space="preserve"> a highly unstable atmosphere with a mixed-layer Convective Available Potential Energy (CAPE) value </w:t>
      </w:r>
      <w:r>
        <w:t>ranging from</w:t>
      </w:r>
      <w:r w:rsidRPr="00AE184E">
        <w:t xml:space="preserve"> 1000 to 2000 J kg</w:t>
      </w:r>
      <w:r w:rsidRPr="00FE52A9">
        <w:rPr>
          <w:vertAlign w:val="superscript"/>
        </w:rPr>
        <w:t>-1</w:t>
      </w:r>
      <w:r w:rsidRPr="00AE184E">
        <w:t xml:space="preserve">. This environmental setup, with the high CAPE value, was conducive to the formation and sustenance of convective systems. As a result, the formation of </w:t>
      </w:r>
      <w:r>
        <w:t xml:space="preserve">the mesoscale convective complex </w:t>
      </w:r>
      <w:r w:rsidRPr="00AE184E">
        <w:t>initiated around 1900 UTC and steadily drifted eastward, eventually reaching the eastern coast of North Carolina at 0300 UTC.</w:t>
      </w:r>
    </w:p>
    <w:p w14:paraId="4FCFB483" w14:textId="6E4CDE9A" w:rsidR="008957FD" w:rsidRDefault="008957FD" w:rsidP="00E6523E">
      <w:r w:rsidRPr="00C225A4">
        <w:t xml:space="preserve">To </w:t>
      </w:r>
      <w:r>
        <w:t>provide a general picture of</w:t>
      </w:r>
      <w:r w:rsidRPr="00C225A4">
        <w:t xml:space="preserve"> the performance of </w:t>
      </w:r>
      <w:r>
        <w:t xml:space="preserve">two </w:t>
      </w:r>
      <w:r w:rsidRPr="00C225A4">
        <w:t>experiment</w:t>
      </w:r>
      <w:r>
        <w:t>s</w:t>
      </w:r>
      <w:r w:rsidRPr="00C225A4">
        <w:t xml:space="preserve">, </w:t>
      </w:r>
      <w:r>
        <w:t xml:space="preserve">a qualitative analysis of </w:t>
      </w:r>
      <w:r w:rsidRPr="00C225A4">
        <w:t>the 0</w:t>
      </w:r>
      <w:r>
        <w:t>-</w:t>
      </w:r>
      <w:r w:rsidRPr="00C225A4">
        <w:t xml:space="preserve"> </w:t>
      </w:r>
      <w:r>
        <w:t>to</w:t>
      </w:r>
      <w:r w:rsidRPr="00C225A4">
        <w:t xml:space="preserve"> 6</w:t>
      </w:r>
      <w:r>
        <w:t>-hour</w:t>
      </w:r>
      <w:r w:rsidRPr="00C225A4">
        <w:t xml:space="preserve"> forecast is </w:t>
      </w:r>
      <w:r>
        <w:t>conducted</w:t>
      </w:r>
      <w:r w:rsidRPr="00C225A4">
        <w:t xml:space="preserve"> by comparing the 2 – 5 km UH track forecasts</w:t>
      </w:r>
      <w:r>
        <w:t xml:space="preserve"> from both experiments Hyb_retro and Hyb_WD,</w:t>
      </w:r>
      <w:r w:rsidRPr="00C225A4">
        <w:t xml:space="preserve"> initialized at 1900, 2100, and 2300 UTC with the overlaid </w:t>
      </w:r>
      <w:r>
        <w:t>NWS/SPC severe weather</w:t>
      </w:r>
      <w:r w:rsidRPr="00C225A4">
        <w:t xml:space="preserve"> reports. The results from the forecast initia</w:t>
      </w:r>
      <w:r>
        <w:t>lized</w:t>
      </w:r>
      <w:r w:rsidRPr="00C225A4">
        <w:t xml:space="preserve"> at 1900 UTC suggest that both experiments </w:t>
      </w:r>
      <w:r>
        <w:t xml:space="preserve">are able to </w:t>
      </w:r>
      <w:r w:rsidRPr="00C225A4">
        <w:t xml:space="preserve">present the west-east </w:t>
      </w:r>
      <w:r>
        <w:t xml:space="preserve">oriented </w:t>
      </w:r>
      <w:r w:rsidRPr="00C225A4">
        <w:t xml:space="preserve">convective system and are in reasonable agreement with the </w:t>
      </w:r>
      <w:r>
        <w:t>NWS/</w:t>
      </w:r>
      <w:r w:rsidRPr="00C225A4">
        <w:t xml:space="preserve">SPC storm reports, more specifically </w:t>
      </w:r>
      <w:r>
        <w:t xml:space="preserve">for </w:t>
      </w:r>
      <w:r w:rsidRPr="00C225A4">
        <w:t xml:space="preserve">the tornado reports near the borders of South Carolina and North Carolina as well as for the subsequent hail reports (Figs. </w:t>
      </w:r>
      <w:r>
        <w:t xml:space="preserve">5.6 </w:t>
      </w:r>
      <w:r w:rsidRPr="00C225A4">
        <w:t>a</w:t>
      </w:r>
      <w:r>
        <w:t xml:space="preserve">, </w:t>
      </w:r>
      <w:r w:rsidRPr="00C225A4">
        <w:t>b). Although the</w:t>
      </w:r>
      <w:r>
        <w:t xml:space="preserve"> </w:t>
      </w:r>
      <w:r w:rsidRPr="00C225A4">
        <w:t>UH track forecast</w:t>
      </w:r>
      <w:r>
        <w:t>s</w:t>
      </w:r>
      <w:r w:rsidRPr="00C225A4">
        <w:t xml:space="preserve"> </w:t>
      </w:r>
      <w:r>
        <w:t>for</w:t>
      </w:r>
      <w:r w:rsidRPr="00C225A4">
        <w:t xml:space="preserve"> both experiments </w:t>
      </w:r>
      <w:r>
        <w:t>are</w:t>
      </w:r>
      <w:r w:rsidRPr="00C225A4">
        <w:t xml:space="preserve"> similar</w:t>
      </w:r>
      <w:r>
        <w:t xml:space="preserve"> </w:t>
      </w:r>
      <w:r w:rsidRPr="00C225A4">
        <w:t xml:space="preserve">at 1900 UTC, improvements can be observed in </w:t>
      </w:r>
      <w:r>
        <w:t>Hyb_WD</w:t>
      </w:r>
      <w:r w:rsidRPr="00C225A4">
        <w:t xml:space="preserve"> for the forecast initialized at 2100 UTC due to the better estimation of initial conditions through additional assimilation cycles (Fig. </w:t>
      </w:r>
      <w:r>
        <w:t xml:space="preserve">5.6 </w:t>
      </w:r>
      <w:r w:rsidRPr="00C225A4">
        <w:t>e vs b).</w:t>
      </w:r>
    </w:p>
    <w:p w14:paraId="38C971AC" w14:textId="11082E4A" w:rsidR="006F2D2B" w:rsidRDefault="006F2D2B" w:rsidP="006F2D2B">
      <w:pPr>
        <w:pStyle w:val="NoSpacing"/>
      </w:pPr>
    </w:p>
    <w:p w14:paraId="01E489BB" w14:textId="105D1C3E" w:rsidR="006F2D2B" w:rsidRDefault="006F2D2B" w:rsidP="009D06BA">
      <w:pPr>
        <w:pStyle w:val="NoSpacing"/>
        <w:jc w:val="center"/>
      </w:pPr>
      <w:r>
        <w:rPr>
          <w:noProof/>
        </w:rPr>
        <w:lastRenderedPageBreak/>
        <w:drawing>
          <wp:inline distT="0" distB="0" distL="0" distR="0" wp14:anchorId="6E06F571" wp14:editId="1FAE9156">
            <wp:extent cx="5943598" cy="4207857"/>
            <wp:effectExtent l="0" t="0" r="63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943598" cy="4207857"/>
                    </a:xfrm>
                    <a:prstGeom prst="rect">
                      <a:avLst/>
                    </a:prstGeom>
                  </pic:spPr>
                </pic:pic>
              </a:graphicData>
            </a:graphic>
          </wp:inline>
        </w:drawing>
      </w:r>
    </w:p>
    <w:p w14:paraId="022223E2" w14:textId="014EF03D" w:rsidR="006F2D2B" w:rsidRPr="00D60A80" w:rsidRDefault="006F2D2B" w:rsidP="006F2D2B">
      <w:pPr>
        <w:pStyle w:val="Captions"/>
        <w:rPr>
          <w:szCs w:val="24"/>
        </w:rPr>
      </w:pPr>
      <w:bookmarkStart w:id="147" w:name="_Toc134695301"/>
      <w:r w:rsidRPr="00D60A80">
        <w:rPr>
          <w:szCs w:val="24"/>
        </w:rPr>
        <w:t xml:space="preserve">Figure </w:t>
      </w:r>
      <w:r w:rsidR="00C96E3B" w:rsidRPr="00D60A80">
        <w:rPr>
          <w:szCs w:val="24"/>
        </w:rPr>
        <w:fldChar w:fldCharType="begin"/>
      </w:r>
      <w:r w:rsidR="00C96E3B" w:rsidRPr="00D60A80">
        <w:rPr>
          <w:szCs w:val="24"/>
        </w:rPr>
        <w:instrText xml:space="preserve"> STYLEREF 1 \s </w:instrText>
      </w:r>
      <w:r w:rsidR="00C96E3B" w:rsidRPr="00D60A80">
        <w:rPr>
          <w:szCs w:val="24"/>
        </w:rPr>
        <w:fldChar w:fldCharType="separate"/>
      </w:r>
      <w:r w:rsidR="00C77C87" w:rsidRPr="00D60A80">
        <w:rPr>
          <w:noProof/>
          <w:szCs w:val="24"/>
        </w:rPr>
        <w:t>5</w:t>
      </w:r>
      <w:r w:rsidR="00C96E3B" w:rsidRPr="00D60A80">
        <w:rPr>
          <w:noProof/>
          <w:szCs w:val="24"/>
        </w:rPr>
        <w:fldChar w:fldCharType="end"/>
      </w:r>
      <w:r w:rsidR="00C77C87" w:rsidRPr="00D60A80">
        <w:rPr>
          <w:szCs w:val="24"/>
        </w:rPr>
        <w:t>.</w:t>
      </w:r>
      <w:r w:rsidR="00C96E3B" w:rsidRPr="00D60A80">
        <w:rPr>
          <w:szCs w:val="24"/>
        </w:rPr>
        <w:fldChar w:fldCharType="begin"/>
      </w:r>
      <w:r w:rsidR="00C96E3B" w:rsidRPr="00D60A80">
        <w:rPr>
          <w:szCs w:val="24"/>
        </w:rPr>
        <w:instrText xml:space="preserve"> SEQ Figure \* ARABIC \s 1 </w:instrText>
      </w:r>
      <w:r w:rsidR="00C96E3B" w:rsidRPr="00D60A80">
        <w:rPr>
          <w:szCs w:val="24"/>
        </w:rPr>
        <w:fldChar w:fldCharType="separate"/>
      </w:r>
      <w:r w:rsidR="00C77C87" w:rsidRPr="00D60A80">
        <w:rPr>
          <w:noProof/>
          <w:szCs w:val="24"/>
        </w:rPr>
        <w:t>6</w:t>
      </w:r>
      <w:r w:rsidR="00C96E3B" w:rsidRPr="00D60A80">
        <w:rPr>
          <w:noProof/>
          <w:szCs w:val="24"/>
        </w:rPr>
        <w:fldChar w:fldCharType="end"/>
      </w:r>
      <w:r w:rsidRPr="00D60A80">
        <w:rPr>
          <w:szCs w:val="24"/>
        </w:rPr>
        <w:t xml:space="preserve"> The 6-hour 2 – 5 km UH track forecasts initialized at (a, d) 1900, (b, e) 2100, and (c, f) 2300 UTC on 5 May 2020. The top row presents the results of the experiment Hyb_retro, while the bottom row presents the results of the experiment Hyb_WD. During each forecast period for each experiment, the forecast results are superimposed with the SPC storm reports, indicated by purple upward-pointing triangles for tornado events, cyan </w:t>
      </w:r>
      <w:r w:rsidRPr="00D60A80">
        <w:rPr>
          <w:rFonts w:hint="eastAsia"/>
          <w:szCs w:val="24"/>
        </w:rPr>
        <w:t>d</w:t>
      </w:r>
      <w:r w:rsidRPr="00D60A80">
        <w:rPr>
          <w:szCs w:val="24"/>
        </w:rPr>
        <w:t>iamonds for hail events, and blue right-pointing triangles for damaging wind events.</w:t>
      </w:r>
      <w:bookmarkEnd w:id="147"/>
    </w:p>
    <w:p w14:paraId="1F111175" w14:textId="08FA2821" w:rsidR="006F2D2B" w:rsidRDefault="006F2D2B" w:rsidP="006F2D2B">
      <w:pPr>
        <w:pStyle w:val="NoSpacing"/>
      </w:pPr>
    </w:p>
    <w:p w14:paraId="7FE22CC9" w14:textId="2FCB1AE8" w:rsidR="006F2D2B" w:rsidRDefault="006F2D2B" w:rsidP="009D06BA">
      <w:pPr>
        <w:pStyle w:val="NoSpacing"/>
        <w:jc w:val="center"/>
      </w:pPr>
      <w:r>
        <w:rPr>
          <w:noProof/>
        </w:rPr>
        <w:lastRenderedPageBreak/>
        <w:drawing>
          <wp:inline distT="0" distB="0" distL="0" distR="0" wp14:anchorId="44A25175" wp14:editId="7544DC69">
            <wp:extent cx="5943600" cy="4207858"/>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943600" cy="4207858"/>
                    </a:xfrm>
                    <a:prstGeom prst="rect">
                      <a:avLst/>
                    </a:prstGeom>
                  </pic:spPr>
                </pic:pic>
              </a:graphicData>
            </a:graphic>
          </wp:inline>
        </w:drawing>
      </w:r>
    </w:p>
    <w:p w14:paraId="4014C0EC" w14:textId="665CCD99" w:rsidR="006F2D2B" w:rsidRPr="00D60A80" w:rsidRDefault="006F2D2B" w:rsidP="00B94E5D">
      <w:pPr>
        <w:pStyle w:val="Captions"/>
        <w:rPr>
          <w:szCs w:val="24"/>
        </w:rPr>
      </w:pPr>
      <w:bookmarkStart w:id="148" w:name="_Toc134695302"/>
      <w:r w:rsidRPr="00D60A80">
        <w:rPr>
          <w:szCs w:val="24"/>
        </w:rPr>
        <w:t xml:space="preserve">Figure </w:t>
      </w:r>
      <w:r w:rsidR="00C96E3B" w:rsidRPr="00D60A80">
        <w:rPr>
          <w:szCs w:val="24"/>
        </w:rPr>
        <w:fldChar w:fldCharType="begin"/>
      </w:r>
      <w:r w:rsidR="00C96E3B" w:rsidRPr="00D60A80">
        <w:rPr>
          <w:szCs w:val="24"/>
        </w:rPr>
        <w:instrText xml:space="preserve"> STYLEREF 1 \s </w:instrText>
      </w:r>
      <w:r w:rsidR="00C96E3B" w:rsidRPr="00D60A80">
        <w:rPr>
          <w:szCs w:val="24"/>
        </w:rPr>
        <w:fldChar w:fldCharType="separate"/>
      </w:r>
      <w:r w:rsidR="00C77C87" w:rsidRPr="00D60A80">
        <w:rPr>
          <w:noProof/>
          <w:szCs w:val="24"/>
        </w:rPr>
        <w:t>5</w:t>
      </w:r>
      <w:r w:rsidR="00C96E3B" w:rsidRPr="00D60A80">
        <w:rPr>
          <w:noProof/>
          <w:szCs w:val="24"/>
        </w:rPr>
        <w:fldChar w:fldCharType="end"/>
      </w:r>
      <w:r w:rsidR="00C77C87" w:rsidRPr="00D60A80">
        <w:rPr>
          <w:szCs w:val="24"/>
        </w:rPr>
        <w:t>.</w:t>
      </w:r>
      <w:r w:rsidR="00C96E3B" w:rsidRPr="00D60A80">
        <w:rPr>
          <w:szCs w:val="24"/>
        </w:rPr>
        <w:fldChar w:fldCharType="begin"/>
      </w:r>
      <w:r w:rsidR="00C96E3B" w:rsidRPr="00D60A80">
        <w:rPr>
          <w:szCs w:val="24"/>
        </w:rPr>
        <w:instrText xml:space="preserve"> SEQ Figure \* ARABIC \s 1 </w:instrText>
      </w:r>
      <w:r w:rsidR="00C96E3B" w:rsidRPr="00D60A80">
        <w:rPr>
          <w:szCs w:val="24"/>
        </w:rPr>
        <w:fldChar w:fldCharType="separate"/>
      </w:r>
      <w:r w:rsidR="00C77C87" w:rsidRPr="00D60A80">
        <w:rPr>
          <w:noProof/>
          <w:szCs w:val="24"/>
        </w:rPr>
        <w:t>7</w:t>
      </w:r>
      <w:r w:rsidR="00C96E3B" w:rsidRPr="00D60A80">
        <w:rPr>
          <w:noProof/>
          <w:szCs w:val="24"/>
        </w:rPr>
        <w:fldChar w:fldCharType="end"/>
      </w:r>
      <w:r w:rsidR="00B94E5D" w:rsidRPr="00D60A80">
        <w:rPr>
          <w:szCs w:val="24"/>
        </w:rPr>
        <w:t xml:space="preserve"> </w:t>
      </w:r>
      <w:r w:rsidRPr="00D60A80">
        <w:rPr>
          <w:szCs w:val="24"/>
        </w:rPr>
        <w:t>Hailcast superimposed with the SPC storm reports for (a, d) 1-, (b, e) 2-, and (c, f) 3-h forecasts initialized at 2300 UTC on 5 May 2020. The top row presents the results of the experiment Hyb_retro, while the bottom row presents the results of the experiment Hyb_WD.</w:t>
      </w:r>
      <w:bookmarkEnd w:id="148"/>
    </w:p>
    <w:p w14:paraId="1DD415D1" w14:textId="77777777" w:rsidR="006F2D2B" w:rsidRDefault="006F2D2B" w:rsidP="006F2D2B">
      <w:pPr>
        <w:pStyle w:val="NoSpacing"/>
      </w:pPr>
    </w:p>
    <w:p w14:paraId="37A0F664" w14:textId="77777777" w:rsidR="008957FD" w:rsidRDefault="008957FD" w:rsidP="008957FD">
      <w:r>
        <w:t>C</w:t>
      </w:r>
      <w:r w:rsidRPr="00C225A4">
        <w:t xml:space="preserve">ompared to the forecasts initialized at </w:t>
      </w:r>
      <w:r>
        <w:t>21</w:t>
      </w:r>
      <w:r w:rsidRPr="00C225A4">
        <w:t>00 UTC, both experiments demonstrate an enhancement of the UH track intensity</w:t>
      </w:r>
      <w:r>
        <w:t xml:space="preserve"> for hail events </w:t>
      </w:r>
      <w:r w:rsidRPr="00C225A4">
        <w:t xml:space="preserve">that occurred prior to and later than the </w:t>
      </w:r>
      <w:r>
        <w:t xml:space="preserve">time when the </w:t>
      </w:r>
      <w:r w:rsidRPr="00C225A4">
        <w:t>tornado</w:t>
      </w:r>
      <w:r>
        <w:t>es</w:t>
      </w:r>
      <w:r w:rsidRPr="00C225A4">
        <w:t xml:space="preserve"> touchdown</w:t>
      </w:r>
      <w:r>
        <w:t>, with Hyb_WD producing a higher UH value in northern South Carolina</w:t>
      </w:r>
      <w:r w:rsidRPr="00C225A4">
        <w:t xml:space="preserve">. However, a </w:t>
      </w:r>
      <w:r>
        <w:t xml:space="preserve">slight </w:t>
      </w:r>
      <w:r w:rsidRPr="00C225A4">
        <w:t xml:space="preserve">north bias in the UH track is observed in </w:t>
      </w:r>
      <w:r>
        <w:t>Hyb_retro</w:t>
      </w:r>
      <w:r w:rsidRPr="00C225A4">
        <w:t xml:space="preserve"> compared to the </w:t>
      </w:r>
      <w:r>
        <w:t xml:space="preserve">NWS/SPC </w:t>
      </w:r>
      <w:r w:rsidRPr="00C225A4">
        <w:t xml:space="preserve">hail reports, </w:t>
      </w:r>
      <w:r>
        <w:t>and a better UH track is predicted</w:t>
      </w:r>
      <w:r w:rsidRPr="00C225A4">
        <w:t xml:space="preserve"> </w:t>
      </w:r>
      <w:r>
        <w:t>by</w:t>
      </w:r>
      <w:r w:rsidRPr="00C225A4">
        <w:t xml:space="preserve"> </w:t>
      </w:r>
      <w:r>
        <w:t>Hyb_WD</w:t>
      </w:r>
      <w:r w:rsidRPr="00C225A4">
        <w:t xml:space="preserve">. Additionally, </w:t>
      </w:r>
      <w:r>
        <w:t>Hyb_WD</w:t>
      </w:r>
      <w:r w:rsidRPr="00C225A4">
        <w:t xml:space="preserve"> produces more reasonable</w:t>
      </w:r>
      <w:r>
        <w:t xml:space="preserve"> UH values in northeastern Georgia state</w:t>
      </w:r>
      <w:r w:rsidRPr="00C225A4">
        <w:t xml:space="preserve">. </w:t>
      </w:r>
      <w:r>
        <w:t xml:space="preserve">In the forecast initialized from 2300 UTC, </w:t>
      </w:r>
      <w:r w:rsidRPr="00C225A4">
        <w:t xml:space="preserve">both experiments fail to predict the tornado events. Nevertheless, </w:t>
      </w:r>
      <w:r>
        <w:t>Hyb_WD</w:t>
      </w:r>
      <w:r w:rsidRPr="00C225A4">
        <w:t xml:space="preserve"> shows a much stronger UH track</w:t>
      </w:r>
      <w:r>
        <w:t>,</w:t>
      </w:r>
      <w:r w:rsidRPr="00C225A4">
        <w:t xml:space="preserve"> </w:t>
      </w:r>
      <w:r>
        <w:t xml:space="preserve">which corresponds </w:t>
      </w:r>
      <w:r w:rsidRPr="00C225A4">
        <w:t xml:space="preserve">well </w:t>
      </w:r>
      <w:r>
        <w:t>with</w:t>
      </w:r>
      <w:r w:rsidRPr="00C225A4">
        <w:t xml:space="preserve"> the overlaid hail </w:t>
      </w:r>
      <w:r>
        <w:t>report</w:t>
      </w:r>
      <w:r w:rsidRPr="00C225A4">
        <w:t>s at the last moment of the active period of the convective system.</w:t>
      </w:r>
      <w:r>
        <w:t xml:space="preserve"> Specially, the superiority of Hyb_WD in predicting </w:t>
      </w:r>
      <w:r>
        <w:lastRenderedPageBreak/>
        <w:t>hail growth can be more detailed in Figure 5.7. It is apparent that the hailcast swaths generated by both experiments align with the hail occurrence to some extent. According to NWS/SPC storm reports during this day, hail events after the tornado touchdown (2350 - 0030 UTC) generated hail with diameters greater than 2 to 3 inches. For the hail growth forecasts, it is evident that Hyb_WD more accurately predicts the hail formation with such diameters at the exact locations (Figs. 5.7 d - f), whereas Hyb_retro predicts hail with a diameter not exceeding 1.5 inches and has location errors.</w:t>
      </w:r>
    </w:p>
    <w:p w14:paraId="76C6EAD7" w14:textId="309E0763" w:rsidR="00B94E5D" w:rsidRDefault="00B94E5D" w:rsidP="00B94E5D">
      <w:pPr>
        <w:pStyle w:val="NoSpacing"/>
      </w:pPr>
    </w:p>
    <w:p w14:paraId="72035642" w14:textId="3CB6D566" w:rsidR="00B94E5D" w:rsidRDefault="00B94E5D" w:rsidP="009D06BA">
      <w:pPr>
        <w:pStyle w:val="NoSpacing"/>
        <w:jc w:val="center"/>
      </w:pPr>
      <w:r>
        <w:rPr>
          <w:noProof/>
        </w:rPr>
        <w:drawing>
          <wp:inline distT="0" distB="0" distL="0" distR="0" wp14:anchorId="23460560" wp14:editId="42405A7F">
            <wp:extent cx="5943407" cy="2830194"/>
            <wp:effectExtent l="0" t="0" r="635" b="2540"/>
            <wp:docPr id="430" name="Picture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 name="Picture 430"/>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943407" cy="2830194"/>
                    </a:xfrm>
                    <a:prstGeom prst="rect">
                      <a:avLst/>
                    </a:prstGeom>
                  </pic:spPr>
                </pic:pic>
              </a:graphicData>
            </a:graphic>
          </wp:inline>
        </w:drawing>
      </w:r>
    </w:p>
    <w:p w14:paraId="7BFD402D" w14:textId="023D9EE6" w:rsidR="00B94E5D" w:rsidRPr="00D60A80" w:rsidRDefault="00B94E5D" w:rsidP="00B94E5D">
      <w:pPr>
        <w:pStyle w:val="Captions"/>
        <w:rPr>
          <w:szCs w:val="24"/>
        </w:rPr>
      </w:pPr>
      <w:bookmarkStart w:id="149" w:name="_Toc134695303"/>
      <w:r w:rsidRPr="00D60A80">
        <w:rPr>
          <w:szCs w:val="24"/>
        </w:rPr>
        <w:t xml:space="preserve">Figure </w:t>
      </w:r>
      <w:r w:rsidR="00C96E3B" w:rsidRPr="00D60A80">
        <w:rPr>
          <w:szCs w:val="24"/>
        </w:rPr>
        <w:fldChar w:fldCharType="begin"/>
      </w:r>
      <w:r w:rsidR="00C96E3B" w:rsidRPr="00D60A80">
        <w:rPr>
          <w:szCs w:val="24"/>
        </w:rPr>
        <w:instrText xml:space="preserve"> STYLEREF 1 \s </w:instrText>
      </w:r>
      <w:r w:rsidR="00C96E3B" w:rsidRPr="00D60A80">
        <w:rPr>
          <w:szCs w:val="24"/>
        </w:rPr>
        <w:fldChar w:fldCharType="separate"/>
      </w:r>
      <w:r w:rsidR="00C77C87" w:rsidRPr="00D60A80">
        <w:rPr>
          <w:noProof/>
          <w:szCs w:val="24"/>
        </w:rPr>
        <w:t>5</w:t>
      </w:r>
      <w:r w:rsidR="00C96E3B" w:rsidRPr="00D60A80">
        <w:rPr>
          <w:noProof/>
          <w:szCs w:val="24"/>
        </w:rPr>
        <w:fldChar w:fldCharType="end"/>
      </w:r>
      <w:r w:rsidR="00C77C87" w:rsidRPr="00D60A80">
        <w:rPr>
          <w:szCs w:val="24"/>
        </w:rPr>
        <w:t>.</w:t>
      </w:r>
      <w:r w:rsidR="00C96E3B" w:rsidRPr="00D60A80">
        <w:rPr>
          <w:szCs w:val="24"/>
        </w:rPr>
        <w:fldChar w:fldCharType="begin"/>
      </w:r>
      <w:r w:rsidR="00C96E3B" w:rsidRPr="00D60A80">
        <w:rPr>
          <w:szCs w:val="24"/>
        </w:rPr>
        <w:instrText xml:space="preserve"> SEQ Figure \* ARABIC \s 1 </w:instrText>
      </w:r>
      <w:r w:rsidR="00C96E3B" w:rsidRPr="00D60A80">
        <w:rPr>
          <w:szCs w:val="24"/>
        </w:rPr>
        <w:fldChar w:fldCharType="separate"/>
      </w:r>
      <w:r w:rsidR="00C77C87" w:rsidRPr="00D60A80">
        <w:rPr>
          <w:noProof/>
          <w:szCs w:val="24"/>
        </w:rPr>
        <w:t>8</w:t>
      </w:r>
      <w:r w:rsidR="00C96E3B" w:rsidRPr="00D60A80">
        <w:rPr>
          <w:noProof/>
          <w:szCs w:val="24"/>
        </w:rPr>
        <w:fldChar w:fldCharType="end"/>
      </w:r>
      <w:r w:rsidRPr="00D60A80">
        <w:rPr>
          <w:szCs w:val="24"/>
        </w:rPr>
        <w:t xml:space="preserve"> (from top to bottom) The (o) observed composite reflectivity from MRMS and the predicted composite reflectivity for (a) Retro, and (b) WD. The (1) analysis at 2100 UTC 5 May 2020. The (2) 1-, (3) 2-, (4) 3-, (5) 4-, (6) 5-, and (7) 6-hour forecasts initialized at 2100 UTC.</w:t>
      </w:r>
      <w:bookmarkEnd w:id="149"/>
    </w:p>
    <w:p w14:paraId="3392363E" w14:textId="31701EAC" w:rsidR="00B94E5D" w:rsidRDefault="00B94E5D" w:rsidP="00B94E5D">
      <w:pPr>
        <w:pStyle w:val="NoSpacing"/>
      </w:pPr>
    </w:p>
    <w:p w14:paraId="29D5F4F1" w14:textId="19A4C908" w:rsidR="008957FD" w:rsidRDefault="008957FD" w:rsidP="008957FD">
      <w:r w:rsidRPr="00C225A4">
        <w:t xml:space="preserve">To </w:t>
      </w:r>
      <w:r>
        <w:t xml:space="preserve">further </w:t>
      </w:r>
      <w:r w:rsidRPr="00C225A4">
        <w:t xml:space="preserve">dig into the performance of </w:t>
      </w:r>
      <w:r>
        <w:t>both Hyb_retro and Hyb_WD experiments</w:t>
      </w:r>
      <w:r w:rsidRPr="00C225A4">
        <w:t xml:space="preserve">, </w:t>
      </w:r>
      <w:r>
        <w:t xml:space="preserve">the predicted and observed MRMS composite reflectivity over a 6-hour period beginning at 2100 UTC are compared (Fig. 5.8). </w:t>
      </w:r>
      <w:r w:rsidRPr="00C225A4">
        <w:t xml:space="preserve">The </w:t>
      </w:r>
      <w:r>
        <w:t>analyses</w:t>
      </w:r>
      <w:r w:rsidRPr="00C225A4">
        <w:t xml:space="preserve"> </w:t>
      </w:r>
      <w:r>
        <w:t>from both</w:t>
      </w:r>
      <w:r w:rsidRPr="00C225A4">
        <w:t xml:space="preserve"> experiments</w:t>
      </w:r>
      <w:r>
        <w:t xml:space="preserve"> are found to</w:t>
      </w:r>
      <w:r w:rsidRPr="00C225A4">
        <w:t xml:space="preserve"> </w:t>
      </w:r>
      <w:r>
        <w:t>match</w:t>
      </w:r>
      <w:r w:rsidRPr="00C225A4">
        <w:t xml:space="preserve"> the observation</w:t>
      </w:r>
      <w:r>
        <w:t xml:space="preserve">s geographically, but predicted reflectivity values are generally stronger than observed </w:t>
      </w:r>
      <w:r w:rsidRPr="00C225A4">
        <w:t xml:space="preserve">(Figs. </w:t>
      </w:r>
      <w:r>
        <w:t xml:space="preserve">5.8 </w:t>
      </w:r>
      <w:r w:rsidRPr="00C225A4">
        <w:t xml:space="preserve">a, b vs o). </w:t>
      </w:r>
      <w:r>
        <w:t>While</w:t>
      </w:r>
      <w:r w:rsidRPr="00C225A4">
        <w:t xml:space="preserve"> the </w:t>
      </w:r>
      <w:r>
        <w:t>forecasted</w:t>
      </w:r>
      <w:r w:rsidRPr="00C225A4">
        <w:t xml:space="preserve"> CREF values for the deep convection at the leading edge of the </w:t>
      </w:r>
      <w:r w:rsidRPr="00C225A4">
        <w:lastRenderedPageBreak/>
        <w:t>system</w:t>
      </w:r>
      <w:r>
        <w:t>,</w:t>
      </w:r>
      <w:r w:rsidRPr="00C225A4">
        <w:t xml:space="preserve"> as well as the developing convection within the trailing areas of the quasi-linear convective complex over Georgia and North Carolina</w:t>
      </w:r>
      <w:r>
        <w:t>,</w:t>
      </w:r>
      <w:r w:rsidRPr="00C225A4">
        <w:t xml:space="preserve"> are </w:t>
      </w:r>
      <w:r>
        <w:t xml:space="preserve">generally </w:t>
      </w:r>
      <w:r w:rsidRPr="00C225A4">
        <w:t>overestimated</w:t>
      </w:r>
      <w:r>
        <w:t>, b</w:t>
      </w:r>
      <w:r w:rsidRPr="00C225A4">
        <w:t xml:space="preserve">oth experiments show </w:t>
      </w:r>
      <w:r>
        <w:t xml:space="preserve">reasonable </w:t>
      </w:r>
      <w:r w:rsidRPr="00C225A4">
        <w:t xml:space="preserve">CREF forecasts </w:t>
      </w:r>
      <w:r>
        <w:t>in comparison with</w:t>
      </w:r>
      <w:r w:rsidRPr="00C225A4">
        <w:t xml:space="preserve"> the MRMS observation</w:t>
      </w:r>
      <w:r>
        <w:t>s.</w:t>
      </w:r>
      <w:r w:rsidRPr="00C225A4">
        <w:t xml:space="preserve"> In</w:t>
      </w:r>
      <w:r>
        <w:t xml:space="preserve"> the</w:t>
      </w:r>
      <w:r w:rsidRPr="00C225A4">
        <w:t xml:space="preserve"> 1</w:t>
      </w:r>
      <w:r>
        <w:t>-hour</w:t>
      </w:r>
      <w:r w:rsidRPr="00C225A4">
        <w:t xml:space="preserve"> forecast </w:t>
      </w:r>
      <w:r>
        <w:t>valid at</w:t>
      </w:r>
      <w:r w:rsidRPr="00C225A4">
        <w:t xml:space="preserve"> 2200 UTC, the deep convection at the </w:t>
      </w:r>
      <w:r>
        <w:t xml:space="preserve">east </w:t>
      </w:r>
      <w:r w:rsidRPr="00C225A4">
        <w:t xml:space="preserve">leading edge of the system </w:t>
      </w:r>
      <w:r>
        <w:t>displays</w:t>
      </w:r>
      <w:r w:rsidRPr="00C225A4">
        <w:t xml:space="preserve"> a </w:t>
      </w:r>
      <w:r>
        <w:t xml:space="preserve">little </w:t>
      </w:r>
      <w:r w:rsidRPr="00C225A4">
        <w:t>southeastward displacement bias and a faster propagation in both experiments compared to the MRMS observation</w:t>
      </w:r>
      <w:r>
        <w:t>s</w:t>
      </w:r>
      <w:r w:rsidRPr="00C225A4">
        <w:t xml:space="preserve"> (Fig</w:t>
      </w:r>
      <w:r>
        <w:t>s</w:t>
      </w:r>
      <w:r w:rsidRPr="00C225A4">
        <w:t xml:space="preserve">. </w:t>
      </w:r>
      <w:r>
        <w:t xml:space="preserve">5.8 </w:t>
      </w:r>
      <w:r w:rsidRPr="00C225A4">
        <w:t xml:space="preserve">a2, b2 vs o2). However, </w:t>
      </w:r>
      <w:r>
        <w:t>3- to 4-hour</w:t>
      </w:r>
      <w:r w:rsidRPr="00C225A4">
        <w:t xml:space="preserve"> </w:t>
      </w:r>
      <w:r>
        <w:t>into the forecast (</w:t>
      </w:r>
      <w:r>
        <w:rPr>
          <w:rFonts w:eastAsia="宋体"/>
        </w:rPr>
        <w:t>valid at 0000 UTC and 0100 UTC)</w:t>
      </w:r>
      <w:r>
        <w:t xml:space="preserve">, </w:t>
      </w:r>
      <w:r w:rsidRPr="00C225A4">
        <w:t xml:space="preserve">displacement bias </w:t>
      </w:r>
      <w:r>
        <w:t>reduces</w:t>
      </w:r>
      <w:r w:rsidRPr="00C225A4">
        <w:t xml:space="preserve"> in </w:t>
      </w:r>
      <w:r>
        <w:t>Hyb_WD</w:t>
      </w:r>
      <w:r w:rsidRPr="00C225A4">
        <w:t xml:space="preserve"> and </w:t>
      </w:r>
      <w:r>
        <w:t>is better</w:t>
      </w:r>
      <w:r w:rsidRPr="00C225A4">
        <w:t xml:space="preserve"> </w:t>
      </w:r>
      <w:r>
        <w:t xml:space="preserve">in line </w:t>
      </w:r>
      <w:r w:rsidRPr="00C225A4">
        <w:t>with the MRMS observation</w:t>
      </w:r>
      <w:r>
        <w:t>s</w:t>
      </w:r>
      <w:r w:rsidRPr="00C225A4">
        <w:t xml:space="preserve"> (Figs.</w:t>
      </w:r>
      <w:r>
        <w:t xml:space="preserve"> 5.8</w:t>
      </w:r>
      <w:r w:rsidRPr="00C225A4">
        <w:t xml:space="preserve"> b4 - </w:t>
      </w:r>
      <w:r>
        <w:t>b</w:t>
      </w:r>
      <w:r w:rsidRPr="00C225A4">
        <w:t xml:space="preserve">5 vs o4 - </w:t>
      </w:r>
      <w:r>
        <w:t>o</w:t>
      </w:r>
      <w:r w:rsidRPr="00C225A4">
        <w:t>5)</w:t>
      </w:r>
      <w:r>
        <w:t>, while</w:t>
      </w:r>
      <w:r w:rsidRPr="00C225A4">
        <w:t xml:space="preserve"> </w:t>
      </w:r>
      <w:r>
        <w:t xml:space="preserve">the </w:t>
      </w:r>
      <w:r w:rsidRPr="00C225A4">
        <w:t>displacement bias become</w:t>
      </w:r>
      <w:r>
        <w:t>s</w:t>
      </w:r>
      <w:r w:rsidRPr="00C225A4">
        <w:t xml:space="preserve"> </w:t>
      </w:r>
      <w:r>
        <w:t>more apparent</w:t>
      </w:r>
      <w:r w:rsidRPr="00C225A4">
        <w:t xml:space="preserve"> in </w:t>
      </w:r>
      <w:r>
        <w:t>Hyb_retro</w:t>
      </w:r>
      <w:r w:rsidRPr="00C225A4">
        <w:t xml:space="preserve"> (Figs.</w:t>
      </w:r>
      <w:r>
        <w:t xml:space="preserve"> 5.8 </w:t>
      </w:r>
      <w:r w:rsidRPr="00C225A4">
        <w:t>a4</w:t>
      </w:r>
      <w:r>
        <w:t xml:space="preserve"> </w:t>
      </w:r>
      <w:r w:rsidRPr="00C225A4">
        <w:t>-</w:t>
      </w:r>
      <w:r>
        <w:t xml:space="preserve"> a</w:t>
      </w:r>
      <w:r w:rsidRPr="00C225A4">
        <w:t>5 vs o4</w:t>
      </w:r>
      <w:r>
        <w:t xml:space="preserve"> </w:t>
      </w:r>
      <w:r w:rsidRPr="00C225A4">
        <w:t>-</w:t>
      </w:r>
      <w:r>
        <w:t xml:space="preserve"> o</w:t>
      </w:r>
      <w:r w:rsidRPr="00C225A4">
        <w:t xml:space="preserve">5). </w:t>
      </w:r>
      <w:r>
        <w:t>The final 2-hour CREF forecasts are similar for both experiments as the linear convective complex splits into two, and neither is consistent with the observations (</w:t>
      </w:r>
      <w:r w:rsidRPr="00C225A4">
        <w:t>Figs.</w:t>
      </w:r>
      <w:r>
        <w:t xml:space="preserve"> 5.8 </w:t>
      </w:r>
      <w:r w:rsidRPr="00C225A4">
        <w:t>a</w:t>
      </w:r>
      <w:r>
        <w:t xml:space="preserve">6 </w:t>
      </w:r>
      <w:r w:rsidRPr="00C225A4">
        <w:t>-</w:t>
      </w:r>
      <w:r>
        <w:t xml:space="preserve"> a7 and b6 - b7</w:t>
      </w:r>
      <w:r w:rsidRPr="00C225A4">
        <w:t xml:space="preserve"> vs o</w:t>
      </w:r>
      <w:r>
        <w:t xml:space="preserve">6 </w:t>
      </w:r>
      <w:r w:rsidRPr="00C225A4">
        <w:t>-</w:t>
      </w:r>
      <w:r>
        <w:t xml:space="preserve"> o7</w:t>
      </w:r>
      <w:r w:rsidRPr="00C225A4">
        <w:t>)</w:t>
      </w:r>
      <w:r>
        <w:t>. It should be pointed out that</w:t>
      </w:r>
      <w:r w:rsidRPr="00C225A4">
        <w:t xml:space="preserve"> both experiments </w:t>
      </w:r>
      <w:r>
        <w:t xml:space="preserve">also </w:t>
      </w:r>
      <w:r w:rsidRPr="00C225A4">
        <w:t xml:space="preserve">produce some spurious convection </w:t>
      </w:r>
      <w:r>
        <w:t>starting</w:t>
      </w:r>
      <w:r w:rsidRPr="00C225A4">
        <w:t xml:space="preserve"> </w:t>
      </w:r>
      <w:r>
        <w:t xml:space="preserve">from </w:t>
      </w:r>
      <w:r w:rsidRPr="00C225A4">
        <w:t xml:space="preserve">east </w:t>
      </w:r>
      <w:r>
        <w:t>Kentucky and propagated to east along the border of Virginia and North Carolina</w:t>
      </w:r>
      <w:r w:rsidRPr="00C225A4">
        <w:t xml:space="preserve">. </w:t>
      </w:r>
      <w:r>
        <w:t xml:space="preserve">In reality, a weak cell </w:t>
      </w:r>
      <w:r w:rsidRPr="00C225A4">
        <w:t xml:space="preserve">developed </w:t>
      </w:r>
      <w:r>
        <w:t>at later hours in MRMS observations (Fig. 5.8 o4 - o6),</w:t>
      </w:r>
      <w:r w:rsidRPr="009B4573">
        <w:t xml:space="preserve"> </w:t>
      </w:r>
      <w:r w:rsidRPr="00C225A4">
        <w:t>indicating that th</w:t>
      </w:r>
      <w:r>
        <w:t>o</w:t>
      </w:r>
      <w:r w:rsidRPr="00C225A4">
        <w:t xml:space="preserve">se spurious </w:t>
      </w:r>
      <w:r>
        <w:t>cell</w:t>
      </w:r>
      <w:r w:rsidRPr="00C225A4">
        <w:t xml:space="preserve">s </w:t>
      </w:r>
      <w:r>
        <w:t>c</w:t>
      </w:r>
      <w:r w:rsidRPr="00C225A4">
        <w:t xml:space="preserve">ould be considered as the earlier stage of the convection </w:t>
      </w:r>
      <w:r>
        <w:t>initiation, but the predicted cells in both experiments are too early and too strong in both experiments</w:t>
      </w:r>
      <w:r w:rsidRPr="00C225A4">
        <w:t>.</w:t>
      </w:r>
    </w:p>
    <w:p w14:paraId="355570D2" w14:textId="77777777" w:rsidR="008957FD" w:rsidRDefault="008957FD" w:rsidP="00B94E5D">
      <w:pPr>
        <w:pStyle w:val="NoSpacing"/>
      </w:pPr>
    </w:p>
    <w:p w14:paraId="47B3F6ED" w14:textId="22526B8D" w:rsidR="00B94E5D" w:rsidRDefault="00B94E5D" w:rsidP="009D06BA">
      <w:pPr>
        <w:pStyle w:val="NoSpacing"/>
        <w:jc w:val="center"/>
      </w:pPr>
      <w:r>
        <w:rPr>
          <w:noProof/>
        </w:rPr>
        <w:lastRenderedPageBreak/>
        <w:drawing>
          <wp:inline distT="0" distB="0" distL="0" distR="0" wp14:anchorId="5E1B851B" wp14:editId="0B825B98">
            <wp:extent cx="5943527" cy="550037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943527" cy="5500370"/>
                    </a:xfrm>
                    <a:prstGeom prst="rect">
                      <a:avLst/>
                    </a:prstGeom>
                  </pic:spPr>
                </pic:pic>
              </a:graphicData>
            </a:graphic>
          </wp:inline>
        </w:drawing>
      </w:r>
    </w:p>
    <w:p w14:paraId="4EF4BD37" w14:textId="2B136B0C" w:rsidR="00B94E5D" w:rsidRPr="00D60A80" w:rsidRDefault="00B94E5D" w:rsidP="004440BF">
      <w:pPr>
        <w:pStyle w:val="Captions"/>
        <w:rPr>
          <w:szCs w:val="24"/>
        </w:rPr>
      </w:pPr>
      <w:bookmarkStart w:id="150" w:name="_Toc134695304"/>
      <w:r w:rsidRPr="00D60A80">
        <w:rPr>
          <w:szCs w:val="24"/>
        </w:rPr>
        <w:t xml:space="preserve">Figure </w:t>
      </w:r>
      <w:r w:rsidR="00C96E3B" w:rsidRPr="00D60A80">
        <w:rPr>
          <w:szCs w:val="24"/>
        </w:rPr>
        <w:fldChar w:fldCharType="begin"/>
      </w:r>
      <w:r w:rsidR="00C96E3B" w:rsidRPr="00D60A80">
        <w:rPr>
          <w:szCs w:val="24"/>
        </w:rPr>
        <w:instrText xml:space="preserve"> STYLEREF 1 \s </w:instrText>
      </w:r>
      <w:r w:rsidR="00C96E3B" w:rsidRPr="00D60A80">
        <w:rPr>
          <w:szCs w:val="24"/>
        </w:rPr>
        <w:fldChar w:fldCharType="separate"/>
      </w:r>
      <w:r w:rsidR="00C77C87" w:rsidRPr="00D60A80">
        <w:rPr>
          <w:noProof/>
          <w:szCs w:val="24"/>
        </w:rPr>
        <w:t>5</w:t>
      </w:r>
      <w:r w:rsidR="00C96E3B" w:rsidRPr="00D60A80">
        <w:rPr>
          <w:noProof/>
          <w:szCs w:val="24"/>
        </w:rPr>
        <w:fldChar w:fldCharType="end"/>
      </w:r>
      <w:r w:rsidR="00C77C87" w:rsidRPr="00D60A80">
        <w:rPr>
          <w:szCs w:val="24"/>
        </w:rPr>
        <w:t>.</w:t>
      </w:r>
      <w:r w:rsidR="00C96E3B" w:rsidRPr="00D60A80">
        <w:rPr>
          <w:szCs w:val="24"/>
        </w:rPr>
        <w:fldChar w:fldCharType="begin"/>
      </w:r>
      <w:r w:rsidR="00C96E3B" w:rsidRPr="00D60A80">
        <w:rPr>
          <w:szCs w:val="24"/>
        </w:rPr>
        <w:instrText xml:space="preserve"> SEQ Figure \* ARABIC \s 1 </w:instrText>
      </w:r>
      <w:r w:rsidR="00C96E3B" w:rsidRPr="00D60A80">
        <w:rPr>
          <w:szCs w:val="24"/>
        </w:rPr>
        <w:fldChar w:fldCharType="separate"/>
      </w:r>
      <w:r w:rsidR="00C77C87" w:rsidRPr="00D60A80">
        <w:rPr>
          <w:noProof/>
          <w:szCs w:val="24"/>
        </w:rPr>
        <w:t>9</w:t>
      </w:r>
      <w:r w:rsidR="00C96E3B" w:rsidRPr="00D60A80">
        <w:rPr>
          <w:noProof/>
          <w:szCs w:val="24"/>
        </w:rPr>
        <w:fldChar w:fldCharType="end"/>
      </w:r>
      <w:r w:rsidR="004440BF" w:rsidRPr="00D60A80">
        <w:rPr>
          <w:szCs w:val="24"/>
        </w:rPr>
        <w:t xml:space="preserve"> </w:t>
      </w:r>
      <w:r w:rsidRPr="00D60A80">
        <w:rPr>
          <w:szCs w:val="24"/>
        </w:rPr>
        <w:t>ETSs for (top row) CREF and (bottom row) 2 – 5 km UH track forecasts for 5 May 2020. The experiments Hyb_retro, Hyb_WD are indicated by blue, red lines, respectively. Dots indicate the statistical significance of changes in Hyb_WD as compared to Hyb_retro. Scores are provided for a neighborhood radius of 12 km.</w:t>
      </w:r>
      <w:bookmarkEnd w:id="150"/>
    </w:p>
    <w:p w14:paraId="1497E9EB" w14:textId="578AC0B2" w:rsidR="00B94E5D" w:rsidRDefault="00B94E5D" w:rsidP="00B94E5D">
      <w:pPr>
        <w:pStyle w:val="NoSpacing"/>
      </w:pPr>
    </w:p>
    <w:p w14:paraId="010F411D" w14:textId="5239F3FD" w:rsidR="0056352C" w:rsidRPr="00B94E5D" w:rsidRDefault="0056352C" w:rsidP="0056352C">
      <w:r w:rsidRPr="00317B49">
        <w:t xml:space="preserve">In Figure </w:t>
      </w:r>
      <w:r>
        <w:t>5.</w:t>
      </w:r>
      <w:r w:rsidRPr="00317B49">
        <w:t xml:space="preserve">9, the performance of </w:t>
      </w:r>
      <w:r>
        <w:t>Hyb_retro</w:t>
      </w:r>
      <w:r w:rsidRPr="00317B49">
        <w:t xml:space="preserve"> and </w:t>
      </w:r>
      <w:r>
        <w:t>Hyb_WD</w:t>
      </w:r>
      <w:r w:rsidRPr="00317B49">
        <w:t xml:space="preserve"> for the 5 May 2020 event is evaluated using </w:t>
      </w:r>
      <w:r>
        <w:t>ETS</w:t>
      </w:r>
      <w:r w:rsidRPr="00317B49">
        <w:t xml:space="preserve"> for </w:t>
      </w:r>
      <w:r>
        <w:t>CREF</w:t>
      </w:r>
      <w:r w:rsidRPr="00317B49">
        <w:t xml:space="preserve"> and rotation track forecasts from 1800 to 0000 UTC. </w:t>
      </w:r>
      <w:r>
        <w:t xml:space="preserve">Same as </w:t>
      </w:r>
      <w:r w:rsidR="00842DEA">
        <w:t xml:space="preserve">the </w:t>
      </w:r>
      <w:r>
        <w:t>general evaluation</w:t>
      </w:r>
      <w:r w:rsidRPr="00C225A4">
        <w:t xml:space="preserve">, the decrease in ETS with increasing forecast lead time is observed in both CREF and rotation track forecasts for all experiments. The </w:t>
      </w:r>
      <w:r>
        <w:t>sharpest</w:t>
      </w:r>
      <w:r w:rsidRPr="00C225A4">
        <w:t xml:space="preserve"> decline in ETS occurs during the first 3</w:t>
      </w:r>
      <w:r>
        <w:t>-hour</w:t>
      </w:r>
      <w:r w:rsidRPr="00C225A4">
        <w:t xml:space="preserve"> forecast </w:t>
      </w:r>
      <w:r>
        <w:t xml:space="preserve">for </w:t>
      </w:r>
      <w:r w:rsidRPr="00C225A4">
        <w:t>the rotation track</w:t>
      </w:r>
      <w:r>
        <w:t xml:space="preserve"> in both experiments</w:t>
      </w:r>
      <w:r w:rsidRPr="00C225A4">
        <w:t xml:space="preserve"> (Figs. </w:t>
      </w:r>
      <w:r>
        <w:t xml:space="preserve">5.9 </w:t>
      </w:r>
      <w:r w:rsidRPr="00C225A4">
        <w:t xml:space="preserve">c, d). The comparison </w:t>
      </w:r>
      <w:r>
        <w:lastRenderedPageBreak/>
        <w:t>of</w:t>
      </w:r>
      <w:r w:rsidRPr="00C225A4">
        <w:t xml:space="preserve"> forecasts produced by </w:t>
      </w:r>
      <w:r>
        <w:t>Hyb_WD</w:t>
      </w:r>
      <w:r w:rsidRPr="00C225A4">
        <w:t xml:space="preserve"> and </w:t>
      </w:r>
      <w:r>
        <w:t>Hyb_retro</w:t>
      </w:r>
      <w:r w:rsidRPr="00C225A4">
        <w:t xml:space="preserve"> shows that </w:t>
      </w:r>
      <w:r>
        <w:t>Hyb_WD</w:t>
      </w:r>
      <w:r w:rsidRPr="00C225A4">
        <w:t xml:space="preserve"> has a greater </w:t>
      </w:r>
      <w:r>
        <w:t xml:space="preserve">initial </w:t>
      </w:r>
      <w:r w:rsidRPr="00C225A4">
        <w:t>advantage</w:t>
      </w:r>
      <w:r>
        <w:t xml:space="preserve"> </w:t>
      </w:r>
      <w:r w:rsidRPr="00C225A4">
        <w:t xml:space="preserve">but experiences a more rapid decline. After three hours into the forecast, </w:t>
      </w:r>
      <w:r>
        <w:t>Hyb_WD</w:t>
      </w:r>
      <w:r w:rsidRPr="00C225A4">
        <w:t xml:space="preserve"> maintains a slight but consistent advantage over </w:t>
      </w:r>
      <w:r>
        <w:t>Hyb_retro</w:t>
      </w:r>
      <w:r w:rsidRPr="00C225A4">
        <w:t>.</w:t>
      </w:r>
      <w:r>
        <w:t xml:space="preserve"> The forecast performance of 40 dBZ CREF (Fig. 5.9 b), which indicates heavy precipitation inside a strong convection, rapidly degrades during the first 3-hour forecast. In contrast, i</w:t>
      </w:r>
      <w:r w:rsidRPr="00C225A4">
        <w:t>n the case of 20 dBZ</w:t>
      </w:r>
      <w:r>
        <w:t xml:space="preserve"> CREF </w:t>
      </w:r>
      <w:r w:rsidRPr="00C225A4">
        <w:t xml:space="preserve">threshold (Fig. </w:t>
      </w:r>
      <w:r>
        <w:t xml:space="preserve">5.9 </w:t>
      </w:r>
      <w:r w:rsidRPr="00C225A4">
        <w:t>a)</w:t>
      </w:r>
      <w:r>
        <w:t xml:space="preserve"> </w:t>
      </w:r>
      <w:r w:rsidRPr="00C225A4">
        <w:t xml:space="preserve">which pertains to anvil areas away from the convection cell, the steepest decline </w:t>
      </w:r>
      <w:r>
        <w:t xml:space="preserve">occurs </w:t>
      </w:r>
      <w:r w:rsidRPr="00C225A4">
        <w:t>during the 3</w:t>
      </w:r>
      <w:r>
        <w:t>-</w:t>
      </w:r>
      <w:r w:rsidRPr="00C225A4">
        <w:t xml:space="preserve"> </w:t>
      </w:r>
      <w:r>
        <w:t>to</w:t>
      </w:r>
      <w:r w:rsidRPr="00C225A4">
        <w:t xml:space="preserve"> 6</w:t>
      </w:r>
      <w:r>
        <w:t>-hour</w:t>
      </w:r>
      <w:r w:rsidRPr="00C225A4">
        <w:t xml:space="preserve"> forecast. </w:t>
      </w:r>
      <w:r w:rsidRPr="00317B49">
        <w:t xml:space="preserve">During the first hour of the forecast, </w:t>
      </w:r>
      <w:r>
        <w:t>b</w:t>
      </w:r>
      <w:r w:rsidRPr="00361492">
        <w:t xml:space="preserve">oth </w:t>
      </w:r>
      <w:r>
        <w:t>Hyb_WD</w:t>
      </w:r>
      <w:r w:rsidRPr="00361492">
        <w:t xml:space="preserve"> and </w:t>
      </w:r>
      <w:r>
        <w:t>Hyb_retro</w:t>
      </w:r>
      <w:r w:rsidRPr="00361492">
        <w:t xml:space="preserve"> have equivalent performance for the 20 and 40 dBZ CREF</w:t>
      </w:r>
      <w:r>
        <w:t>. However,</w:t>
      </w:r>
      <w:r w:rsidRPr="00C225A4">
        <w:t xml:space="preserve"> </w:t>
      </w:r>
      <w:r>
        <w:t>Hyb_WD</w:t>
      </w:r>
      <w:r w:rsidRPr="00C225A4">
        <w:t xml:space="preserve"> exhibits a clear superiority over </w:t>
      </w:r>
      <w:r>
        <w:t>Hyb_retro</w:t>
      </w:r>
      <w:r w:rsidRPr="00C225A4">
        <w:t xml:space="preserve"> </w:t>
      </w:r>
      <w:r>
        <w:t>after 1-hour into the forecast</w:t>
      </w:r>
      <w:r w:rsidRPr="00C225A4">
        <w:t xml:space="preserve">. These results are consistent with the overall performance discussed in the previous section, where </w:t>
      </w:r>
      <w:r>
        <w:t>Hyb_WD</w:t>
      </w:r>
      <w:r w:rsidRPr="00C225A4">
        <w:t xml:space="preserve"> outperforms </w:t>
      </w:r>
      <w:r>
        <w:t>Hyb_retro</w:t>
      </w:r>
      <w:r w:rsidRPr="00C225A4">
        <w:t xml:space="preserve"> in terms of both CREF and rotation track.</w:t>
      </w:r>
    </w:p>
    <w:p w14:paraId="6FA16A37" w14:textId="5FDD3BC8" w:rsidR="00E6523E" w:rsidRPr="00EF5D37" w:rsidRDefault="00E6523E">
      <w:pPr>
        <w:pStyle w:val="Heading3"/>
      </w:pPr>
      <w:bookmarkStart w:id="151" w:name="_Toc130995470"/>
      <w:bookmarkStart w:id="152" w:name="_Toc131018335"/>
      <w:r>
        <w:t>The 22 May 2020 severe weather event in Southern Great Plains</w:t>
      </w:r>
      <w:bookmarkEnd w:id="151"/>
      <w:bookmarkEnd w:id="152"/>
    </w:p>
    <w:p w14:paraId="1E74B4F2" w14:textId="57E81E67" w:rsidR="00E6523E" w:rsidRDefault="00E6523E" w:rsidP="00E6523E">
      <w:r w:rsidRPr="00081B37">
        <w:t>On May 22, 2020, a severe weather event took place in the central United States</w:t>
      </w:r>
      <w:r>
        <w:t>, which was</w:t>
      </w:r>
      <w:r w:rsidRPr="00081B37">
        <w:t xml:space="preserve"> </w:t>
      </w:r>
      <w:r>
        <w:t>predicted</w:t>
      </w:r>
      <w:r w:rsidRPr="00081B37">
        <w:t xml:space="preserve"> several days in advance by the </w:t>
      </w:r>
      <w:r>
        <w:t>SPC to have a moderate risk of tornadoes in southern Oklahoma and northern Texas. This event occurred</w:t>
      </w:r>
      <w:r w:rsidRPr="00081B37">
        <w:t xml:space="preserve"> as</w:t>
      </w:r>
      <w:r>
        <w:t xml:space="preserve"> a result of</w:t>
      </w:r>
      <w:r w:rsidRPr="00081B37">
        <w:t xml:space="preserve"> a powerful trough moving from the west coast towards the central United States. </w:t>
      </w:r>
      <w:r>
        <w:t>T</w:t>
      </w:r>
      <w:r w:rsidRPr="00081B37">
        <w:t>he formation of a strong surface low over northwestern Texas and the presence of a warm front across southern Oklahoma</w:t>
      </w:r>
      <w:r>
        <w:t xml:space="preserve"> facilitated the development of the event</w:t>
      </w:r>
      <w:r w:rsidRPr="00081B37">
        <w:t xml:space="preserve">. The low-level shear was very strong with 0-1 km </w:t>
      </w:r>
      <w:r w:rsidRPr="001C746D">
        <w:t>storm</w:t>
      </w:r>
      <w:r>
        <w:t xml:space="preserve"> </w:t>
      </w:r>
      <w:r w:rsidRPr="001C746D">
        <w:t>relative helicity</w:t>
      </w:r>
      <w:r>
        <w:t xml:space="preserve"> (SRH) </w:t>
      </w:r>
      <w:r w:rsidRPr="00081B37">
        <w:t>values reaching up to 300</w:t>
      </w:r>
      <w:r>
        <w:t xml:space="preserve"> </w:t>
      </w:r>
      <w:r w:rsidRPr="00081B37">
        <w:t>m</w:t>
      </w:r>
      <w:r w:rsidRPr="001C746D">
        <w:rPr>
          <w:vertAlign w:val="superscript"/>
        </w:rPr>
        <w:t>2</w:t>
      </w:r>
      <w:r>
        <w:t xml:space="preserve"> </w:t>
      </w:r>
      <w:r w:rsidRPr="00081B37">
        <w:t>s</w:t>
      </w:r>
      <w:r>
        <w:rPr>
          <w:vertAlign w:val="superscript"/>
        </w:rPr>
        <w:t>-2</w:t>
      </w:r>
      <w:r w:rsidRPr="00081B37">
        <w:t xml:space="preserve">. </w:t>
      </w:r>
      <w:r>
        <w:t>Additionally, t</w:t>
      </w:r>
      <w:r w:rsidRPr="00081B37">
        <w:t>he temperature and dew point conditions were also favorable for severe weather</w:t>
      </w:r>
      <w:r>
        <w:t xml:space="preserve"> development</w:t>
      </w:r>
      <w:r w:rsidRPr="00081B37">
        <w:t xml:space="preserve">, with temperatures reaching the mid 80s and dew points in the low 70s. The temperature inversion </w:t>
      </w:r>
      <w:r>
        <w:t xml:space="preserve">eroded </w:t>
      </w:r>
      <w:r w:rsidRPr="00081B37">
        <w:t>in the afternoon</w:t>
      </w:r>
      <w:r>
        <w:t>, which led to</w:t>
      </w:r>
      <w:r w:rsidRPr="00081B37">
        <w:t xml:space="preserve"> </w:t>
      </w:r>
      <w:r>
        <w:t>storm development</w:t>
      </w:r>
      <w:r w:rsidRPr="00081B37">
        <w:t xml:space="preserve"> around 2200 UTC and hence the formation of</w:t>
      </w:r>
      <w:r>
        <w:t xml:space="preserve"> a</w:t>
      </w:r>
      <w:r w:rsidRPr="00081B37">
        <w:t xml:space="preserve"> </w:t>
      </w:r>
      <w:r>
        <w:t>MCS</w:t>
      </w:r>
      <w:r w:rsidRPr="00081B37">
        <w:t xml:space="preserve"> at the intersection of the dryline crossing mid Texas and the warm front in southern Oklahoma</w:t>
      </w:r>
      <w:r>
        <w:t xml:space="preserve"> (denoted by blue squares in Fig. </w:t>
      </w:r>
      <w:r w:rsidR="00C24943">
        <w:lastRenderedPageBreak/>
        <w:t>5.</w:t>
      </w:r>
      <w:r>
        <w:t>11)</w:t>
      </w:r>
      <w:r w:rsidRPr="00081B37">
        <w:t>. The severe weather event produced numerous EF-0 to EF-1 tornadoes accompanied by significant hail events</w:t>
      </w:r>
      <w:r>
        <w:t>, leading to damages estimated at almost $7 million</w:t>
      </w:r>
      <w:r w:rsidRPr="00081B37">
        <w:t>.</w:t>
      </w:r>
      <w:r>
        <w:t xml:space="preserve"> </w:t>
      </w:r>
      <w:r w:rsidRPr="00617D98">
        <w:t xml:space="preserve">The tornado </w:t>
      </w:r>
      <w:r>
        <w:t xml:space="preserve">touchdown, </w:t>
      </w:r>
      <w:r w:rsidRPr="00AE4A91">
        <w:t>several instances of hail with diameter greater than 2 inches and flash flooding that impacted northern Texas</w:t>
      </w:r>
      <w:r>
        <w:t xml:space="preserve"> </w:t>
      </w:r>
      <w:r w:rsidRPr="00617D98">
        <w:t>primarily occurred between 2200 and 0300 UTC the next day.</w:t>
      </w:r>
    </w:p>
    <w:p w14:paraId="7E4E7037" w14:textId="71EEDECA" w:rsidR="00E6523E" w:rsidRDefault="00E6523E" w:rsidP="00E6523E">
      <w:r w:rsidRPr="00F74492">
        <w:t>The 0</w:t>
      </w:r>
      <w:r w:rsidR="00857FCC">
        <w:t>-</w:t>
      </w:r>
      <w:r>
        <w:t xml:space="preserve"> </w:t>
      </w:r>
      <w:r w:rsidR="00857FCC">
        <w:t>to</w:t>
      </w:r>
      <w:r>
        <w:t xml:space="preserve"> </w:t>
      </w:r>
      <w:r w:rsidRPr="00F74492">
        <w:t>6</w:t>
      </w:r>
      <w:r w:rsidR="00857FCC">
        <w:t>-hour</w:t>
      </w:r>
      <w:r w:rsidRPr="00F74492">
        <w:t xml:space="preserve"> forecasts of 2</w:t>
      </w:r>
      <w:r w:rsidR="00C24943">
        <w:t xml:space="preserve"> – </w:t>
      </w:r>
      <w:r w:rsidRPr="00F74492">
        <w:t xml:space="preserve">5 km UH track initialized at </w:t>
      </w:r>
      <w:r>
        <w:t xml:space="preserve">three different times, </w:t>
      </w:r>
      <w:r w:rsidRPr="00F74492">
        <w:t xml:space="preserve">2000, 2200, and 0000 UTC are qualitatively evaluated </w:t>
      </w:r>
      <w:r>
        <w:t>in comparison with</w:t>
      </w:r>
      <w:r w:rsidRPr="00F74492">
        <w:t xml:space="preserve"> the overlaid </w:t>
      </w:r>
      <w:r>
        <w:t>NWS/</w:t>
      </w:r>
      <w:r w:rsidRPr="00F74492">
        <w:t xml:space="preserve">SPC </w:t>
      </w:r>
      <w:r>
        <w:t>severe weather</w:t>
      </w:r>
      <w:r w:rsidRPr="00F74492">
        <w:t xml:space="preserve"> reports. The </w:t>
      </w:r>
      <w:r>
        <w:t xml:space="preserve">main focus of this event is on </w:t>
      </w:r>
      <w:r w:rsidRPr="00F74492">
        <w:t xml:space="preserve">tornado and hail events </w:t>
      </w:r>
      <w:r>
        <w:t>occurring near</w:t>
      </w:r>
      <w:r w:rsidRPr="00F74492">
        <w:t xml:space="preserve"> the state border of Oklahoma - Texas and Oklahoma - Arkansas between 2200 and 0300 UTC.</w:t>
      </w:r>
      <w:r>
        <w:t xml:space="preserve"> </w:t>
      </w:r>
      <w:r w:rsidRPr="00F74492">
        <w:t xml:space="preserve">The results from the forecast initialized at 2000 UTC suggest that both </w:t>
      </w:r>
      <w:r>
        <w:t>Hyb_retro</w:t>
      </w:r>
      <w:r w:rsidRPr="00F74492">
        <w:t xml:space="preserve"> and </w:t>
      </w:r>
      <w:r>
        <w:t>Hyb_WD</w:t>
      </w:r>
      <w:r w:rsidRPr="00F74492">
        <w:t xml:space="preserve"> </w:t>
      </w:r>
      <w:r>
        <w:t xml:space="preserve">indicate the </w:t>
      </w:r>
      <w:r w:rsidRPr="00F74492">
        <w:t>presen</w:t>
      </w:r>
      <w:r>
        <w:t>ce of</w:t>
      </w:r>
      <w:r w:rsidRPr="00F74492">
        <w:t xml:space="preserve"> the MCS, but are not in good agreement with the </w:t>
      </w:r>
      <w:r>
        <w:t>NWS/</w:t>
      </w:r>
      <w:r w:rsidRPr="00F74492">
        <w:t xml:space="preserve">SPC </w:t>
      </w:r>
      <w:r>
        <w:t>severe weather</w:t>
      </w:r>
      <w:r w:rsidRPr="00F74492">
        <w:t xml:space="preserve"> reports. More specifically, the forecasts from both experiments show that the </w:t>
      </w:r>
      <w:r>
        <w:t xml:space="preserve">large </w:t>
      </w:r>
      <w:r w:rsidRPr="00F74492">
        <w:t xml:space="preserve">UH </w:t>
      </w:r>
      <w:r>
        <w:t>value</w:t>
      </w:r>
      <w:r w:rsidRPr="00F74492">
        <w:t>s are located to the south of the</w:t>
      </w:r>
      <w:r>
        <w:t xml:space="preserve"> area where</w:t>
      </w:r>
      <w:r w:rsidRPr="00F74492">
        <w:t xml:space="preserve"> tornado</w:t>
      </w:r>
      <w:r>
        <w:t>es</w:t>
      </w:r>
      <w:r w:rsidRPr="00F74492">
        <w:t xml:space="preserve"> and hail </w:t>
      </w:r>
      <w:r>
        <w:t xml:space="preserve">were </w:t>
      </w:r>
      <w:r w:rsidRPr="00F74492">
        <w:t>report</w:t>
      </w:r>
      <w:r>
        <w:t>ed</w:t>
      </w:r>
      <w:r w:rsidRPr="00F74492">
        <w:t xml:space="preserve"> in northern Texas</w:t>
      </w:r>
      <w:r>
        <w:t>,</w:t>
      </w:r>
      <w:r w:rsidRPr="00F74492">
        <w:t xml:space="preserve"> and to the north of the reports in eastern Oklahoma (Fig</w:t>
      </w:r>
      <w:r w:rsidR="00C24943">
        <w:t>s</w:t>
      </w:r>
      <w:r w:rsidRPr="00F74492">
        <w:t xml:space="preserve">. </w:t>
      </w:r>
      <w:r w:rsidR="00C24943">
        <w:t>5.</w:t>
      </w:r>
      <w:r w:rsidRPr="00F74492">
        <w:t>1</w:t>
      </w:r>
      <w:r>
        <w:t>0</w:t>
      </w:r>
      <w:r w:rsidR="00C24943">
        <w:t xml:space="preserve"> </w:t>
      </w:r>
      <w:r w:rsidRPr="00F74492">
        <w:t>a</w:t>
      </w:r>
      <w:r w:rsidR="00C24943">
        <w:t>,</w:t>
      </w:r>
      <w:r>
        <w:t xml:space="preserve"> d</w:t>
      </w:r>
      <w:r w:rsidRPr="00F74492">
        <w:t>). Additional assimilation cycles improve the analysis valid at 2200 UTC and the following 6-hour forecast (Fig</w:t>
      </w:r>
      <w:r w:rsidR="00C24943">
        <w:t>s</w:t>
      </w:r>
      <w:r w:rsidRPr="00F74492">
        <w:t xml:space="preserve">. </w:t>
      </w:r>
      <w:r w:rsidR="00C24943">
        <w:t>5.</w:t>
      </w:r>
      <w:r w:rsidRPr="00F74492">
        <w:t>1</w:t>
      </w:r>
      <w:r>
        <w:t>0</w:t>
      </w:r>
      <w:r w:rsidR="00C24943">
        <w:t xml:space="preserve"> </w:t>
      </w:r>
      <w:r w:rsidRPr="00F74492">
        <w:t>b</w:t>
      </w:r>
      <w:r w:rsidR="00C24943">
        <w:t>,</w:t>
      </w:r>
      <w:r w:rsidRPr="00F74492">
        <w:t xml:space="preserve"> e). Both experiments correct the relative northwest MCS in northern Texas to a location well-agreed with the storm reports, but </w:t>
      </w:r>
      <w:r>
        <w:t>Hyb_retro</w:t>
      </w:r>
      <w:r w:rsidRPr="00F74492">
        <w:t xml:space="preserve"> fails to forecast </w:t>
      </w:r>
      <w:r>
        <w:t xml:space="preserve">big rotation in an area where tornadoes and hail were reported </w:t>
      </w:r>
      <w:r w:rsidRPr="00F74492">
        <w:t xml:space="preserve">(red box in Fig. </w:t>
      </w:r>
      <w:r w:rsidR="00C24943">
        <w:t>5.</w:t>
      </w:r>
      <w:r w:rsidRPr="00F74492">
        <w:t>1</w:t>
      </w:r>
      <w:r>
        <w:t>0</w:t>
      </w:r>
      <w:r w:rsidR="00C24943">
        <w:t xml:space="preserve"> </w:t>
      </w:r>
      <w:r w:rsidRPr="00F74492">
        <w:t xml:space="preserve">b). The experiment </w:t>
      </w:r>
      <w:r>
        <w:t>Hyb_WD</w:t>
      </w:r>
      <w:r w:rsidRPr="00F74492">
        <w:t xml:space="preserve"> produces </w:t>
      </w:r>
      <w:r>
        <w:t>a good coverage for</w:t>
      </w:r>
      <w:r w:rsidR="003713D0">
        <w:t xml:space="preserve"> </w:t>
      </w:r>
      <w:r>
        <w:t>potion</w:t>
      </w:r>
      <w:r w:rsidR="003713D0">
        <w:t>s</w:t>
      </w:r>
      <w:r>
        <w:t xml:space="preserve"> of north Texas where most tornadoes and hail were reported, including the area</w:t>
      </w:r>
      <w:r w:rsidRPr="00F74492">
        <w:t xml:space="preserve"> </w:t>
      </w:r>
      <w:r>
        <w:t xml:space="preserve">in the </w:t>
      </w:r>
      <w:r w:rsidRPr="00F74492">
        <w:t>red box</w:t>
      </w:r>
      <w:r>
        <w:t xml:space="preserve"> of </w:t>
      </w:r>
      <w:r w:rsidRPr="00F74492">
        <w:t xml:space="preserve">Fig. </w:t>
      </w:r>
      <w:r w:rsidR="00C24943">
        <w:t>5.</w:t>
      </w:r>
      <w:r w:rsidRPr="00F74492">
        <w:t>1</w:t>
      </w:r>
      <w:r>
        <w:t>0</w:t>
      </w:r>
      <w:r w:rsidR="00C24943">
        <w:t xml:space="preserve"> </w:t>
      </w:r>
      <w:r w:rsidRPr="00F74492">
        <w:t>e. Neither experiment improv</w:t>
      </w:r>
      <w:r>
        <w:t>e</w:t>
      </w:r>
      <w:r w:rsidRPr="00F74492">
        <w:t xml:space="preserve">s the </w:t>
      </w:r>
      <w:r>
        <w:t xml:space="preserve">forecast for the </w:t>
      </w:r>
      <w:r w:rsidRPr="00F74492">
        <w:t>MCS crossing the border of Oklahoma-Arkansas due to the north biased UH track</w:t>
      </w:r>
      <w:r>
        <w:t>,</w:t>
      </w:r>
      <w:r w:rsidRPr="00F74492">
        <w:t xml:space="preserve"> and </w:t>
      </w:r>
      <w:r>
        <w:t xml:space="preserve">the forecast for two </w:t>
      </w:r>
      <w:r w:rsidRPr="00F74492">
        <w:t>tornado</w:t>
      </w:r>
      <w:r>
        <w:t>es</w:t>
      </w:r>
      <w:r w:rsidRPr="00F74492">
        <w:t xml:space="preserve"> </w:t>
      </w:r>
      <w:r>
        <w:t xml:space="preserve">reported </w:t>
      </w:r>
      <w:r w:rsidRPr="00F74492">
        <w:t xml:space="preserve">around 0300 UTC (black boxes in Figs. </w:t>
      </w:r>
      <w:r w:rsidR="00C24943">
        <w:t>5.</w:t>
      </w:r>
      <w:r w:rsidRPr="00F74492">
        <w:t>1</w:t>
      </w:r>
      <w:r>
        <w:t>0</w:t>
      </w:r>
      <w:r w:rsidR="00C24943">
        <w:t xml:space="preserve"> </w:t>
      </w:r>
      <w:r w:rsidRPr="00F74492">
        <w:t>b</w:t>
      </w:r>
      <w:r w:rsidR="00C24943">
        <w:t>,</w:t>
      </w:r>
      <w:r>
        <w:t xml:space="preserve"> </w:t>
      </w:r>
      <w:r w:rsidRPr="00F74492">
        <w:t xml:space="preserve">e). Both experiments perform similarly again for the events in Texas, Oklahoma, and Arkansas in the forecast initialized at 0000 UTC. Overall, both experiments perform well in agreement with the </w:t>
      </w:r>
      <w:r>
        <w:t>NWS/</w:t>
      </w:r>
      <w:r w:rsidRPr="00F74492">
        <w:t xml:space="preserve">SPC </w:t>
      </w:r>
      <w:r>
        <w:t>severe weather</w:t>
      </w:r>
      <w:r w:rsidRPr="00F74492">
        <w:t xml:space="preserve"> reports</w:t>
      </w:r>
      <w:r>
        <w:t xml:space="preserve"> in terms of the </w:t>
      </w:r>
      <w:r>
        <w:lastRenderedPageBreak/>
        <w:t>rotation forecast</w:t>
      </w:r>
      <w:r w:rsidRPr="00F74492">
        <w:t xml:space="preserve">. </w:t>
      </w:r>
      <w:r>
        <w:t>T</w:t>
      </w:r>
      <w:r w:rsidRPr="00F74492">
        <w:t>here is no significant improvement seen in this event</w:t>
      </w:r>
      <w:r>
        <w:t xml:space="preserve"> b</w:t>
      </w:r>
      <w:r w:rsidRPr="00F74492">
        <w:t xml:space="preserve">y </w:t>
      </w:r>
      <w:r>
        <w:t>using weather-dependent error covariance</w:t>
      </w:r>
      <w:r w:rsidR="00F35DB8">
        <w:t>s</w:t>
      </w:r>
      <w:r w:rsidRPr="00F74492">
        <w:t>, except for the MCS in northern Texas in the forecast</w:t>
      </w:r>
      <w:r>
        <w:t>s</w:t>
      </w:r>
      <w:r w:rsidRPr="00F74492">
        <w:t xml:space="preserve"> initialized from </w:t>
      </w:r>
      <w:r>
        <w:t>2200</w:t>
      </w:r>
      <w:r w:rsidRPr="00F74492">
        <w:t xml:space="preserve"> UTC</w:t>
      </w:r>
      <w:r>
        <w:t xml:space="preserve"> (Fig. </w:t>
      </w:r>
      <w:r w:rsidR="00C24943">
        <w:t>5.</w:t>
      </w:r>
      <w:r>
        <w:t>10</w:t>
      </w:r>
      <w:r w:rsidR="00C24943">
        <w:t xml:space="preserve"> </w:t>
      </w:r>
      <w:r>
        <w:t xml:space="preserve">e) as well as the forecast initialized from 2100 and 2300 UTC which are not shown in Figure </w:t>
      </w:r>
      <w:r w:rsidR="00C24943">
        <w:t>5.</w:t>
      </w:r>
      <w:r>
        <w:t>10</w:t>
      </w:r>
      <w:r w:rsidRPr="00F74492">
        <w:t>.</w:t>
      </w:r>
    </w:p>
    <w:p w14:paraId="6761A0D4" w14:textId="6FC7988D" w:rsidR="00C24943" w:rsidRDefault="00C24943" w:rsidP="00C24943">
      <w:pPr>
        <w:pStyle w:val="NoSpacing"/>
      </w:pPr>
    </w:p>
    <w:p w14:paraId="57344006" w14:textId="61EEF2EE" w:rsidR="00C24943" w:rsidRDefault="00C24943" w:rsidP="009D06BA">
      <w:pPr>
        <w:pStyle w:val="NoSpacing"/>
        <w:jc w:val="center"/>
      </w:pPr>
      <w:r>
        <w:rPr>
          <w:rFonts w:hint="eastAsia"/>
          <w:noProof/>
        </w:rPr>
        <w:drawing>
          <wp:inline distT="0" distB="0" distL="0" distR="0" wp14:anchorId="1AC284E3" wp14:editId="4C3EF5C7">
            <wp:extent cx="5943599" cy="4207857"/>
            <wp:effectExtent l="0" t="0" r="63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943599" cy="4207857"/>
                    </a:xfrm>
                    <a:prstGeom prst="rect">
                      <a:avLst/>
                    </a:prstGeom>
                  </pic:spPr>
                </pic:pic>
              </a:graphicData>
            </a:graphic>
          </wp:inline>
        </w:drawing>
      </w:r>
    </w:p>
    <w:p w14:paraId="26EA7CCD" w14:textId="45243D1B" w:rsidR="00C24943" w:rsidRPr="00D60A80" w:rsidRDefault="00C24943" w:rsidP="00C24943">
      <w:pPr>
        <w:pStyle w:val="Captions"/>
        <w:rPr>
          <w:szCs w:val="24"/>
        </w:rPr>
      </w:pPr>
      <w:bookmarkStart w:id="153" w:name="_Toc134695305"/>
      <w:r w:rsidRPr="00D60A80">
        <w:rPr>
          <w:szCs w:val="24"/>
        </w:rPr>
        <w:t xml:space="preserve">Figure </w:t>
      </w:r>
      <w:r w:rsidR="00C96E3B" w:rsidRPr="00D60A80">
        <w:rPr>
          <w:szCs w:val="24"/>
        </w:rPr>
        <w:fldChar w:fldCharType="begin"/>
      </w:r>
      <w:r w:rsidR="00C96E3B" w:rsidRPr="00D60A80">
        <w:rPr>
          <w:szCs w:val="24"/>
        </w:rPr>
        <w:instrText xml:space="preserve"> STYLEREF 1 \s </w:instrText>
      </w:r>
      <w:r w:rsidR="00C96E3B" w:rsidRPr="00D60A80">
        <w:rPr>
          <w:szCs w:val="24"/>
        </w:rPr>
        <w:fldChar w:fldCharType="separate"/>
      </w:r>
      <w:r w:rsidR="00C77C87" w:rsidRPr="00D60A80">
        <w:rPr>
          <w:noProof/>
          <w:szCs w:val="24"/>
        </w:rPr>
        <w:t>5</w:t>
      </w:r>
      <w:r w:rsidR="00C96E3B" w:rsidRPr="00D60A80">
        <w:rPr>
          <w:noProof/>
          <w:szCs w:val="24"/>
        </w:rPr>
        <w:fldChar w:fldCharType="end"/>
      </w:r>
      <w:r w:rsidR="00C77C87" w:rsidRPr="00D60A80">
        <w:rPr>
          <w:szCs w:val="24"/>
        </w:rPr>
        <w:t>.</w:t>
      </w:r>
      <w:r w:rsidR="00C96E3B" w:rsidRPr="00D60A80">
        <w:rPr>
          <w:szCs w:val="24"/>
        </w:rPr>
        <w:fldChar w:fldCharType="begin"/>
      </w:r>
      <w:r w:rsidR="00C96E3B" w:rsidRPr="00D60A80">
        <w:rPr>
          <w:szCs w:val="24"/>
        </w:rPr>
        <w:instrText xml:space="preserve"> SEQ Figure \* ARABIC \s 1 </w:instrText>
      </w:r>
      <w:r w:rsidR="00C96E3B" w:rsidRPr="00D60A80">
        <w:rPr>
          <w:szCs w:val="24"/>
        </w:rPr>
        <w:fldChar w:fldCharType="separate"/>
      </w:r>
      <w:r w:rsidR="00C77C87" w:rsidRPr="00D60A80">
        <w:rPr>
          <w:noProof/>
          <w:szCs w:val="24"/>
        </w:rPr>
        <w:t>10</w:t>
      </w:r>
      <w:r w:rsidR="00C96E3B" w:rsidRPr="00D60A80">
        <w:rPr>
          <w:noProof/>
          <w:szCs w:val="24"/>
        </w:rPr>
        <w:fldChar w:fldCharType="end"/>
      </w:r>
      <w:r w:rsidRPr="00D60A80">
        <w:rPr>
          <w:szCs w:val="24"/>
        </w:rPr>
        <w:t xml:space="preserve"> As in Fig. 5.7, but for the 6-hour 2 – 5 km UH track forecasts initialized at (a, d) 2000, (b, e) 2200, and (c, f) 0000 UTC on 22 May 2020.</w:t>
      </w:r>
      <w:bookmarkEnd w:id="153"/>
    </w:p>
    <w:p w14:paraId="6A6338EB" w14:textId="77777777" w:rsidR="00C24943" w:rsidRDefault="00C24943" w:rsidP="00C24943">
      <w:pPr>
        <w:pStyle w:val="NoSpacing"/>
      </w:pPr>
    </w:p>
    <w:p w14:paraId="2233F90D" w14:textId="000592F0" w:rsidR="00E6523E" w:rsidRDefault="00E6523E" w:rsidP="00E6523E">
      <w:r>
        <w:t xml:space="preserve">In </w:t>
      </w:r>
      <w:r w:rsidRPr="00194196">
        <w:t xml:space="preserve">Figure </w:t>
      </w:r>
      <w:r w:rsidR="00842DEA">
        <w:t>5.</w:t>
      </w:r>
      <w:r>
        <w:t>11,</w:t>
      </w:r>
      <w:r w:rsidRPr="00194196">
        <w:t xml:space="preserve"> the 6</w:t>
      </w:r>
      <w:r w:rsidR="00857FCC">
        <w:t>-hour</w:t>
      </w:r>
      <w:r w:rsidRPr="00194196">
        <w:t xml:space="preserve"> CREF forecast</w:t>
      </w:r>
      <w:r>
        <w:t>s</w:t>
      </w:r>
      <w:r w:rsidRPr="00194196">
        <w:t xml:space="preserve"> initialized from 2200 UTC </w:t>
      </w:r>
      <w:r>
        <w:t xml:space="preserve">are compared </w:t>
      </w:r>
      <w:r w:rsidRPr="00194196">
        <w:t>with the MRMS CREF observation</w:t>
      </w:r>
      <w:r>
        <w:t>s</w:t>
      </w:r>
      <w:r w:rsidRPr="00194196">
        <w:t xml:space="preserve">. During the first two hours, both the </w:t>
      </w:r>
      <w:r>
        <w:t>Hyb_retro</w:t>
      </w:r>
      <w:r w:rsidRPr="00194196">
        <w:t xml:space="preserve"> and </w:t>
      </w:r>
      <w:r>
        <w:t>Hyb_WD</w:t>
      </w:r>
      <w:r w:rsidRPr="00194196">
        <w:t xml:space="preserve"> experiments accurately predict the areal coverage of CREF exceeding 35 dBZ (Figs. </w:t>
      </w:r>
      <w:r w:rsidR="00C24943">
        <w:t>5.</w:t>
      </w:r>
      <w:r>
        <w:t>11</w:t>
      </w:r>
      <w:r w:rsidR="00C24943">
        <w:t xml:space="preserve"> </w:t>
      </w:r>
      <w:r w:rsidRPr="00194196">
        <w:t xml:space="preserve">a1, a2, </w:t>
      </w:r>
      <w:r>
        <w:t xml:space="preserve">and </w:t>
      </w:r>
      <w:r w:rsidRPr="00194196">
        <w:t xml:space="preserve">b1, b2 vs o1, o2), although some spurious </w:t>
      </w:r>
      <w:r>
        <w:t>cell</w:t>
      </w:r>
      <w:r w:rsidRPr="00194196">
        <w:t xml:space="preserve">s appear in eastern Texas. However, the </w:t>
      </w:r>
      <w:r>
        <w:t>prediction</w:t>
      </w:r>
      <w:r w:rsidRPr="00194196">
        <w:t xml:space="preserve"> </w:t>
      </w:r>
      <w:r w:rsidR="00CD5F15">
        <w:t>worsens</w:t>
      </w:r>
      <w:r w:rsidRPr="00194196">
        <w:t xml:space="preserve"> thereafter. At 0100 UTC (the third hour forecast), </w:t>
      </w:r>
      <w:r>
        <w:t>Hyb_retro</w:t>
      </w:r>
      <w:r w:rsidRPr="00194196">
        <w:t xml:space="preserve"> shows a decrease </w:t>
      </w:r>
      <w:r w:rsidRPr="00194196">
        <w:lastRenderedPageBreak/>
        <w:t>in the coverage of CREF and a more eastward drift compared to the observation</w:t>
      </w:r>
      <w:r>
        <w:t>s.</w:t>
      </w:r>
      <w:r w:rsidRPr="00194196">
        <w:t xml:space="preserve"> </w:t>
      </w:r>
      <w:r>
        <w:t>On the other hand,</w:t>
      </w:r>
      <w:r w:rsidRPr="00194196">
        <w:t xml:space="preserve"> </w:t>
      </w:r>
      <w:r>
        <w:t>Hyb_WD</w:t>
      </w:r>
      <w:r w:rsidRPr="00194196">
        <w:t xml:space="preserve"> produces a slightly south biased CREF but </w:t>
      </w:r>
      <w:r>
        <w:t>the</w:t>
      </w:r>
      <w:r w:rsidRPr="00194196">
        <w:t xml:space="preserve"> </w:t>
      </w:r>
      <w:r>
        <w:t xml:space="preserve">areal </w:t>
      </w:r>
      <w:r w:rsidRPr="00194196">
        <w:t>coverage</w:t>
      </w:r>
      <w:r>
        <w:t xml:space="preserve"> is comparable</w:t>
      </w:r>
      <w:r w:rsidRPr="00194196">
        <w:t xml:space="preserve"> to the observation</w:t>
      </w:r>
      <w:r>
        <w:t>s</w:t>
      </w:r>
      <w:r w:rsidRPr="00194196">
        <w:t xml:space="preserve"> (blue boxes in Fig</w:t>
      </w:r>
      <w:r w:rsidR="00C24943">
        <w:t>s</w:t>
      </w:r>
      <w:r w:rsidRPr="00194196">
        <w:t xml:space="preserve">. </w:t>
      </w:r>
      <w:r w:rsidR="00C24943">
        <w:t>5.</w:t>
      </w:r>
      <w:r>
        <w:t>11</w:t>
      </w:r>
      <w:r w:rsidR="00C24943">
        <w:t xml:space="preserve"> </w:t>
      </w:r>
      <w:r w:rsidRPr="00194196">
        <w:t xml:space="preserve">a4, b4 vs o4). The convective system in </w:t>
      </w:r>
      <w:r>
        <w:t>Hyb_WD</w:t>
      </w:r>
      <w:r w:rsidRPr="00194196">
        <w:t xml:space="preserve"> continues to develop and propagate eastward until 0300 UTC (blue boxes in Fig</w:t>
      </w:r>
      <w:r w:rsidR="00C24943">
        <w:t>s</w:t>
      </w:r>
      <w:r w:rsidRPr="00194196">
        <w:t xml:space="preserve">. </w:t>
      </w:r>
      <w:r w:rsidR="00C24943">
        <w:t>5.</w:t>
      </w:r>
      <w:r>
        <w:t xml:space="preserve">11 </w:t>
      </w:r>
      <w:r w:rsidRPr="00194196">
        <w:t xml:space="preserve">b5, </w:t>
      </w:r>
      <w:r>
        <w:t>b</w:t>
      </w:r>
      <w:r w:rsidRPr="00194196">
        <w:t>6), which is in agreement with the observation</w:t>
      </w:r>
      <w:r>
        <w:t>s</w:t>
      </w:r>
      <w:r w:rsidRPr="00194196">
        <w:t xml:space="preserve"> (blue boxes in Fig</w:t>
      </w:r>
      <w:r w:rsidR="00C24943">
        <w:t>s</w:t>
      </w:r>
      <w:r w:rsidRPr="00194196">
        <w:t xml:space="preserve">. </w:t>
      </w:r>
      <w:r w:rsidR="00C24943">
        <w:t>5.</w:t>
      </w:r>
      <w:r>
        <w:t>11</w:t>
      </w:r>
      <w:r w:rsidR="00C24943">
        <w:t xml:space="preserve"> </w:t>
      </w:r>
      <w:r w:rsidRPr="00194196">
        <w:t xml:space="preserve">o5, </w:t>
      </w:r>
      <w:r>
        <w:t>o</w:t>
      </w:r>
      <w:r w:rsidRPr="00194196">
        <w:t xml:space="preserve">6), while </w:t>
      </w:r>
      <w:r>
        <w:t>Hyb_retro</w:t>
      </w:r>
      <w:r w:rsidRPr="00194196">
        <w:t xml:space="preserve"> fail</w:t>
      </w:r>
      <w:r>
        <w:t>s</w:t>
      </w:r>
      <w:r w:rsidRPr="00194196">
        <w:t xml:space="preserve"> </w:t>
      </w:r>
      <w:r>
        <w:t>to</w:t>
      </w:r>
      <w:r w:rsidRPr="00194196">
        <w:t xml:space="preserve"> predict </w:t>
      </w:r>
      <w:r>
        <w:t xml:space="preserve">the corresponding cell </w:t>
      </w:r>
      <w:r w:rsidRPr="00194196">
        <w:t>(blue boxes in Fig</w:t>
      </w:r>
      <w:r w:rsidR="00C24943">
        <w:t>s</w:t>
      </w:r>
      <w:r w:rsidRPr="00194196">
        <w:t xml:space="preserve">. </w:t>
      </w:r>
      <w:r w:rsidR="00C24943">
        <w:t>5.</w:t>
      </w:r>
      <w:r>
        <w:t xml:space="preserve">11 </w:t>
      </w:r>
      <w:r w:rsidRPr="00194196">
        <w:t xml:space="preserve">a5, </w:t>
      </w:r>
      <w:r w:rsidR="00C24943">
        <w:t>a</w:t>
      </w:r>
      <w:r w:rsidRPr="00194196">
        <w:t xml:space="preserve">6). This improvement is also displayed in the CREF forecasts initialized at 2100 and 2300 UTC (not shown). It is important to note that the spurious </w:t>
      </w:r>
      <w:r>
        <w:t>cell</w:t>
      </w:r>
      <w:r w:rsidRPr="00194196">
        <w:t>s initiated from 2300 UTC, which develops and propagates during the following four hours and finally upscales to a quasi-linear convective system at 0300 UTC</w:t>
      </w:r>
      <w:r>
        <w:t xml:space="preserve"> (black boxes in Fig</w:t>
      </w:r>
      <w:r w:rsidR="00C24943">
        <w:t>s</w:t>
      </w:r>
      <w:r>
        <w:t xml:space="preserve">. </w:t>
      </w:r>
      <w:r w:rsidR="00C24943">
        <w:t>5.</w:t>
      </w:r>
      <w:r>
        <w:t>11</w:t>
      </w:r>
      <w:r w:rsidR="00C24943">
        <w:t xml:space="preserve"> </w:t>
      </w:r>
      <w:r>
        <w:t>a7, b7)</w:t>
      </w:r>
      <w:r w:rsidRPr="00194196">
        <w:t>, significantly differ from the upscale process in the observation</w:t>
      </w:r>
      <w:r>
        <w:t xml:space="preserve">s (black boxes in Fig. </w:t>
      </w:r>
      <w:r w:rsidR="00C24943">
        <w:t>5.</w:t>
      </w:r>
      <w:r>
        <w:t>11</w:t>
      </w:r>
      <w:r w:rsidR="00C24943">
        <w:t xml:space="preserve"> </w:t>
      </w:r>
      <w:r>
        <w:t>o7)</w:t>
      </w:r>
      <w:r w:rsidRPr="00194196">
        <w:t>, leading to a significant drop in the CREF ETSs during the first two hours and a consistent low value during the following period.</w:t>
      </w:r>
      <w:r>
        <w:t xml:space="preserve"> The primary focus of our future studies is to restrain the development of spurious convection. </w:t>
      </w:r>
    </w:p>
    <w:p w14:paraId="50F72691" w14:textId="294AD4DA" w:rsidR="00C24943" w:rsidRDefault="00C24943" w:rsidP="00C24943">
      <w:pPr>
        <w:pStyle w:val="NoSpacing"/>
      </w:pPr>
    </w:p>
    <w:p w14:paraId="36D475A1" w14:textId="219B96F6" w:rsidR="00C24943" w:rsidRDefault="00C24943" w:rsidP="009D06BA">
      <w:pPr>
        <w:pStyle w:val="NoSpacing"/>
        <w:jc w:val="center"/>
      </w:pPr>
      <w:r>
        <w:rPr>
          <w:noProof/>
        </w:rPr>
        <w:drawing>
          <wp:inline distT="0" distB="0" distL="0" distR="0" wp14:anchorId="40C24D5B" wp14:editId="2D69F3B1">
            <wp:extent cx="5943409" cy="2830194"/>
            <wp:effectExtent l="0" t="0" r="635" b="2540"/>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 name="Picture 313"/>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943409" cy="2830194"/>
                    </a:xfrm>
                    <a:prstGeom prst="rect">
                      <a:avLst/>
                    </a:prstGeom>
                  </pic:spPr>
                </pic:pic>
              </a:graphicData>
            </a:graphic>
          </wp:inline>
        </w:drawing>
      </w:r>
    </w:p>
    <w:p w14:paraId="68FB32BB" w14:textId="38FFC448" w:rsidR="00C24943" w:rsidRPr="00D60A80" w:rsidRDefault="00C24943" w:rsidP="00C24943">
      <w:pPr>
        <w:pStyle w:val="Captions"/>
        <w:rPr>
          <w:szCs w:val="24"/>
        </w:rPr>
      </w:pPr>
      <w:bookmarkStart w:id="154" w:name="_Toc134695306"/>
      <w:r w:rsidRPr="00D60A80">
        <w:rPr>
          <w:szCs w:val="24"/>
        </w:rPr>
        <w:t xml:space="preserve">Figure </w:t>
      </w:r>
      <w:r w:rsidR="00C96E3B" w:rsidRPr="00D60A80">
        <w:rPr>
          <w:szCs w:val="24"/>
        </w:rPr>
        <w:fldChar w:fldCharType="begin"/>
      </w:r>
      <w:r w:rsidR="00C96E3B" w:rsidRPr="00D60A80">
        <w:rPr>
          <w:szCs w:val="24"/>
        </w:rPr>
        <w:instrText xml:space="preserve"> STYLEREF 1 \s </w:instrText>
      </w:r>
      <w:r w:rsidR="00C96E3B" w:rsidRPr="00D60A80">
        <w:rPr>
          <w:szCs w:val="24"/>
        </w:rPr>
        <w:fldChar w:fldCharType="separate"/>
      </w:r>
      <w:r w:rsidR="00C77C87" w:rsidRPr="00D60A80">
        <w:rPr>
          <w:noProof/>
          <w:szCs w:val="24"/>
        </w:rPr>
        <w:t>5</w:t>
      </w:r>
      <w:r w:rsidR="00C96E3B" w:rsidRPr="00D60A80">
        <w:rPr>
          <w:noProof/>
          <w:szCs w:val="24"/>
        </w:rPr>
        <w:fldChar w:fldCharType="end"/>
      </w:r>
      <w:r w:rsidR="00C77C87" w:rsidRPr="00D60A80">
        <w:rPr>
          <w:szCs w:val="24"/>
        </w:rPr>
        <w:t>.</w:t>
      </w:r>
      <w:r w:rsidR="00C96E3B" w:rsidRPr="00D60A80">
        <w:rPr>
          <w:szCs w:val="24"/>
        </w:rPr>
        <w:fldChar w:fldCharType="begin"/>
      </w:r>
      <w:r w:rsidR="00C96E3B" w:rsidRPr="00D60A80">
        <w:rPr>
          <w:szCs w:val="24"/>
        </w:rPr>
        <w:instrText xml:space="preserve"> SEQ Figure \* ARABIC \s 1 </w:instrText>
      </w:r>
      <w:r w:rsidR="00C96E3B" w:rsidRPr="00D60A80">
        <w:rPr>
          <w:szCs w:val="24"/>
        </w:rPr>
        <w:fldChar w:fldCharType="separate"/>
      </w:r>
      <w:r w:rsidR="00C77C87" w:rsidRPr="00D60A80">
        <w:rPr>
          <w:noProof/>
          <w:szCs w:val="24"/>
        </w:rPr>
        <w:t>11</w:t>
      </w:r>
      <w:r w:rsidR="00C96E3B" w:rsidRPr="00D60A80">
        <w:rPr>
          <w:noProof/>
          <w:szCs w:val="24"/>
        </w:rPr>
        <w:fldChar w:fldCharType="end"/>
      </w:r>
      <w:r w:rsidRPr="00D60A80">
        <w:rPr>
          <w:szCs w:val="24"/>
        </w:rPr>
        <w:t xml:space="preserve"> As in Fig. 5.8, but for the (1) analysis and (2 - 7) forecasts initialized at 2200 UTC on 22 May 2020.</w:t>
      </w:r>
      <w:bookmarkEnd w:id="154"/>
    </w:p>
    <w:p w14:paraId="1B6D6FF6" w14:textId="77777777" w:rsidR="00C24943" w:rsidRDefault="00C24943" w:rsidP="001A0A75">
      <w:pPr>
        <w:pStyle w:val="NoSpacing"/>
      </w:pPr>
    </w:p>
    <w:p w14:paraId="7E19F3DE" w14:textId="6482C5E5" w:rsidR="00C24943" w:rsidRDefault="00C24943" w:rsidP="009D06BA">
      <w:pPr>
        <w:spacing w:line="240" w:lineRule="auto"/>
        <w:ind w:firstLine="0"/>
        <w:jc w:val="center"/>
      </w:pPr>
      <w:r>
        <w:rPr>
          <w:noProof/>
        </w:rPr>
        <w:lastRenderedPageBreak/>
        <w:drawing>
          <wp:inline distT="0" distB="0" distL="0" distR="0" wp14:anchorId="50C11D2E" wp14:editId="1EF29720">
            <wp:extent cx="5943527" cy="5500370"/>
            <wp:effectExtent l="0" t="0" r="63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943527" cy="5500370"/>
                    </a:xfrm>
                    <a:prstGeom prst="rect">
                      <a:avLst/>
                    </a:prstGeom>
                  </pic:spPr>
                </pic:pic>
              </a:graphicData>
            </a:graphic>
          </wp:inline>
        </w:drawing>
      </w:r>
    </w:p>
    <w:p w14:paraId="07EEC21A" w14:textId="40AD7635" w:rsidR="00C24943" w:rsidRPr="00D60A80" w:rsidRDefault="00C24943" w:rsidP="00263C79">
      <w:pPr>
        <w:pStyle w:val="Captions"/>
        <w:rPr>
          <w:szCs w:val="24"/>
        </w:rPr>
      </w:pPr>
      <w:bookmarkStart w:id="155" w:name="_Toc134695307"/>
      <w:r w:rsidRPr="00D60A80">
        <w:rPr>
          <w:szCs w:val="24"/>
        </w:rPr>
        <w:t xml:space="preserve">Figure </w:t>
      </w:r>
      <w:r w:rsidR="00C96E3B" w:rsidRPr="00D60A80">
        <w:rPr>
          <w:szCs w:val="24"/>
        </w:rPr>
        <w:fldChar w:fldCharType="begin"/>
      </w:r>
      <w:r w:rsidR="00C96E3B" w:rsidRPr="00D60A80">
        <w:rPr>
          <w:szCs w:val="24"/>
        </w:rPr>
        <w:instrText xml:space="preserve"> STYLEREF 1 \s </w:instrText>
      </w:r>
      <w:r w:rsidR="00C96E3B" w:rsidRPr="00D60A80">
        <w:rPr>
          <w:szCs w:val="24"/>
        </w:rPr>
        <w:fldChar w:fldCharType="separate"/>
      </w:r>
      <w:r w:rsidR="00C77C87" w:rsidRPr="00D60A80">
        <w:rPr>
          <w:noProof/>
          <w:szCs w:val="24"/>
        </w:rPr>
        <w:t>5</w:t>
      </w:r>
      <w:r w:rsidR="00C96E3B" w:rsidRPr="00D60A80">
        <w:rPr>
          <w:noProof/>
          <w:szCs w:val="24"/>
        </w:rPr>
        <w:fldChar w:fldCharType="end"/>
      </w:r>
      <w:r w:rsidR="00C77C87" w:rsidRPr="00D60A80">
        <w:rPr>
          <w:szCs w:val="24"/>
        </w:rPr>
        <w:t>.</w:t>
      </w:r>
      <w:r w:rsidR="00C96E3B" w:rsidRPr="00D60A80">
        <w:rPr>
          <w:szCs w:val="24"/>
        </w:rPr>
        <w:fldChar w:fldCharType="begin"/>
      </w:r>
      <w:r w:rsidR="00C96E3B" w:rsidRPr="00D60A80">
        <w:rPr>
          <w:szCs w:val="24"/>
        </w:rPr>
        <w:instrText xml:space="preserve"> SEQ Figure \* ARABIC \s 1 </w:instrText>
      </w:r>
      <w:r w:rsidR="00C96E3B" w:rsidRPr="00D60A80">
        <w:rPr>
          <w:szCs w:val="24"/>
        </w:rPr>
        <w:fldChar w:fldCharType="separate"/>
      </w:r>
      <w:r w:rsidR="00C77C87" w:rsidRPr="00D60A80">
        <w:rPr>
          <w:noProof/>
          <w:szCs w:val="24"/>
        </w:rPr>
        <w:t>12</w:t>
      </w:r>
      <w:r w:rsidR="00C96E3B" w:rsidRPr="00D60A80">
        <w:rPr>
          <w:noProof/>
          <w:szCs w:val="24"/>
        </w:rPr>
        <w:fldChar w:fldCharType="end"/>
      </w:r>
      <w:r w:rsidR="00263C79" w:rsidRPr="00D60A80">
        <w:rPr>
          <w:szCs w:val="24"/>
        </w:rPr>
        <w:t xml:space="preserve"> </w:t>
      </w:r>
      <w:r w:rsidRPr="00D60A80">
        <w:rPr>
          <w:szCs w:val="24"/>
        </w:rPr>
        <w:t>As in Fig. 5.6, but for 22 May 2020.</w:t>
      </w:r>
      <w:bookmarkEnd w:id="155"/>
    </w:p>
    <w:p w14:paraId="7DB9F68F" w14:textId="77777777" w:rsidR="00263C79" w:rsidRDefault="00263C79" w:rsidP="00263C79">
      <w:pPr>
        <w:pStyle w:val="NoSpacing"/>
      </w:pPr>
    </w:p>
    <w:p w14:paraId="3EE61FFF" w14:textId="34629B4F" w:rsidR="00E6523E" w:rsidRDefault="00E6523E" w:rsidP="00E6523E">
      <w:r>
        <w:t>T</w:t>
      </w:r>
      <w:r w:rsidRPr="00B44BC1">
        <w:t>he variations of the ETSs for both the CREF and midlevel rotation forecasts are displayed</w:t>
      </w:r>
      <w:r>
        <w:t xml:space="preserve"> in Figure </w:t>
      </w:r>
      <w:r w:rsidR="00EB6941">
        <w:t>5.</w:t>
      </w:r>
      <w:r>
        <w:t>12</w:t>
      </w:r>
      <w:r w:rsidRPr="00B44BC1">
        <w:t>. These results are aggregated from seven different forecast periods initialized from 1800</w:t>
      </w:r>
      <w:r>
        <w:t xml:space="preserve"> to 0000</w:t>
      </w:r>
      <w:r w:rsidRPr="00B44BC1">
        <w:t xml:space="preserve"> UTC</w:t>
      </w:r>
      <w:r>
        <w:t xml:space="preserve"> next day</w:t>
      </w:r>
      <w:r w:rsidRPr="00B44BC1">
        <w:t xml:space="preserve">. The ETSs for CREF forecasts at 20 and 40 dBZ thresholds </w:t>
      </w:r>
      <w:r>
        <w:t>show a rapid decline</w:t>
      </w:r>
      <w:r w:rsidRPr="00B44BC1">
        <w:t xml:space="preserve"> in the first two hours,</w:t>
      </w:r>
      <w:r>
        <w:t xml:space="preserve"> followed by a</w:t>
      </w:r>
      <w:r w:rsidRPr="00B44BC1">
        <w:t xml:space="preserve"> </w:t>
      </w:r>
      <w:r>
        <w:t>leveling off</w:t>
      </w:r>
      <w:r w:rsidRPr="00B44BC1">
        <w:t xml:space="preserve"> over the remaining hours (Figs. </w:t>
      </w:r>
      <w:r w:rsidR="00EB6941">
        <w:t>5.</w:t>
      </w:r>
      <w:r>
        <w:t>12</w:t>
      </w:r>
      <w:r w:rsidR="00EB6941">
        <w:t xml:space="preserve"> </w:t>
      </w:r>
      <w:r w:rsidRPr="00B44BC1">
        <w:t>a</w:t>
      </w:r>
      <w:r w:rsidR="00EB6941">
        <w:t>,</w:t>
      </w:r>
      <w:r>
        <w:t xml:space="preserve"> </w:t>
      </w:r>
      <w:r w:rsidRPr="00B44BC1">
        <w:t>b). Since ETS is a measurement highly sensitive to hits, th</w:t>
      </w:r>
      <w:r>
        <w:t xml:space="preserve">e quick </w:t>
      </w:r>
      <w:r w:rsidRPr="00B44BC1">
        <w:t>decline</w:t>
      </w:r>
      <w:r>
        <w:t xml:space="preserve"> of ETS during the first two hours</w:t>
      </w:r>
      <w:r w:rsidRPr="00B44BC1">
        <w:t xml:space="preserve"> is </w:t>
      </w:r>
      <w:r>
        <w:t>attributed</w:t>
      </w:r>
      <w:r w:rsidRPr="00B44BC1">
        <w:t xml:space="preserve"> to</w:t>
      </w:r>
      <w:r>
        <w:t xml:space="preserve"> the</w:t>
      </w:r>
      <w:r w:rsidRPr="00B44BC1">
        <w:t xml:space="preserve"> </w:t>
      </w:r>
      <w:r>
        <w:t xml:space="preserve">rapid development of spurious cells, as shown in Fig. </w:t>
      </w:r>
      <w:r w:rsidR="0004540D">
        <w:t>5.</w:t>
      </w:r>
      <w:r>
        <w:t>11</w:t>
      </w:r>
      <w:r w:rsidRPr="00B44BC1">
        <w:t xml:space="preserve">. </w:t>
      </w:r>
    </w:p>
    <w:p w14:paraId="1D663CED" w14:textId="071ADE59" w:rsidR="00E6523E" w:rsidRPr="00545754" w:rsidRDefault="00E6523E" w:rsidP="00E6523E">
      <w:pPr>
        <w:rPr>
          <w:bCs/>
        </w:rPr>
      </w:pPr>
      <w:r w:rsidRPr="00B44BC1">
        <w:lastRenderedPageBreak/>
        <w:t xml:space="preserve">The results from </w:t>
      </w:r>
      <w:r>
        <w:t>two</w:t>
      </w:r>
      <w:r w:rsidRPr="00B44BC1">
        <w:t xml:space="preserve"> experiments suggest</w:t>
      </w:r>
      <w:r>
        <w:t xml:space="preserve"> that there are</w:t>
      </w:r>
      <w:r w:rsidRPr="00B44BC1">
        <w:t xml:space="preserve"> no significant differences in the performance of CREF forecasts. </w:t>
      </w:r>
      <w:r>
        <w:t>Hyb_WD</w:t>
      </w:r>
      <w:r w:rsidRPr="00B44BC1">
        <w:t xml:space="preserve"> </w:t>
      </w:r>
      <w:r>
        <w:t>has</w:t>
      </w:r>
      <w:r w:rsidRPr="00B44BC1">
        <w:t xml:space="preserve"> a constant but minor improvement </w:t>
      </w:r>
      <w:r>
        <w:t>over Hyb_retro</w:t>
      </w:r>
      <w:r w:rsidRPr="00B44BC1">
        <w:t xml:space="preserve"> for low reflectivity, which is also observed in the evaluation using</w:t>
      </w:r>
      <w:r>
        <w:t xml:space="preserve"> the</w:t>
      </w:r>
      <w:r w:rsidRPr="00B44BC1">
        <w:t xml:space="preserve"> 40 dBZ threshold, but</w:t>
      </w:r>
      <w:r>
        <w:t xml:space="preserve"> the improvement</w:t>
      </w:r>
      <w:r w:rsidRPr="00B44BC1">
        <w:t xml:space="preserve"> lasts for only two hours</w:t>
      </w:r>
      <w:r>
        <w:t xml:space="preserve"> (Fig</w:t>
      </w:r>
      <w:r w:rsidR="009D06BA">
        <w:t>s.</w:t>
      </w:r>
      <w:r>
        <w:t xml:space="preserve"> </w:t>
      </w:r>
      <w:r w:rsidR="009D06BA">
        <w:t>5.</w:t>
      </w:r>
      <w:r>
        <w:t>12</w:t>
      </w:r>
      <w:r w:rsidR="009D06BA">
        <w:t xml:space="preserve"> </w:t>
      </w:r>
      <w:r>
        <w:t>a</w:t>
      </w:r>
      <w:r w:rsidR="009D06BA">
        <w:t xml:space="preserve">, </w:t>
      </w:r>
      <w:r>
        <w:t>b)</w:t>
      </w:r>
      <w:r w:rsidRPr="00B44BC1">
        <w:t xml:space="preserve">. </w:t>
      </w:r>
      <w:r>
        <w:t>In contrast, t</w:t>
      </w:r>
      <w:r w:rsidRPr="009B09A7">
        <w:t>he differences in ETSs of midlevel rotation forecast</w:t>
      </w:r>
      <w:r>
        <w:t>s</w:t>
      </w:r>
      <w:r w:rsidRPr="009B09A7">
        <w:t xml:space="preserve"> between different experiments are more noteworthy </w:t>
      </w:r>
      <w:r>
        <w:t>than those</w:t>
      </w:r>
      <w:r w:rsidRPr="009B09A7">
        <w:t xml:space="preserve"> of CREF forecast</w:t>
      </w:r>
      <w:r>
        <w:t>s</w:t>
      </w:r>
      <w:r w:rsidRPr="009B09A7">
        <w:t xml:space="preserve">. During the first three hours of the forecast period, </w:t>
      </w:r>
      <w:r>
        <w:t>Hyb_retro</w:t>
      </w:r>
      <w:r w:rsidRPr="009B09A7">
        <w:t xml:space="preserve"> performs better than </w:t>
      </w:r>
      <w:r>
        <w:t>Hyb_WD.</w:t>
      </w:r>
      <w:r w:rsidRPr="009B09A7">
        <w:t xml:space="preserve"> </w:t>
      </w:r>
      <w:r>
        <w:t>H</w:t>
      </w:r>
      <w:r w:rsidRPr="009B09A7">
        <w:t xml:space="preserve">owever, after this period, </w:t>
      </w:r>
      <w:r>
        <w:t>Hyb_WD</w:t>
      </w:r>
      <w:r w:rsidRPr="009B09A7">
        <w:t xml:space="preserve"> outperforms </w:t>
      </w:r>
      <w:r>
        <w:t>Hyb_retro</w:t>
      </w:r>
      <w:r w:rsidRPr="009B09A7">
        <w:t xml:space="preserve"> (Fig</w:t>
      </w:r>
      <w:r w:rsidR="009D06BA">
        <w:t>s</w:t>
      </w:r>
      <w:r w:rsidRPr="009B09A7">
        <w:t xml:space="preserve">. </w:t>
      </w:r>
      <w:r w:rsidR="009D06BA">
        <w:t>5.</w:t>
      </w:r>
      <w:r w:rsidRPr="009B09A7">
        <w:t>1</w:t>
      </w:r>
      <w:r>
        <w:t>2</w:t>
      </w:r>
      <w:r w:rsidR="009D06BA">
        <w:t xml:space="preserve"> </w:t>
      </w:r>
      <w:r w:rsidRPr="009B09A7">
        <w:t>c</w:t>
      </w:r>
      <w:r w:rsidR="009D06BA">
        <w:t>,</w:t>
      </w:r>
      <w:r>
        <w:t xml:space="preserve"> </w:t>
      </w:r>
      <w:r w:rsidRPr="009B09A7">
        <w:t>d).</w:t>
      </w:r>
    </w:p>
    <w:p w14:paraId="763C07EB" w14:textId="69AFE83B" w:rsidR="00E6523E" w:rsidRPr="00EF5D37" w:rsidRDefault="00E6523E">
      <w:pPr>
        <w:pStyle w:val="Heading3"/>
      </w:pPr>
      <w:bookmarkStart w:id="156" w:name="_Toc130995471"/>
      <w:bookmarkStart w:id="157" w:name="_Toc131018336"/>
      <w:r>
        <w:t>The 10 Dec 2021 severe weather event in Midwest</w:t>
      </w:r>
      <w:bookmarkEnd w:id="156"/>
      <w:bookmarkEnd w:id="157"/>
    </w:p>
    <w:p w14:paraId="7808A892" w14:textId="48D21073" w:rsidR="00E6523E" w:rsidRDefault="00E6523E" w:rsidP="00E6523E">
      <w:r w:rsidRPr="00B96A42">
        <w:t>The last case</w:t>
      </w:r>
      <w:r>
        <w:t xml:space="preserve"> under investigation</w:t>
      </w:r>
      <w:r w:rsidRPr="00B96A42">
        <w:t xml:space="preserve"> is a deadly late-season severe weather event that</w:t>
      </w:r>
      <w:r>
        <w:t xml:space="preserve"> occurred</w:t>
      </w:r>
      <w:r w:rsidRPr="00B96A42">
        <w:t xml:space="preserve"> from the evening of December 10</w:t>
      </w:r>
      <w:r w:rsidRPr="009D06BA">
        <w:rPr>
          <w:vertAlign w:val="superscript"/>
        </w:rPr>
        <w:t>th</w:t>
      </w:r>
      <w:r w:rsidRPr="00B96A42">
        <w:t xml:space="preserve"> to the early morning of December 11</w:t>
      </w:r>
      <w:r w:rsidRPr="009D06BA">
        <w:rPr>
          <w:vertAlign w:val="superscript"/>
        </w:rPr>
        <w:t>st</w:t>
      </w:r>
      <w:r w:rsidRPr="00B96A42">
        <w:t xml:space="preserve">, 2021. </w:t>
      </w:r>
      <w:r>
        <w:t xml:space="preserve">The event </w:t>
      </w:r>
      <w:r w:rsidRPr="00B96A42">
        <w:t>caused catastrophic damage and numerous fatalities across portions of the Southern United States and Ohio Valley</w:t>
      </w:r>
      <w:r>
        <w:t>.</w:t>
      </w:r>
      <w:r w:rsidRPr="00B96A42">
        <w:t xml:space="preserve"> The SPC had initially issued a slight risk two days prior to the event. Due to the presence of an intense upper-level trough, abundant moisture, and robust instability, however, SPC upgraded the risk to an enhanced risk on the Day 1 and eventually to a moderate risk on the morning of December 10th. Given the impressive dynamics of the event, upward trends in the 0</w:t>
      </w:r>
      <w:r w:rsidR="009D06BA">
        <w:t xml:space="preserve"> – </w:t>
      </w:r>
      <w:r w:rsidRPr="00B96A42">
        <w:t>1 km and 0</w:t>
      </w:r>
      <w:r w:rsidR="009D06BA">
        <w:t xml:space="preserve"> – </w:t>
      </w:r>
      <w:r w:rsidRPr="00B96A42">
        <w:t>3 km SRH values were observed, reaching a maximum of 600 m</w:t>
      </w:r>
      <w:r w:rsidRPr="00887743">
        <w:rPr>
          <w:vertAlign w:val="superscript"/>
        </w:rPr>
        <w:t>2</w:t>
      </w:r>
      <w:r>
        <w:t xml:space="preserve"> </w:t>
      </w:r>
      <w:r w:rsidRPr="00B96A42">
        <w:t>s</w:t>
      </w:r>
      <w:r w:rsidRPr="00887743">
        <w:rPr>
          <w:vertAlign w:val="superscript"/>
        </w:rPr>
        <w:t>-2</w:t>
      </w:r>
      <w:r w:rsidRPr="00B96A42">
        <w:t xml:space="preserve"> and 1000 m</w:t>
      </w:r>
      <w:r w:rsidRPr="008A0960">
        <w:rPr>
          <w:vertAlign w:val="superscript"/>
        </w:rPr>
        <w:t>2</w:t>
      </w:r>
      <w:r>
        <w:t xml:space="preserve"> </w:t>
      </w:r>
      <w:r w:rsidRPr="00B96A42">
        <w:t>s</w:t>
      </w:r>
      <w:r w:rsidRPr="008A0960">
        <w:rPr>
          <w:vertAlign w:val="superscript"/>
        </w:rPr>
        <w:t>-2</w:t>
      </w:r>
      <w:r w:rsidRPr="00B96A42">
        <w:t xml:space="preserve">, respectively. This volatile environment resulted in </w:t>
      </w:r>
      <w:r>
        <w:t xml:space="preserve">formation of rare </w:t>
      </w:r>
      <w:r w:rsidRPr="00B96A42">
        <w:t xml:space="preserve">widespread </w:t>
      </w:r>
      <w:r>
        <w:t xml:space="preserve">winter </w:t>
      </w:r>
      <w:r w:rsidRPr="00B96A42">
        <w:t>tornadoes</w:t>
      </w:r>
      <w:r>
        <w:t xml:space="preserve"> that caused</w:t>
      </w:r>
      <w:r w:rsidRPr="00B96A42">
        <w:t xml:space="preserve"> an estimated total economic loss of $18 billion. One of the </w:t>
      </w:r>
      <w:r>
        <w:t xml:space="preserve">supercell </w:t>
      </w:r>
      <w:r w:rsidRPr="00B96A42">
        <w:t>storms that formed from initial mid-afternoon activity near Arkadelphia, Arkansas, was particularly devastating and produced</w:t>
      </w:r>
      <w:r w:rsidRPr="00B96A42">
        <w:rPr>
          <w:rFonts w:hint="eastAsia"/>
        </w:rPr>
        <w:t xml:space="preserve"> </w:t>
      </w:r>
      <w:r w:rsidRPr="00B96A42">
        <w:t>a family of strong tornadoes</w:t>
      </w:r>
      <w:r>
        <w:t>. This supercell</w:t>
      </w:r>
      <w:r w:rsidRPr="00B96A42">
        <w:t xml:space="preserve"> </w:t>
      </w:r>
      <w:r>
        <w:t>generated</w:t>
      </w:r>
      <w:r w:rsidRPr="00B96A42">
        <w:t xml:space="preserve"> an EF-4 tornado that travelled 81.2 miles across Arkansas, Missouri, and Tennessee, and another EF-4 tornado that travelled 165.7 miles across Tennessee and southern Kentucky.</w:t>
      </w:r>
    </w:p>
    <w:p w14:paraId="3DCDF2A8" w14:textId="74790AA9" w:rsidR="009D06BA" w:rsidRDefault="009D06BA" w:rsidP="009D06BA">
      <w:pPr>
        <w:pStyle w:val="NoSpacing"/>
      </w:pPr>
    </w:p>
    <w:p w14:paraId="629AF811" w14:textId="1F962565" w:rsidR="009D06BA" w:rsidRDefault="009D06BA" w:rsidP="009D06BA">
      <w:pPr>
        <w:pStyle w:val="NoSpacing"/>
        <w:jc w:val="center"/>
      </w:pPr>
      <w:r>
        <w:rPr>
          <w:noProof/>
        </w:rPr>
        <w:lastRenderedPageBreak/>
        <w:drawing>
          <wp:inline distT="0" distB="0" distL="0" distR="0" wp14:anchorId="5BCAA2DF" wp14:editId="321A8E0A">
            <wp:extent cx="5943599" cy="4207857"/>
            <wp:effectExtent l="0" t="0" r="635" b="0"/>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 name="Picture 315"/>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943599" cy="4207857"/>
                    </a:xfrm>
                    <a:prstGeom prst="rect">
                      <a:avLst/>
                    </a:prstGeom>
                  </pic:spPr>
                </pic:pic>
              </a:graphicData>
            </a:graphic>
          </wp:inline>
        </w:drawing>
      </w:r>
    </w:p>
    <w:p w14:paraId="5E255E3E" w14:textId="1ECB2B72" w:rsidR="00C77C87" w:rsidRPr="00D60A80" w:rsidRDefault="00C77C87" w:rsidP="00C77C87">
      <w:pPr>
        <w:pStyle w:val="Captions"/>
        <w:rPr>
          <w:szCs w:val="24"/>
        </w:rPr>
      </w:pPr>
      <w:bookmarkStart w:id="158" w:name="_Toc134695308"/>
      <w:r w:rsidRPr="00D60A80">
        <w:rPr>
          <w:szCs w:val="24"/>
        </w:rPr>
        <w:t xml:space="preserve">Figure </w:t>
      </w:r>
      <w:r w:rsidR="00C96E3B" w:rsidRPr="00D60A80">
        <w:rPr>
          <w:szCs w:val="24"/>
        </w:rPr>
        <w:fldChar w:fldCharType="begin"/>
      </w:r>
      <w:r w:rsidR="00C96E3B" w:rsidRPr="00D60A80">
        <w:rPr>
          <w:szCs w:val="24"/>
        </w:rPr>
        <w:instrText xml:space="preserve"> STYLEREF 1 \s </w:instrText>
      </w:r>
      <w:r w:rsidR="00C96E3B" w:rsidRPr="00D60A80">
        <w:rPr>
          <w:szCs w:val="24"/>
        </w:rPr>
        <w:fldChar w:fldCharType="separate"/>
      </w:r>
      <w:r w:rsidRPr="00D60A80">
        <w:rPr>
          <w:noProof/>
          <w:szCs w:val="24"/>
        </w:rPr>
        <w:t>5</w:t>
      </w:r>
      <w:r w:rsidR="00C96E3B" w:rsidRPr="00D60A80">
        <w:rPr>
          <w:noProof/>
          <w:szCs w:val="24"/>
        </w:rPr>
        <w:fldChar w:fldCharType="end"/>
      </w:r>
      <w:r w:rsidRPr="00D60A80">
        <w:rPr>
          <w:szCs w:val="24"/>
        </w:rPr>
        <w:t>.</w:t>
      </w:r>
      <w:r w:rsidR="00C96E3B" w:rsidRPr="00D60A80">
        <w:rPr>
          <w:szCs w:val="24"/>
        </w:rPr>
        <w:fldChar w:fldCharType="begin"/>
      </w:r>
      <w:r w:rsidR="00C96E3B" w:rsidRPr="00D60A80">
        <w:rPr>
          <w:szCs w:val="24"/>
        </w:rPr>
        <w:instrText xml:space="preserve"> SEQ Figure \* ARABIC \s 1 </w:instrText>
      </w:r>
      <w:r w:rsidR="00C96E3B" w:rsidRPr="00D60A80">
        <w:rPr>
          <w:szCs w:val="24"/>
        </w:rPr>
        <w:fldChar w:fldCharType="separate"/>
      </w:r>
      <w:r w:rsidRPr="00D60A80">
        <w:rPr>
          <w:noProof/>
          <w:szCs w:val="24"/>
        </w:rPr>
        <w:t>13</w:t>
      </w:r>
      <w:r w:rsidR="00C96E3B" w:rsidRPr="00D60A80">
        <w:rPr>
          <w:noProof/>
          <w:szCs w:val="24"/>
        </w:rPr>
        <w:fldChar w:fldCharType="end"/>
      </w:r>
      <w:r w:rsidRPr="00D60A80">
        <w:rPr>
          <w:szCs w:val="24"/>
        </w:rPr>
        <w:t xml:space="preserve"> As in Fig. 5.7, but for the 6-hour 2 – 5 km UH track forecasts initialized at (a, d) 2200, (b, e) 0000, and (c, f) 0200 UTC on 10 Dec 2021.</w:t>
      </w:r>
      <w:bookmarkEnd w:id="158"/>
    </w:p>
    <w:p w14:paraId="7260450F" w14:textId="2FA7B9A8" w:rsidR="009D06BA" w:rsidRDefault="009D06BA" w:rsidP="009D06BA">
      <w:pPr>
        <w:pStyle w:val="NoSpacing"/>
      </w:pPr>
    </w:p>
    <w:p w14:paraId="508A1D39" w14:textId="166901C6" w:rsidR="00C77C87" w:rsidRDefault="00C77C87" w:rsidP="00C77C87">
      <w:pPr>
        <w:pStyle w:val="NoSpacing"/>
        <w:jc w:val="center"/>
      </w:pPr>
      <w:r>
        <w:rPr>
          <w:noProof/>
        </w:rPr>
        <w:drawing>
          <wp:inline distT="0" distB="0" distL="0" distR="0" wp14:anchorId="787304AE" wp14:editId="336967BF">
            <wp:extent cx="5943409" cy="2830195"/>
            <wp:effectExtent l="0" t="0" r="635" b="190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943409" cy="2830195"/>
                    </a:xfrm>
                    <a:prstGeom prst="rect">
                      <a:avLst/>
                    </a:prstGeom>
                  </pic:spPr>
                </pic:pic>
              </a:graphicData>
            </a:graphic>
          </wp:inline>
        </w:drawing>
      </w:r>
    </w:p>
    <w:p w14:paraId="5575D92D" w14:textId="021BAE26" w:rsidR="00C77C87" w:rsidRPr="00D60A80" w:rsidRDefault="00C77C87" w:rsidP="00C77C87">
      <w:pPr>
        <w:pStyle w:val="Captions"/>
        <w:rPr>
          <w:szCs w:val="24"/>
        </w:rPr>
      </w:pPr>
      <w:bookmarkStart w:id="159" w:name="_Toc134695309"/>
      <w:r w:rsidRPr="00D60A80">
        <w:rPr>
          <w:szCs w:val="24"/>
        </w:rPr>
        <w:t xml:space="preserve">Figure </w:t>
      </w:r>
      <w:r w:rsidR="00C96E3B" w:rsidRPr="00D60A80">
        <w:rPr>
          <w:szCs w:val="24"/>
        </w:rPr>
        <w:fldChar w:fldCharType="begin"/>
      </w:r>
      <w:r w:rsidR="00C96E3B" w:rsidRPr="00D60A80">
        <w:rPr>
          <w:szCs w:val="24"/>
        </w:rPr>
        <w:instrText xml:space="preserve"> STYLEREF 1 \s </w:instrText>
      </w:r>
      <w:r w:rsidR="00C96E3B" w:rsidRPr="00D60A80">
        <w:rPr>
          <w:szCs w:val="24"/>
        </w:rPr>
        <w:fldChar w:fldCharType="separate"/>
      </w:r>
      <w:r w:rsidRPr="00D60A80">
        <w:rPr>
          <w:noProof/>
          <w:szCs w:val="24"/>
        </w:rPr>
        <w:t>5</w:t>
      </w:r>
      <w:r w:rsidR="00C96E3B" w:rsidRPr="00D60A80">
        <w:rPr>
          <w:noProof/>
          <w:szCs w:val="24"/>
        </w:rPr>
        <w:fldChar w:fldCharType="end"/>
      </w:r>
      <w:r w:rsidRPr="00D60A80">
        <w:rPr>
          <w:szCs w:val="24"/>
        </w:rPr>
        <w:t>.</w:t>
      </w:r>
      <w:r w:rsidR="00C96E3B" w:rsidRPr="00D60A80">
        <w:rPr>
          <w:szCs w:val="24"/>
        </w:rPr>
        <w:fldChar w:fldCharType="begin"/>
      </w:r>
      <w:r w:rsidR="00C96E3B" w:rsidRPr="00D60A80">
        <w:rPr>
          <w:szCs w:val="24"/>
        </w:rPr>
        <w:instrText xml:space="preserve"> SEQ Figure \* ARABIC \s 1 </w:instrText>
      </w:r>
      <w:r w:rsidR="00C96E3B" w:rsidRPr="00D60A80">
        <w:rPr>
          <w:szCs w:val="24"/>
        </w:rPr>
        <w:fldChar w:fldCharType="separate"/>
      </w:r>
      <w:r w:rsidRPr="00D60A80">
        <w:rPr>
          <w:noProof/>
          <w:szCs w:val="24"/>
        </w:rPr>
        <w:t>14</w:t>
      </w:r>
      <w:r w:rsidR="00C96E3B" w:rsidRPr="00D60A80">
        <w:rPr>
          <w:noProof/>
          <w:szCs w:val="24"/>
        </w:rPr>
        <w:fldChar w:fldCharType="end"/>
      </w:r>
      <w:r w:rsidRPr="00D60A80">
        <w:rPr>
          <w:szCs w:val="24"/>
        </w:rPr>
        <w:t xml:space="preserve"> As in Fig. 5.8, but for the (1) analysis and (2 - 7) forecasts initialized at 2200 UTC on 10 Dec 2021.</w:t>
      </w:r>
      <w:bookmarkEnd w:id="159"/>
    </w:p>
    <w:p w14:paraId="5AB90378" w14:textId="77777777" w:rsidR="00C77C87" w:rsidRDefault="00C77C87" w:rsidP="009D06BA">
      <w:pPr>
        <w:pStyle w:val="NoSpacing"/>
      </w:pPr>
    </w:p>
    <w:p w14:paraId="7F37DFF2" w14:textId="41C70BA0" w:rsidR="00E6523E" w:rsidRDefault="00E6523E" w:rsidP="00E6523E">
      <w:r>
        <w:t>D</w:t>
      </w:r>
      <w:r w:rsidRPr="009C2759">
        <w:t>uring the time period from 2200 UTC on 10 Dec 2021 to 0900 UTC on 11 Dec 2021</w:t>
      </w:r>
      <w:r>
        <w:t xml:space="preserve">, most </w:t>
      </w:r>
      <w:r w:rsidRPr="009C2759">
        <w:t>severe weather events including tornadoes and damaging winds were reported</w:t>
      </w:r>
      <w:r>
        <w:t>.</w:t>
      </w:r>
      <w:r w:rsidRPr="009C2759">
        <w:t xml:space="preserve"> </w:t>
      </w:r>
      <w:r>
        <w:t>The severe weather events were</w:t>
      </w:r>
      <w:r w:rsidRPr="009C2759">
        <w:t xml:space="preserve"> </w:t>
      </w:r>
      <w:r>
        <w:t>associated with</w:t>
      </w:r>
      <w:r w:rsidRPr="009C2759">
        <w:t xml:space="preserve"> two long-lived supercell</w:t>
      </w:r>
      <w:r w:rsidR="00CD5F15">
        <w:t>s</w:t>
      </w:r>
      <w:r>
        <w:t>.</w:t>
      </w:r>
      <w:r w:rsidRPr="009C2759">
        <w:t xml:space="preserve"> </w:t>
      </w:r>
      <w:r>
        <w:t>The first supercell was</w:t>
      </w:r>
      <w:r w:rsidRPr="009C2759">
        <w:t xml:space="preserve"> initiated in </w:t>
      </w:r>
      <w:r>
        <w:t>central</w:t>
      </w:r>
      <w:r w:rsidRPr="009C2759">
        <w:t xml:space="preserve"> Arkansas at 2</w:t>
      </w:r>
      <w:r>
        <w:t>2</w:t>
      </w:r>
      <w:r w:rsidRPr="009C2759">
        <w:t xml:space="preserve">00 UTC (Fig. </w:t>
      </w:r>
      <w:r w:rsidR="00C77C87">
        <w:t>5.</w:t>
      </w:r>
      <w:r w:rsidRPr="009C2759">
        <w:t>1</w:t>
      </w:r>
      <w:r>
        <w:t xml:space="preserve">4 </w:t>
      </w:r>
      <w:r w:rsidRPr="009C2759">
        <w:t>o</w:t>
      </w:r>
      <w:r>
        <w:t>1</w:t>
      </w:r>
      <w:r w:rsidRPr="009C2759">
        <w:t xml:space="preserve">) and the </w:t>
      </w:r>
      <w:r>
        <w:t>second supercell formed</w:t>
      </w:r>
      <w:r w:rsidRPr="009C2759">
        <w:t xml:space="preserve"> near the same location at 0100 UTC the next day (Fig. </w:t>
      </w:r>
      <w:r w:rsidR="00C77C87">
        <w:t>5.</w:t>
      </w:r>
      <w:r w:rsidRPr="009C2759">
        <w:t>1</w:t>
      </w:r>
      <w:r>
        <w:t xml:space="preserve">4 </w:t>
      </w:r>
      <w:r w:rsidRPr="009C2759">
        <w:t>o4). The 2</w:t>
      </w:r>
      <w:r w:rsidR="00C77C87">
        <w:t xml:space="preserve"> </w:t>
      </w:r>
      <w:r w:rsidRPr="009C2759">
        <w:t>–</w:t>
      </w:r>
      <w:r w:rsidR="00C77C87">
        <w:t xml:space="preserve"> </w:t>
      </w:r>
      <w:r w:rsidRPr="009C2759">
        <w:t>5 km UH tracks for 6</w:t>
      </w:r>
      <w:r w:rsidR="00857FCC">
        <w:t>-hour</w:t>
      </w:r>
      <w:r w:rsidRPr="009C2759">
        <w:t xml:space="preserve"> forecasts launched at 2200, 0000, and 0200 UTC are compared to the </w:t>
      </w:r>
      <w:r>
        <w:t>NWS/</w:t>
      </w:r>
      <w:r w:rsidRPr="009C2759">
        <w:t xml:space="preserve">SPC storm reports </w:t>
      </w:r>
      <w:r w:rsidRPr="0088260C">
        <w:t>to evaluate the accuracy of the forecasts</w:t>
      </w:r>
      <w:r w:rsidRPr="009C2759">
        <w:t xml:space="preserve"> </w:t>
      </w:r>
      <w:r>
        <w:t>(</w:t>
      </w:r>
      <w:r w:rsidRPr="009C2759">
        <w:t>Fi</w:t>
      </w:r>
      <w:r>
        <w:t>g.</w:t>
      </w:r>
      <w:r w:rsidRPr="009C2759">
        <w:t xml:space="preserve"> </w:t>
      </w:r>
      <w:r w:rsidR="00C77C87">
        <w:t>5.</w:t>
      </w:r>
      <w:r>
        <w:t>13)</w:t>
      </w:r>
      <w:r w:rsidRPr="009C2759">
        <w:t xml:space="preserve">. The 2200 UTC forecasts show a swath of 2 – 5 km UH greater than 200 </w:t>
      </w:r>
      <w:r w:rsidRPr="0088260C">
        <w:t>m</w:t>
      </w:r>
      <w:r w:rsidRPr="0088260C">
        <w:rPr>
          <w:vertAlign w:val="superscript"/>
        </w:rPr>
        <w:t>2</w:t>
      </w:r>
      <w:r>
        <w:t xml:space="preserve"> </w:t>
      </w:r>
      <w:r w:rsidRPr="0088260C">
        <w:t>s</w:t>
      </w:r>
      <w:r w:rsidRPr="00500797">
        <w:rPr>
          <w:vertAlign w:val="superscript"/>
        </w:rPr>
        <w:t>-2</w:t>
      </w:r>
      <w:r w:rsidRPr="009C2759">
        <w:t xml:space="preserve"> in northeastern Arkansas in both </w:t>
      </w:r>
      <w:r>
        <w:t>Hyb_retro</w:t>
      </w:r>
      <w:r w:rsidRPr="009C2759">
        <w:t xml:space="preserve"> and </w:t>
      </w:r>
      <w:r>
        <w:t>Hyb_WD</w:t>
      </w:r>
      <w:r w:rsidRPr="009C2759">
        <w:t xml:space="preserve"> experiments, which rapidly downgrad</w:t>
      </w:r>
      <w:r>
        <w:t>e</w:t>
      </w:r>
      <w:r w:rsidRPr="009C2759">
        <w:t xml:space="preserve"> in intensity to greater than 40 </w:t>
      </w:r>
      <w:r w:rsidRPr="0088260C">
        <w:t>m</w:t>
      </w:r>
      <w:r w:rsidRPr="0088260C">
        <w:rPr>
          <w:vertAlign w:val="superscript"/>
        </w:rPr>
        <w:t>2</w:t>
      </w:r>
      <w:r>
        <w:t xml:space="preserve"> </w:t>
      </w:r>
      <w:r w:rsidRPr="0088260C">
        <w:t>s</w:t>
      </w:r>
      <w:r w:rsidRPr="00500797">
        <w:rPr>
          <w:vertAlign w:val="superscript"/>
        </w:rPr>
        <w:t>-2</w:t>
      </w:r>
      <w:r w:rsidRPr="009C2759">
        <w:t xml:space="preserve"> in one hour (Fig. </w:t>
      </w:r>
      <w:r w:rsidR="00C77C87">
        <w:t>5.</w:t>
      </w:r>
      <w:r w:rsidRPr="009C2759">
        <w:t>1</w:t>
      </w:r>
      <w:r>
        <w:t>3</w:t>
      </w:r>
      <w:r w:rsidR="00C77C87">
        <w:t xml:space="preserve"> </w:t>
      </w:r>
      <w:r w:rsidRPr="009C2759">
        <w:t>a</w:t>
      </w:r>
      <w:r w:rsidR="00C77C87">
        <w:t>,</w:t>
      </w:r>
      <w:r>
        <w:t xml:space="preserve"> d</w:t>
      </w:r>
      <w:r w:rsidRPr="009C2759">
        <w:t xml:space="preserve">). The swath is corresponding to the supercell that produced EF-4 tornadoes at a later time. </w:t>
      </w:r>
      <w:r w:rsidRPr="0088260C">
        <w:t xml:space="preserve">The UH swath in </w:t>
      </w:r>
      <w:r>
        <w:t>Hyb_retro</w:t>
      </w:r>
      <w:r w:rsidRPr="0088260C">
        <w:t xml:space="preserve"> disappear</w:t>
      </w:r>
      <w:r>
        <w:t>s</w:t>
      </w:r>
      <w:r w:rsidRPr="0088260C">
        <w:t xml:space="preserve"> after 2 hours into the forecast, whereas the UH swath in </w:t>
      </w:r>
      <w:r>
        <w:t>Hyb_WD</w:t>
      </w:r>
      <w:r w:rsidRPr="0088260C">
        <w:t xml:space="preserve"> persist</w:t>
      </w:r>
      <w:r>
        <w:t>s</w:t>
      </w:r>
      <w:r w:rsidRPr="0088260C">
        <w:t xml:space="preserve"> until the end of the forecast, albeit with intensity only greater than 40 m</w:t>
      </w:r>
      <w:r>
        <w:rPr>
          <w:vertAlign w:val="superscript"/>
        </w:rPr>
        <w:t>2</w:t>
      </w:r>
      <w:r w:rsidRPr="0088260C">
        <w:t>s</w:t>
      </w:r>
      <w:r>
        <w:rPr>
          <w:vertAlign w:val="superscript"/>
        </w:rPr>
        <w:t>-2</w:t>
      </w:r>
      <w:r w:rsidRPr="0088260C">
        <w:t xml:space="preserve"> (red boxes in Figs. </w:t>
      </w:r>
      <w:r w:rsidR="00C77C87">
        <w:t>5.</w:t>
      </w:r>
      <w:r w:rsidRPr="0088260C">
        <w:t>13</w:t>
      </w:r>
      <w:r w:rsidR="00C77C87">
        <w:t xml:space="preserve"> </w:t>
      </w:r>
      <w:r w:rsidRPr="0088260C">
        <w:t>a vs d). This persisted UH swath corresponds well with the long-track tornado reported by SPC during the same time period.</w:t>
      </w:r>
      <w:r>
        <w:t xml:space="preserve"> </w:t>
      </w:r>
      <w:r w:rsidRPr="009C2759">
        <w:t xml:space="preserve">The </w:t>
      </w:r>
      <w:r>
        <w:t>Hyb_retro</w:t>
      </w:r>
      <w:r w:rsidRPr="009C2759">
        <w:t xml:space="preserve"> experiment </w:t>
      </w:r>
      <w:r>
        <w:t xml:space="preserve">also </w:t>
      </w:r>
      <w:r w:rsidRPr="009C2759">
        <w:t>has a separate</w:t>
      </w:r>
      <w:r>
        <w:t xml:space="preserve"> weak</w:t>
      </w:r>
      <w:r w:rsidRPr="009C2759">
        <w:t xml:space="preserve"> UH swath intersected with the track of the storm reports, but it represents a newly formed convection that </w:t>
      </w:r>
      <w:r>
        <w:t>i</w:t>
      </w:r>
      <w:r w:rsidRPr="009C2759">
        <w:t xml:space="preserve">s unrelated to the </w:t>
      </w:r>
      <w:r>
        <w:t>first</w:t>
      </w:r>
      <w:r w:rsidRPr="009C2759">
        <w:t xml:space="preserve"> </w:t>
      </w:r>
      <w:r>
        <w:t xml:space="preserve">long-lived </w:t>
      </w:r>
      <w:r w:rsidRPr="009C2759">
        <w:t xml:space="preserve">tornadic supercell. </w:t>
      </w:r>
      <w:r>
        <w:t xml:space="preserve">For forecast launched from </w:t>
      </w:r>
      <w:r w:rsidRPr="009C2759">
        <w:t xml:space="preserve">0000 UTC, the UH swath in both experiments becomes progressively strong and more aligned with the tornado reports, with </w:t>
      </w:r>
      <w:r>
        <w:t>Hyb_retro</w:t>
      </w:r>
      <w:r w:rsidRPr="009C2759">
        <w:t xml:space="preserve"> reaching a level of 40 </w:t>
      </w:r>
      <w:r w:rsidRPr="0088260C">
        <w:t>m</w:t>
      </w:r>
      <w:r w:rsidRPr="0088260C">
        <w:rPr>
          <w:vertAlign w:val="superscript"/>
        </w:rPr>
        <w:t>2</w:t>
      </w:r>
      <w:r w:rsidRPr="0088260C">
        <w:t>s</w:t>
      </w:r>
      <w:r w:rsidRPr="00500797">
        <w:rPr>
          <w:vertAlign w:val="superscript"/>
        </w:rPr>
        <w:t>-2</w:t>
      </w:r>
      <w:r w:rsidRPr="009C2759">
        <w:t xml:space="preserve"> and </w:t>
      </w:r>
      <w:r>
        <w:t>Hyb_WD</w:t>
      </w:r>
      <w:r w:rsidRPr="009C2759">
        <w:t xml:space="preserve"> reaching a level of 160 </w:t>
      </w:r>
      <w:r w:rsidRPr="0088260C">
        <w:t>m</w:t>
      </w:r>
      <w:r w:rsidRPr="0088260C">
        <w:rPr>
          <w:vertAlign w:val="superscript"/>
        </w:rPr>
        <w:t>2</w:t>
      </w:r>
      <w:r w:rsidRPr="0088260C">
        <w:t>s</w:t>
      </w:r>
      <w:r w:rsidRPr="00500797">
        <w:rPr>
          <w:vertAlign w:val="superscript"/>
        </w:rPr>
        <w:t>-2</w:t>
      </w:r>
      <w:r w:rsidRPr="009C2759">
        <w:t xml:space="preserve"> along the tornado track indicated by the storm reports (Figs. </w:t>
      </w:r>
      <w:r w:rsidR="00C77C87">
        <w:t>5.</w:t>
      </w:r>
      <w:r w:rsidRPr="009C2759">
        <w:t>1</w:t>
      </w:r>
      <w:r>
        <w:t>3</w:t>
      </w:r>
      <w:r w:rsidR="00C77C87">
        <w:t xml:space="preserve"> </w:t>
      </w:r>
      <w:r w:rsidRPr="009C2759">
        <w:t>b</w:t>
      </w:r>
      <w:r w:rsidR="00C77C87">
        <w:t>,</w:t>
      </w:r>
      <w:r w:rsidRPr="009C2759">
        <w:t xml:space="preserve"> e). However, the situation in the 0200 UTC forecast is somewhat reversed</w:t>
      </w:r>
      <w:r>
        <w:t>.</w:t>
      </w:r>
      <w:r w:rsidRPr="009C2759">
        <w:t xml:space="preserve"> </w:t>
      </w:r>
      <w:r>
        <w:t xml:space="preserve">Hyb_retro </w:t>
      </w:r>
      <w:r w:rsidRPr="009C2759">
        <w:t>provid</w:t>
      </w:r>
      <w:r>
        <w:t>es</w:t>
      </w:r>
      <w:r w:rsidRPr="009C2759">
        <w:t xml:space="preserve"> a UH swath greater than 200 </w:t>
      </w:r>
      <w:r w:rsidRPr="0088260C">
        <w:t>m</w:t>
      </w:r>
      <w:r w:rsidRPr="0088260C">
        <w:rPr>
          <w:vertAlign w:val="superscript"/>
        </w:rPr>
        <w:t>2</w:t>
      </w:r>
      <w:r>
        <w:t xml:space="preserve"> </w:t>
      </w:r>
      <w:r w:rsidRPr="0088260C">
        <w:t>s</w:t>
      </w:r>
      <w:r w:rsidRPr="00500797">
        <w:rPr>
          <w:vertAlign w:val="superscript"/>
        </w:rPr>
        <w:t>-2</w:t>
      </w:r>
      <w:r>
        <w:t>, while</w:t>
      </w:r>
      <w:r w:rsidRPr="009C2759">
        <w:t xml:space="preserve"> </w:t>
      </w:r>
      <w:r>
        <w:t>Hyb_WD</w:t>
      </w:r>
      <w:r w:rsidRPr="009C2759">
        <w:t xml:space="preserve"> provid</w:t>
      </w:r>
      <w:r>
        <w:t>es</w:t>
      </w:r>
      <w:r w:rsidRPr="009C2759">
        <w:t xml:space="preserve"> a UH swath only greater than 80 </w:t>
      </w:r>
      <w:r w:rsidRPr="0088260C">
        <w:t>m</w:t>
      </w:r>
      <w:r w:rsidRPr="0088260C">
        <w:rPr>
          <w:vertAlign w:val="superscript"/>
        </w:rPr>
        <w:t>2</w:t>
      </w:r>
      <w:r>
        <w:t xml:space="preserve"> </w:t>
      </w:r>
      <w:r w:rsidRPr="0088260C">
        <w:t>s</w:t>
      </w:r>
      <w:r w:rsidRPr="00500797">
        <w:rPr>
          <w:vertAlign w:val="superscript"/>
        </w:rPr>
        <w:t>-2</w:t>
      </w:r>
      <w:r w:rsidRPr="009C2759">
        <w:t xml:space="preserve"> (Figs. </w:t>
      </w:r>
      <w:r w:rsidR="00C77C87">
        <w:t>5.</w:t>
      </w:r>
      <w:r w:rsidRPr="009C2759">
        <w:t>1</w:t>
      </w:r>
      <w:r>
        <w:t>3</w:t>
      </w:r>
      <w:r w:rsidR="00C77C87">
        <w:t xml:space="preserve"> </w:t>
      </w:r>
      <w:r w:rsidRPr="009C2759">
        <w:t>c</w:t>
      </w:r>
      <w:r w:rsidR="00C77C87">
        <w:t>,</w:t>
      </w:r>
      <w:r w:rsidRPr="009C2759">
        <w:t xml:space="preserve"> f). Without considering the intensity of the swaths, both experiments provide a UH swath with little phase errors for the first long-lived supercell that produced EF-4 tornadoes. The overlap of the UH swath for the </w:t>
      </w:r>
      <w:r w:rsidRPr="009C2759">
        <w:lastRenderedPageBreak/>
        <w:t xml:space="preserve">second long-lived supercell embedded in a quasi-linear convective system highlights the limitation of </w:t>
      </w:r>
      <w:r>
        <w:t>WoF-Hybrid</w:t>
      </w:r>
      <w:r w:rsidRPr="009C2759">
        <w:t xml:space="preserve"> in accurately simulating the motion of a complicated weather system. The UH forecast from 0200 UTC eventually established a relatively better track for the second supercell by enforcing itself to absorb velocity information from radar observation (Figs. </w:t>
      </w:r>
      <w:r w:rsidR="00C77C87">
        <w:t>5.</w:t>
      </w:r>
      <w:r w:rsidRPr="009C2759">
        <w:t>1</w:t>
      </w:r>
      <w:r>
        <w:t>3</w:t>
      </w:r>
      <w:r w:rsidR="00C77C87">
        <w:t xml:space="preserve"> </w:t>
      </w:r>
      <w:r w:rsidRPr="009C2759">
        <w:t>c</w:t>
      </w:r>
      <w:r w:rsidR="00C77C87">
        <w:t>,</w:t>
      </w:r>
      <w:r>
        <w:t xml:space="preserve"> </w:t>
      </w:r>
      <w:r w:rsidRPr="009C2759">
        <w:t xml:space="preserve">f). However, the rotation with greater than 80 </w:t>
      </w:r>
      <w:r w:rsidRPr="0088260C">
        <w:t>m</w:t>
      </w:r>
      <w:r w:rsidRPr="0088260C">
        <w:rPr>
          <w:vertAlign w:val="superscript"/>
        </w:rPr>
        <w:t>2</w:t>
      </w:r>
      <w:r>
        <w:t xml:space="preserve"> </w:t>
      </w:r>
      <w:r w:rsidRPr="0088260C">
        <w:t>s</w:t>
      </w:r>
      <w:r w:rsidRPr="00500797">
        <w:rPr>
          <w:vertAlign w:val="superscript"/>
        </w:rPr>
        <w:t>-2</w:t>
      </w:r>
      <w:r w:rsidRPr="009C2759">
        <w:t xml:space="preserve"> only persisted for about 3 hours, despite its associated greater than 40 dBZ reflectivity persisting to the end of the forecast (not shown). Th</w:t>
      </w:r>
      <w:r>
        <w:t>is</w:t>
      </w:r>
      <w:r w:rsidRPr="009C2759">
        <w:t xml:space="preserve"> result indicates another shortcoming of </w:t>
      </w:r>
      <w:r>
        <w:t>WoF-Hybrid</w:t>
      </w:r>
      <w:r w:rsidRPr="009C2759">
        <w:t xml:space="preserve">, which is the inability to capture the dynamic processes of finer scale convection </w:t>
      </w:r>
      <w:r>
        <w:t>with</w:t>
      </w:r>
      <w:r w:rsidRPr="009C2759">
        <w:t xml:space="preserve"> its current resolution.</w:t>
      </w:r>
      <w:r>
        <w:t xml:space="preserve"> More research with higher resolution for this particular case will be pursued in the future. </w:t>
      </w:r>
    </w:p>
    <w:p w14:paraId="1D97514F" w14:textId="34C260B3" w:rsidR="00E6523E" w:rsidRDefault="00E6523E" w:rsidP="00E6523E">
      <w:r w:rsidRPr="00287E9C">
        <w:t>The results of the 6</w:t>
      </w:r>
      <w:r w:rsidR="00857FCC">
        <w:t>-hour</w:t>
      </w:r>
      <w:r w:rsidRPr="00287E9C">
        <w:t xml:space="preserve"> CREF forecasts initialized at 2200 UTC show that </w:t>
      </w:r>
      <w:r>
        <w:t>Hyb_WD</w:t>
      </w:r>
      <w:r w:rsidRPr="00287E9C">
        <w:t xml:space="preserve"> is the experiment more accurate</w:t>
      </w:r>
      <w:r>
        <w:t xml:space="preserve"> in</w:t>
      </w:r>
      <w:r w:rsidRPr="00287E9C">
        <w:t xml:space="preserve"> predicting the first tornadic supercell that occurred across Arkansas, Missouri, Tennessee, and Illinois. The storm motion in this prediction is slightly faster than the observed storm</w:t>
      </w:r>
      <w:r>
        <w:t xml:space="preserve">, as shown by the </w:t>
      </w:r>
      <w:r w:rsidRPr="00287E9C">
        <w:t>blue boxes in Fig</w:t>
      </w:r>
      <w:r w:rsidR="00C77C87">
        <w:t>.</w:t>
      </w:r>
      <w:r w:rsidRPr="00287E9C">
        <w:t xml:space="preserve"> </w:t>
      </w:r>
      <w:r w:rsidR="00C77C87">
        <w:t>5.</w:t>
      </w:r>
      <w:r w:rsidRPr="00287E9C">
        <w:t>1</w:t>
      </w:r>
      <w:r>
        <w:t>4</w:t>
      </w:r>
      <w:r w:rsidR="00C77C87">
        <w:t xml:space="preserve"> </w:t>
      </w:r>
      <w:r>
        <w:t xml:space="preserve">b compared to </w:t>
      </w:r>
      <w:r w:rsidR="00C77C87">
        <w:t>5.</w:t>
      </w:r>
      <w:r>
        <w:t>14</w:t>
      </w:r>
      <w:r w:rsidR="00C77C87">
        <w:t xml:space="preserve"> </w:t>
      </w:r>
      <w:r>
        <w:t>o</w:t>
      </w:r>
      <w:r w:rsidRPr="00287E9C">
        <w:t xml:space="preserve">. </w:t>
      </w:r>
      <w:r>
        <w:t>On the other hand,</w:t>
      </w:r>
      <w:r w:rsidRPr="00287E9C">
        <w:t xml:space="preserve"> </w:t>
      </w:r>
      <w:r>
        <w:t>the forecast for the same supercell in Hyb_retro only lasts one hour until 2300 UTC</w:t>
      </w:r>
      <w:r w:rsidRPr="00287E9C">
        <w:t xml:space="preserve">, </w:t>
      </w:r>
      <w:r>
        <w:t>and the supercell disappears</w:t>
      </w:r>
      <w:r w:rsidRPr="00287E9C">
        <w:t xml:space="preserve"> after 0000 UTC</w:t>
      </w:r>
      <w:r>
        <w:t xml:space="preserve">, as shown by the </w:t>
      </w:r>
      <w:r w:rsidRPr="00287E9C">
        <w:t>blue boxes in Fig</w:t>
      </w:r>
      <w:r w:rsidR="00C77C87">
        <w:t>.</w:t>
      </w:r>
      <w:r w:rsidRPr="00287E9C">
        <w:t xml:space="preserve"> </w:t>
      </w:r>
      <w:r w:rsidR="00C77C87">
        <w:t>5.</w:t>
      </w:r>
      <w:r w:rsidRPr="00287E9C">
        <w:t>1</w:t>
      </w:r>
      <w:r>
        <w:t xml:space="preserve">4 compared to </w:t>
      </w:r>
      <w:r w:rsidR="00C77C87">
        <w:t>5.</w:t>
      </w:r>
      <w:r>
        <w:t>14</w:t>
      </w:r>
      <w:r w:rsidR="00C77C87">
        <w:t xml:space="preserve"> </w:t>
      </w:r>
      <w:r>
        <w:t xml:space="preserve">o. </w:t>
      </w:r>
      <w:r w:rsidRPr="00287E9C">
        <w:t>The second supercell embedded in the quasi-linear convective system</w:t>
      </w:r>
      <w:r>
        <w:t xml:space="preserve"> (Fig. </w:t>
      </w:r>
      <w:r w:rsidR="00C77C87">
        <w:t>5.</w:t>
      </w:r>
      <w:r>
        <w:t>14</w:t>
      </w:r>
      <w:r w:rsidR="00C77C87">
        <w:t xml:space="preserve"> </w:t>
      </w:r>
      <w:r>
        <w:t>o4)</w:t>
      </w:r>
      <w:r w:rsidRPr="00287E9C">
        <w:t xml:space="preserve"> is initially missed by both experiments</w:t>
      </w:r>
      <w:r>
        <w:t xml:space="preserve"> </w:t>
      </w:r>
      <w:r w:rsidRPr="00287E9C">
        <w:t>at 0100 UTC (3 hours into the 2200 UTC forecast</w:t>
      </w:r>
      <w:r>
        <w:t>, Fig</w:t>
      </w:r>
      <w:r w:rsidR="00C77C87">
        <w:t>s</w:t>
      </w:r>
      <w:r>
        <w:t xml:space="preserve">. </w:t>
      </w:r>
      <w:r w:rsidR="00C77C87">
        <w:t>5.</w:t>
      </w:r>
      <w:r>
        <w:t>14</w:t>
      </w:r>
      <w:r w:rsidR="00C77C87">
        <w:t xml:space="preserve"> </w:t>
      </w:r>
      <w:r>
        <w:t>a4</w:t>
      </w:r>
      <w:r w:rsidR="00C77C87">
        <w:t>,</w:t>
      </w:r>
      <w:r>
        <w:t xml:space="preserve"> b4</w:t>
      </w:r>
      <w:r w:rsidRPr="00287E9C">
        <w:t>)</w:t>
      </w:r>
      <w:r>
        <w:t>.</w:t>
      </w:r>
      <w:r w:rsidRPr="00287E9C">
        <w:t xml:space="preserve"> however, </w:t>
      </w:r>
      <w:r>
        <w:t>it initiate</w:t>
      </w:r>
      <w:r w:rsidRPr="00287E9C">
        <w:t>s after 4 hours into the forecast</w:t>
      </w:r>
      <w:r>
        <w:t xml:space="preserve"> (Fig</w:t>
      </w:r>
      <w:r w:rsidR="00C77C87">
        <w:t>s</w:t>
      </w:r>
      <w:r>
        <w:t xml:space="preserve">. </w:t>
      </w:r>
      <w:r w:rsidR="00C77C87">
        <w:t>5.</w:t>
      </w:r>
      <w:r>
        <w:t>14</w:t>
      </w:r>
      <w:r w:rsidR="00C77C87">
        <w:t xml:space="preserve"> </w:t>
      </w:r>
      <w:r>
        <w:t>a5</w:t>
      </w:r>
      <w:r w:rsidR="00C77C87">
        <w:t>,</w:t>
      </w:r>
      <w:r>
        <w:t xml:space="preserve"> b5)</w:t>
      </w:r>
      <w:r w:rsidRPr="00287E9C">
        <w:t xml:space="preserve">. Nevertheless, </w:t>
      </w:r>
      <w:r>
        <w:t xml:space="preserve">both experiments display </w:t>
      </w:r>
      <w:r w:rsidRPr="00287E9C">
        <w:t xml:space="preserve">the supercell along with the quasi-linear convective system </w:t>
      </w:r>
      <w:r>
        <w:t>located</w:t>
      </w:r>
      <w:r w:rsidRPr="00287E9C">
        <w:t xml:space="preserve"> northwest </w:t>
      </w:r>
      <w:r>
        <w:t>of</w:t>
      </w:r>
      <w:r w:rsidRPr="00287E9C">
        <w:t xml:space="preserve"> their actual locations (bottom black boxes in Fig</w:t>
      </w:r>
      <w:r w:rsidR="00C77C87">
        <w:t>s</w:t>
      </w:r>
      <w:r w:rsidRPr="00287E9C">
        <w:t xml:space="preserve">. </w:t>
      </w:r>
      <w:r w:rsidR="00C77C87">
        <w:t>5.</w:t>
      </w:r>
      <w:r>
        <w:t>14</w:t>
      </w:r>
      <w:r w:rsidR="00C77C87">
        <w:t xml:space="preserve"> </w:t>
      </w:r>
      <w:r w:rsidRPr="00287E9C">
        <w:t>a6, b6 vs o6)</w:t>
      </w:r>
      <w:r>
        <w:t>. This placement</w:t>
      </w:r>
      <w:r w:rsidRPr="00287E9C">
        <w:t xml:space="preserve"> is consistent with the situation observed in the UH track </w:t>
      </w:r>
      <w:r>
        <w:t xml:space="preserve">forecasts (Fig. </w:t>
      </w:r>
      <w:r w:rsidR="00C77C87">
        <w:t>5.</w:t>
      </w:r>
      <w:r>
        <w:t>13a</w:t>
      </w:r>
      <w:r w:rsidR="00C77C87">
        <w:t>,</w:t>
      </w:r>
      <w:r>
        <w:t xml:space="preserve"> d)</w:t>
      </w:r>
      <w:r w:rsidRPr="00287E9C">
        <w:t xml:space="preserve">. </w:t>
      </w:r>
      <w:r>
        <w:t>Additionally, t</w:t>
      </w:r>
      <w:r w:rsidRPr="00287E9C">
        <w:t>he areal coverage of the quasi-linear convective systems producing tornadoes and another one located to the north is found to be far less than the observed coverage</w:t>
      </w:r>
      <w:r>
        <w:t xml:space="preserve"> (Fig</w:t>
      </w:r>
      <w:r w:rsidR="00C77C87">
        <w:t>s</w:t>
      </w:r>
      <w:r>
        <w:t xml:space="preserve">. </w:t>
      </w:r>
      <w:r w:rsidR="00C77C87">
        <w:t>5.</w:t>
      </w:r>
      <w:r>
        <w:t>14</w:t>
      </w:r>
      <w:r w:rsidR="00C77C87">
        <w:t xml:space="preserve"> </w:t>
      </w:r>
      <w:r>
        <w:t>a6</w:t>
      </w:r>
      <w:r w:rsidR="00C77C87">
        <w:t xml:space="preserve"> </w:t>
      </w:r>
      <w:r>
        <w:t>-</w:t>
      </w:r>
      <w:r w:rsidR="00C77C87">
        <w:t xml:space="preserve"> </w:t>
      </w:r>
      <w:r>
        <w:t>a7, b6</w:t>
      </w:r>
      <w:r w:rsidR="00C77C87">
        <w:t xml:space="preserve"> </w:t>
      </w:r>
      <w:r>
        <w:t>-</w:t>
      </w:r>
      <w:r w:rsidR="00C77C87">
        <w:t xml:space="preserve"> </w:t>
      </w:r>
      <w:r>
        <w:t>b7 vs o6</w:t>
      </w:r>
      <w:r w:rsidR="00C77C87">
        <w:t xml:space="preserve"> </w:t>
      </w:r>
      <w:r>
        <w:t>-</w:t>
      </w:r>
      <w:r w:rsidR="00C77C87">
        <w:t xml:space="preserve"> </w:t>
      </w:r>
      <w:r>
        <w:lastRenderedPageBreak/>
        <w:t>o7)</w:t>
      </w:r>
      <w:r w:rsidRPr="00287E9C">
        <w:t xml:space="preserve">. The underestimation of the quasi-linear convective systems is the main reason behind the low POD shown in Figure </w:t>
      </w:r>
      <w:r w:rsidR="00C77C87">
        <w:t>5.</w:t>
      </w:r>
      <w:r w:rsidRPr="00287E9C">
        <w:t>4.</w:t>
      </w:r>
    </w:p>
    <w:p w14:paraId="40B8F822" w14:textId="34DB2565" w:rsidR="00C77C87" w:rsidRDefault="00C77C87" w:rsidP="00C77C87">
      <w:pPr>
        <w:pStyle w:val="NoSpacing"/>
      </w:pPr>
    </w:p>
    <w:p w14:paraId="5636509B" w14:textId="2457FB1E" w:rsidR="00C77C87" w:rsidRDefault="00C77C87" w:rsidP="00C77C87">
      <w:pPr>
        <w:pStyle w:val="NoSpacing"/>
      </w:pPr>
      <w:r>
        <w:rPr>
          <w:noProof/>
        </w:rPr>
        <w:drawing>
          <wp:inline distT="0" distB="0" distL="0" distR="0" wp14:anchorId="4909B99A" wp14:editId="60799260">
            <wp:extent cx="5943527" cy="5500370"/>
            <wp:effectExtent l="0" t="0" r="63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943527" cy="5500370"/>
                    </a:xfrm>
                    <a:prstGeom prst="rect">
                      <a:avLst/>
                    </a:prstGeom>
                  </pic:spPr>
                </pic:pic>
              </a:graphicData>
            </a:graphic>
          </wp:inline>
        </w:drawing>
      </w:r>
    </w:p>
    <w:p w14:paraId="5E49700F" w14:textId="46482953" w:rsidR="00C77C87" w:rsidRPr="00D60A80" w:rsidRDefault="00C77C87" w:rsidP="00C77C87">
      <w:pPr>
        <w:pStyle w:val="Captions"/>
        <w:rPr>
          <w:szCs w:val="24"/>
        </w:rPr>
      </w:pPr>
      <w:bookmarkStart w:id="160" w:name="_Toc134695310"/>
      <w:r w:rsidRPr="00D60A80">
        <w:rPr>
          <w:szCs w:val="24"/>
        </w:rPr>
        <w:t xml:space="preserve">Figure </w:t>
      </w:r>
      <w:r w:rsidR="00C96E3B" w:rsidRPr="00D60A80">
        <w:rPr>
          <w:szCs w:val="24"/>
        </w:rPr>
        <w:fldChar w:fldCharType="begin"/>
      </w:r>
      <w:r w:rsidR="00C96E3B" w:rsidRPr="00D60A80">
        <w:rPr>
          <w:szCs w:val="24"/>
        </w:rPr>
        <w:instrText xml:space="preserve"> STYLEREF 1 \s </w:instrText>
      </w:r>
      <w:r w:rsidR="00C96E3B" w:rsidRPr="00D60A80">
        <w:rPr>
          <w:szCs w:val="24"/>
        </w:rPr>
        <w:fldChar w:fldCharType="separate"/>
      </w:r>
      <w:r w:rsidRPr="00D60A80">
        <w:rPr>
          <w:noProof/>
          <w:szCs w:val="24"/>
        </w:rPr>
        <w:t>5</w:t>
      </w:r>
      <w:r w:rsidR="00C96E3B" w:rsidRPr="00D60A80">
        <w:rPr>
          <w:noProof/>
          <w:szCs w:val="24"/>
        </w:rPr>
        <w:fldChar w:fldCharType="end"/>
      </w:r>
      <w:r w:rsidRPr="00D60A80">
        <w:rPr>
          <w:szCs w:val="24"/>
        </w:rPr>
        <w:t>.</w:t>
      </w:r>
      <w:r w:rsidR="00C96E3B" w:rsidRPr="00D60A80">
        <w:rPr>
          <w:szCs w:val="24"/>
        </w:rPr>
        <w:fldChar w:fldCharType="begin"/>
      </w:r>
      <w:r w:rsidR="00C96E3B" w:rsidRPr="00D60A80">
        <w:rPr>
          <w:szCs w:val="24"/>
        </w:rPr>
        <w:instrText xml:space="preserve"> SEQ Figure \* ARABIC \s 1 </w:instrText>
      </w:r>
      <w:r w:rsidR="00C96E3B" w:rsidRPr="00D60A80">
        <w:rPr>
          <w:szCs w:val="24"/>
        </w:rPr>
        <w:fldChar w:fldCharType="separate"/>
      </w:r>
      <w:r w:rsidRPr="00D60A80">
        <w:rPr>
          <w:noProof/>
          <w:szCs w:val="24"/>
        </w:rPr>
        <w:t>15</w:t>
      </w:r>
      <w:r w:rsidR="00C96E3B" w:rsidRPr="00D60A80">
        <w:rPr>
          <w:noProof/>
          <w:szCs w:val="24"/>
        </w:rPr>
        <w:fldChar w:fldCharType="end"/>
      </w:r>
      <w:r w:rsidRPr="00D60A80">
        <w:rPr>
          <w:szCs w:val="24"/>
        </w:rPr>
        <w:t xml:space="preserve"> ETSs for (top row) CREF and (bottom row) 2 – 5 km UH track forecasts for 10 Dec 2021. The experiments, Hyb_retro and Hyb_WD are indicated by blue and orange lines, respectively. Dots indicate the statistical significance of changes in Hyb_WD as compared to Hyb_retro. Scores are provided for a neighborhood radius of 12 km.</w:t>
      </w:r>
      <w:bookmarkEnd w:id="160"/>
    </w:p>
    <w:p w14:paraId="2823ACA3" w14:textId="77777777" w:rsidR="00C77C87" w:rsidRDefault="00C77C87" w:rsidP="00C77C87">
      <w:pPr>
        <w:pStyle w:val="NoSpacing"/>
      </w:pPr>
    </w:p>
    <w:p w14:paraId="51170A0E" w14:textId="3A43A5CF" w:rsidR="00E6523E" w:rsidRDefault="00E6523E" w:rsidP="00E6523E">
      <w:r w:rsidRPr="00E112E8">
        <w:t xml:space="preserve">As pointed </w:t>
      </w:r>
      <w:r>
        <w:t xml:space="preserve">out </w:t>
      </w:r>
      <w:r w:rsidRPr="00E112E8">
        <w:t xml:space="preserve">in Table </w:t>
      </w:r>
      <w:r w:rsidR="00C77C87">
        <w:t>5.</w:t>
      </w:r>
      <w:r w:rsidRPr="00E112E8">
        <w:t xml:space="preserve">1, the quantitative evaluation of the 10 Dec 2021 event is carried out using hourly forecasts from 2100 to 0300 UTC, as significant losses occurred after 2300 UTC. </w:t>
      </w:r>
      <w:r w:rsidRPr="00E112E8">
        <w:lastRenderedPageBreak/>
        <w:t xml:space="preserve">The aggregated ETSs </w:t>
      </w:r>
      <w:r>
        <w:t>for both 20 and 40 dBZ thresholds</w:t>
      </w:r>
      <w:r w:rsidRPr="00E112E8">
        <w:t xml:space="preserve"> are characterized by a</w:t>
      </w:r>
      <w:r>
        <w:t>n</w:t>
      </w:r>
      <w:r w:rsidRPr="00E112E8">
        <w:t xml:space="preserve"> </w:t>
      </w:r>
      <w:r>
        <w:t>almost linear</w:t>
      </w:r>
      <w:r w:rsidRPr="00E112E8">
        <w:t xml:space="preserve"> decrease throughout the forecast period. The </w:t>
      </w:r>
      <w:r>
        <w:t>ETSs for Hyb_WD are slightly below those values for Hyb_retro</w:t>
      </w:r>
      <w:r w:rsidRPr="00E112E8">
        <w:t xml:space="preserve"> </w:t>
      </w:r>
      <w:r>
        <w:t>for</w:t>
      </w:r>
      <w:r w:rsidRPr="00E112E8">
        <w:t xml:space="preserve"> the 1</w:t>
      </w:r>
      <w:r w:rsidR="00857FCC">
        <w:t>-</w:t>
      </w:r>
      <w:r w:rsidRPr="00E112E8">
        <w:t xml:space="preserve"> </w:t>
      </w:r>
      <w:r w:rsidR="00857FCC">
        <w:t>to</w:t>
      </w:r>
      <w:r w:rsidRPr="00E112E8">
        <w:t xml:space="preserve"> 3</w:t>
      </w:r>
      <w:r w:rsidR="00857FCC">
        <w:t>-hour</w:t>
      </w:r>
      <w:r w:rsidRPr="00E112E8">
        <w:t xml:space="preserve"> forecast </w:t>
      </w:r>
      <w:r>
        <w:t>with</w:t>
      </w:r>
      <w:r w:rsidRPr="00E112E8">
        <w:t xml:space="preserve"> </w:t>
      </w:r>
      <w:r>
        <w:t>the 20 dBZ</w:t>
      </w:r>
      <w:r w:rsidRPr="00E112E8">
        <w:t xml:space="preserve"> threshold (Fig. </w:t>
      </w:r>
      <w:r w:rsidR="00C77C87">
        <w:t>5.</w:t>
      </w:r>
      <w:r w:rsidRPr="00E112E8">
        <w:t>1</w:t>
      </w:r>
      <w:r>
        <w:t>5</w:t>
      </w:r>
      <w:r w:rsidR="00C77C87">
        <w:t xml:space="preserve"> </w:t>
      </w:r>
      <w:r w:rsidRPr="00E112E8">
        <w:t>a)</w:t>
      </w:r>
      <w:r>
        <w:t xml:space="preserve">. In contrast, for the </w:t>
      </w:r>
      <w:r w:rsidRPr="00E112E8">
        <w:t>0</w:t>
      </w:r>
      <w:r w:rsidR="00857FCC">
        <w:t>-</w:t>
      </w:r>
      <w:r w:rsidRPr="00E112E8">
        <w:t xml:space="preserve"> </w:t>
      </w:r>
      <w:r w:rsidR="00857FCC">
        <w:t>to</w:t>
      </w:r>
      <w:r w:rsidRPr="00E112E8">
        <w:t xml:space="preserve"> 4</w:t>
      </w:r>
      <w:r w:rsidR="00857FCC">
        <w:t>-hour</w:t>
      </w:r>
      <w:r w:rsidRPr="00E112E8">
        <w:t xml:space="preserve"> forecast</w:t>
      </w:r>
      <w:r>
        <w:t xml:space="preserve"> with the 40 dBZ threshold,</w:t>
      </w:r>
      <w:r w:rsidRPr="00E112E8">
        <w:t xml:space="preserve"> </w:t>
      </w:r>
      <w:r>
        <w:t>the ETSs for Hyb_WD</w:t>
      </w:r>
      <w:r w:rsidRPr="00E112E8">
        <w:t xml:space="preserve"> </w:t>
      </w:r>
      <w:r>
        <w:t>are slightly higher than those for</w:t>
      </w:r>
      <w:r w:rsidRPr="00E112E8">
        <w:t xml:space="preserve"> </w:t>
      </w:r>
      <w:r>
        <w:t xml:space="preserve">Hyb_retro </w:t>
      </w:r>
      <w:r w:rsidRPr="00E112E8">
        <w:t xml:space="preserve">(Fig. </w:t>
      </w:r>
      <w:r w:rsidR="00C77C87">
        <w:t>5.</w:t>
      </w:r>
      <w:r w:rsidRPr="00E112E8">
        <w:t>1</w:t>
      </w:r>
      <w:r>
        <w:t>5</w:t>
      </w:r>
      <w:r w:rsidR="00C77C87">
        <w:t xml:space="preserve"> </w:t>
      </w:r>
      <w:r>
        <w:t>b</w:t>
      </w:r>
      <w:r w:rsidRPr="00E112E8">
        <w:t>). Simi</w:t>
      </w:r>
      <w:r>
        <w:t>la</w:t>
      </w:r>
      <w:r w:rsidRPr="00E112E8">
        <w:t>r improvement</w:t>
      </w:r>
      <w:r>
        <w:t xml:space="preserve"> of Hyb_WD</w:t>
      </w:r>
      <w:r w:rsidRPr="00E112E8">
        <w:t xml:space="preserve"> is also observed in</w:t>
      </w:r>
      <w:r>
        <w:t xml:space="preserve"> ETSs of</w:t>
      </w:r>
      <w:r w:rsidRPr="00E112E8">
        <w:t xml:space="preserve"> 1</w:t>
      </w:r>
      <w:r w:rsidR="00857FCC">
        <w:t>-</w:t>
      </w:r>
      <w:r w:rsidRPr="00E112E8">
        <w:t xml:space="preserve"> </w:t>
      </w:r>
      <w:r w:rsidR="00857FCC">
        <w:t>to</w:t>
      </w:r>
      <w:r w:rsidRPr="00E112E8">
        <w:t xml:space="preserve"> 4</w:t>
      </w:r>
      <w:r w:rsidR="00857FCC">
        <w:t>-hour</w:t>
      </w:r>
      <w:r w:rsidRPr="00E112E8">
        <w:t xml:space="preserve"> midlevel rotation track forecast</w:t>
      </w:r>
      <w:r w:rsidR="00E44D54">
        <w:t>s</w:t>
      </w:r>
      <w:r w:rsidRPr="00E112E8">
        <w:t xml:space="preserve"> regardless of the threshold used in the verification (Figs. </w:t>
      </w:r>
      <w:r w:rsidR="00C77C87">
        <w:t>5.</w:t>
      </w:r>
      <w:r w:rsidRPr="00E112E8">
        <w:t>1</w:t>
      </w:r>
      <w:r>
        <w:t>5</w:t>
      </w:r>
      <w:r w:rsidR="00C77C87">
        <w:t xml:space="preserve"> </w:t>
      </w:r>
      <w:r w:rsidRPr="00E112E8">
        <w:t>c</w:t>
      </w:r>
      <w:r w:rsidR="00C77C87">
        <w:t>,</w:t>
      </w:r>
      <w:r>
        <w:t xml:space="preserve"> </w:t>
      </w:r>
      <w:r w:rsidRPr="00E112E8">
        <w:t>d</w:t>
      </w:r>
      <w:r>
        <w:t>)</w:t>
      </w:r>
      <w:r w:rsidRPr="00E112E8">
        <w:t xml:space="preserve">. </w:t>
      </w:r>
      <w:r>
        <w:t>Further analysis of the contingency table reveals</w:t>
      </w:r>
      <w:r w:rsidRPr="00E112E8">
        <w:t xml:space="preserve"> that the </w:t>
      </w:r>
      <w:r>
        <w:t>changes</w:t>
      </w:r>
      <w:r w:rsidRPr="00E112E8">
        <w:t xml:space="preserve"> in ETSs </w:t>
      </w:r>
      <w:r>
        <w:t xml:space="preserve">between two experiments </w:t>
      </w:r>
      <w:r w:rsidR="00CD5F15">
        <w:t>are</w:t>
      </w:r>
      <w:r w:rsidRPr="00E112E8">
        <w:t xml:space="preserve"> due to the increased hits </w:t>
      </w:r>
      <w:r>
        <w:t>as well as</w:t>
      </w:r>
      <w:r w:rsidRPr="00E112E8">
        <w:t xml:space="preserve"> decreased false alarms and misses </w:t>
      </w:r>
      <w:r>
        <w:t xml:space="preserve">compared to those of Hyb_retro </w:t>
      </w:r>
      <w:r w:rsidRPr="00E112E8">
        <w:t>(not shown).</w:t>
      </w:r>
      <w:r>
        <w:t xml:space="preserve"> It is worth noting that </w:t>
      </w:r>
      <w:r w:rsidRPr="00E112E8">
        <w:t>the number of misses is an order of magnitude greater than that of hits</w:t>
      </w:r>
      <w:r>
        <w:t>,</w:t>
      </w:r>
      <w:r w:rsidRPr="00E112E8">
        <w:t xml:space="preserve"> and two orders of magnitude greater than that of false alarms. </w:t>
      </w:r>
      <w:r>
        <w:t>This results in</w:t>
      </w:r>
      <w:r w:rsidRPr="00E112E8">
        <w:t xml:space="preserve"> POD, which includes misses in the denominator, </w:t>
      </w:r>
      <w:r>
        <w:t>being</w:t>
      </w:r>
      <w:r w:rsidRPr="00E112E8">
        <w:t xml:space="preserve"> dominated by the count of misses</w:t>
      </w:r>
      <w:r>
        <w:t>,</w:t>
      </w:r>
      <w:r w:rsidRPr="00E112E8">
        <w:t xml:space="preserve"> display</w:t>
      </w:r>
      <w:r>
        <w:t>ing</w:t>
      </w:r>
      <w:r w:rsidRPr="00E112E8">
        <w:t xml:space="preserve"> unusually low values in the performance diagram</w:t>
      </w:r>
      <w:r>
        <w:t xml:space="preserve">, and is barely changed in Hyb_WD compared to Hyb_retro by improved hits and false alarms (The symbols in purple color in Figs. </w:t>
      </w:r>
      <w:r w:rsidR="00C77C87">
        <w:t>5.</w:t>
      </w:r>
      <w:r>
        <w:t xml:space="preserve">4 and </w:t>
      </w:r>
      <w:r w:rsidR="00C77C87">
        <w:t>5.</w:t>
      </w:r>
      <w:r>
        <w:t>5)</w:t>
      </w:r>
      <w:r w:rsidRPr="00E112E8">
        <w:t>.</w:t>
      </w:r>
      <w:r>
        <w:t xml:space="preserve"> This is the reason why the benefit of using weather dependent error covariance</w:t>
      </w:r>
      <w:r w:rsidR="00F35DB8">
        <w:t>s</w:t>
      </w:r>
      <w:r>
        <w:t xml:space="preserve"> in WoF-Hybrid is small for this particular case.</w:t>
      </w:r>
      <w:r w:rsidRPr="00E112E8">
        <w:t xml:space="preserve"> </w:t>
      </w:r>
    </w:p>
    <w:p w14:paraId="7BE9AA6D" w14:textId="77777777" w:rsidR="00E6523E" w:rsidRDefault="00E6523E" w:rsidP="00E6523E"/>
    <w:p w14:paraId="4E3C14A7" w14:textId="467A20EF" w:rsidR="00E6523E" w:rsidRPr="00DD5D9E" w:rsidRDefault="00C77C87">
      <w:pPr>
        <w:pStyle w:val="Heading2"/>
      </w:pPr>
      <w:bookmarkStart w:id="161" w:name="_Toc130995472"/>
      <w:bookmarkStart w:id="162" w:name="_Toc131018337"/>
      <w:r>
        <w:t>Summary and Discussion</w:t>
      </w:r>
      <w:bookmarkEnd w:id="161"/>
      <w:bookmarkEnd w:id="162"/>
    </w:p>
    <w:p w14:paraId="71F12AA6" w14:textId="4B95BF2F" w:rsidR="00E6523E" w:rsidRDefault="00E6523E" w:rsidP="00E6523E">
      <w:r>
        <w:rPr>
          <w:rFonts w:eastAsia="等线"/>
          <w:lang w:eastAsia="en-US"/>
        </w:rPr>
        <w:t xml:space="preserve">In this </w:t>
      </w:r>
      <w:r w:rsidR="00C77C87">
        <w:rPr>
          <w:rFonts w:eastAsia="等线"/>
          <w:lang w:eastAsia="en-US"/>
        </w:rPr>
        <w:t>chapter</w:t>
      </w:r>
      <w:r>
        <w:rPr>
          <w:rFonts w:eastAsia="等线"/>
          <w:lang w:eastAsia="en-US"/>
        </w:rPr>
        <w:t xml:space="preserve">, </w:t>
      </w:r>
      <w:r w:rsidR="00C77C87">
        <w:rPr>
          <w:rFonts w:eastAsia="等线"/>
          <w:lang w:eastAsia="en-US"/>
        </w:rPr>
        <w:t>the</w:t>
      </w:r>
      <w:r w:rsidRPr="0006673F">
        <w:t xml:space="preserve"> weather-dependent static</w:t>
      </w:r>
      <w:r w:rsidRPr="002F77AB">
        <w:rPr>
          <w:rFonts w:eastAsia="等线"/>
          <w:lang w:eastAsia="en-US"/>
        </w:rPr>
        <w:t xml:space="preserve"> </w:t>
      </w:r>
      <w:r>
        <w:rPr>
          <w:rFonts w:eastAsia="等线"/>
          <w:lang w:eastAsia="en-US"/>
        </w:rPr>
        <w:t>error covariance</w:t>
      </w:r>
      <w:r w:rsidR="00F35DB8">
        <w:rPr>
          <w:rFonts w:eastAsia="等线"/>
          <w:lang w:eastAsia="en-US"/>
        </w:rPr>
        <w:t>s</w:t>
      </w:r>
      <w:r w:rsidR="00C77C87">
        <w:rPr>
          <w:rFonts w:eastAsia="等线"/>
          <w:lang w:eastAsia="en-US"/>
        </w:rPr>
        <w:t xml:space="preserve"> </w:t>
      </w:r>
      <w:r w:rsidR="00F35DB8">
        <w:rPr>
          <w:rFonts w:eastAsia="等线"/>
          <w:lang w:eastAsia="en-US"/>
        </w:rPr>
        <w:t>are</w:t>
      </w:r>
      <w:r w:rsidR="00C77C87">
        <w:rPr>
          <w:rFonts w:eastAsia="等线"/>
          <w:lang w:eastAsia="en-US"/>
        </w:rPr>
        <w:t xml:space="preserve"> implemented into the WoF-Hybrid</w:t>
      </w:r>
      <w:r>
        <w:rPr>
          <w:rFonts w:eastAsia="等线"/>
          <w:lang w:eastAsia="en-US"/>
        </w:rPr>
        <w:t xml:space="preserve">. </w:t>
      </w:r>
      <w:r w:rsidRPr="0006673F">
        <w:t xml:space="preserve">The goal is to examine </w:t>
      </w:r>
      <w:r>
        <w:t>if the updated WoF-Hybrid can improve the</w:t>
      </w:r>
      <w:r w:rsidRPr="0006673F">
        <w:t xml:space="preserve"> convective-scale analyses and forecasts. The performance of </w:t>
      </w:r>
      <w:r>
        <w:t>the system</w:t>
      </w:r>
      <w:r w:rsidRPr="0006673F">
        <w:t xml:space="preserve"> is evaluated with five severe weather events that occurred in 2020 and 2021</w:t>
      </w:r>
      <w:r>
        <w:t xml:space="preserve"> using s</w:t>
      </w:r>
      <w:r w:rsidRPr="0006673F">
        <w:t>tatistical</w:t>
      </w:r>
      <w:r w:rsidRPr="00E930D1">
        <w:t xml:space="preserve"> evaluation metrics</w:t>
      </w:r>
      <w:r>
        <w:t xml:space="preserve">, such as </w:t>
      </w:r>
      <w:r w:rsidRPr="0006673F">
        <w:t>POD, FAR, BIAS, CSI, and ETS.</w:t>
      </w:r>
      <w:r>
        <w:t xml:space="preserve"> </w:t>
      </w:r>
      <w:r w:rsidRPr="0006673F">
        <w:t>Furthermore, th</w:t>
      </w:r>
      <w:r>
        <w:t>is</w:t>
      </w:r>
      <w:r w:rsidRPr="0006673F">
        <w:t xml:space="preserve"> </w:t>
      </w:r>
      <w:r>
        <w:t>study discusses the results</w:t>
      </w:r>
      <w:r w:rsidRPr="0006673F">
        <w:t xml:space="preserve"> </w:t>
      </w:r>
      <w:r>
        <w:t>of</w:t>
      </w:r>
      <w:r w:rsidRPr="0006673F">
        <w:t xml:space="preserve"> three specific events </w:t>
      </w:r>
      <w:r>
        <w:t xml:space="preserve">that took place on </w:t>
      </w:r>
      <w:r w:rsidRPr="0006673F">
        <w:t>5 May 2020, 2</w:t>
      </w:r>
      <w:r>
        <w:t>2</w:t>
      </w:r>
      <w:r w:rsidRPr="0006673F">
        <w:t xml:space="preserve"> May 2020, and 10 Dec 2021</w:t>
      </w:r>
      <w:r>
        <w:t xml:space="preserve"> using</w:t>
      </w:r>
      <w:r w:rsidRPr="0006673F">
        <w:t xml:space="preserve"> </w:t>
      </w:r>
      <w:r>
        <w:t xml:space="preserve">both </w:t>
      </w:r>
      <w:r w:rsidRPr="0006673F">
        <w:t xml:space="preserve">qualitative and quantitative verification </w:t>
      </w:r>
      <w:r w:rsidRPr="0006673F">
        <w:lastRenderedPageBreak/>
        <w:t xml:space="preserve">methods. MRMS CREF products, MRMS AzShear products and </w:t>
      </w:r>
      <w:r>
        <w:t>NWS/</w:t>
      </w:r>
      <w:r w:rsidRPr="0006673F">
        <w:t xml:space="preserve">SPC local storm reports </w:t>
      </w:r>
      <w:r w:rsidR="00CD5F15">
        <w:t>were</w:t>
      </w:r>
      <w:r w:rsidRPr="0006673F">
        <w:t xml:space="preserve"> used for these verifications. </w:t>
      </w:r>
    </w:p>
    <w:p w14:paraId="4BFE164B" w14:textId="4D30F5F5" w:rsidR="00E6523E" w:rsidRDefault="00E6523E" w:rsidP="00E6523E">
      <w:r w:rsidRPr="00D9534A">
        <w:t xml:space="preserve">The aggregate metrics over forecasts from all 5 events suggest an overall improvement in the quality of </w:t>
      </w:r>
      <w:r w:rsidRPr="0088260C">
        <w:t>0</w:t>
      </w:r>
      <w:r w:rsidR="00857FCC">
        <w:t>-</w:t>
      </w:r>
      <w:r w:rsidRPr="0088260C">
        <w:t xml:space="preserve"> </w:t>
      </w:r>
      <w:r w:rsidR="00857FCC">
        <w:t>to</w:t>
      </w:r>
      <w:r w:rsidRPr="0088260C">
        <w:t xml:space="preserve"> 6</w:t>
      </w:r>
      <w:r w:rsidR="00857FCC">
        <w:t>-hour</w:t>
      </w:r>
      <w:r w:rsidRPr="0088260C">
        <w:t xml:space="preserve"> </w:t>
      </w:r>
      <w:r w:rsidRPr="00D9534A">
        <w:t>forecasts for CREF and midlevel rotation track</w:t>
      </w:r>
      <w:r>
        <w:t xml:space="preserve"> with the inclusion of the </w:t>
      </w:r>
      <w:r w:rsidRPr="00D9534A">
        <w:t xml:space="preserve">weather-dependent static </w:t>
      </w:r>
      <w:r>
        <w:t>error covariance</w:t>
      </w:r>
      <w:r w:rsidR="00F35DB8">
        <w:t>s</w:t>
      </w:r>
      <w:r>
        <w:t xml:space="preserve"> in WoF-Hybrid</w:t>
      </w:r>
      <w:r w:rsidRPr="00D9534A">
        <w:t xml:space="preserve">. </w:t>
      </w:r>
      <w:r w:rsidRPr="00CD40E2">
        <w:t xml:space="preserve">The improvement </w:t>
      </w:r>
      <w:r>
        <w:t>has a slightly greater margin</w:t>
      </w:r>
      <w:r w:rsidRPr="00CD40E2">
        <w:t xml:space="preserve"> in early CREF and later rotation track forecasts.</w:t>
      </w:r>
      <w:r w:rsidRPr="00137E97">
        <w:t xml:space="preserve"> </w:t>
      </w:r>
      <w:r>
        <w:t>Furthermore, t</w:t>
      </w:r>
      <w:r w:rsidRPr="00AE184E">
        <w:t>he forecast skill</w:t>
      </w:r>
      <w:r>
        <w:t>s</w:t>
      </w:r>
      <w:r w:rsidRPr="00AE184E">
        <w:t xml:space="preserve"> </w:t>
      </w:r>
      <w:r>
        <w:t>are</w:t>
      </w:r>
      <w:r w:rsidRPr="00AE184E">
        <w:t xml:space="preserve"> found to exhibit more variability at </w:t>
      </w:r>
      <w:r>
        <w:t>longer forecast times (3</w:t>
      </w:r>
      <w:r w:rsidR="00857FCC">
        <w:t>-hour</w:t>
      </w:r>
      <w:r>
        <w:t xml:space="preserve"> and 6</w:t>
      </w:r>
      <w:r w:rsidR="00857FCC">
        <w:t>-hour</w:t>
      </w:r>
      <w:r>
        <w:t xml:space="preserve">) and less </w:t>
      </w:r>
      <w:r w:rsidRPr="00AE184E">
        <w:t>variability</w:t>
      </w:r>
      <w:r>
        <w:t xml:space="preserve"> at 1</w:t>
      </w:r>
      <w:r w:rsidR="00857FCC">
        <w:t>-hour</w:t>
      </w:r>
      <w:r>
        <w:t xml:space="preserve"> forecasts</w:t>
      </w:r>
      <w:r w:rsidRPr="00AE184E">
        <w:t>.</w:t>
      </w:r>
      <w:r>
        <w:t xml:space="preserve"> For CREF, most cases show an underpredicted bias for the 20 dBZ threshold for 3</w:t>
      </w:r>
      <w:r w:rsidR="00857FCC">
        <w:t>-hour</w:t>
      </w:r>
      <w:r>
        <w:t xml:space="preserve"> and 6</w:t>
      </w:r>
      <w:r w:rsidR="00857FCC">
        <w:t>-hour</w:t>
      </w:r>
      <w:r>
        <w:t xml:space="preserve"> forecasts, and an overpredicted bias for the 40 dBZ threshold for all forecasts. For rotation forecasts, underpredicted bias exists for all cases.</w:t>
      </w:r>
    </w:p>
    <w:p w14:paraId="6DAA1BFA" w14:textId="18901EE6" w:rsidR="00E6523E" w:rsidRDefault="00E6523E" w:rsidP="00E6523E">
      <w:r w:rsidRPr="00D9534A">
        <w:t xml:space="preserve">The effectiveness of the weather-dependent static </w:t>
      </w:r>
      <w:r>
        <w:t>error covariance</w:t>
      </w:r>
      <w:r w:rsidR="00F35DB8">
        <w:t>s</w:t>
      </w:r>
      <w:r w:rsidRPr="00D9534A">
        <w:t xml:space="preserve"> in </w:t>
      </w:r>
      <w:r>
        <w:t>WoF-Hybrid</w:t>
      </w:r>
      <w:r w:rsidRPr="00D9534A">
        <w:t xml:space="preserve"> is </w:t>
      </w:r>
      <w:r>
        <w:t>clearly seen</w:t>
      </w:r>
      <w:r w:rsidRPr="00D9534A">
        <w:t xml:space="preserve"> in the first </w:t>
      </w:r>
      <w:r>
        <w:t xml:space="preserve">detailed </w:t>
      </w:r>
      <w:r w:rsidRPr="00D9534A">
        <w:t xml:space="preserve">examined event, i.e., 5 May 2020. The improvement of </w:t>
      </w:r>
      <w:r>
        <w:t>Hyb_WD</w:t>
      </w:r>
      <w:r w:rsidRPr="00D9534A">
        <w:t xml:space="preserve"> compared to </w:t>
      </w:r>
      <w:r>
        <w:t>Hyb_retro</w:t>
      </w:r>
      <w:r w:rsidRPr="00D9534A">
        <w:t xml:space="preserve"> is observed in several aspects of the forecast, including CREF and rotation track, and is reflected </w:t>
      </w:r>
      <w:r>
        <w:t>in</w:t>
      </w:r>
      <w:r w:rsidRPr="00D9534A">
        <w:t xml:space="preserve"> the quantitative verification metrics. The CREF forecasts from </w:t>
      </w:r>
      <w:r>
        <w:t>Hyb_WD</w:t>
      </w:r>
      <w:r w:rsidRPr="00D9534A">
        <w:t xml:space="preserve"> </w:t>
      </w:r>
      <w:r>
        <w:t xml:space="preserve">exhibit a </w:t>
      </w:r>
      <w:r w:rsidRPr="00D9534A">
        <w:t xml:space="preserve">better match </w:t>
      </w:r>
      <w:r>
        <w:t xml:space="preserve">with </w:t>
      </w:r>
      <w:r w:rsidRPr="00D9534A">
        <w:t xml:space="preserve">the observed CREF from MRMS, particularly for the deep convection at the leading edge of the system and the developing convection within the trailing areas of the quasi-linear convective complex. </w:t>
      </w:r>
      <w:r>
        <w:t>Moreover, t</w:t>
      </w:r>
      <w:r w:rsidRPr="00D9534A">
        <w:t xml:space="preserve">he UH track forecasts from </w:t>
      </w:r>
      <w:r>
        <w:t>Hyb_WD</w:t>
      </w:r>
      <w:r w:rsidRPr="00D9534A">
        <w:t xml:space="preserve"> are more aligned with the storm reports</w:t>
      </w:r>
      <w:r>
        <w:t xml:space="preserve"> for this case</w:t>
      </w:r>
      <w:r w:rsidRPr="00D9534A">
        <w:t xml:space="preserve">. The results </w:t>
      </w:r>
      <w:r>
        <w:t>for</w:t>
      </w:r>
      <w:r w:rsidRPr="00D9534A">
        <w:t xml:space="preserve"> the 2</w:t>
      </w:r>
      <w:r>
        <w:t>2</w:t>
      </w:r>
      <w:r w:rsidRPr="00D9534A">
        <w:t xml:space="preserve"> May 2020 event </w:t>
      </w:r>
      <w:r>
        <w:t>are</w:t>
      </w:r>
      <w:r w:rsidRPr="00D9534A">
        <w:t xml:space="preserve"> more complicated. </w:t>
      </w:r>
      <w:r>
        <w:t>The improvement</w:t>
      </w:r>
      <w:r w:rsidRPr="00D9534A">
        <w:t xml:space="preserve"> </w:t>
      </w:r>
      <w:r>
        <w:t>is</w:t>
      </w:r>
      <w:r w:rsidRPr="00D9534A">
        <w:t xml:space="preserve"> typically neutral to slightly better for CREF, while</w:t>
      </w:r>
      <w:r w:rsidR="00CD5F15">
        <w:t xml:space="preserve"> it</w:t>
      </w:r>
      <w:r w:rsidRPr="00D9534A">
        <w:t xml:space="preserve"> </w:t>
      </w:r>
      <w:r w:rsidR="00E44D54">
        <w:t>is</w:t>
      </w:r>
      <w:r w:rsidR="00E44D54" w:rsidRPr="00D9534A">
        <w:t xml:space="preserve"> </w:t>
      </w:r>
      <w:r w:rsidRPr="00D9534A">
        <w:t xml:space="preserve">mixed for midlevel rotation tracks. The mixed results of </w:t>
      </w:r>
      <w:r w:rsidR="00E44D54">
        <w:t xml:space="preserve">the </w:t>
      </w:r>
      <w:r w:rsidRPr="00D9534A">
        <w:t xml:space="preserve">rotation track </w:t>
      </w:r>
      <w:r>
        <w:t>forecast</w:t>
      </w:r>
      <w:r w:rsidRPr="00D9534A">
        <w:t xml:space="preserve"> </w:t>
      </w:r>
      <w:r>
        <w:t>are</w:t>
      </w:r>
      <w:r w:rsidRPr="00D9534A">
        <w:t xml:space="preserve"> due to </w:t>
      </w:r>
      <w:r>
        <w:t>some spurious cells existing in later hour forecasts</w:t>
      </w:r>
      <w:r w:rsidRPr="00D9534A">
        <w:t xml:space="preserve">. Despite this, a slight correction of midlevel rotation track and its associated CREF is found in </w:t>
      </w:r>
      <w:r>
        <w:t>Hyb_WD</w:t>
      </w:r>
      <w:r w:rsidRPr="00D9534A">
        <w:t xml:space="preserve">. The 10 Dec 2021 event has the worst quantitative results among 5 events. The reason behind it is that both </w:t>
      </w:r>
      <w:r>
        <w:t>Hyb_retro</w:t>
      </w:r>
      <w:r w:rsidRPr="00D9534A">
        <w:t xml:space="preserve"> and </w:t>
      </w:r>
      <w:r>
        <w:t>Hyb_WD</w:t>
      </w:r>
      <w:r w:rsidRPr="00D9534A">
        <w:t xml:space="preserve"> </w:t>
      </w:r>
      <w:r w:rsidRPr="00D9534A">
        <w:lastRenderedPageBreak/>
        <w:t>have significant failure</w:t>
      </w:r>
      <w:r>
        <w:t>s</w:t>
      </w:r>
      <w:r w:rsidRPr="00D9534A">
        <w:t xml:space="preserve"> in predicting two quasi-linear convective system</w:t>
      </w:r>
      <w:r>
        <w:t>s</w:t>
      </w:r>
      <w:r w:rsidRPr="00D9534A">
        <w:t xml:space="preserve">. </w:t>
      </w:r>
      <w:r>
        <w:t>Only Hyb_WD can predict the famous long-lived supercell, which produced significant damages over four states including Arkansas, Missouri, Kentucky, and</w:t>
      </w:r>
      <w:r w:rsidRPr="00FA084B">
        <w:t xml:space="preserve"> </w:t>
      </w:r>
      <w:r>
        <w:t xml:space="preserve">Tennessee. </w:t>
      </w:r>
      <w:r w:rsidRPr="00D9534A">
        <w:t xml:space="preserve">Beside this, </w:t>
      </w:r>
      <w:r>
        <w:t>the quantitative analysis of Hyb_WD</w:t>
      </w:r>
      <w:r w:rsidRPr="00D9534A">
        <w:t xml:space="preserve"> </w:t>
      </w:r>
      <w:r>
        <w:t>reveals</w:t>
      </w:r>
      <w:r w:rsidRPr="00D9534A">
        <w:t xml:space="preserve"> an improvement in ETSs for high reflectivity and midlevel rotation track</w:t>
      </w:r>
      <w:r w:rsidR="00CD5F15">
        <w:t>s</w:t>
      </w:r>
      <w:r w:rsidRPr="00D9534A">
        <w:t xml:space="preserve">. </w:t>
      </w:r>
      <w:r w:rsidRPr="0088260C">
        <w:t xml:space="preserve">The validity of this improvement is confirmed </w:t>
      </w:r>
      <w:r w:rsidRPr="00D9534A">
        <w:t xml:space="preserve">by visually comparing the </w:t>
      </w:r>
      <w:r>
        <w:t>NWS/</w:t>
      </w:r>
      <w:r w:rsidRPr="00D9534A">
        <w:t xml:space="preserve">SPC storm reports with the UH track forecasts initialized </w:t>
      </w:r>
      <w:r>
        <w:t>prior to</w:t>
      </w:r>
      <w:r w:rsidRPr="00D9534A">
        <w:t xml:space="preserve"> the formation of the tornadoes.</w:t>
      </w:r>
    </w:p>
    <w:p w14:paraId="320032C4" w14:textId="65650311" w:rsidR="00E6523E" w:rsidRDefault="00E6523E" w:rsidP="00E6523E">
      <w:r>
        <w:t xml:space="preserve">In summary, this </w:t>
      </w:r>
      <w:r w:rsidR="00754720">
        <w:t>study</w:t>
      </w:r>
      <w:r>
        <w:t xml:space="preserve"> </w:t>
      </w:r>
      <w:r w:rsidRPr="00DD7A17">
        <w:rPr>
          <w:rFonts w:eastAsia="宋体" w:hint="eastAsia"/>
          <w:bCs/>
          <w:color w:val="000000" w:themeColor="text1"/>
          <w:szCs w:val="28"/>
        </w:rPr>
        <w:t>exhibits</w:t>
      </w:r>
      <w:r w:rsidRPr="00DD7A17">
        <w:rPr>
          <w:rFonts w:eastAsia="宋体"/>
          <w:bCs/>
          <w:color w:val="000000" w:themeColor="text1"/>
          <w:szCs w:val="28"/>
        </w:rPr>
        <w:t xml:space="preserve"> </w:t>
      </w:r>
      <w:r>
        <w:rPr>
          <w:rFonts w:eastAsia="宋体"/>
          <w:bCs/>
          <w:color w:val="000000" w:themeColor="text1"/>
          <w:szCs w:val="28"/>
        </w:rPr>
        <w:t>the potential of improving the accuracy of</w:t>
      </w:r>
      <w:r w:rsidRPr="00DD7A17">
        <w:rPr>
          <w:rFonts w:eastAsia="宋体"/>
          <w:bCs/>
          <w:color w:val="000000" w:themeColor="text1"/>
          <w:szCs w:val="17"/>
        </w:rPr>
        <w:t xml:space="preserve"> </w:t>
      </w:r>
      <w:r>
        <w:rPr>
          <w:rFonts w:eastAsia="宋体"/>
          <w:bCs/>
          <w:color w:val="000000" w:themeColor="text1"/>
          <w:szCs w:val="17"/>
        </w:rPr>
        <w:t>severe weather</w:t>
      </w:r>
      <w:r w:rsidRPr="00DD7A17">
        <w:rPr>
          <w:rFonts w:eastAsia="宋体"/>
          <w:bCs/>
          <w:color w:val="000000" w:themeColor="text1"/>
          <w:szCs w:val="17"/>
        </w:rPr>
        <w:t xml:space="preserve"> forecast</w:t>
      </w:r>
      <w:r>
        <w:rPr>
          <w:rFonts w:eastAsia="宋体"/>
          <w:bCs/>
          <w:color w:val="000000" w:themeColor="text1"/>
          <w:szCs w:val="17"/>
        </w:rPr>
        <w:t>s</w:t>
      </w:r>
      <w:r w:rsidRPr="00DD7A17">
        <w:rPr>
          <w:rFonts w:eastAsia="宋体"/>
          <w:bCs/>
          <w:color w:val="000000" w:themeColor="text1"/>
          <w:szCs w:val="17"/>
        </w:rPr>
        <w:t xml:space="preserve"> </w:t>
      </w:r>
      <w:r>
        <w:rPr>
          <w:rFonts w:eastAsia="宋体"/>
          <w:bCs/>
          <w:color w:val="000000" w:themeColor="text1"/>
          <w:szCs w:val="28"/>
        </w:rPr>
        <w:t>by implementing weather-dependent static error covariance</w:t>
      </w:r>
      <w:r w:rsidR="00F35DB8">
        <w:rPr>
          <w:rFonts w:eastAsia="宋体"/>
          <w:bCs/>
          <w:color w:val="000000" w:themeColor="text1"/>
          <w:szCs w:val="28"/>
        </w:rPr>
        <w:t>s</w:t>
      </w:r>
      <w:r>
        <w:rPr>
          <w:rFonts w:eastAsia="宋体"/>
          <w:bCs/>
          <w:color w:val="000000" w:themeColor="text1"/>
          <w:szCs w:val="28"/>
        </w:rPr>
        <w:t xml:space="preserve"> in the WoF-Hybrid system. The system is evaluated using several</w:t>
      </w:r>
      <w:r>
        <w:t xml:space="preserve"> severe weather events, and it was found that the storm mode and orientations are more skillfully predicted with the new implementation.</w:t>
      </w:r>
    </w:p>
    <w:p w14:paraId="39A96ABB" w14:textId="77777777" w:rsidR="00E6523E" w:rsidRPr="00E6523E" w:rsidRDefault="00E6523E" w:rsidP="00754720">
      <w:pPr>
        <w:ind w:firstLine="0"/>
      </w:pPr>
    </w:p>
    <w:p w14:paraId="0C02E217" w14:textId="77777777" w:rsidR="006C690B" w:rsidRPr="00723DA9" w:rsidRDefault="006C690B" w:rsidP="006C690B">
      <w:pPr>
        <w:rPr>
          <w:rFonts w:cs="Times New Roman"/>
        </w:rPr>
      </w:pPr>
      <w:r w:rsidRPr="00723DA9">
        <w:rPr>
          <w:rFonts w:cs="Times New Roman"/>
        </w:rPr>
        <w:br w:type="page"/>
      </w:r>
    </w:p>
    <w:p w14:paraId="02D0BE1D" w14:textId="782894BF" w:rsidR="006C690B" w:rsidRPr="00754720" w:rsidRDefault="006C690B">
      <w:pPr>
        <w:pStyle w:val="Heading1"/>
      </w:pPr>
      <w:bookmarkStart w:id="163" w:name="_Toc130995473"/>
      <w:bookmarkStart w:id="164" w:name="_Toc131018338"/>
      <w:r w:rsidRPr="00754720">
        <w:lastRenderedPageBreak/>
        <w:t>Summary and Future Plans</w:t>
      </w:r>
      <w:bookmarkEnd w:id="163"/>
      <w:bookmarkEnd w:id="164"/>
    </w:p>
    <w:p w14:paraId="1D1A2079" w14:textId="424F9AC0" w:rsidR="006C690B" w:rsidRDefault="006C690B">
      <w:pPr>
        <w:pStyle w:val="Heading2"/>
      </w:pPr>
      <w:bookmarkStart w:id="165" w:name="_Toc130995474"/>
      <w:bookmarkStart w:id="166" w:name="_Toc131018339"/>
      <w:r w:rsidRPr="00754720">
        <w:t>General Summary</w:t>
      </w:r>
      <w:bookmarkEnd w:id="165"/>
      <w:bookmarkEnd w:id="166"/>
    </w:p>
    <w:p w14:paraId="7BA2B8B4" w14:textId="53F4B842" w:rsidR="008C58F8" w:rsidRDefault="008C58F8" w:rsidP="006671B5">
      <w:r w:rsidRPr="5B610C6B">
        <w:t xml:space="preserve">A </w:t>
      </w:r>
      <w:r w:rsidR="00D12F56" w:rsidRPr="000D6A74">
        <w:t>real-time, deterministic, weather adaptive, dual-resolution</w:t>
      </w:r>
      <w:r w:rsidRPr="5B610C6B">
        <w:t xml:space="preserve"> hybrid En</w:t>
      </w:r>
      <w:r w:rsidR="00526E7B">
        <w:t>VAR</w:t>
      </w:r>
      <w:r w:rsidRPr="5B610C6B">
        <w:t xml:space="preserve"> DA system</w:t>
      </w:r>
      <w:r w:rsidR="00D12F56">
        <w:t>, i.e</w:t>
      </w:r>
      <w:r w:rsidR="00702A2B">
        <w:t>., WoF-Hyb</w:t>
      </w:r>
      <w:r w:rsidR="00CD5F15">
        <w:t>ri</w:t>
      </w:r>
      <w:r w:rsidR="00702A2B">
        <w:t>d,</w:t>
      </w:r>
      <w:r w:rsidRPr="5B610C6B">
        <w:t xml:space="preserve"> is </w:t>
      </w:r>
      <w:r w:rsidR="00702A2B">
        <w:t>further developed</w:t>
      </w:r>
      <w:r w:rsidR="00702A2B" w:rsidRPr="5B610C6B">
        <w:t xml:space="preserve"> </w:t>
      </w:r>
      <w:r w:rsidR="00D12F56">
        <w:t xml:space="preserve">for </w:t>
      </w:r>
      <w:r w:rsidR="00616F94">
        <w:t xml:space="preserve">the purpose of </w:t>
      </w:r>
      <w:r w:rsidR="00D12F56">
        <w:t xml:space="preserve">better </w:t>
      </w:r>
      <w:r w:rsidR="00702A2B">
        <w:t xml:space="preserve">forecasting </w:t>
      </w:r>
      <w:r w:rsidR="002C1860">
        <w:t>convective-scale</w:t>
      </w:r>
      <w:r w:rsidR="00D12F56">
        <w:t xml:space="preserve"> DA and NWP</w:t>
      </w:r>
      <w:r w:rsidRPr="5B610C6B">
        <w:t xml:space="preserve">. The </w:t>
      </w:r>
      <w:r w:rsidR="00D12F56">
        <w:t>updates</w:t>
      </w:r>
      <w:r w:rsidRPr="5B610C6B">
        <w:t xml:space="preserve"> allow the system (</w:t>
      </w:r>
      <w:r>
        <w:t>i</w:t>
      </w:r>
      <w:r w:rsidRPr="5B610C6B">
        <w:t xml:space="preserve">) </w:t>
      </w:r>
      <w:r w:rsidR="006A3C5C">
        <w:t xml:space="preserve">to </w:t>
      </w:r>
      <w:r w:rsidR="0020741A">
        <w:t>assimilate satellite-derived CWP and LPW observations</w:t>
      </w:r>
      <w:r w:rsidRPr="5B610C6B">
        <w:t>, (</w:t>
      </w:r>
      <w:r>
        <w:t>ii</w:t>
      </w:r>
      <w:r w:rsidRPr="5B610C6B">
        <w:t xml:space="preserve">) </w:t>
      </w:r>
      <w:r w:rsidR="006A3C5C">
        <w:t xml:space="preserve">to </w:t>
      </w:r>
      <w:r w:rsidR="0020741A">
        <w:t>adopt newly developed weather-dependent static error covariance</w:t>
      </w:r>
      <w:r w:rsidR="00793FD8">
        <w:t>s</w:t>
      </w:r>
      <w:r w:rsidR="0020741A">
        <w:t xml:space="preserve"> instead of </w:t>
      </w:r>
      <w:r w:rsidR="00702A2B">
        <w:t xml:space="preserve">the </w:t>
      </w:r>
      <w:r w:rsidR="0020741A">
        <w:t xml:space="preserve">homogeneous static error </w:t>
      </w:r>
      <w:r w:rsidR="00B54B9C">
        <w:t>covariance</w:t>
      </w:r>
      <w:r w:rsidR="00793FD8">
        <w:t>s</w:t>
      </w:r>
      <w:r w:rsidR="00B54B9C">
        <w:t>,</w:t>
      </w:r>
      <w:r w:rsidR="00D40ABF">
        <w:t xml:space="preserve"> </w:t>
      </w:r>
      <w:r w:rsidR="0020741A">
        <w:t xml:space="preserve">which is not </w:t>
      </w:r>
      <w:r w:rsidR="00702A2B">
        <w:t xml:space="preserve">suitable </w:t>
      </w:r>
      <w:r w:rsidR="0020741A">
        <w:t xml:space="preserve">for convective DA, </w:t>
      </w:r>
      <w:r w:rsidRPr="5B610C6B">
        <w:t>(</w:t>
      </w:r>
      <w:r>
        <w:t>iii</w:t>
      </w:r>
      <w:r w:rsidRPr="5B610C6B">
        <w:t xml:space="preserve">) </w:t>
      </w:r>
      <w:r w:rsidR="006A3C5C">
        <w:t xml:space="preserve">to </w:t>
      </w:r>
      <w:r w:rsidRPr="5B610C6B">
        <w:t>perform</w:t>
      </w:r>
      <w:r w:rsidR="006A3C5C">
        <w:t xml:space="preserve"> analys</w:t>
      </w:r>
      <w:r w:rsidR="00B774DC">
        <w:t>e</w:t>
      </w:r>
      <w:r w:rsidR="006A3C5C">
        <w:t>s using</w:t>
      </w:r>
      <w:r w:rsidRPr="5B610C6B">
        <w:t xml:space="preserve"> either </w:t>
      </w:r>
      <w:r w:rsidR="0020741A">
        <w:t>pure 3DV</w:t>
      </w:r>
      <w:r w:rsidR="00EA1DF0">
        <w:t>AR</w:t>
      </w:r>
      <w:r w:rsidR="006A3C5C">
        <w:t xml:space="preserve"> (i.e., WoF-Var)</w:t>
      </w:r>
      <w:r w:rsidRPr="5B610C6B">
        <w:t xml:space="preserve"> or </w:t>
      </w:r>
      <w:r w:rsidR="0020741A">
        <w:t>3</w:t>
      </w:r>
      <w:r w:rsidRPr="5B610C6B">
        <w:t>DEn</w:t>
      </w:r>
      <w:r w:rsidR="00526E7B">
        <w:t>VAR</w:t>
      </w:r>
      <w:r w:rsidRPr="5B610C6B">
        <w:t xml:space="preserve"> DA</w:t>
      </w:r>
      <w:r w:rsidR="00B774DC">
        <w:t xml:space="preserve"> (i.e.</w:t>
      </w:r>
      <w:r w:rsidR="00D40ABF">
        <w:t>,</w:t>
      </w:r>
      <w:r w:rsidR="00B774DC">
        <w:t xml:space="preserve"> WoF-Hybr</w:t>
      </w:r>
      <w:r w:rsidR="008E5CF2">
        <w:t>i</w:t>
      </w:r>
      <w:r w:rsidR="00B774DC">
        <w:t>d)</w:t>
      </w:r>
      <w:r w:rsidRPr="5B610C6B">
        <w:t>,</w:t>
      </w:r>
      <w:r w:rsidR="0020741A">
        <w:t xml:space="preserve"> and</w:t>
      </w:r>
      <w:r w:rsidRPr="5B610C6B">
        <w:t xml:space="preserve"> </w:t>
      </w:r>
      <w:r w:rsidR="0020741A">
        <w:t xml:space="preserve">finally </w:t>
      </w:r>
      <w:r w:rsidRPr="5B610C6B">
        <w:t>(</w:t>
      </w:r>
      <w:r>
        <w:t>iv</w:t>
      </w:r>
      <w:r w:rsidRPr="5B610C6B">
        <w:t xml:space="preserve">) </w:t>
      </w:r>
      <w:r w:rsidR="00B774DC">
        <w:t xml:space="preserve">to </w:t>
      </w:r>
      <w:r w:rsidR="0020741A">
        <w:t>be evaluated using operational configurations and observations as in HWT SFE</w:t>
      </w:r>
      <w:r w:rsidRPr="5B610C6B">
        <w:t xml:space="preserve">. The </w:t>
      </w:r>
      <w:r w:rsidR="0020741A">
        <w:t>description</w:t>
      </w:r>
      <w:r w:rsidRPr="5B610C6B">
        <w:t xml:space="preserve"> of </w:t>
      </w:r>
      <w:r w:rsidR="0020741A">
        <w:t>the</w:t>
      </w:r>
      <w:r w:rsidRPr="5B610C6B">
        <w:t xml:space="preserve"> </w:t>
      </w:r>
      <w:r w:rsidR="00B774DC">
        <w:t>early version of WoF-Hyb</w:t>
      </w:r>
      <w:r w:rsidR="00CD5F15">
        <w:t>ri</w:t>
      </w:r>
      <w:r w:rsidR="00B774DC">
        <w:t>d</w:t>
      </w:r>
      <w:r w:rsidR="00B774DC" w:rsidRPr="5B610C6B">
        <w:t xml:space="preserve"> </w:t>
      </w:r>
      <w:r w:rsidRPr="5B610C6B">
        <w:t xml:space="preserve">system </w:t>
      </w:r>
      <w:r w:rsidR="00D065DA">
        <w:t>is</w:t>
      </w:r>
      <w:r w:rsidRPr="5B610C6B">
        <w:t xml:space="preserve"> </w:t>
      </w:r>
      <w:r>
        <w:t xml:space="preserve">first </w:t>
      </w:r>
      <w:r w:rsidRPr="5B610C6B">
        <w:t xml:space="preserve">described in </w:t>
      </w:r>
      <w:r>
        <w:t xml:space="preserve">Chapter 2 of </w:t>
      </w:r>
      <w:r w:rsidRPr="5B610C6B">
        <w:t xml:space="preserve">this dissertation. </w:t>
      </w:r>
      <w:r w:rsidR="00B774DC">
        <w:t>T</w:t>
      </w:r>
      <w:r w:rsidRPr="5B610C6B">
        <w:t xml:space="preserve">he </w:t>
      </w:r>
      <w:r w:rsidR="0020741A">
        <w:t>updated</w:t>
      </w:r>
      <w:r w:rsidRPr="5B610C6B">
        <w:t xml:space="preserve"> DA system</w:t>
      </w:r>
      <w:r w:rsidR="00B774DC">
        <w:t xml:space="preserve"> with newly developed components</w:t>
      </w:r>
      <w:r w:rsidRPr="5B610C6B">
        <w:t xml:space="preserve">, </w:t>
      </w:r>
      <w:r w:rsidR="00B774DC">
        <w:t xml:space="preserve">and </w:t>
      </w:r>
      <w:r w:rsidRPr="5B610C6B">
        <w:t xml:space="preserve">a </w:t>
      </w:r>
      <w:r w:rsidR="0020741A">
        <w:rPr>
          <w:rFonts w:hint="eastAsia"/>
        </w:rPr>
        <w:t>series</w:t>
      </w:r>
      <w:r w:rsidR="0020741A">
        <w:t xml:space="preserve"> of </w:t>
      </w:r>
      <w:r w:rsidR="00B774DC">
        <w:t>experiments</w:t>
      </w:r>
      <w:r w:rsidRPr="5B610C6B">
        <w:t xml:space="preserve"> </w:t>
      </w:r>
      <w:r w:rsidR="00B774DC">
        <w:t xml:space="preserve">and performance evaluations </w:t>
      </w:r>
      <w:r w:rsidRPr="5B610C6B">
        <w:t xml:space="preserve">are </w:t>
      </w:r>
      <w:r w:rsidR="00B774DC">
        <w:t xml:space="preserve">conducted </w:t>
      </w:r>
      <w:r w:rsidR="00B13483">
        <w:t xml:space="preserve">in the remaining part of </w:t>
      </w:r>
      <w:r>
        <w:t>this dissertation</w:t>
      </w:r>
      <w:r w:rsidRPr="5B610C6B">
        <w:t>.</w:t>
      </w:r>
    </w:p>
    <w:p w14:paraId="44B149E0" w14:textId="11977C01" w:rsidR="00DE3826" w:rsidRDefault="00D51693" w:rsidP="006671B5">
      <w:r>
        <w:t xml:space="preserve">First, the satellite derived CWP and </w:t>
      </w:r>
      <w:r w:rsidR="00B13483">
        <w:t xml:space="preserve">LPW observation forward operators are built into the WoF-Hybrid system. </w:t>
      </w:r>
      <w:r w:rsidR="008C58F8">
        <w:t xml:space="preserve">To understand if </w:t>
      </w:r>
      <w:r w:rsidR="00B13483">
        <w:t>the CWP and LPW are appropriately assimilated into the system and</w:t>
      </w:r>
      <w:r w:rsidR="008C58F8" w:rsidRPr="002A3F8D">
        <w:t xml:space="preserve"> </w:t>
      </w:r>
      <w:r w:rsidR="00B13483">
        <w:t>if the</w:t>
      </w:r>
      <w:r w:rsidR="008C58F8" w:rsidRPr="002A3F8D">
        <w:t xml:space="preserve"> </w:t>
      </w:r>
      <w:r w:rsidR="00766C12">
        <w:t>satellite-derived</w:t>
      </w:r>
      <w:r w:rsidR="00B13483">
        <w:t xml:space="preserve"> CWP and LPW</w:t>
      </w:r>
      <w:r w:rsidR="00766C12">
        <w:t xml:space="preserve"> observations in addition to the radar observation</w:t>
      </w:r>
      <w:r w:rsidR="00B13483">
        <w:t>s</w:t>
      </w:r>
      <w:r w:rsidR="008C58F8" w:rsidRPr="002A3F8D">
        <w:t xml:space="preserve"> </w:t>
      </w:r>
      <w:r w:rsidR="008C58F8">
        <w:t xml:space="preserve">can </w:t>
      </w:r>
      <w:r w:rsidR="008C58F8" w:rsidRPr="002A3F8D">
        <w:t xml:space="preserve">help improve the </w:t>
      </w:r>
      <w:r w:rsidR="00766C12">
        <w:t>analysis and prediction of convecti</w:t>
      </w:r>
      <w:r w:rsidR="00CD5F15">
        <w:t>ve</w:t>
      </w:r>
      <w:r w:rsidR="00766C12">
        <w:t xml:space="preserve"> systems</w:t>
      </w:r>
      <w:r w:rsidR="008C58F8">
        <w:t>, e</w:t>
      </w:r>
      <w:r w:rsidR="008C58F8" w:rsidRPr="00723DA9">
        <w:t xml:space="preserve">xperiments are conducted with </w:t>
      </w:r>
      <w:r w:rsidR="00766C12">
        <w:t>three severe weather event</w:t>
      </w:r>
      <w:r w:rsidR="00004EE8">
        <w:t>s</w:t>
      </w:r>
      <w:r w:rsidR="00766C12">
        <w:t xml:space="preserve"> in 2017</w:t>
      </w:r>
      <w:r w:rsidR="008C58F8" w:rsidRPr="00723DA9">
        <w:t xml:space="preserve"> in Chapter 3. </w:t>
      </w:r>
      <w:r w:rsidR="00DE3826" w:rsidRPr="00DE3826">
        <w:t>The comparison</w:t>
      </w:r>
      <w:r w:rsidR="006503E4">
        <w:t>s and evaluations</w:t>
      </w:r>
      <w:r w:rsidR="00DE3826" w:rsidRPr="00DE3826">
        <w:t xml:space="preserve"> of the results from the three types of experiments indicates that assimilating CWP and/or LPW improves model initial conditions and short-range forecasts for the three severe weather events</w:t>
      </w:r>
      <w:r w:rsidR="00DE3826">
        <w:t>:</w:t>
      </w:r>
    </w:p>
    <w:p w14:paraId="6498619F" w14:textId="7722C5AF" w:rsidR="008C58F8" w:rsidRDefault="008C58F8" w:rsidP="006671B5">
      <w:r>
        <w:t xml:space="preserve">i) </w:t>
      </w:r>
      <w:r w:rsidR="00DE3826" w:rsidRPr="00DE3826">
        <w:t xml:space="preserve">For the 10 May 2017 event, assimilating CWP improves the cloud property analysis, downward shortwave radiation over cloudy areas, surface temperature, and atmospheric instability. Assimilating the LPW product yields positive results for </w:t>
      </w:r>
      <w:r w:rsidR="00D065DA">
        <w:t>CI</w:t>
      </w:r>
      <w:r w:rsidR="00DE3826" w:rsidRPr="00DE3826">
        <w:t xml:space="preserve"> by saturating the moisture fields surrounding the ongoing convection. Spurious cells are mostly removed in later forecasts due to </w:t>
      </w:r>
      <w:r w:rsidR="00DE3826" w:rsidRPr="00DE3826">
        <w:lastRenderedPageBreak/>
        <w:t xml:space="preserve">this improvement. Improved analysis generates high </w:t>
      </w:r>
      <w:r w:rsidR="00D065DA">
        <w:t>UH</w:t>
      </w:r>
      <w:r w:rsidR="00DE3826" w:rsidRPr="00DE3826">
        <w:t xml:space="preserve"> swaths that are more appropriately placed when compared against the SPC damage reports.</w:t>
      </w:r>
    </w:p>
    <w:p w14:paraId="44E5FB9C" w14:textId="50CA1065" w:rsidR="008C58F8" w:rsidRDefault="008C58F8" w:rsidP="006671B5">
      <w:r>
        <w:t>ii</w:t>
      </w:r>
      <w:r w:rsidRPr="5B610C6B">
        <w:t xml:space="preserve">) </w:t>
      </w:r>
      <w:r w:rsidR="00DE3826" w:rsidRPr="00DE3826">
        <w:t>For the 16</w:t>
      </w:r>
      <w:r w:rsidR="006503E4">
        <w:t xml:space="preserve"> and </w:t>
      </w:r>
      <w:r w:rsidR="006503E4" w:rsidRPr="00DE3826">
        <w:t>26</w:t>
      </w:r>
      <w:r w:rsidR="00CD5F15">
        <w:t xml:space="preserve"> May</w:t>
      </w:r>
      <w:r w:rsidR="00DE3826" w:rsidRPr="00DE3826">
        <w:t xml:space="preserve"> 2017 event</w:t>
      </w:r>
      <w:r w:rsidR="006503E4">
        <w:t>s</w:t>
      </w:r>
      <w:r w:rsidR="00DE3826" w:rsidRPr="00DE3826">
        <w:t xml:space="preserve">, </w:t>
      </w:r>
      <w:r w:rsidR="006503E4">
        <w:t>the experiment with assimilating both satellite derived CWP and LPW</w:t>
      </w:r>
      <w:r w:rsidR="006503E4" w:rsidRPr="00DE3826">
        <w:t xml:space="preserve"> </w:t>
      </w:r>
      <w:r w:rsidR="006503E4">
        <w:t xml:space="preserve">as well as radar data </w:t>
      </w:r>
      <w:r w:rsidR="00DE3826" w:rsidRPr="00DE3826">
        <w:t>leads to intensified moisture gradient</w:t>
      </w:r>
      <w:r w:rsidR="006503E4">
        <w:t xml:space="preserve"> and </w:t>
      </w:r>
      <w:r w:rsidR="006503E4" w:rsidRPr="00DE3826">
        <w:t xml:space="preserve">low-level vertical wind shear </w:t>
      </w:r>
      <w:r w:rsidR="00DE3826" w:rsidRPr="00DE3826">
        <w:t xml:space="preserve">at the surface </w:t>
      </w:r>
      <w:r w:rsidR="006503E4">
        <w:t xml:space="preserve">and </w:t>
      </w:r>
      <w:r w:rsidR="006503E4" w:rsidRPr="00DE3826">
        <w:t xml:space="preserve">resulting in better analyzed and predicted storms </w:t>
      </w:r>
      <w:r w:rsidR="00DE3826" w:rsidRPr="00DE3826">
        <w:t>compared to</w:t>
      </w:r>
      <w:r w:rsidR="006503E4">
        <w:t xml:space="preserve"> the experiment with</w:t>
      </w:r>
      <w:r w:rsidR="00DE3826" w:rsidRPr="00DE3826">
        <w:t xml:space="preserve"> </w:t>
      </w:r>
      <w:r w:rsidR="006503E4">
        <w:t>assimilating only CWP and LPW data,</w:t>
      </w:r>
      <w:r w:rsidR="006503E4" w:rsidRPr="00DE3826">
        <w:t xml:space="preserve"> </w:t>
      </w:r>
      <w:r w:rsidR="00DE3826" w:rsidRPr="00DE3826">
        <w:t>and</w:t>
      </w:r>
      <w:r w:rsidR="006503E4">
        <w:t xml:space="preserve"> the</w:t>
      </w:r>
      <w:r w:rsidR="006503E4" w:rsidRPr="006503E4">
        <w:t xml:space="preserve"> </w:t>
      </w:r>
      <w:r w:rsidR="006503E4">
        <w:t>experiment with</w:t>
      </w:r>
      <w:r w:rsidR="006503E4" w:rsidRPr="00DE3826">
        <w:t xml:space="preserve"> </w:t>
      </w:r>
      <w:r w:rsidR="006503E4">
        <w:t>assimilating only radar data</w:t>
      </w:r>
      <w:r w:rsidR="00DE3826" w:rsidRPr="00DE3826">
        <w:t>.</w:t>
      </w:r>
    </w:p>
    <w:p w14:paraId="4F8C3EA3" w14:textId="7B47FF9F" w:rsidR="008C58F8" w:rsidRDefault="00907B95" w:rsidP="006671B5">
      <w:r>
        <w:t>As</w:t>
      </w:r>
      <w:r w:rsidR="008C58F8" w:rsidRPr="5B610C6B">
        <w:t xml:space="preserve"> </w:t>
      </w:r>
      <w:r>
        <w:t>discussed</w:t>
      </w:r>
      <w:r w:rsidR="008C58F8" w:rsidRPr="5B610C6B">
        <w:t xml:space="preserve"> in </w:t>
      </w:r>
      <w:r>
        <w:t xml:space="preserve">Chapter 1 and </w:t>
      </w:r>
      <w:r w:rsidR="008C58F8" w:rsidRPr="5B610C6B">
        <w:t xml:space="preserve">Chapter 4, </w:t>
      </w:r>
      <w:r>
        <w:t xml:space="preserve">simultaneous </w:t>
      </w:r>
      <w:r w:rsidRPr="00AD13C1">
        <w:t xml:space="preserve">assimilation of observations </w:t>
      </w:r>
      <w:r>
        <w:t>with</w:t>
      </w:r>
      <w:r w:rsidRPr="00AD13C1">
        <w:t xml:space="preserve"> different </w:t>
      </w:r>
      <w:r w:rsidR="00F57FE3">
        <w:t>spatiotemporal</w:t>
      </w:r>
      <w:r w:rsidRPr="00AD13C1">
        <w:t xml:space="preserve"> scales into the NWP model</w:t>
      </w:r>
      <w:r>
        <w:t xml:space="preserve"> is still challenging in the </w:t>
      </w:r>
      <w:r w:rsidR="00A0627F">
        <w:t>early version of our DA</w:t>
      </w:r>
      <w:r>
        <w:t xml:space="preserve"> system. </w:t>
      </w:r>
      <w:r w:rsidR="000E556F">
        <w:t>H</w:t>
      </w:r>
      <w:r>
        <w:t xml:space="preserve">omogenous </w:t>
      </w:r>
      <w:r w:rsidR="007311C0">
        <w:t xml:space="preserve">static </w:t>
      </w:r>
      <w:r>
        <w:t>error covariance</w:t>
      </w:r>
      <w:r w:rsidR="000E556F">
        <w:t>s were generally applied</w:t>
      </w:r>
      <w:r>
        <w:t xml:space="preserve"> in </w:t>
      </w:r>
      <w:r w:rsidR="00903598">
        <w:t>our early version of the DA</w:t>
      </w:r>
      <w:r>
        <w:t xml:space="preserve"> system </w:t>
      </w:r>
      <w:r w:rsidR="000E556F">
        <w:t xml:space="preserve">which </w:t>
      </w:r>
      <w:r>
        <w:t xml:space="preserve">typically </w:t>
      </w:r>
      <w:r w:rsidR="000E556F">
        <w:t>provided</w:t>
      </w:r>
      <w:r>
        <w:t xml:space="preserve"> </w:t>
      </w:r>
      <w:r w:rsidR="007311C0">
        <w:t xml:space="preserve">similar </w:t>
      </w:r>
      <w:r w:rsidR="00903598">
        <w:t>error structure</w:t>
      </w:r>
      <w:r w:rsidR="007311C0">
        <w:t xml:space="preserve"> inside and outside </w:t>
      </w:r>
      <w:r w:rsidR="00903598">
        <w:t>the</w:t>
      </w:r>
      <w:r w:rsidR="00004EE8">
        <w:t xml:space="preserve"> </w:t>
      </w:r>
      <w:r w:rsidR="007311C0">
        <w:t>convective core</w:t>
      </w:r>
      <w:r w:rsidR="000E556F">
        <w:t xml:space="preserve"> when the analysis was done</w:t>
      </w:r>
      <w:r w:rsidR="007311C0">
        <w:t>.</w:t>
      </w:r>
      <w:r>
        <w:t xml:space="preserve"> </w:t>
      </w:r>
      <w:r w:rsidR="007311C0">
        <w:t>To</w:t>
      </w:r>
      <w:r w:rsidR="008C58F8" w:rsidRPr="5B610C6B">
        <w:t xml:space="preserve"> </w:t>
      </w:r>
      <w:r w:rsidR="007311C0">
        <w:t xml:space="preserve">solve this problem, </w:t>
      </w:r>
      <w:r w:rsidR="007311C0" w:rsidRPr="007311C0">
        <w:t>weather-dependent background error structure</w:t>
      </w:r>
      <w:r w:rsidR="007311C0">
        <w:t xml:space="preserve"> </w:t>
      </w:r>
      <w:r w:rsidR="00903598">
        <w:t>is</w:t>
      </w:r>
      <w:r w:rsidR="007311C0">
        <w:t xml:space="preserve"> constructed</w:t>
      </w:r>
      <w:r w:rsidR="007311C0" w:rsidRPr="007311C0">
        <w:t xml:space="preserve"> based on the intensity of radar composite reflectivit</w:t>
      </w:r>
      <w:r w:rsidR="000E556F">
        <w:t>ies calculated from the WoFS ensemble forecast product</w:t>
      </w:r>
      <w:r w:rsidR="007311C0" w:rsidRPr="007311C0">
        <w:t>.</w:t>
      </w:r>
      <w:r w:rsidR="008C58F8" w:rsidRPr="5B610C6B">
        <w:t xml:space="preserve"> </w:t>
      </w:r>
      <w:r w:rsidR="006671B5" w:rsidRPr="006671B5">
        <w:t>The procedure includes classifying ensemble perturbations according to the strength of convection, filtering outliers, and applying Gaussian smoothing in the vertical direction.</w:t>
      </w:r>
      <w:r w:rsidR="006671B5">
        <w:t xml:space="preserve"> Then, t</w:t>
      </w:r>
      <w:r w:rsidR="006671B5" w:rsidRPr="006671B5">
        <w:t xml:space="preserve">he </w:t>
      </w:r>
      <w:r w:rsidR="000E556F">
        <w:t xml:space="preserve">derived </w:t>
      </w:r>
      <w:r w:rsidR="006671B5" w:rsidRPr="006671B5">
        <w:t xml:space="preserve">weather-dependent background error </w:t>
      </w:r>
      <w:r w:rsidR="00903598">
        <w:t>structure</w:t>
      </w:r>
      <w:r w:rsidR="006671B5" w:rsidRPr="006671B5">
        <w:t xml:space="preserve"> </w:t>
      </w:r>
      <w:r w:rsidR="00903598">
        <w:t>is</w:t>
      </w:r>
      <w:r w:rsidR="00903598" w:rsidRPr="006671B5">
        <w:t xml:space="preserve"> </w:t>
      </w:r>
      <w:r w:rsidR="006671B5" w:rsidRPr="006671B5">
        <w:t>integrated into the WoF-</w:t>
      </w:r>
      <w:r w:rsidR="00903598">
        <w:t>Hybrid DA</w:t>
      </w:r>
      <w:r w:rsidR="006671B5" w:rsidRPr="006671B5">
        <w:t xml:space="preserve"> system.</w:t>
      </w:r>
    </w:p>
    <w:p w14:paraId="458A327B" w14:textId="6696004C" w:rsidR="006671B5" w:rsidRDefault="006671B5" w:rsidP="006671B5">
      <w:r>
        <w:t>In Chapter 4, t</w:t>
      </w:r>
      <w:r w:rsidRPr="006671B5">
        <w:t>he impact of the weather-dependent background error structure on the WoF-Var</w:t>
      </w:r>
      <w:r w:rsidR="0060440E">
        <w:t xml:space="preserve"> (i.e., the variational component of WoF-Hybrid)</w:t>
      </w:r>
      <w:r w:rsidRPr="006671B5">
        <w:t xml:space="preserve"> analyses is </w:t>
      </w:r>
      <w:r>
        <w:t xml:space="preserve">first </w:t>
      </w:r>
      <w:r w:rsidRPr="006671B5">
        <w:t>assessed with a single observation experiment</w:t>
      </w:r>
      <w:r>
        <w:t>.</w:t>
      </w:r>
      <w:r w:rsidRPr="006671B5">
        <w:t xml:space="preserve"> </w:t>
      </w:r>
      <w:r>
        <w:t xml:space="preserve">Without hybridization, the </w:t>
      </w:r>
      <w:r w:rsidRPr="006671B5">
        <w:t>heterogeneity</w:t>
      </w:r>
      <w:r>
        <w:t xml:space="preserve"> of </w:t>
      </w:r>
      <w:r w:rsidR="006E0137">
        <w:t xml:space="preserve">the </w:t>
      </w:r>
      <w:r>
        <w:t xml:space="preserve">analysis increment is </w:t>
      </w:r>
      <w:r w:rsidR="0060440E">
        <w:t xml:space="preserve">also </w:t>
      </w:r>
      <w:r>
        <w:t>display</w:t>
      </w:r>
      <w:r w:rsidR="006E0137">
        <w:t>ed</w:t>
      </w:r>
      <w:r>
        <w:t xml:space="preserve"> in</w:t>
      </w:r>
      <w:r w:rsidRPr="006671B5">
        <w:t xml:space="preserve"> </w:t>
      </w:r>
      <w:r>
        <w:t xml:space="preserve">the single observation experiment. Following it, </w:t>
      </w:r>
      <w:r w:rsidRPr="006671B5">
        <w:t>two severe weather events</w:t>
      </w:r>
      <w:r>
        <w:t>,</w:t>
      </w:r>
      <w:r w:rsidRPr="006671B5">
        <w:t xml:space="preserve"> the 5 May 2020 linear complex and the 10 Dec 2021 long-lived supercell storm</w:t>
      </w:r>
      <w:r>
        <w:t xml:space="preserve">, are used to evaluate the </w:t>
      </w:r>
      <w:r w:rsidR="001A0EEC">
        <w:t xml:space="preserve">updated WoF-Var system. It </w:t>
      </w:r>
      <w:r w:rsidR="00D065DA">
        <w:t>is</w:t>
      </w:r>
      <w:r w:rsidR="001A0EEC">
        <w:t xml:space="preserve"> found that:</w:t>
      </w:r>
    </w:p>
    <w:p w14:paraId="6C30C20D" w14:textId="5DEB50A6" w:rsidR="001A0EEC" w:rsidRDefault="001A0EEC" w:rsidP="001A0EEC">
      <w:r>
        <w:lastRenderedPageBreak/>
        <w:t xml:space="preserve">i) </w:t>
      </w:r>
      <w:r w:rsidRPr="00DE3826">
        <w:t xml:space="preserve">For the </w:t>
      </w:r>
      <w:r>
        <w:t>5</w:t>
      </w:r>
      <w:r w:rsidRPr="00DE3826">
        <w:t xml:space="preserve"> May 20</w:t>
      </w:r>
      <w:r>
        <w:t>20</w:t>
      </w:r>
      <w:r w:rsidRPr="00DE3826">
        <w:t xml:space="preserve"> event, </w:t>
      </w:r>
      <w:r w:rsidRPr="001A0EEC">
        <w:t xml:space="preserve">the temperature at 500 hPa along the front is greatly increased </w:t>
      </w:r>
      <w:r>
        <w:t>when using weather-dependent error covariance</w:t>
      </w:r>
      <w:r w:rsidR="00793FD8">
        <w:t>s</w:t>
      </w:r>
      <w:r w:rsidRPr="001A0EEC">
        <w:t>.</w:t>
      </w:r>
      <w:r>
        <w:t xml:space="preserve"> </w:t>
      </w:r>
      <w:r w:rsidR="00F43520" w:rsidRPr="00F43520">
        <w:t>This increase may lead to robust buoyancy above the level of free convection</w:t>
      </w:r>
      <w:r w:rsidR="00616F94">
        <w:t>,</w:t>
      </w:r>
      <w:r w:rsidR="00F43520" w:rsidRPr="00F43520">
        <w:t xml:space="preserve"> and hence the forecast improvement with composite reflectivity and UH in the primary convective complex.</w:t>
      </w:r>
      <w:r w:rsidR="00F43520">
        <w:t xml:space="preserve"> In this event, it also suggests </w:t>
      </w:r>
      <w:r w:rsidR="00F43520" w:rsidRPr="00F43520">
        <w:t xml:space="preserve">relatively low MLCAPE </w:t>
      </w:r>
      <w:r w:rsidR="00F43520">
        <w:t>in</w:t>
      </w:r>
      <w:r w:rsidR="00F43520" w:rsidRPr="00F43520">
        <w:t xml:space="preserve"> areas</w:t>
      </w:r>
      <w:r w:rsidR="00F43520">
        <w:t xml:space="preserve"> outside observed convection, </w:t>
      </w:r>
      <w:r w:rsidR="00F43520" w:rsidRPr="00F43520">
        <w:t>causing the alleviation of the spurious convecti</w:t>
      </w:r>
      <w:r w:rsidR="00F43520">
        <w:t>ve cells in Tennessee and North Carolina.</w:t>
      </w:r>
    </w:p>
    <w:p w14:paraId="5DDE38FB" w14:textId="2781CDF8" w:rsidR="001A0EEC" w:rsidRDefault="001A0EEC" w:rsidP="00240080">
      <w:r>
        <w:t>ii</w:t>
      </w:r>
      <w:r w:rsidRPr="5B610C6B">
        <w:t xml:space="preserve">) </w:t>
      </w:r>
      <w:r w:rsidRPr="00DE3826">
        <w:t xml:space="preserve">For the </w:t>
      </w:r>
      <w:r w:rsidR="00D065DA">
        <w:t>10</w:t>
      </w:r>
      <w:r w:rsidRPr="00DE3826">
        <w:t xml:space="preserve"> </w:t>
      </w:r>
      <w:r w:rsidR="00D065DA">
        <w:t>Dec</w:t>
      </w:r>
      <w:r w:rsidRPr="00DE3826">
        <w:t xml:space="preserve"> 20</w:t>
      </w:r>
      <w:r w:rsidR="00D065DA">
        <w:t>21</w:t>
      </w:r>
      <w:r w:rsidRPr="00DE3826">
        <w:t xml:space="preserve"> event, </w:t>
      </w:r>
      <w:r w:rsidR="00D065DA" w:rsidRPr="00D065DA">
        <w:t xml:space="preserve">Improved reflectivity pattern and stronger convergence ahead of the rear-flank gust front, along with the presence of a strong cold pool in the forward-flank downdraft area and better coordination among these factors, </w:t>
      </w:r>
      <w:r w:rsidR="00D065DA">
        <w:t>are</w:t>
      </w:r>
      <w:r w:rsidR="00D065DA" w:rsidRPr="00D065DA">
        <w:t xml:space="preserve"> observed in </w:t>
      </w:r>
      <w:r w:rsidR="00D065DA">
        <w:t>the</w:t>
      </w:r>
      <w:r w:rsidR="00D065DA" w:rsidRPr="00D065DA">
        <w:t xml:space="preserve"> experiment that utilize</w:t>
      </w:r>
      <w:r w:rsidR="00D065DA">
        <w:t>s</w:t>
      </w:r>
      <w:r w:rsidR="00D065DA" w:rsidRPr="00D065DA">
        <w:t xml:space="preserve"> weather-dependent error covariance</w:t>
      </w:r>
      <w:r w:rsidR="00793FD8">
        <w:t>s</w:t>
      </w:r>
      <w:r w:rsidRPr="00DE3826">
        <w:t>.</w:t>
      </w:r>
      <w:r w:rsidR="00D065DA">
        <w:t xml:space="preserve"> </w:t>
      </w:r>
      <w:r w:rsidR="00D065DA" w:rsidRPr="00D065DA">
        <w:t>These enhancements facilitated the development of a complete and well-formed supercell structure.</w:t>
      </w:r>
    </w:p>
    <w:p w14:paraId="392E6490" w14:textId="7E71D761" w:rsidR="00240080" w:rsidRPr="00D40ABF" w:rsidRDefault="00240080" w:rsidP="00240080">
      <w:pPr>
        <w:rPr>
          <w:color w:val="000000" w:themeColor="text1"/>
        </w:rPr>
      </w:pPr>
      <w:r>
        <w:t>Even in a pure 3DV</w:t>
      </w:r>
      <w:r w:rsidR="00EA1DF0">
        <w:t>AR</w:t>
      </w:r>
      <w:r>
        <w:t xml:space="preserve"> framework</w:t>
      </w:r>
      <w:r w:rsidRPr="00240080">
        <w:t>, the study suggests that the use of weather-dependent error</w:t>
      </w:r>
      <w:r>
        <w:t xml:space="preserve"> covariance</w:t>
      </w:r>
      <w:r w:rsidR="00793FD8">
        <w:t>s</w:t>
      </w:r>
      <w:r w:rsidRPr="00240080">
        <w:t xml:space="preserve"> can significantly improve the accuracy of severe weather forecasts, especially in predicting the formation of tornadic supercells.</w:t>
      </w:r>
      <w:r w:rsidR="0021509D">
        <w:t xml:space="preserve"> This study is </w:t>
      </w:r>
      <w:r w:rsidR="00F06785">
        <w:t xml:space="preserve">promising and </w:t>
      </w:r>
      <w:r w:rsidR="0021509D">
        <w:t xml:space="preserve">attractive because the </w:t>
      </w:r>
      <w:r w:rsidR="0021509D" w:rsidRPr="006671B5">
        <w:t>heterogeneity</w:t>
      </w:r>
      <w:r w:rsidR="0021509D">
        <w:t xml:space="preserve"> of the analysis increment can be achieved even without</w:t>
      </w:r>
      <w:r w:rsidR="00CD5F15">
        <w:t xml:space="preserve"> using</w:t>
      </w:r>
      <w:r w:rsidR="0021509D">
        <w:t xml:space="preserve"> flow-dependent error covariance</w:t>
      </w:r>
      <w:r w:rsidR="00616F94">
        <w:t>s</w:t>
      </w:r>
      <w:r w:rsidR="0021509D">
        <w:t xml:space="preserve"> from </w:t>
      </w:r>
      <w:r w:rsidR="00CD5F15">
        <w:t xml:space="preserve">the </w:t>
      </w:r>
      <w:r w:rsidR="0021509D">
        <w:t>ensemble. Without using ensemble forecasts, the deterministic DA and forecasts cycle with pure 3DV</w:t>
      </w:r>
      <w:r w:rsidR="00EA1DF0">
        <w:t>AR</w:t>
      </w:r>
      <w:r w:rsidR="0021509D">
        <w:t xml:space="preserve"> could be much</w:t>
      </w:r>
      <w:r w:rsidR="00CD5F15">
        <w:t xml:space="preserve"> more</w:t>
      </w:r>
      <w:r w:rsidR="0021509D">
        <w:t xml:space="preserve"> </w:t>
      </w:r>
      <w:r w:rsidR="00CD5F15">
        <w:t>efficient</w:t>
      </w:r>
      <w:r w:rsidR="0021509D">
        <w:t xml:space="preserve">. </w:t>
      </w:r>
      <w:r w:rsidR="00F06785" w:rsidRPr="00D40ABF">
        <w:rPr>
          <w:color w:val="000000" w:themeColor="text1"/>
        </w:rPr>
        <w:t>As we understand, s</w:t>
      </w:r>
      <w:r w:rsidR="0021509D" w:rsidRPr="00D40ABF">
        <w:rPr>
          <w:color w:val="000000" w:themeColor="text1"/>
        </w:rPr>
        <w:t xml:space="preserve">evere convective weather </w:t>
      </w:r>
      <w:r w:rsidR="00F06785" w:rsidRPr="00D40ABF">
        <w:rPr>
          <w:color w:val="000000" w:themeColor="text1"/>
        </w:rPr>
        <w:t xml:space="preserve">and high-impact </w:t>
      </w:r>
      <w:r w:rsidR="0021509D" w:rsidRPr="00D40ABF">
        <w:rPr>
          <w:color w:val="000000" w:themeColor="text1"/>
        </w:rPr>
        <w:t>events, which are characterized by local, sudden, and short life cycles, usually require fast and timely forecasts, early warnings, and quick delivery of these forecasts and warnings to the public. Therefore, we believe that pure 3DV</w:t>
      </w:r>
      <w:r w:rsidR="00EA1DF0" w:rsidRPr="00D40ABF">
        <w:rPr>
          <w:color w:val="000000" w:themeColor="text1"/>
        </w:rPr>
        <w:t>AR</w:t>
      </w:r>
      <w:r w:rsidR="0021509D" w:rsidRPr="00D40ABF">
        <w:rPr>
          <w:color w:val="000000" w:themeColor="text1"/>
        </w:rPr>
        <w:t xml:space="preserve"> is </w:t>
      </w:r>
      <w:r w:rsidR="00616F94">
        <w:rPr>
          <w:color w:val="000000" w:themeColor="text1"/>
        </w:rPr>
        <w:t xml:space="preserve">also </w:t>
      </w:r>
      <w:r w:rsidR="0021509D" w:rsidRPr="00D40ABF">
        <w:rPr>
          <w:color w:val="000000" w:themeColor="text1"/>
        </w:rPr>
        <w:t>quite suitable for the severe weather forecasts by providing</w:t>
      </w:r>
      <w:r w:rsidR="00CD5F15">
        <w:rPr>
          <w:color w:val="000000" w:themeColor="text1"/>
        </w:rPr>
        <w:t xml:space="preserve"> a</w:t>
      </w:r>
      <w:r w:rsidR="0021509D" w:rsidRPr="00D40ABF">
        <w:rPr>
          <w:color w:val="000000" w:themeColor="text1"/>
        </w:rPr>
        <w:t xml:space="preserve"> highly efficient and rapid updating analysis and forecast cycle if needed.</w:t>
      </w:r>
      <w:r w:rsidR="003A240A" w:rsidRPr="00D40ABF">
        <w:rPr>
          <w:color w:val="000000" w:themeColor="text1"/>
        </w:rPr>
        <w:t xml:space="preserve"> Certainly Chapter 5 demonstrated adding flow-dependent ensemble covariance</w:t>
      </w:r>
      <w:r w:rsidR="00793FD8">
        <w:rPr>
          <w:color w:val="000000" w:themeColor="text1"/>
        </w:rPr>
        <w:t>s</w:t>
      </w:r>
      <w:r w:rsidR="003A240A" w:rsidRPr="00D40ABF">
        <w:rPr>
          <w:color w:val="000000" w:themeColor="text1"/>
        </w:rPr>
        <w:t xml:space="preserve"> can further improve the short-term severe weather forecasts.</w:t>
      </w:r>
    </w:p>
    <w:p w14:paraId="3D84E7B2" w14:textId="2DAB1A1D" w:rsidR="00B471C6" w:rsidRDefault="00B471C6" w:rsidP="008C58F8">
      <w:pPr>
        <w:ind w:firstLine="432"/>
      </w:pPr>
      <w:r w:rsidRPr="00B471C6">
        <w:lastRenderedPageBreak/>
        <w:t xml:space="preserve">Further investigations related to the </w:t>
      </w:r>
      <w:r w:rsidR="00681A86">
        <w:t>evaluation</w:t>
      </w:r>
      <w:r w:rsidR="00681A86" w:rsidRPr="00B471C6">
        <w:t xml:space="preserve"> </w:t>
      </w:r>
      <w:r w:rsidRPr="00B471C6">
        <w:t xml:space="preserve">of the </w:t>
      </w:r>
      <w:r w:rsidR="00681A86">
        <w:t xml:space="preserve">benefit of newly </w:t>
      </w:r>
      <w:r w:rsidRPr="00B471C6">
        <w:t xml:space="preserve">updated WoF-Hybrid </w:t>
      </w:r>
      <w:r w:rsidR="00681A86">
        <w:t xml:space="preserve">to </w:t>
      </w:r>
      <w:r w:rsidR="002C1860">
        <w:t>convective-scale</w:t>
      </w:r>
      <w:r w:rsidR="00681A86">
        <w:t xml:space="preserve"> short-term forecasts </w:t>
      </w:r>
      <w:r w:rsidRPr="00B471C6">
        <w:t xml:space="preserve">are </w:t>
      </w:r>
      <w:r w:rsidR="00681A86">
        <w:t>conduct</w:t>
      </w:r>
      <w:r w:rsidR="00681A86" w:rsidRPr="00B471C6">
        <w:t xml:space="preserve">ed </w:t>
      </w:r>
      <w:r w:rsidRPr="00B471C6">
        <w:t>in Chapter 5. The performance of the system is assessed using five severe weather</w:t>
      </w:r>
      <w:r w:rsidR="00681A86">
        <w:t xml:space="preserve"> and </w:t>
      </w:r>
      <w:r w:rsidR="00101AEA">
        <w:t>high-impact</w:t>
      </w:r>
      <w:r w:rsidR="00681A86">
        <w:t xml:space="preserve"> weather</w:t>
      </w:r>
      <w:r w:rsidRPr="00B471C6">
        <w:t xml:space="preserve"> events that occurred in 2020 and 2021</w:t>
      </w:r>
      <w:r w:rsidR="00681A86">
        <w:t>, which most related to HWT activities. Some</w:t>
      </w:r>
      <w:r w:rsidRPr="00B471C6">
        <w:t xml:space="preserve"> statistical metrics</w:t>
      </w:r>
      <w:r w:rsidR="00681A86">
        <w:t>,</w:t>
      </w:r>
      <w:r w:rsidRPr="00B471C6">
        <w:t xml:space="preserve"> such as POD, FAR, BIAS, CSI, and ETS are used. Three specific events are examined in detail, and the results are </w:t>
      </w:r>
      <w:r w:rsidR="00681A86">
        <w:t>assessed</w:t>
      </w:r>
      <w:r w:rsidR="00681A86" w:rsidRPr="00B471C6">
        <w:t xml:space="preserve"> </w:t>
      </w:r>
      <w:r w:rsidRPr="00B471C6">
        <w:t>both qualitative</w:t>
      </w:r>
      <w:r w:rsidR="00681A86">
        <w:t>ly</w:t>
      </w:r>
      <w:r w:rsidRPr="00B471C6">
        <w:t xml:space="preserve"> and quantitative</w:t>
      </w:r>
      <w:r w:rsidR="003A240A">
        <w:t>ly.</w:t>
      </w:r>
    </w:p>
    <w:p w14:paraId="7BB03E6B" w14:textId="665F39C0" w:rsidR="008C58F8" w:rsidRDefault="009729CF" w:rsidP="008C58F8">
      <w:pPr>
        <w:ind w:firstLine="432"/>
      </w:pPr>
      <w:r w:rsidRPr="00D9534A">
        <w:t xml:space="preserve">The aggregate metrics over forecasts from all </w:t>
      </w:r>
      <w:r w:rsidRPr="00B471C6">
        <w:t>five severe weather</w:t>
      </w:r>
      <w:r>
        <w:t xml:space="preserve"> and </w:t>
      </w:r>
      <w:r w:rsidR="00101AEA">
        <w:t>high-impact</w:t>
      </w:r>
      <w:r>
        <w:t xml:space="preserve"> weather</w:t>
      </w:r>
      <w:r w:rsidRPr="00B471C6">
        <w:t xml:space="preserve"> events </w:t>
      </w:r>
      <w:r w:rsidRPr="00D9534A">
        <w:t xml:space="preserve">suggest an overall improvement in the quality of </w:t>
      </w:r>
      <w:r w:rsidRPr="0088260C">
        <w:t xml:space="preserve">0 – 6-h </w:t>
      </w:r>
      <w:r w:rsidRPr="00D9534A">
        <w:t>forecasts for CREF and midlevel rotation track</w:t>
      </w:r>
      <w:r>
        <w:t xml:space="preserve"> with the inclusion of the </w:t>
      </w:r>
      <w:r w:rsidRPr="00D9534A">
        <w:t xml:space="preserve">weather-dependent static </w:t>
      </w:r>
      <w:r>
        <w:t>error covariance</w:t>
      </w:r>
      <w:r w:rsidR="001C3393">
        <w:t>s</w:t>
      </w:r>
      <w:r>
        <w:t xml:space="preserve"> in WoF-Hybrid</w:t>
      </w:r>
      <w:r w:rsidRPr="00D9534A">
        <w:t xml:space="preserve">. </w:t>
      </w:r>
      <w:r w:rsidR="00B93325" w:rsidRPr="00B93325">
        <w:t xml:space="preserve">However, forecast skills exhibit more variability at longer forecast times and less </w:t>
      </w:r>
      <w:r w:rsidR="00CD5F15">
        <w:t>variability</w:t>
      </w:r>
      <w:r w:rsidR="00B93325" w:rsidRPr="00B93325">
        <w:t xml:space="preserve"> at 1-hour forecasts. The analysis also reveals an underpredicted bias for the 20 dBZ threshold for 3- and 6-hour forecasts, and an overpredicted bias for the 40 dBZ threshold for all forecasts. </w:t>
      </w:r>
      <w:r w:rsidR="00AA4849">
        <w:t>Detailed evaluation of</w:t>
      </w:r>
      <w:r w:rsidR="00B93325" w:rsidRPr="00B93325">
        <w:t xml:space="preserve"> the 5 May 2020 event show that </w:t>
      </w:r>
      <w:r w:rsidR="001C3393">
        <w:t xml:space="preserve">the </w:t>
      </w:r>
      <w:r w:rsidR="00B93325" w:rsidRPr="00B93325">
        <w:t>weather-dependent static error covariance</w:t>
      </w:r>
      <w:r w:rsidR="001C3393">
        <w:t>s</w:t>
      </w:r>
      <w:r w:rsidR="00B93325" w:rsidRPr="00B93325">
        <w:t xml:space="preserve"> </w:t>
      </w:r>
      <w:r w:rsidR="001C3393">
        <w:t>are</w:t>
      </w:r>
      <w:r w:rsidR="00B93325" w:rsidRPr="00B93325">
        <w:t xml:space="preserve"> effective in improving CREF and midlevel rotation track forecasts. However, mixed results are seen for rotation track forecasts in the 22 May 2020 event due to spurious convection. The worst quantitative results are obtained for the 10 Dec 2021 event, where the system </w:t>
      </w:r>
      <w:r w:rsidR="001C3393">
        <w:t>has</w:t>
      </w:r>
      <w:r w:rsidR="001C3393" w:rsidRPr="00B93325">
        <w:t xml:space="preserve"> </w:t>
      </w:r>
      <w:r w:rsidR="00B93325" w:rsidRPr="00B93325">
        <w:t xml:space="preserve">significant difficulty in predicting two quasi-linear convective systems. Nonetheless, the use of </w:t>
      </w:r>
      <w:r w:rsidR="001C3393">
        <w:t xml:space="preserve">the </w:t>
      </w:r>
      <w:r w:rsidR="00B93325" w:rsidRPr="00B93325">
        <w:t>weather-dependent static error covariance</w:t>
      </w:r>
      <w:r w:rsidR="001C3393">
        <w:t>s</w:t>
      </w:r>
      <w:r w:rsidR="00B93325" w:rsidRPr="00B93325">
        <w:t xml:space="preserve"> allows for the prediction of a long-lived supercell that caused significant damage across four states</w:t>
      </w:r>
      <w:r w:rsidR="00AA4849">
        <w:t xml:space="preserve"> for 10 Dec 2021 event</w:t>
      </w:r>
      <w:r w:rsidR="00B93325" w:rsidRPr="00B93325">
        <w:t>.</w:t>
      </w:r>
      <w:r w:rsidR="00AA4849">
        <w:t xml:space="preserve"> This result is significantly better that the </w:t>
      </w:r>
      <w:r w:rsidR="004A3B94">
        <w:t xml:space="preserve">quasi-operational run of WoFS for this particular case (Carpenter, 2022). </w:t>
      </w:r>
      <w:r w:rsidR="00B93325" w:rsidRPr="00B93325">
        <w:t xml:space="preserve"> Although these findings are based on only five</w:t>
      </w:r>
      <w:r w:rsidR="00CD5F15">
        <w:t xml:space="preserve"> of the</w:t>
      </w:r>
      <w:r w:rsidR="00B93325" w:rsidRPr="00B93325">
        <w:t xml:space="preserve"> worst-performed events in HWT SFE 2020 and 2021, the study suggests that the updated WoF-Hybrid system with </w:t>
      </w:r>
      <w:r w:rsidR="001C3393">
        <w:t xml:space="preserve">the </w:t>
      </w:r>
      <w:r w:rsidR="00B93325" w:rsidRPr="00B93325">
        <w:t>weather-dependent static error covariance</w:t>
      </w:r>
      <w:r w:rsidR="001C3393">
        <w:t>s</w:t>
      </w:r>
      <w:r w:rsidR="00B93325" w:rsidRPr="00B93325">
        <w:t xml:space="preserve"> has a </w:t>
      </w:r>
      <w:r w:rsidR="001C58BC">
        <w:t>generally</w:t>
      </w:r>
      <w:r w:rsidR="00B93325" w:rsidRPr="00B93325">
        <w:t xml:space="preserve"> positive impact on convective-scale analyses and forecasts, although </w:t>
      </w:r>
      <w:r w:rsidR="00B93325" w:rsidRPr="00B93325">
        <w:lastRenderedPageBreak/>
        <w:t xml:space="preserve">there is still </w:t>
      </w:r>
      <w:r w:rsidR="00745C24">
        <w:t>room</w:t>
      </w:r>
      <w:r w:rsidR="00745C24" w:rsidRPr="00B93325">
        <w:t xml:space="preserve"> </w:t>
      </w:r>
      <w:r w:rsidR="00B93325" w:rsidRPr="00B93325">
        <w:t>for further improvement, particularly in predicting quasi-linear convective systems.</w:t>
      </w:r>
      <w:r w:rsidR="00745C24">
        <w:t xml:space="preserve"> Obviously, </w:t>
      </w:r>
      <w:r w:rsidR="00CD5F15">
        <w:t>testing</w:t>
      </w:r>
      <w:r w:rsidR="00745C24">
        <w:t xml:space="preserve"> the newly updated WoF-Hybrid with more severe and </w:t>
      </w:r>
      <w:r w:rsidR="00101AEA">
        <w:t>high-impact</w:t>
      </w:r>
      <w:r w:rsidR="00745C24">
        <w:t xml:space="preserve"> weather events is needed. </w:t>
      </w:r>
    </w:p>
    <w:p w14:paraId="1C9228D7" w14:textId="77777777" w:rsidR="00B93325" w:rsidRPr="00723DA9" w:rsidRDefault="00B93325" w:rsidP="008C58F8">
      <w:pPr>
        <w:ind w:firstLine="432"/>
        <w:rPr>
          <w:rFonts w:cs="Times New Roman"/>
          <w:color w:val="000000" w:themeColor="text1"/>
          <w:szCs w:val="24"/>
        </w:rPr>
      </w:pPr>
    </w:p>
    <w:p w14:paraId="33577B71" w14:textId="77777777" w:rsidR="008C58F8" w:rsidRPr="004B25DE" w:rsidRDefault="008C58F8" w:rsidP="004B25DE">
      <w:pPr>
        <w:pStyle w:val="Heading2"/>
      </w:pPr>
      <w:bookmarkStart w:id="167" w:name="_Toc21624023"/>
      <w:bookmarkStart w:id="168" w:name="_Toc130995475"/>
      <w:bookmarkStart w:id="169" w:name="_Toc131018340"/>
      <w:r w:rsidRPr="004B25DE">
        <w:t>Future Plans</w:t>
      </w:r>
      <w:bookmarkEnd w:id="167"/>
      <w:bookmarkEnd w:id="168"/>
      <w:bookmarkEnd w:id="169"/>
    </w:p>
    <w:p w14:paraId="233A23D3" w14:textId="04DA58A9" w:rsidR="006C690B" w:rsidRPr="004B25DE" w:rsidRDefault="0030103D" w:rsidP="004B25DE">
      <w:r w:rsidRPr="0030103D">
        <w:rPr>
          <w:rFonts w:cs="Times New Roman"/>
          <w:color w:val="000000" w:themeColor="text1"/>
          <w:szCs w:val="24"/>
        </w:rPr>
        <w:t xml:space="preserve">The </w:t>
      </w:r>
      <w:r w:rsidR="00C001D7">
        <w:rPr>
          <w:rFonts w:cs="Times New Roman"/>
          <w:color w:val="000000" w:themeColor="text1"/>
          <w:szCs w:val="24"/>
        </w:rPr>
        <w:t xml:space="preserve">further </w:t>
      </w:r>
      <w:r w:rsidRPr="0030103D">
        <w:rPr>
          <w:rFonts w:cs="Times New Roman"/>
          <w:color w:val="000000" w:themeColor="text1"/>
          <w:szCs w:val="24"/>
        </w:rPr>
        <w:t>development of the WoF-</w:t>
      </w:r>
      <w:r w:rsidR="00C001D7">
        <w:rPr>
          <w:rFonts w:cs="Times New Roman"/>
          <w:color w:val="000000" w:themeColor="text1"/>
          <w:szCs w:val="24"/>
        </w:rPr>
        <w:t>Hybrid</w:t>
      </w:r>
      <w:r w:rsidR="00C001D7" w:rsidRPr="0030103D">
        <w:rPr>
          <w:rFonts w:cs="Times New Roman"/>
          <w:color w:val="000000" w:themeColor="text1"/>
          <w:szCs w:val="24"/>
        </w:rPr>
        <w:t xml:space="preserve"> </w:t>
      </w:r>
      <w:r w:rsidRPr="0030103D">
        <w:rPr>
          <w:rFonts w:cs="Times New Roman"/>
          <w:color w:val="000000" w:themeColor="text1"/>
          <w:szCs w:val="24"/>
        </w:rPr>
        <w:t xml:space="preserve">provides a valuable platform for exploring the scientific challenges associated with improving severe weather forecasting. Although numerous experiments have been conducted in this dissertation, further studies are necessary. For instance, (1) the assimilation of CWP and LPW observations still results in unwanted artifacts, such as the emergence of spurious convection during the free forecast; (2) the detrimental impact of </w:t>
      </w:r>
      <w:r w:rsidR="00277FA4">
        <w:rPr>
          <w:rFonts w:cs="Times New Roman"/>
          <w:color w:val="000000" w:themeColor="text1"/>
          <w:szCs w:val="24"/>
        </w:rPr>
        <w:t xml:space="preserve">satellite derived </w:t>
      </w:r>
      <w:r w:rsidRPr="0030103D">
        <w:rPr>
          <w:rFonts w:cs="Times New Roman"/>
          <w:color w:val="000000" w:themeColor="text1"/>
          <w:szCs w:val="24"/>
        </w:rPr>
        <w:t xml:space="preserve">high layer precipitable water observations remains unresolved; (3) the reliability of the </w:t>
      </w:r>
      <w:r w:rsidR="00277FA4">
        <w:rPr>
          <w:rFonts w:cs="Times New Roman"/>
          <w:color w:val="000000" w:themeColor="text1"/>
          <w:szCs w:val="24"/>
        </w:rPr>
        <w:t xml:space="preserve">upgraded </w:t>
      </w:r>
      <w:r w:rsidRPr="0030103D">
        <w:rPr>
          <w:rFonts w:cs="Times New Roman"/>
          <w:color w:val="000000" w:themeColor="text1"/>
          <w:szCs w:val="24"/>
        </w:rPr>
        <w:t>WoF-</w:t>
      </w:r>
      <w:r w:rsidR="00277FA4">
        <w:rPr>
          <w:rFonts w:cs="Times New Roman"/>
          <w:color w:val="000000" w:themeColor="text1"/>
          <w:szCs w:val="24"/>
        </w:rPr>
        <w:t>Hybrid</w:t>
      </w:r>
      <w:r w:rsidR="00277FA4" w:rsidRPr="0030103D">
        <w:rPr>
          <w:rFonts w:cs="Times New Roman"/>
          <w:color w:val="000000" w:themeColor="text1"/>
          <w:szCs w:val="24"/>
        </w:rPr>
        <w:t xml:space="preserve"> </w:t>
      </w:r>
      <w:r w:rsidRPr="0030103D">
        <w:rPr>
          <w:rFonts w:cs="Times New Roman"/>
          <w:color w:val="000000" w:themeColor="text1"/>
          <w:szCs w:val="24"/>
        </w:rPr>
        <w:t>system needs to be further tested in real-time situations like HWT SFE; (4) how the improved WoF-</w:t>
      </w:r>
      <w:r w:rsidR="00277FA4">
        <w:rPr>
          <w:rFonts w:cs="Times New Roman"/>
          <w:color w:val="000000" w:themeColor="text1"/>
          <w:szCs w:val="24"/>
        </w:rPr>
        <w:t>Hybrid</w:t>
      </w:r>
      <w:r w:rsidR="00277FA4" w:rsidRPr="0030103D">
        <w:rPr>
          <w:rFonts w:cs="Times New Roman"/>
          <w:color w:val="000000" w:themeColor="text1"/>
          <w:szCs w:val="24"/>
        </w:rPr>
        <w:t xml:space="preserve"> </w:t>
      </w:r>
      <w:r w:rsidRPr="0030103D">
        <w:rPr>
          <w:rFonts w:cs="Times New Roman"/>
          <w:color w:val="000000" w:themeColor="text1"/>
          <w:szCs w:val="24"/>
        </w:rPr>
        <w:t xml:space="preserve">system can benefit the </w:t>
      </w:r>
      <w:r w:rsidR="00210BC6">
        <w:rPr>
          <w:rFonts w:cs="Times New Roman"/>
          <w:color w:val="000000" w:themeColor="text1"/>
          <w:szCs w:val="24"/>
        </w:rPr>
        <w:t xml:space="preserve">performance of the </w:t>
      </w:r>
      <w:r w:rsidRPr="0030103D">
        <w:rPr>
          <w:rFonts w:cs="Times New Roman"/>
          <w:color w:val="000000" w:themeColor="text1"/>
          <w:szCs w:val="24"/>
        </w:rPr>
        <w:t>WoFS ensemble</w:t>
      </w:r>
      <w:r w:rsidR="00210BC6">
        <w:rPr>
          <w:rFonts w:cs="Times New Roman"/>
          <w:color w:val="000000" w:themeColor="text1"/>
          <w:szCs w:val="24"/>
        </w:rPr>
        <w:t xml:space="preserve"> system</w:t>
      </w:r>
      <w:r w:rsidRPr="0030103D">
        <w:rPr>
          <w:rFonts w:cs="Times New Roman"/>
          <w:color w:val="000000" w:themeColor="text1"/>
          <w:szCs w:val="24"/>
        </w:rPr>
        <w:t xml:space="preserve">, </w:t>
      </w:r>
      <w:r w:rsidR="00210BC6">
        <w:rPr>
          <w:rFonts w:cs="Times New Roman"/>
          <w:color w:val="000000" w:themeColor="text1"/>
          <w:szCs w:val="24"/>
        </w:rPr>
        <w:t>is not well studied</w:t>
      </w:r>
      <w:r w:rsidRPr="0030103D">
        <w:rPr>
          <w:rFonts w:cs="Times New Roman"/>
          <w:color w:val="000000" w:themeColor="text1"/>
          <w:szCs w:val="24"/>
        </w:rPr>
        <w:t xml:space="preserve">. Our future work will focus on investigating these problems to achieve our ultimate objective of improving </w:t>
      </w:r>
      <w:r w:rsidR="00210BC6">
        <w:rPr>
          <w:rFonts w:cs="Times New Roman"/>
          <w:color w:val="000000" w:themeColor="text1"/>
          <w:szCs w:val="24"/>
        </w:rPr>
        <w:t xml:space="preserve">prediction of </w:t>
      </w:r>
      <w:r w:rsidRPr="0030103D">
        <w:rPr>
          <w:rFonts w:cs="Times New Roman"/>
          <w:color w:val="000000" w:themeColor="text1"/>
          <w:szCs w:val="24"/>
        </w:rPr>
        <w:t xml:space="preserve">severe </w:t>
      </w:r>
      <w:r w:rsidR="00210BC6">
        <w:rPr>
          <w:rFonts w:cs="Times New Roman"/>
          <w:color w:val="000000" w:themeColor="text1"/>
          <w:szCs w:val="24"/>
        </w:rPr>
        <w:t xml:space="preserve">and high-impact </w:t>
      </w:r>
      <w:r w:rsidRPr="0030103D">
        <w:rPr>
          <w:rFonts w:cs="Times New Roman"/>
          <w:color w:val="000000" w:themeColor="text1"/>
          <w:szCs w:val="24"/>
        </w:rPr>
        <w:t xml:space="preserve">weather </w:t>
      </w:r>
      <w:r w:rsidR="00210BC6">
        <w:rPr>
          <w:rFonts w:cs="Times New Roman"/>
          <w:color w:val="000000" w:themeColor="text1"/>
          <w:szCs w:val="24"/>
        </w:rPr>
        <w:t>events</w:t>
      </w:r>
      <w:r w:rsidR="00210BC6" w:rsidRPr="0030103D">
        <w:rPr>
          <w:rFonts w:cs="Times New Roman"/>
          <w:color w:val="000000" w:themeColor="text1"/>
          <w:szCs w:val="24"/>
        </w:rPr>
        <w:t xml:space="preserve"> </w:t>
      </w:r>
      <w:r w:rsidRPr="0030103D">
        <w:rPr>
          <w:rFonts w:cs="Times New Roman"/>
          <w:color w:val="000000" w:themeColor="text1"/>
          <w:szCs w:val="24"/>
        </w:rPr>
        <w:t>for society, particularly by reducing fatalities and property damages</w:t>
      </w:r>
      <w:r w:rsidR="0077568B">
        <w:rPr>
          <w:rFonts w:cs="Times New Roman"/>
          <w:color w:val="000000" w:themeColor="text1"/>
          <w:szCs w:val="24"/>
        </w:rPr>
        <w:t xml:space="preserve">, one of </w:t>
      </w:r>
      <w:r w:rsidR="00D40ABF">
        <w:rPr>
          <w:rFonts w:cs="Times New Roman"/>
          <w:color w:val="000000" w:themeColor="text1"/>
          <w:szCs w:val="24"/>
        </w:rPr>
        <w:t>long-time</w:t>
      </w:r>
      <w:r w:rsidR="0077568B">
        <w:rPr>
          <w:rFonts w:cs="Times New Roman"/>
          <w:color w:val="000000" w:themeColor="text1"/>
          <w:szCs w:val="24"/>
        </w:rPr>
        <w:t xml:space="preserve"> goals of NSSL WoF project</w:t>
      </w:r>
      <w:r w:rsidRPr="00194DAA">
        <w:t>.</w:t>
      </w:r>
      <w:r w:rsidR="006C690B" w:rsidRPr="5B610C6B">
        <w:rPr>
          <w:rFonts w:cs="Times New Roman"/>
          <w:color w:val="000000" w:themeColor="text1"/>
          <w:szCs w:val="24"/>
        </w:rPr>
        <w:br w:type="page"/>
      </w:r>
    </w:p>
    <w:p w14:paraId="191EA83C" w14:textId="487F4B54" w:rsidR="006C690B" w:rsidRDefault="006C690B" w:rsidP="000E2359">
      <w:pPr>
        <w:pStyle w:val="Heading1"/>
        <w:numPr>
          <w:ilvl w:val="0"/>
          <w:numId w:val="0"/>
        </w:numPr>
        <w:rPr>
          <w:rFonts w:cs="Times New Roman"/>
          <w:color w:val="auto"/>
          <w:szCs w:val="24"/>
        </w:rPr>
      </w:pPr>
      <w:bookmarkStart w:id="170" w:name="_Toc130995476"/>
      <w:bookmarkStart w:id="171" w:name="_Toc131018341"/>
      <w:r w:rsidRPr="00723DA9">
        <w:rPr>
          <w:rFonts w:cs="Times New Roman"/>
          <w:color w:val="auto"/>
          <w:szCs w:val="24"/>
        </w:rPr>
        <w:lastRenderedPageBreak/>
        <w:t>References</w:t>
      </w:r>
      <w:bookmarkEnd w:id="170"/>
      <w:bookmarkEnd w:id="171"/>
    </w:p>
    <w:p w14:paraId="408D7207" w14:textId="77777777" w:rsidR="001964E0" w:rsidRPr="001964E0" w:rsidRDefault="00723F3B" w:rsidP="001964E0">
      <w:pPr>
        <w:pStyle w:val="Bibliography"/>
      </w:pPr>
      <w:r>
        <w:fldChar w:fldCharType="begin"/>
      </w:r>
      <w:r>
        <w:instrText xml:space="preserve"> ADDIN ZOTERO_BIBL {"uncited":[],"omitted":[],"custom":[]} CSL_BIBLIOGRAPHY </w:instrText>
      </w:r>
      <w:r>
        <w:fldChar w:fldCharType="separate"/>
      </w:r>
      <w:r w:rsidR="001964E0" w:rsidRPr="001964E0">
        <w:t xml:space="preserve">Aksoy, A., D. C. Dowell, and C. Snyder, 2009: A Multicase Comparative Assessment of the Ensemble Kalman Filter for Assimilation of Radar Observations. Part I: Storm-Scale Analyses. </w:t>
      </w:r>
      <w:r w:rsidR="001964E0" w:rsidRPr="001964E0">
        <w:rPr>
          <w:i/>
          <w:iCs/>
        </w:rPr>
        <w:t>Monthly Weather Review</w:t>
      </w:r>
      <w:r w:rsidR="001964E0" w:rsidRPr="001964E0">
        <w:t xml:space="preserve">, </w:t>
      </w:r>
      <w:r w:rsidR="001964E0" w:rsidRPr="001964E0">
        <w:rPr>
          <w:b/>
          <w:bCs/>
        </w:rPr>
        <w:t>137</w:t>
      </w:r>
      <w:r w:rsidR="001964E0" w:rsidRPr="001964E0">
        <w:t>, 1805–1824, https://doi.org/10.1175/2008MWR2691.1.</w:t>
      </w:r>
    </w:p>
    <w:p w14:paraId="0D5C601F" w14:textId="77777777" w:rsidR="001964E0" w:rsidRPr="001964E0" w:rsidRDefault="001964E0" w:rsidP="001964E0">
      <w:pPr>
        <w:pStyle w:val="Bibliography"/>
      </w:pPr>
      <w:r w:rsidRPr="001964E0">
        <w:t xml:space="preserve">Bannister, R. N., 2008: A review of forecast error covariance statistics in atmospheric variational data assimilation. I: Characteristics and measurements of forecast error covariances. </w:t>
      </w:r>
      <w:r w:rsidRPr="001964E0">
        <w:rPr>
          <w:i/>
          <w:iCs/>
        </w:rPr>
        <w:t>Quarterly Journal of the Royal Meteorological Society</w:t>
      </w:r>
      <w:r w:rsidRPr="001964E0">
        <w:t xml:space="preserve">, </w:t>
      </w:r>
      <w:r w:rsidRPr="001964E0">
        <w:rPr>
          <w:b/>
          <w:bCs/>
        </w:rPr>
        <w:t>134</w:t>
      </w:r>
      <w:r w:rsidRPr="001964E0">
        <w:t>, 1951–1970, https://doi.org/10.1002/qj.339.</w:t>
      </w:r>
    </w:p>
    <w:p w14:paraId="2BE0361E" w14:textId="77777777" w:rsidR="001964E0" w:rsidRPr="001964E0" w:rsidRDefault="001964E0" w:rsidP="001964E0">
      <w:pPr>
        <w:pStyle w:val="Bibliography"/>
      </w:pPr>
      <w:r w:rsidRPr="001964E0">
        <w:t xml:space="preserve">Benjamin, S. G., G. A. Grell, J. M. Brown, T. G. Smirnova, and R. Bleck, 2004: Mesoscale Weather Prediction with the RUC Hybrid Isentropic–Terrain-Following Coordinate Model. </w:t>
      </w:r>
      <w:r w:rsidRPr="001964E0">
        <w:rPr>
          <w:i/>
          <w:iCs/>
        </w:rPr>
        <w:t>Monthly Weather Review</w:t>
      </w:r>
      <w:r w:rsidRPr="001964E0">
        <w:t xml:space="preserve">, </w:t>
      </w:r>
      <w:r w:rsidRPr="001964E0">
        <w:rPr>
          <w:b/>
          <w:bCs/>
        </w:rPr>
        <w:t>132</w:t>
      </w:r>
      <w:r w:rsidRPr="001964E0">
        <w:t>, 473–494, https://doi.org/10.1175/1520-0493(2004)132&lt;0473:MWPWTR&gt;2.0.CO;2.</w:t>
      </w:r>
    </w:p>
    <w:p w14:paraId="5388E0DC" w14:textId="77777777" w:rsidR="001964E0" w:rsidRPr="001964E0" w:rsidRDefault="001964E0" w:rsidP="001964E0">
      <w:pPr>
        <w:pStyle w:val="Bibliography"/>
      </w:pPr>
      <w:r w:rsidRPr="001964E0">
        <w:t xml:space="preserve">Brock, F. V., K. C. Crawford, R. L. Elliott, G. W. Cuperus, S. J. Stadler, H. L. Johnson, and M. D. Eilts, 1995: The Oklahoma Mesonet: A Technical Overview. </w:t>
      </w:r>
      <w:r w:rsidRPr="001964E0">
        <w:rPr>
          <w:i/>
          <w:iCs/>
        </w:rPr>
        <w:t>Journal of Atmospheric and Oceanic Technology</w:t>
      </w:r>
      <w:r w:rsidRPr="001964E0">
        <w:t xml:space="preserve">, </w:t>
      </w:r>
      <w:r w:rsidRPr="001964E0">
        <w:rPr>
          <w:b/>
          <w:bCs/>
        </w:rPr>
        <w:t>12</w:t>
      </w:r>
      <w:r w:rsidRPr="001964E0">
        <w:t>, 5–19, https://doi.org/10.1175/1520-0426(1995)012&lt;0005:TOMATO&gt;2.0.CO;2.</w:t>
      </w:r>
    </w:p>
    <w:p w14:paraId="45272818" w14:textId="77777777" w:rsidR="001964E0" w:rsidRPr="001964E0" w:rsidRDefault="001964E0" w:rsidP="001964E0">
      <w:pPr>
        <w:pStyle w:val="Bibliography"/>
      </w:pPr>
      <w:r w:rsidRPr="001964E0">
        <w:t xml:space="preserve">Brousseau, P., L. Berre, F. Bouttier, and G. Desroziers, 2011: Background-error covariances for a convective-scale data-assimilation system: AROME–France 3D-Var. </w:t>
      </w:r>
      <w:r w:rsidRPr="001964E0">
        <w:rPr>
          <w:i/>
          <w:iCs/>
        </w:rPr>
        <w:t>Quarterly Journal of the Royal Meteorological Society</w:t>
      </w:r>
      <w:r w:rsidRPr="001964E0">
        <w:t xml:space="preserve">, </w:t>
      </w:r>
      <w:r w:rsidRPr="001964E0">
        <w:rPr>
          <w:b/>
          <w:bCs/>
        </w:rPr>
        <w:t>137</w:t>
      </w:r>
      <w:r w:rsidRPr="001964E0">
        <w:t>, 409–422, https://doi.org/10.1002/qj.750.</w:t>
      </w:r>
    </w:p>
    <w:p w14:paraId="0A3A0833" w14:textId="77777777" w:rsidR="001964E0" w:rsidRPr="001964E0" w:rsidRDefault="001964E0" w:rsidP="001964E0">
      <w:pPr>
        <w:pStyle w:val="Bibliography"/>
      </w:pPr>
      <w:r w:rsidRPr="001964E0">
        <w:t xml:space="preserve">Buehner, M., 2005: Ensemble-derived stationary and flow-dependent background-error covariances: Evaluation in a quasi-operational NWP setting. </w:t>
      </w:r>
      <w:r w:rsidRPr="001964E0">
        <w:rPr>
          <w:i/>
          <w:iCs/>
        </w:rPr>
        <w:t>Quarterly Journal of the Royal Meteorological Society</w:t>
      </w:r>
      <w:r w:rsidRPr="001964E0">
        <w:t xml:space="preserve">, </w:t>
      </w:r>
      <w:r w:rsidRPr="001964E0">
        <w:rPr>
          <w:b/>
          <w:bCs/>
        </w:rPr>
        <w:t>131</w:t>
      </w:r>
      <w:r w:rsidRPr="001964E0">
        <w:t>, 1013–1043, https://doi.org/10.1256/qj.04.15.</w:t>
      </w:r>
    </w:p>
    <w:p w14:paraId="6F593A15" w14:textId="77777777" w:rsidR="001964E0" w:rsidRPr="001964E0" w:rsidRDefault="001964E0" w:rsidP="001964E0">
      <w:pPr>
        <w:pStyle w:val="Bibliography"/>
      </w:pPr>
      <w:r w:rsidRPr="001964E0">
        <w:t xml:space="preserve">——, P. L. Houtekamer, C. Charette, H. L. Mitchell, and B. He, 2010a: Intercomparison of Variational Data Assimilation and the Ensemble Kalman Filter for Global Deterministic NWP. Part I: Description and Single-Observation Experiments. </w:t>
      </w:r>
      <w:r w:rsidRPr="001964E0">
        <w:rPr>
          <w:i/>
          <w:iCs/>
        </w:rPr>
        <w:t>Monthly Weather Review</w:t>
      </w:r>
      <w:r w:rsidRPr="001964E0">
        <w:t xml:space="preserve">, </w:t>
      </w:r>
      <w:r w:rsidRPr="001964E0">
        <w:rPr>
          <w:b/>
          <w:bCs/>
        </w:rPr>
        <w:t>138</w:t>
      </w:r>
      <w:r w:rsidRPr="001964E0">
        <w:t>, 1550–1566, https://doi.org/10.1175/2009MWR3157.1.</w:t>
      </w:r>
    </w:p>
    <w:p w14:paraId="4D162240" w14:textId="77777777" w:rsidR="001964E0" w:rsidRPr="001964E0" w:rsidRDefault="001964E0" w:rsidP="001964E0">
      <w:pPr>
        <w:pStyle w:val="Bibliography"/>
      </w:pPr>
      <w:r w:rsidRPr="001964E0">
        <w:t xml:space="preserve">——, ——, ——, ——, and ——, 2010b: Intercomparison of Variational Data Assimilation and the Ensemble Kalman Filter for Global Deterministic NWP. Part II: One-Month Experiments with Real Observations. </w:t>
      </w:r>
      <w:r w:rsidRPr="001964E0">
        <w:rPr>
          <w:i/>
          <w:iCs/>
        </w:rPr>
        <w:t>Monthly Weather Review</w:t>
      </w:r>
      <w:r w:rsidRPr="001964E0">
        <w:t xml:space="preserve">, </w:t>
      </w:r>
      <w:r w:rsidRPr="001964E0">
        <w:rPr>
          <w:b/>
          <w:bCs/>
        </w:rPr>
        <w:t>138</w:t>
      </w:r>
      <w:r w:rsidRPr="001964E0">
        <w:t>, 1567–1586, https://doi.org/10.1175/2009MWR3158.1.</w:t>
      </w:r>
    </w:p>
    <w:p w14:paraId="652CDD5F" w14:textId="77777777" w:rsidR="001964E0" w:rsidRPr="001964E0" w:rsidRDefault="001964E0" w:rsidP="001964E0">
      <w:pPr>
        <w:pStyle w:val="Bibliography"/>
      </w:pPr>
      <w:r w:rsidRPr="001964E0">
        <w:t xml:space="preserve">——, and Coauthors, 2015: Implementation of Deterministic Weather Forecasting Systems Based on Ensemble–Variational Data Assimilation at Environment Canada. Part I: The Global System. </w:t>
      </w:r>
      <w:r w:rsidRPr="001964E0">
        <w:rPr>
          <w:i/>
          <w:iCs/>
        </w:rPr>
        <w:t>Monthly Weather Review</w:t>
      </w:r>
      <w:r w:rsidRPr="001964E0">
        <w:t xml:space="preserve">, </w:t>
      </w:r>
      <w:r w:rsidRPr="001964E0">
        <w:rPr>
          <w:b/>
          <w:bCs/>
        </w:rPr>
        <w:t>143</w:t>
      </w:r>
      <w:r w:rsidRPr="001964E0">
        <w:t>, 2532–2559, https://doi.org/10.1175/MWR-D-14-00354.1.</w:t>
      </w:r>
    </w:p>
    <w:p w14:paraId="0535637A" w14:textId="77777777" w:rsidR="001964E0" w:rsidRPr="001964E0" w:rsidRDefault="001964E0" w:rsidP="001964E0">
      <w:pPr>
        <w:pStyle w:val="Bibliography"/>
      </w:pPr>
      <w:r w:rsidRPr="001964E0">
        <w:t xml:space="preserve">Calhoun, K. M., T. M. Smith, D. M. Kingfield, J. Gao, and D. J. Stensrud, 2014: Forecaster Use and Evaluation of Real-Time 3DVAR Analyses during Severe Thunderstorm and </w:t>
      </w:r>
      <w:r w:rsidRPr="001964E0">
        <w:lastRenderedPageBreak/>
        <w:t xml:space="preserve">Tornado Warning Operations in the Hazardous Weather Testbed. </w:t>
      </w:r>
      <w:r w:rsidRPr="001964E0">
        <w:rPr>
          <w:i/>
          <w:iCs/>
        </w:rPr>
        <w:t>Weather and Forecasting</w:t>
      </w:r>
      <w:r w:rsidRPr="001964E0">
        <w:t xml:space="preserve">, </w:t>
      </w:r>
      <w:r w:rsidRPr="001964E0">
        <w:rPr>
          <w:b/>
          <w:bCs/>
        </w:rPr>
        <w:t>29</w:t>
      </w:r>
      <w:r w:rsidRPr="001964E0">
        <w:t>, 601–613, https://doi.org/10.1175/WAF-D-13-00107.1.</w:t>
      </w:r>
    </w:p>
    <w:p w14:paraId="6C35EA40" w14:textId="77777777" w:rsidR="001964E0" w:rsidRPr="001964E0" w:rsidRDefault="001964E0" w:rsidP="001964E0">
      <w:pPr>
        <w:pStyle w:val="Bibliography"/>
      </w:pPr>
      <w:r w:rsidRPr="001964E0">
        <w:t xml:space="preserve">Caron, J.-F., and L. Fillion, 2010: An Examination of Background Error Correlations between Mass and Rotational Wind over Precipitation Regions. </w:t>
      </w:r>
      <w:r w:rsidRPr="001964E0">
        <w:rPr>
          <w:i/>
          <w:iCs/>
        </w:rPr>
        <w:t>Monthly Weather Review</w:t>
      </w:r>
      <w:r w:rsidRPr="001964E0">
        <w:t xml:space="preserve">, </w:t>
      </w:r>
      <w:r w:rsidRPr="001964E0">
        <w:rPr>
          <w:b/>
          <w:bCs/>
        </w:rPr>
        <w:t>138</w:t>
      </w:r>
      <w:r w:rsidRPr="001964E0">
        <w:t>, 563–578, https://doi.org/10.1175/2009MWR2998.1.</w:t>
      </w:r>
    </w:p>
    <w:p w14:paraId="6B689C86" w14:textId="77777777" w:rsidR="001964E0" w:rsidRPr="001964E0" w:rsidRDefault="001964E0" w:rsidP="001964E0">
      <w:pPr>
        <w:pStyle w:val="Bibliography"/>
      </w:pPr>
      <w:r w:rsidRPr="001964E0">
        <w:t>Carpenter, N., 2022: Evaluation of the experimental warn-on-forecast system and WoF-hybrid 3DEnVar system on short-term forecasts for 2021 real-time cases.</w:t>
      </w:r>
    </w:p>
    <w:p w14:paraId="2749A383" w14:textId="77777777" w:rsidR="001964E0" w:rsidRPr="001964E0" w:rsidRDefault="001964E0" w:rsidP="001964E0">
      <w:pPr>
        <w:pStyle w:val="Bibliography"/>
      </w:pPr>
      <w:r w:rsidRPr="001964E0">
        <w:t xml:space="preserve">Caya, A., J. Sun, and C. Snyder, 2005: A Comparison between the 4DVAR and the Ensemble Kalman Filter Techniques for Radar Data Assimilation. </w:t>
      </w:r>
      <w:r w:rsidRPr="001964E0">
        <w:rPr>
          <w:i/>
          <w:iCs/>
        </w:rPr>
        <w:t>Monthly Weather Review</w:t>
      </w:r>
      <w:r w:rsidRPr="001964E0">
        <w:t xml:space="preserve">, </w:t>
      </w:r>
      <w:r w:rsidRPr="001964E0">
        <w:rPr>
          <w:b/>
          <w:bCs/>
        </w:rPr>
        <w:t>133</w:t>
      </w:r>
      <w:r w:rsidRPr="001964E0">
        <w:t>, 3081–3094, https://doi.org/10.1175/MWR3021.1.</w:t>
      </w:r>
    </w:p>
    <w:p w14:paraId="4F12A28B" w14:textId="77777777" w:rsidR="001964E0" w:rsidRPr="001964E0" w:rsidRDefault="001964E0" w:rsidP="001964E0">
      <w:pPr>
        <w:pStyle w:val="Bibliography"/>
      </w:pPr>
      <w:r w:rsidRPr="001964E0">
        <w:t xml:space="preserve">Chou, M.-D., K.-T. Lee, S.-C. Tsay, and Q. Fu, 1999: Parameterization for Cloud Longwave Scattering for Use in Atmospheric Models. </w:t>
      </w:r>
      <w:r w:rsidRPr="001964E0">
        <w:rPr>
          <w:i/>
          <w:iCs/>
        </w:rPr>
        <w:t>Journal of Climate</w:t>
      </w:r>
      <w:r w:rsidRPr="001964E0">
        <w:t xml:space="preserve">, </w:t>
      </w:r>
      <w:r w:rsidRPr="001964E0">
        <w:rPr>
          <w:b/>
          <w:bCs/>
        </w:rPr>
        <w:t>12</w:t>
      </w:r>
      <w:r w:rsidRPr="001964E0">
        <w:t>, 159–169, https://doi.org/10.1175/1520-0442(1999)012&lt;0159:PFCLSF&gt;2.0.CO;2.</w:t>
      </w:r>
    </w:p>
    <w:p w14:paraId="18F2930D" w14:textId="77777777" w:rsidR="001964E0" w:rsidRPr="001964E0" w:rsidRDefault="001964E0" w:rsidP="001964E0">
      <w:pPr>
        <w:pStyle w:val="Bibliography"/>
      </w:pPr>
      <w:r w:rsidRPr="001964E0">
        <w:t xml:space="preserve">Clark, A. J., W. A. Gallus, and M. L. Weisman, 2010: Neighborhood-Based Verification of Precipitation Forecasts from Convection-Allowing NCAR WRF Model Simulations and the Operational NAM. </w:t>
      </w:r>
      <w:r w:rsidRPr="001964E0">
        <w:rPr>
          <w:i/>
          <w:iCs/>
        </w:rPr>
        <w:t>Weather and Forecasting</w:t>
      </w:r>
      <w:r w:rsidRPr="001964E0">
        <w:t xml:space="preserve">, </w:t>
      </w:r>
      <w:r w:rsidRPr="001964E0">
        <w:rPr>
          <w:b/>
          <w:bCs/>
        </w:rPr>
        <w:t>25</w:t>
      </w:r>
      <w:r w:rsidRPr="001964E0">
        <w:t>, 1495–1509, https://doi.org/10.1175/2010WAF2222404.1.</w:t>
      </w:r>
    </w:p>
    <w:p w14:paraId="2D002A6C" w14:textId="77777777" w:rsidR="001964E0" w:rsidRPr="001964E0" w:rsidRDefault="001964E0" w:rsidP="001964E0">
      <w:pPr>
        <w:pStyle w:val="Bibliography"/>
      </w:pPr>
      <w:r w:rsidRPr="001964E0">
        <w:t xml:space="preserve">——, and Coauthors, 2011: Probabilistic Precipitation Forecast Skill as a Function of Ensemble Size and Spatial Scale in a Convection-Allowing Ensemble. </w:t>
      </w:r>
      <w:r w:rsidRPr="001964E0">
        <w:rPr>
          <w:i/>
          <w:iCs/>
        </w:rPr>
        <w:t>Monthly Weather Review</w:t>
      </w:r>
      <w:r w:rsidRPr="001964E0">
        <w:t xml:space="preserve">, </w:t>
      </w:r>
      <w:r w:rsidRPr="001964E0">
        <w:rPr>
          <w:b/>
          <w:bCs/>
        </w:rPr>
        <w:t>139</w:t>
      </w:r>
      <w:r w:rsidRPr="001964E0">
        <w:t>, 1410–1418, https://doi.org/10.1175/2010MWR3624.1.</w:t>
      </w:r>
    </w:p>
    <w:p w14:paraId="7A683CC2" w14:textId="77777777" w:rsidR="001964E0" w:rsidRPr="001964E0" w:rsidRDefault="001964E0" w:rsidP="001964E0">
      <w:pPr>
        <w:pStyle w:val="Bibliography"/>
      </w:pPr>
      <w:r w:rsidRPr="001964E0">
        <w:t xml:space="preserve">Crook, N. A., and J. Sun, 2002: Assimilating Radar, Surface, and Profiler Data for the Sydney 2000 Forecast Demonstration Project. </w:t>
      </w:r>
      <w:r w:rsidRPr="001964E0">
        <w:rPr>
          <w:i/>
          <w:iCs/>
        </w:rPr>
        <w:t>Journal of Atmospheric and Oceanic Technology</w:t>
      </w:r>
      <w:r w:rsidRPr="001964E0">
        <w:t xml:space="preserve">, </w:t>
      </w:r>
      <w:r w:rsidRPr="001964E0">
        <w:rPr>
          <w:b/>
          <w:bCs/>
        </w:rPr>
        <w:t>19</w:t>
      </w:r>
      <w:r w:rsidRPr="001964E0">
        <w:t>, 888–898, https://doi.org/10.1175/1520-0426(2002)019&lt;0888:ARSAPD&gt;2.0.CO;2.</w:t>
      </w:r>
    </w:p>
    <w:p w14:paraId="0BEFE247" w14:textId="77777777" w:rsidR="001964E0" w:rsidRPr="001964E0" w:rsidRDefault="001964E0" w:rsidP="001964E0">
      <w:pPr>
        <w:pStyle w:val="Bibliography"/>
      </w:pPr>
      <w:r w:rsidRPr="001964E0">
        <w:t>Davies, E. R., 2005: Machine Vision: Theory, Algorithms and Practicalities. E.R. Davies, Ed., Morgan Kaufmann, 47–101.</w:t>
      </w:r>
    </w:p>
    <w:p w14:paraId="0CC884C1" w14:textId="77777777" w:rsidR="001964E0" w:rsidRPr="001964E0" w:rsidRDefault="001964E0" w:rsidP="001964E0">
      <w:pPr>
        <w:pStyle w:val="Bibliography"/>
      </w:pPr>
      <w:r w:rsidRPr="001964E0">
        <w:t xml:space="preserve">Dowell, D. C., and L. J. Wicker, 2009: Additive Noise for Storm-Scale Ensemble Data Assimilation. </w:t>
      </w:r>
      <w:r w:rsidRPr="001964E0">
        <w:rPr>
          <w:i/>
          <w:iCs/>
        </w:rPr>
        <w:t>Journal of Atmospheric and Oceanic Technology</w:t>
      </w:r>
      <w:r w:rsidRPr="001964E0">
        <w:t xml:space="preserve">, </w:t>
      </w:r>
      <w:r w:rsidRPr="001964E0">
        <w:rPr>
          <w:b/>
          <w:bCs/>
        </w:rPr>
        <w:t>26</w:t>
      </w:r>
      <w:r w:rsidRPr="001964E0">
        <w:t>, 911–927, https://doi.org/10.1175/2008JTECHA1156.1.</w:t>
      </w:r>
    </w:p>
    <w:p w14:paraId="0399941E" w14:textId="77777777" w:rsidR="001964E0" w:rsidRPr="001964E0" w:rsidRDefault="001964E0" w:rsidP="001964E0">
      <w:pPr>
        <w:pStyle w:val="Bibliography"/>
      </w:pPr>
      <w:r w:rsidRPr="001964E0">
        <w:t xml:space="preserve">——, F. Zhang, L. J. Wicker, C. Snyder, and N. A. Crook, 2004: Wind and Temperature Retrievals in the 17 May 1981 Arcadia, Oklahoma, Supercell: Ensemble Kalman Filter Experiments. </w:t>
      </w:r>
      <w:r w:rsidRPr="001964E0">
        <w:rPr>
          <w:i/>
          <w:iCs/>
        </w:rPr>
        <w:t>Monthly Weather Review</w:t>
      </w:r>
      <w:r w:rsidRPr="001964E0">
        <w:t xml:space="preserve">, </w:t>
      </w:r>
      <w:r w:rsidRPr="001964E0">
        <w:rPr>
          <w:b/>
          <w:bCs/>
        </w:rPr>
        <w:t>132</w:t>
      </w:r>
      <w:r w:rsidRPr="001964E0">
        <w:t>, 1982–2005, https://doi.org/10.1175/1520-0493(2004)132&lt;1982:WATRIT&gt;2.0.CO;2.</w:t>
      </w:r>
    </w:p>
    <w:p w14:paraId="35D3F89F" w14:textId="77777777" w:rsidR="001964E0" w:rsidRPr="001964E0" w:rsidRDefault="001964E0" w:rsidP="001964E0">
      <w:pPr>
        <w:pStyle w:val="Bibliography"/>
      </w:pPr>
      <w:r w:rsidRPr="001964E0">
        <w:t xml:space="preserve">——, L. J. Wicker, and C. Snyder, 2011: Ensemble Kalman Filter Assimilation of Radar Observations of the 8 May 2003 Oklahoma City Supercell: Influences of Reflectivity Observations on Storm-Scale Analyses. </w:t>
      </w:r>
      <w:r w:rsidRPr="001964E0">
        <w:rPr>
          <w:i/>
          <w:iCs/>
        </w:rPr>
        <w:t>Monthly Weather Review</w:t>
      </w:r>
      <w:r w:rsidRPr="001964E0">
        <w:t xml:space="preserve">, </w:t>
      </w:r>
      <w:r w:rsidRPr="001964E0">
        <w:rPr>
          <w:b/>
          <w:bCs/>
        </w:rPr>
        <w:t>139</w:t>
      </w:r>
      <w:r w:rsidRPr="001964E0">
        <w:t>, 272–294, https://doi.org/10.1175/2010MWR3438.1.</w:t>
      </w:r>
    </w:p>
    <w:p w14:paraId="1FF5CEAB" w14:textId="77777777" w:rsidR="001964E0" w:rsidRPr="001964E0" w:rsidRDefault="001964E0" w:rsidP="001964E0">
      <w:pPr>
        <w:pStyle w:val="Bibliography"/>
      </w:pPr>
      <w:r w:rsidRPr="001964E0">
        <w:lastRenderedPageBreak/>
        <w:t xml:space="preserve">——, and Coauthors, 2022: The High-Resolution Rapid Refresh (HRRR): An Hourly Updating Convection-Allowing Forecast Model. Part I: Motivation and System Description. </w:t>
      </w:r>
      <w:r w:rsidRPr="001964E0">
        <w:rPr>
          <w:i/>
          <w:iCs/>
        </w:rPr>
        <w:t>Weather and Forecasting</w:t>
      </w:r>
      <w:r w:rsidRPr="001964E0">
        <w:t xml:space="preserve">, </w:t>
      </w:r>
      <w:r w:rsidRPr="001964E0">
        <w:rPr>
          <w:b/>
          <w:bCs/>
        </w:rPr>
        <w:t>37</w:t>
      </w:r>
      <w:r w:rsidRPr="001964E0">
        <w:t>, 1371–1395, https://doi.org/10.1175/WAF-D-21-0151.1.</w:t>
      </w:r>
    </w:p>
    <w:p w14:paraId="340646F8" w14:textId="77777777" w:rsidR="001964E0" w:rsidRPr="001964E0" w:rsidRDefault="001964E0" w:rsidP="001964E0">
      <w:pPr>
        <w:pStyle w:val="Bibliography"/>
      </w:pPr>
      <w:r w:rsidRPr="001964E0">
        <w:t>Du, J., 2011: NCEP/EMC 4KM Gridded Data (GRIB) Stage IV Data. Version 1.0. 291407 data files, 2 ancillary/documentation files, 17 GiB, https://doi.org/10.5065/D6PG1QDD.</w:t>
      </w:r>
    </w:p>
    <w:p w14:paraId="6FDD718E" w14:textId="77777777" w:rsidR="001964E0" w:rsidRPr="001964E0" w:rsidRDefault="001964E0" w:rsidP="001964E0">
      <w:pPr>
        <w:pStyle w:val="Bibliography"/>
      </w:pPr>
      <w:r w:rsidRPr="001964E0">
        <w:t xml:space="preserve">Dudhia, J., 1989: Numerical Study of Convection Observed during the Winter Monsoon Experiment Using a Mesoscale Two-Dimensional Model. </w:t>
      </w:r>
      <w:r w:rsidRPr="001964E0">
        <w:rPr>
          <w:i/>
          <w:iCs/>
        </w:rPr>
        <w:t>Journal of the Atmospheric Sciences</w:t>
      </w:r>
      <w:r w:rsidRPr="001964E0">
        <w:t xml:space="preserve">, </w:t>
      </w:r>
      <w:r w:rsidRPr="001964E0">
        <w:rPr>
          <w:b/>
          <w:bCs/>
        </w:rPr>
        <w:t>46</w:t>
      </w:r>
      <w:r w:rsidRPr="001964E0">
        <w:t>, 3077–3107, https://doi.org/10.1175/1520-0469(1989)046&lt;3077:NSOCOD&gt;2.0.CO;2.</w:t>
      </w:r>
    </w:p>
    <w:p w14:paraId="1D5A5025" w14:textId="77777777" w:rsidR="001964E0" w:rsidRPr="001964E0" w:rsidRDefault="001964E0" w:rsidP="001964E0">
      <w:pPr>
        <w:pStyle w:val="Bibliography"/>
      </w:pPr>
      <w:r w:rsidRPr="001964E0">
        <w:t xml:space="preserve">Evensen, G., 1994: Sequential data assimilation with a nonlinear quasi-geostrophic model using Monte Carlo methods to forecast error statistics. </w:t>
      </w:r>
      <w:r w:rsidRPr="001964E0">
        <w:rPr>
          <w:i/>
          <w:iCs/>
        </w:rPr>
        <w:t>Journal of Geophysical Research: Oceans</w:t>
      </w:r>
      <w:r w:rsidRPr="001964E0">
        <w:t xml:space="preserve">, </w:t>
      </w:r>
      <w:r w:rsidRPr="001964E0">
        <w:rPr>
          <w:b/>
          <w:bCs/>
        </w:rPr>
        <w:t>99</w:t>
      </w:r>
      <w:r w:rsidRPr="001964E0">
        <w:t>, 10143–10162, https://doi.org/10.1029/94JC00572.</w:t>
      </w:r>
    </w:p>
    <w:p w14:paraId="2CC16326" w14:textId="77777777" w:rsidR="001964E0" w:rsidRPr="001964E0" w:rsidRDefault="001964E0" w:rsidP="001964E0">
      <w:pPr>
        <w:pStyle w:val="Bibliography"/>
      </w:pPr>
      <w:r w:rsidRPr="001964E0">
        <w:t xml:space="preserve">——, 2003: The Ensemble Kalman Filter: theoretical formulation and practical implementation. </w:t>
      </w:r>
      <w:r w:rsidRPr="001964E0">
        <w:rPr>
          <w:i/>
          <w:iCs/>
        </w:rPr>
        <w:t>Ocean Dynamics</w:t>
      </w:r>
      <w:r w:rsidRPr="001964E0">
        <w:t xml:space="preserve">, </w:t>
      </w:r>
      <w:r w:rsidRPr="001964E0">
        <w:rPr>
          <w:b/>
          <w:bCs/>
        </w:rPr>
        <w:t>53</w:t>
      </w:r>
      <w:r w:rsidRPr="001964E0">
        <w:t>, 343–367, https://doi.org/10.1007/s10236-003-0036-9.</w:t>
      </w:r>
    </w:p>
    <w:p w14:paraId="12057C21" w14:textId="77777777" w:rsidR="001964E0" w:rsidRPr="001964E0" w:rsidRDefault="001964E0" w:rsidP="001964E0">
      <w:pPr>
        <w:pStyle w:val="Bibliography"/>
      </w:pPr>
      <w:r w:rsidRPr="001964E0">
        <w:t xml:space="preserve">Fierro, A. O., J. Gao, C. L. Ziegler, K. M. Calhoun, E. R. Mansell, and D. R. MacGorman, 2016: Assimilation of Flash Extent Data in the Variational Framework at Convection-Allowing Scales: Proof-of-Concept and Evaluation for the Short-Term Forecast of the 24 May 2011 Tornado Outbreak. </w:t>
      </w:r>
      <w:r w:rsidRPr="001964E0">
        <w:rPr>
          <w:i/>
          <w:iCs/>
        </w:rPr>
        <w:t>Monthly Weather Review</w:t>
      </w:r>
      <w:r w:rsidRPr="001964E0">
        <w:t xml:space="preserve">, </w:t>
      </w:r>
      <w:r w:rsidRPr="001964E0">
        <w:rPr>
          <w:b/>
          <w:bCs/>
        </w:rPr>
        <w:t>144</w:t>
      </w:r>
      <w:r w:rsidRPr="001964E0">
        <w:t>, 4373–4393, https://doi.org/10.1175/MWR-D-16-0053.1.</w:t>
      </w:r>
    </w:p>
    <w:p w14:paraId="7777B0DD" w14:textId="77777777" w:rsidR="001964E0" w:rsidRPr="001964E0" w:rsidRDefault="001964E0" w:rsidP="001964E0">
      <w:pPr>
        <w:pStyle w:val="Bibliography"/>
      </w:pPr>
      <w:r w:rsidRPr="001964E0">
        <w:t xml:space="preserve">——, Y. Wang, J. Gao, and E. R. Mansell, 2019: Variational Assimilation of Radar Data and GLM Lightning-Derived Water Vapor for the Short-Term Forecasts of High-Impact Convective Events. </w:t>
      </w:r>
      <w:r w:rsidRPr="001964E0">
        <w:rPr>
          <w:i/>
          <w:iCs/>
        </w:rPr>
        <w:t>Monthly Weather Review</w:t>
      </w:r>
      <w:r w:rsidRPr="001964E0">
        <w:t xml:space="preserve">, </w:t>
      </w:r>
      <w:r w:rsidRPr="001964E0">
        <w:rPr>
          <w:b/>
          <w:bCs/>
        </w:rPr>
        <w:t>147</w:t>
      </w:r>
      <w:r w:rsidRPr="001964E0">
        <w:t>, 4045–4069, https://doi.org/10.1175/MWR-D-18-0421.1.</w:t>
      </w:r>
    </w:p>
    <w:p w14:paraId="45C8F4F0" w14:textId="77777777" w:rsidR="001964E0" w:rsidRPr="001964E0" w:rsidRDefault="001964E0" w:rsidP="001964E0">
      <w:pPr>
        <w:pStyle w:val="Bibliography"/>
      </w:pPr>
      <w:r w:rsidRPr="001964E0">
        <w:t>Fisher, M., 2007: The sensitivity of analysis errors to the specification of background error covariances.</w:t>
      </w:r>
    </w:p>
    <w:p w14:paraId="49696F55" w14:textId="77777777" w:rsidR="001964E0" w:rsidRPr="001964E0" w:rsidRDefault="001964E0" w:rsidP="001964E0">
      <w:pPr>
        <w:pStyle w:val="Bibliography"/>
      </w:pPr>
      <w:r w:rsidRPr="001964E0">
        <w:t xml:space="preserve">Fujita, T., D. J. Stensrud, and D. C. Dowell, 2007: Surface Data Assimilation Using an Ensemble Kalman Filter Approach with Initial Condition and Model Physics Uncertainties. </w:t>
      </w:r>
      <w:r w:rsidRPr="001964E0">
        <w:rPr>
          <w:i/>
          <w:iCs/>
        </w:rPr>
        <w:t>Monthly Weather Review</w:t>
      </w:r>
      <w:r w:rsidRPr="001964E0">
        <w:t xml:space="preserve">, </w:t>
      </w:r>
      <w:r w:rsidRPr="001964E0">
        <w:rPr>
          <w:b/>
          <w:bCs/>
        </w:rPr>
        <w:t>135</w:t>
      </w:r>
      <w:r w:rsidRPr="001964E0">
        <w:t>, 1846–1868, https://doi.org/10.1175/MWR3391.1.</w:t>
      </w:r>
    </w:p>
    <w:p w14:paraId="6CE0E90B" w14:textId="77777777" w:rsidR="001964E0" w:rsidRPr="001964E0" w:rsidRDefault="001964E0" w:rsidP="001964E0">
      <w:pPr>
        <w:pStyle w:val="Bibliography"/>
      </w:pPr>
      <w:r w:rsidRPr="001964E0">
        <w:t xml:space="preserve">Gallo, B. T., and Coauthors, 2017: Breaking New Ground in Severe Weather Prediction: The 2015 NOAA/Hazardous Weather Testbed Spring Forecasting Experiment. </w:t>
      </w:r>
      <w:r w:rsidRPr="001964E0">
        <w:rPr>
          <w:i/>
          <w:iCs/>
        </w:rPr>
        <w:t>Weather and Forecasting</w:t>
      </w:r>
      <w:r w:rsidRPr="001964E0">
        <w:t xml:space="preserve">, </w:t>
      </w:r>
      <w:r w:rsidRPr="001964E0">
        <w:rPr>
          <w:b/>
          <w:bCs/>
        </w:rPr>
        <w:t>32</w:t>
      </w:r>
      <w:r w:rsidRPr="001964E0">
        <w:t>, 1541–1568, https://doi.org/10.1175/WAF-D-16-0178.1.</w:t>
      </w:r>
    </w:p>
    <w:p w14:paraId="0B592AAF" w14:textId="77777777" w:rsidR="001964E0" w:rsidRPr="001964E0" w:rsidRDefault="001964E0" w:rsidP="001964E0">
      <w:pPr>
        <w:pStyle w:val="Bibliography"/>
      </w:pPr>
      <w:r w:rsidRPr="001964E0">
        <w:t xml:space="preserve">Gao, J., and D. J. Stensrud, 2012: Assimilation of Reflectivity Data in a Convective-Scale, Cycled 3DVAR Framework with Hydrometeor Classification. </w:t>
      </w:r>
      <w:r w:rsidRPr="001964E0">
        <w:rPr>
          <w:i/>
          <w:iCs/>
        </w:rPr>
        <w:t>Journal of the Atmospheric Sciences</w:t>
      </w:r>
      <w:r w:rsidRPr="001964E0">
        <w:t xml:space="preserve">, </w:t>
      </w:r>
      <w:r w:rsidRPr="001964E0">
        <w:rPr>
          <w:b/>
          <w:bCs/>
        </w:rPr>
        <w:t>69</w:t>
      </w:r>
      <w:r w:rsidRPr="001964E0">
        <w:t>, 1054–1065, https://doi.org/10.1175/JAS-D-11-0162.1.</w:t>
      </w:r>
    </w:p>
    <w:p w14:paraId="76C72D66" w14:textId="77777777" w:rsidR="001964E0" w:rsidRPr="001964E0" w:rsidRDefault="001964E0" w:rsidP="001964E0">
      <w:pPr>
        <w:pStyle w:val="Bibliography"/>
      </w:pPr>
      <w:r w:rsidRPr="001964E0">
        <w:t xml:space="preserve">——, and ——, 2014: Some Observing System Simulation Experiments with a Hybrid 3DEnVAR System for Storm-Scale Radar Data Assimilation. </w:t>
      </w:r>
      <w:r w:rsidRPr="001964E0">
        <w:rPr>
          <w:i/>
          <w:iCs/>
        </w:rPr>
        <w:t>Monthly Weather Review</w:t>
      </w:r>
      <w:r w:rsidRPr="001964E0">
        <w:t xml:space="preserve">, </w:t>
      </w:r>
      <w:r w:rsidRPr="001964E0">
        <w:rPr>
          <w:b/>
          <w:bCs/>
        </w:rPr>
        <w:t>142</w:t>
      </w:r>
      <w:r w:rsidRPr="001964E0">
        <w:t>, 3326–3346, https://doi.org/10.1175/MWR-D-14-00025.1.</w:t>
      </w:r>
    </w:p>
    <w:p w14:paraId="52259A3D" w14:textId="77777777" w:rsidR="001964E0" w:rsidRPr="001964E0" w:rsidRDefault="001964E0" w:rsidP="001964E0">
      <w:pPr>
        <w:pStyle w:val="Bibliography"/>
      </w:pPr>
      <w:r w:rsidRPr="001964E0">
        <w:lastRenderedPageBreak/>
        <w:t xml:space="preserve">——, and Coauthors, 2021: Testing of the Warn-on-Forecast (WoF) Hybrid Data Assimilation and Forecasting System during the HWT Spring Experiment in 2020. </w:t>
      </w:r>
      <w:r w:rsidRPr="001964E0">
        <w:rPr>
          <w:i/>
          <w:iCs/>
        </w:rPr>
        <w:t>AMS - 101st American Meteorological Society Annual Meeting</w:t>
      </w:r>
      <w:r w:rsidRPr="001964E0">
        <w:t>,. https://ams.confex.com/ams/101ANNUAL/meetingapp.cgi/Program/1513 (Accessed March 22, 2023).</w:t>
      </w:r>
    </w:p>
    <w:p w14:paraId="079AFD7D" w14:textId="77777777" w:rsidR="001964E0" w:rsidRPr="001964E0" w:rsidRDefault="001964E0" w:rsidP="001964E0">
      <w:pPr>
        <w:pStyle w:val="Bibliography"/>
      </w:pPr>
      <w:r w:rsidRPr="001964E0">
        <w:t xml:space="preserve">——, and ——, 2022: The Performance of the Warn-on-Forecast Hybrid Data Assimilation and Forecasting System During the HWT Spring Forecast Experiment in 2021. </w:t>
      </w:r>
      <w:r w:rsidRPr="001964E0">
        <w:rPr>
          <w:i/>
          <w:iCs/>
        </w:rPr>
        <w:t>AMS - 30th Conference on Severe Local Storms</w:t>
      </w:r>
      <w:r w:rsidRPr="001964E0">
        <w:t>,. https://ams.confex.com/ams/30SLS/meetingapp.cgi/Home/0 (Accessed March 22, 2023).</w:t>
      </w:r>
    </w:p>
    <w:p w14:paraId="5FFB6A64" w14:textId="77777777" w:rsidR="001964E0" w:rsidRPr="001964E0" w:rsidRDefault="001964E0" w:rsidP="001964E0">
      <w:pPr>
        <w:pStyle w:val="Bibliography"/>
      </w:pPr>
      <w:r w:rsidRPr="001964E0">
        <w:t xml:space="preserve">——, M. Xue, A. Shapiro, and K. K. Droegemeier, 1999: A Variational Method for the Analysis of Three-Dimensional Wind Fields from Two Doppler Radars. </w:t>
      </w:r>
      <w:r w:rsidRPr="001964E0">
        <w:rPr>
          <w:i/>
          <w:iCs/>
        </w:rPr>
        <w:t>Monthly Weather Review</w:t>
      </w:r>
      <w:r w:rsidRPr="001964E0">
        <w:t xml:space="preserve">, </w:t>
      </w:r>
      <w:r w:rsidRPr="001964E0">
        <w:rPr>
          <w:b/>
          <w:bCs/>
        </w:rPr>
        <w:t>127</w:t>
      </w:r>
      <w:r w:rsidRPr="001964E0">
        <w:t>, 2128–2142, https://doi.org/10.1175/1520-0493(1999)127&lt;2128:AVMFTA&gt;2.0.CO;2.</w:t>
      </w:r>
    </w:p>
    <w:p w14:paraId="4B2D7131" w14:textId="77777777" w:rsidR="001964E0" w:rsidRPr="001964E0" w:rsidRDefault="001964E0" w:rsidP="001964E0">
      <w:pPr>
        <w:pStyle w:val="Bibliography"/>
      </w:pPr>
      <w:r w:rsidRPr="001964E0">
        <w:t xml:space="preserve">——, ——, K. Brewster, and K. K. Droegemeier, 2004: A Three-Dimensional Variational Data Analysis Method with Recursive Filter for Doppler Radars. </w:t>
      </w:r>
      <w:r w:rsidRPr="001964E0">
        <w:rPr>
          <w:i/>
          <w:iCs/>
        </w:rPr>
        <w:t>Journal of Atmospheric and Oceanic Technology</w:t>
      </w:r>
      <w:r w:rsidRPr="001964E0">
        <w:t xml:space="preserve">, </w:t>
      </w:r>
      <w:r w:rsidRPr="001964E0">
        <w:rPr>
          <w:b/>
          <w:bCs/>
        </w:rPr>
        <w:t>21</w:t>
      </w:r>
      <w:r w:rsidRPr="001964E0">
        <w:t>, 457–469, https://doi.org/10.1175/1520-0426(2004)021&lt;0457:ATVDAM&gt;2.0.CO;2.</w:t>
      </w:r>
    </w:p>
    <w:p w14:paraId="295C501A" w14:textId="77777777" w:rsidR="001964E0" w:rsidRPr="001964E0" w:rsidRDefault="001964E0" w:rsidP="001964E0">
      <w:pPr>
        <w:pStyle w:val="Bibliography"/>
      </w:pPr>
      <w:r w:rsidRPr="001964E0">
        <w:t xml:space="preserve">——, and Coauthors, 2013: A Real-Time Weather-Adaptive 3DVAR Analysis System for Severe Weather Detections and Warnings. </w:t>
      </w:r>
      <w:r w:rsidRPr="001964E0">
        <w:rPr>
          <w:i/>
          <w:iCs/>
        </w:rPr>
        <w:t>Weather and Forecasting</w:t>
      </w:r>
      <w:r w:rsidRPr="001964E0">
        <w:t xml:space="preserve">, </w:t>
      </w:r>
      <w:r w:rsidRPr="001964E0">
        <w:rPr>
          <w:b/>
          <w:bCs/>
        </w:rPr>
        <w:t>28</w:t>
      </w:r>
      <w:r w:rsidRPr="001964E0">
        <w:t>, 727–745, https://doi.org/10.1175/WAF-D-12-00093.1.</w:t>
      </w:r>
    </w:p>
    <w:p w14:paraId="5579AD1E" w14:textId="77777777" w:rsidR="001964E0" w:rsidRPr="001964E0" w:rsidRDefault="001964E0" w:rsidP="001964E0">
      <w:pPr>
        <w:pStyle w:val="Bibliography"/>
      </w:pPr>
      <w:r w:rsidRPr="001964E0">
        <w:t xml:space="preserve">——, C. Fu, D. J. Stensrud, and J. S. Kain, 2016: OSSEs for an Ensemble 3DVAR Data Assimilation System with Radar Observations of Convective Storms. </w:t>
      </w:r>
      <w:r w:rsidRPr="001964E0">
        <w:rPr>
          <w:i/>
          <w:iCs/>
        </w:rPr>
        <w:t>Journal of the Atmospheric Sciences</w:t>
      </w:r>
      <w:r w:rsidRPr="001964E0">
        <w:t xml:space="preserve">, </w:t>
      </w:r>
      <w:r w:rsidRPr="001964E0">
        <w:rPr>
          <w:b/>
          <w:bCs/>
        </w:rPr>
        <w:t>73</w:t>
      </w:r>
      <w:r w:rsidRPr="001964E0">
        <w:t>, 2403–2426, https://doi.org/10.1175/JAS-D-15-0311.1.</w:t>
      </w:r>
    </w:p>
    <w:p w14:paraId="37F3302A" w14:textId="24E44C41" w:rsidR="001964E0" w:rsidRPr="001964E0" w:rsidRDefault="001964E0" w:rsidP="001964E0">
      <w:pPr>
        <w:pStyle w:val="Bibliography"/>
      </w:pPr>
      <w:r w:rsidRPr="001964E0">
        <w:t xml:space="preserve">Ge, G., 2011: </w:t>
      </w:r>
      <w:r>
        <w:t>On the Further Studies of Suitable Storm-Scale 3DVar Data Assimilation for the Prediction of Tornadic Thunderstorms. School of Meteorology, University of Oklahoma, 191 pp.</w:t>
      </w:r>
    </w:p>
    <w:p w14:paraId="078B940D" w14:textId="77777777" w:rsidR="001964E0" w:rsidRPr="001964E0" w:rsidRDefault="001964E0" w:rsidP="001964E0">
      <w:pPr>
        <w:pStyle w:val="Bibliography"/>
      </w:pPr>
      <w:r w:rsidRPr="001964E0">
        <w:t xml:space="preserve">——, J. Gao, and M. Xue, 2012: Diagnostic Pressure Equation as a Weak Constraint in a Storm-Scale Three-Dimensional Variational Radar Data Assimilation System. </w:t>
      </w:r>
      <w:r w:rsidRPr="001964E0">
        <w:rPr>
          <w:i/>
          <w:iCs/>
        </w:rPr>
        <w:t>Journal of Atmospheric and Oceanic Technology</w:t>
      </w:r>
      <w:r w:rsidRPr="001964E0">
        <w:t xml:space="preserve">, </w:t>
      </w:r>
      <w:r w:rsidRPr="001964E0">
        <w:rPr>
          <w:b/>
          <w:bCs/>
        </w:rPr>
        <w:t>29</w:t>
      </w:r>
      <w:r w:rsidRPr="001964E0">
        <w:t>, 1075–1092, https://doi.org/10.1175/JTECH-D-11-00201.1.</w:t>
      </w:r>
    </w:p>
    <w:p w14:paraId="10BB7391" w14:textId="77777777" w:rsidR="001964E0" w:rsidRPr="001964E0" w:rsidRDefault="001964E0" w:rsidP="001964E0">
      <w:pPr>
        <w:pStyle w:val="Bibliography"/>
      </w:pPr>
      <w:r w:rsidRPr="001964E0">
        <w:t xml:space="preserve">Guerra, J. E., P. S. Skinner, A. Clark, M. Flora, B. Matilla, K. Knopfmeier, and A. E. Reinhart, 2022: Quantification of NSSL Warn-on-Forecast System Accuracy by Storm Age Using Object-Based Verification. </w:t>
      </w:r>
      <w:r w:rsidRPr="001964E0">
        <w:rPr>
          <w:i/>
          <w:iCs/>
        </w:rPr>
        <w:t>Weather and Forecasting</w:t>
      </w:r>
      <w:r w:rsidRPr="001964E0">
        <w:t xml:space="preserve">, </w:t>
      </w:r>
      <w:r w:rsidRPr="001964E0">
        <w:rPr>
          <w:b/>
          <w:bCs/>
        </w:rPr>
        <w:t>37</w:t>
      </w:r>
      <w:r w:rsidRPr="001964E0">
        <w:t>, 1973–1983, https://doi.org/10.1175/WAF-D-22-0043.1.</w:t>
      </w:r>
    </w:p>
    <w:p w14:paraId="024D480A" w14:textId="77777777" w:rsidR="001964E0" w:rsidRPr="001964E0" w:rsidRDefault="001964E0" w:rsidP="001964E0">
      <w:pPr>
        <w:pStyle w:val="Bibliography"/>
      </w:pPr>
      <w:r w:rsidRPr="001964E0">
        <w:t xml:space="preserve">Gustafsson, N., and Coauthors, 2018: Survey of data assimilation methods for convective-scale numerical weather prediction at operational centres. </w:t>
      </w:r>
      <w:r w:rsidRPr="001964E0">
        <w:rPr>
          <w:i/>
          <w:iCs/>
        </w:rPr>
        <w:t>Quarterly Journal of the Royal Meteorological Society</w:t>
      </w:r>
      <w:r w:rsidRPr="001964E0">
        <w:t xml:space="preserve">, </w:t>
      </w:r>
      <w:r w:rsidRPr="001964E0">
        <w:rPr>
          <w:b/>
          <w:bCs/>
        </w:rPr>
        <w:t>144</w:t>
      </w:r>
      <w:r w:rsidRPr="001964E0">
        <w:t>, 1218–1256, https://doi.org/10.1002/qj.3179.</w:t>
      </w:r>
    </w:p>
    <w:p w14:paraId="69D14A3F" w14:textId="77777777" w:rsidR="001964E0" w:rsidRPr="001964E0" w:rsidRDefault="001964E0" w:rsidP="001964E0">
      <w:pPr>
        <w:pStyle w:val="Bibliography"/>
      </w:pPr>
      <w:r w:rsidRPr="001964E0">
        <w:lastRenderedPageBreak/>
        <w:t xml:space="preserve">Hamill, T. M., 1999: Hypothesis Tests for Evaluating Numerical Precipitation Forecasts. </w:t>
      </w:r>
      <w:r w:rsidRPr="001964E0">
        <w:rPr>
          <w:i/>
          <w:iCs/>
        </w:rPr>
        <w:t>Weather and Forecasting</w:t>
      </w:r>
      <w:r w:rsidRPr="001964E0">
        <w:t xml:space="preserve">, </w:t>
      </w:r>
      <w:r w:rsidRPr="001964E0">
        <w:rPr>
          <w:b/>
          <w:bCs/>
        </w:rPr>
        <w:t>14</w:t>
      </w:r>
      <w:r w:rsidRPr="001964E0">
        <w:t>, 155–167, https://doi.org/10.1175/1520-0434(1999)014&lt;0155:HTFENP&gt;2.0.CO;2.</w:t>
      </w:r>
    </w:p>
    <w:p w14:paraId="1D1A4FF2" w14:textId="77777777" w:rsidR="001964E0" w:rsidRPr="001964E0" w:rsidRDefault="001964E0" w:rsidP="001964E0">
      <w:pPr>
        <w:pStyle w:val="Bibliography"/>
      </w:pPr>
      <w:r w:rsidRPr="001964E0">
        <w:t xml:space="preserve">——, and C. Snyder, 2000: A Hybrid Ensemble Kalman Filter–3D Variational Analysis Scheme. </w:t>
      </w:r>
      <w:r w:rsidRPr="001964E0">
        <w:rPr>
          <w:i/>
          <w:iCs/>
        </w:rPr>
        <w:t>Monthly Weather Review</w:t>
      </w:r>
      <w:r w:rsidRPr="001964E0">
        <w:t xml:space="preserve">, </w:t>
      </w:r>
      <w:r w:rsidRPr="001964E0">
        <w:rPr>
          <w:b/>
          <w:bCs/>
        </w:rPr>
        <w:t>128</w:t>
      </w:r>
      <w:r w:rsidRPr="001964E0">
        <w:t>, 2905–2919, https://doi.org/10.1175/1520-0493(2000)128&lt;2905:AHEKFV&gt;2.0.CO;2.</w:t>
      </w:r>
    </w:p>
    <w:p w14:paraId="1579C777" w14:textId="77777777" w:rsidR="001964E0" w:rsidRPr="001964E0" w:rsidRDefault="001964E0" w:rsidP="001964E0">
      <w:pPr>
        <w:pStyle w:val="Bibliography"/>
      </w:pPr>
      <w:r w:rsidRPr="001964E0">
        <w:t xml:space="preserve">Hamrud, M., M. Bonavita, and L. Isaksen, 2015: EnKF and Hybrid Gain Ensemble Data Assimilation. Part I: EnKF Implementation. </w:t>
      </w:r>
      <w:r w:rsidRPr="001964E0">
        <w:rPr>
          <w:i/>
          <w:iCs/>
        </w:rPr>
        <w:t>Monthly Weather Review</w:t>
      </w:r>
      <w:r w:rsidRPr="001964E0">
        <w:t xml:space="preserve">, </w:t>
      </w:r>
      <w:r w:rsidRPr="001964E0">
        <w:rPr>
          <w:b/>
          <w:bCs/>
        </w:rPr>
        <w:t>143</w:t>
      </w:r>
      <w:r w:rsidRPr="001964E0">
        <w:t>, 4847–4864, https://doi.org/10.1175/MWR-D-14-00333.1.</w:t>
      </w:r>
    </w:p>
    <w:p w14:paraId="7BE5DDD1" w14:textId="77777777" w:rsidR="001964E0" w:rsidRPr="001964E0" w:rsidRDefault="001964E0" w:rsidP="001964E0">
      <w:pPr>
        <w:pStyle w:val="Bibliography"/>
      </w:pPr>
      <w:r w:rsidRPr="001964E0">
        <w:t xml:space="preserve">Hong, S.-Y., Y. Noh, and J. Dudhia, 2006: A New Vertical Diffusion Package with an Explicit Treatment of Entrainment Processes. </w:t>
      </w:r>
      <w:r w:rsidRPr="001964E0">
        <w:rPr>
          <w:i/>
          <w:iCs/>
        </w:rPr>
        <w:t>Monthly Weather Review</w:t>
      </w:r>
      <w:r w:rsidRPr="001964E0">
        <w:t xml:space="preserve">, </w:t>
      </w:r>
      <w:r w:rsidRPr="001964E0">
        <w:rPr>
          <w:b/>
          <w:bCs/>
        </w:rPr>
        <w:t>134</w:t>
      </w:r>
      <w:r w:rsidRPr="001964E0">
        <w:t>, 2318–2341, https://doi.org/10.1175/MWR3199.1.</w:t>
      </w:r>
    </w:p>
    <w:p w14:paraId="3C7BA6F8" w14:textId="77777777" w:rsidR="001964E0" w:rsidRPr="001964E0" w:rsidRDefault="001964E0" w:rsidP="001964E0">
      <w:pPr>
        <w:pStyle w:val="Bibliography"/>
      </w:pPr>
      <w:r w:rsidRPr="001964E0">
        <w:t xml:space="preserve">Houtekamer, P. L., and H. L. Mitchell, 1998: Data Assimilation Using an Ensemble Kalman Filter Technique. </w:t>
      </w:r>
      <w:r w:rsidRPr="001964E0">
        <w:rPr>
          <w:i/>
          <w:iCs/>
        </w:rPr>
        <w:t>Monthly Weather Review</w:t>
      </w:r>
      <w:r w:rsidRPr="001964E0">
        <w:t xml:space="preserve">, </w:t>
      </w:r>
      <w:r w:rsidRPr="001964E0">
        <w:rPr>
          <w:b/>
          <w:bCs/>
        </w:rPr>
        <w:t>126</w:t>
      </w:r>
      <w:r w:rsidRPr="001964E0">
        <w:t>, 796–811, https://doi.org/10.1175/1520-0493(1998)126&lt;0796:DAUAEK&gt;2.0.CO;2.</w:t>
      </w:r>
    </w:p>
    <w:p w14:paraId="6EC13E4D" w14:textId="77777777" w:rsidR="001964E0" w:rsidRPr="001964E0" w:rsidRDefault="001964E0" w:rsidP="001964E0">
      <w:pPr>
        <w:pStyle w:val="Bibliography"/>
      </w:pPr>
      <w:r w:rsidRPr="001964E0">
        <w:t xml:space="preserve">——, and ——, 2001: A Sequential Ensemble Kalman Filter for Atmospheric Data Assimilation. </w:t>
      </w:r>
      <w:r w:rsidRPr="001964E0">
        <w:rPr>
          <w:i/>
          <w:iCs/>
        </w:rPr>
        <w:t>Monthly Weather Review</w:t>
      </w:r>
      <w:r w:rsidRPr="001964E0">
        <w:t xml:space="preserve">, </w:t>
      </w:r>
      <w:r w:rsidRPr="001964E0">
        <w:rPr>
          <w:b/>
          <w:bCs/>
        </w:rPr>
        <w:t>129</w:t>
      </w:r>
      <w:r w:rsidRPr="001964E0">
        <w:t>, 123–137, https://doi.org/10.1175/1520-0493(2001)129&lt;0123:ASEKFF&gt;2.0.CO;2.</w:t>
      </w:r>
    </w:p>
    <w:p w14:paraId="067FF162" w14:textId="77777777" w:rsidR="001964E0" w:rsidRPr="001964E0" w:rsidRDefault="001964E0" w:rsidP="001964E0">
      <w:pPr>
        <w:pStyle w:val="Bibliography"/>
      </w:pPr>
      <w:r w:rsidRPr="001964E0">
        <w:t xml:space="preserve">Hu, J., A. O. Fierro, Y. Wang, J. Gao, and E. R. Mansell, 2020: Exploring the Assimilation of GLM-Derived Water Vapor Mass in a Cycled 3DVAR Framework for the Short-Term Forecasts of High-Impact Convective Events. </w:t>
      </w:r>
      <w:r w:rsidRPr="001964E0">
        <w:rPr>
          <w:i/>
          <w:iCs/>
        </w:rPr>
        <w:t>Monthly Weather Review</w:t>
      </w:r>
      <w:r w:rsidRPr="001964E0">
        <w:t xml:space="preserve">, </w:t>
      </w:r>
      <w:r w:rsidRPr="001964E0">
        <w:rPr>
          <w:b/>
          <w:bCs/>
        </w:rPr>
        <w:t>148</w:t>
      </w:r>
      <w:r w:rsidRPr="001964E0">
        <w:t>, 1005–1028, https://doi.org/10.1175/MWR-D-19-0198.1.</w:t>
      </w:r>
    </w:p>
    <w:p w14:paraId="755BF52B" w14:textId="77777777" w:rsidR="001964E0" w:rsidRPr="001964E0" w:rsidRDefault="001964E0" w:rsidP="001964E0">
      <w:pPr>
        <w:pStyle w:val="Bibliography"/>
      </w:pPr>
      <w:r w:rsidRPr="001964E0">
        <w:t xml:space="preserve">——, and Coauthors, 2021: Evaluation of an experimental Warn-on-Forecast 3DVAR analysis and forecast system on quasi-real-time short-term forecasts of high-impact weather events. </w:t>
      </w:r>
      <w:r w:rsidRPr="001964E0">
        <w:rPr>
          <w:i/>
          <w:iCs/>
        </w:rPr>
        <w:t>Quarterly Journal of the Royal Meteorological Society</w:t>
      </w:r>
      <w:r w:rsidRPr="001964E0">
        <w:t xml:space="preserve">, </w:t>
      </w:r>
      <w:r w:rsidRPr="001964E0">
        <w:rPr>
          <w:b/>
          <w:bCs/>
        </w:rPr>
        <w:t>147</w:t>
      </w:r>
      <w:r w:rsidRPr="001964E0">
        <w:t>, 4063–4082, https://doi.org/10.1002/qj.4168.</w:t>
      </w:r>
    </w:p>
    <w:p w14:paraId="63D97824" w14:textId="77777777" w:rsidR="001964E0" w:rsidRPr="001964E0" w:rsidRDefault="001964E0" w:rsidP="001964E0">
      <w:pPr>
        <w:pStyle w:val="Bibliography"/>
      </w:pPr>
      <w:r w:rsidRPr="001964E0">
        <w:t xml:space="preserve">Hu, M., M. Xue, and K. Brewster, 2006: 3DVAR and Cloud Analysis with WSR-88D Level-II Data for the Prediction of the Fort Worth, Texas, Tornadic Thunderstorms. Part I: Cloud Analysis and Its Impact. </w:t>
      </w:r>
      <w:r w:rsidRPr="001964E0">
        <w:rPr>
          <w:i/>
          <w:iCs/>
        </w:rPr>
        <w:t>Monthly Weather Review</w:t>
      </w:r>
      <w:r w:rsidRPr="001964E0">
        <w:t xml:space="preserve">, </w:t>
      </w:r>
      <w:r w:rsidRPr="001964E0">
        <w:rPr>
          <w:b/>
          <w:bCs/>
        </w:rPr>
        <w:t>134</w:t>
      </w:r>
      <w:r w:rsidRPr="001964E0">
        <w:t>, 675–698, https://doi.org/10.1175/MWR3092.1.</w:t>
      </w:r>
    </w:p>
    <w:p w14:paraId="28E2F14B" w14:textId="77777777" w:rsidR="001964E0" w:rsidRPr="001964E0" w:rsidRDefault="001964E0" w:rsidP="001964E0">
      <w:pPr>
        <w:pStyle w:val="Bibliography"/>
      </w:pPr>
      <w:r w:rsidRPr="001964E0">
        <w:t xml:space="preserve">Iacono, M. J., J. S. Delamere, E. J. Mlawer, M. W. Shephard, S. A. Clough, and W. D. Collins, 2008: Radiative forcing by long-lived greenhouse gases: Calculations with the AER radiative transfer models. </w:t>
      </w:r>
      <w:r w:rsidRPr="001964E0">
        <w:rPr>
          <w:i/>
          <w:iCs/>
        </w:rPr>
        <w:t>Journal of Geophysical Research: Atmospheres</w:t>
      </w:r>
      <w:r w:rsidRPr="001964E0">
        <w:t xml:space="preserve">, </w:t>
      </w:r>
      <w:r w:rsidRPr="001964E0">
        <w:rPr>
          <w:b/>
          <w:bCs/>
        </w:rPr>
        <w:t>113</w:t>
      </w:r>
      <w:r w:rsidRPr="001964E0">
        <w:t>, https://doi.org/10.1029/2008JD009944.</w:t>
      </w:r>
    </w:p>
    <w:p w14:paraId="254F9986" w14:textId="77777777" w:rsidR="001964E0" w:rsidRPr="001964E0" w:rsidRDefault="001964E0" w:rsidP="001964E0">
      <w:pPr>
        <w:pStyle w:val="Bibliography"/>
      </w:pPr>
      <w:r w:rsidRPr="001964E0">
        <w:t>Isaksen, L., M. Fisher, and J. Berner, 2007: Use of analysis ensembles in estimating flow-dependent background error variance. 22.</w:t>
      </w:r>
    </w:p>
    <w:p w14:paraId="79C163E5" w14:textId="77777777" w:rsidR="001964E0" w:rsidRPr="001964E0" w:rsidRDefault="001964E0" w:rsidP="001964E0">
      <w:pPr>
        <w:pStyle w:val="Bibliography"/>
      </w:pPr>
      <w:r w:rsidRPr="001964E0">
        <w:lastRenderedPageBreak/>
        <w:t xml:space="preserve">Janjić, Z. I., 1994: The Step-Mountain Eta Coordinate Model: Further Developments of the Convection, Viscous Sublayer, and Turbulence Closure Schemes. </w:t>
      </w:r>
      <w:r w:rsidRPr="001964E0">
        <w:rPr>
          <w:i/>
          <w:iCs/>
        </w:rPr>
        <w:t>Monthly Weather Review</w:t>
      </w:r>
      <w:r w:rsidRPr="001964E0">
        <w:t xml:space="preserve">, </w:t>
      </w:r>
      <w:r w:rsidRPr="001964E0">
        <w:rPr>
          <w:b/>
          <w:bCs/>
        </w:rPr>
        <w:t>122</w:t>
      </w:r>
      <w:r w:rsidRPr="001964E0">
        <w:t>, 927–945, https://doi.org/10.1175/1520-0493(1994)122&lt;0927:TSMECM&gt;2.0.CO;2.</w:t>
      </w:r>
    </w:p>
    <w:p w14:paraId="0B224D91" w14:textId="77777777" w:rsidR="001964E0" w:rsidRPr="001964E0" w:rsidRDefault="001964E0" w:rsidP="001964E0">
      <w:pPr>
        <w:pStyle w:val="Bibliography"/>
      </w:pPr>
      <w:r w:rsidRPr="001964E0">
        <w:t xml:space="preserve">Johnson, A., X. Wang, J. R. Carley, L. J. Wicker, and C. Karstens, 2015: A Comparison of Multiscale GSI-Based EnKF and 3DVar Data Assimilation Using Radar and Conventional Observations for Midlatitude Convective-Scale Precipitation Forecasts. </w:t>
      </w:r>
      <w:r w:rsidRPr="001964E0">
        <w:rPr>
          <w:i/>
          <w:iCs/>
        </w:rPr>
        <w:t>Monthly Weather Review</w:t>
      </w:r>
      <w:r w:rsidRPr="001964E0">
        <w:t xml:space="preserve">, </w:t>
      </w:r>
      <w:r w:rsidRPr="001964E0">
        <w:rPr>
          <w:b/>
          <w:bCs/>
        </w:rPr>
        <w:t>143</w:t>
      </w:r>
      <w:r w:rsidRPr="001964E0">
        <w:t>, 3087–3108, https://doi.org/10.1175/MWR-D-14-00345.1.</w:t>
      </w:r>
    </w:p>
    <w:p w14:paraId="3E067371" w14:textId="77777777" w:rsidR="001964E0" w:rsidRPr="001964E0" w:rsidRDefault="001964E0" w:rsidP="001964E0">
      <w:pPr>
        <w:pStyle w:val="Bibliography"/>
      </w:pPr>
      <w:r w:rsidRPr="001964E0">
        <w:t xml:space="preserve">Jones, T. A., J. A. Otkin, D. J. Stensrud, and K. Knopfmeier, 2013: Assimilation of Satellite Infrared Radiances and Doppler Radar Observations during a Cool Season Observing System Simulation Experiment. </w:t>
      </w:r>
      <w:r w:rsidRPr="001964E0">
        <w:rPr>
          <w:i/>
          <w:iCs/>
        </w:rPr>
        <w:t>Monthly Weather Review</w:t>
      </w:r>
      <w:r w:rsidRPr="001964E0">
        <w:t xml:space="preserve">, </w:t>
      </w:r>
      <w:r w:rsidRPr="001964E0">
        <w:rPr>
          <w:b/>
          <w:bCs/>
        </w:rPr>
        <w:t>141</w:t>
      </w:r>
      <w:r w:rsidRPr="001964E0">
        <w:t>, 3273–3299, https://doi.org/10.1175/MWR-D-12-00267.1.</w:t>
      </w:r>
    </w:p>
    <w:p w14:paraId="18877FA2" w14:textId="77777777" w:rsidR="001964E0" w:rsidRPr="001964E0" w:rsidRDefault="001964E0" w:rsidP="001964E0">
      <w:pPr>
        <w:pStyle w:val="Bibliography"/>
      </w:pPr>
      <w:r w:rsidRPr="001964E0">
        <w:t xml:space="preserve">——, D. Stensrud, L. Wicker, P. Minnis, and R. Palikonda, 2015: Simultaneous Radar and Satellite Data Storm-Scale Assimilation Using an Ensemble Kalman Filter Approach for 24 May 2011. </w:t>
      </w:r>
      <w:r w:rsidRPr="001964E0">
        <w:rPr>
          <w:i/>
          <w:iCs/>
        </w:rPr>
        <w:t>Monthly Weather Review</w:t>
      </w:r>
      <w:r w:rsidRPr="001964E0">
        <w:t xml:space="preserve">, </w:t>
      </w:r>
      <w:r w:rsidRPr="001964E0">
        <w:rPr>
          <w:b/>
          <w:bCs/>
        </w:rPr>
        <w:t>143</w:t>
      </w:r>
      <w:r w:rsidRPr="001964E0">
        <w:t>, 165–194, https://doi.org/10.1175/MWR-D-14-00180.1.</w:t>
      </w:r>
    </w:p>
    <w:p w14:paraId="21382B91" w14:textId="77777777" w:rsidR="001964E0" w:rsidRPr="001964E0" w:rsidRDefault="001964E0" w:rsidP="001964E0">
      <w:pPr>
        <w:pStyle w:val="Bibliography"/>
      </w:pPr>
      <w:r w:rsidRPr="001964E0">
        <w:t xml:space="preserve">——, K. Knopfmeier, D. Wheatley, G. Creager, P. Minnis, and R. Palikonda, 2016: Storm-Scale Data Assimilation and Ensemble Forecasting with the NSSL Experimental Warn-on-Forecast System. Part II: Combined Radar and Satellite Data Experiments. </w:t>
      </w:r>
      <w:r w:rsidRPr="001964E0">
        <w:rPr>
          <w:i/>
          <w:iCs/>
        </w:rPr>
        <w:t>Weather and Forecasting</w:t>
      </w:r>
      <w:r w:rsidRPr="001964E0">
        <w:t xml:space="preserve">, </w:t>
      </w:r>
      <w:r w:rsidRPr="001964E0">
        <w:rPr>
          <w:b/>
          <w:bCs/>
        </w:rPr>
        <w:t>31</w:t>
      </w:r>
      <w:r w:rsidRPr="001964E0">
        <w:t>, 297–327, https://doi.org/10.1175/WAF-D-15-0107.1.</w:t>
      </w:r>
    </w:p>
    <w:p w14:paraId="02EC189F" w14:textId="77777777" w:rsidR="001964E0" w:rsidRPr="001964E0" w:rsidRDefault="001964E0" w:rsidP="001964E0">
      <w:pPr>
        <w:pStyle w:val="Bibliography"/>
      </w:pPr>
      <w:r w:rsidRPr="001964E0">
        <w:t xml:space="preserve">——, X. Wang, P. Skinner, A. Johnson, and Y. Wang, 2018: Assimilation of GOES-13 Imager Clear-Sky Water Vapor (6.5 μm) Radiances into a Warn-on-Forecast System. </w:t>
      </w:r>
      <w:r w:rsidRPr="001964E0">
        <w:rPr>
          <w:i/>
          <w:iCs/>
        </w:rPr>
        <w:t>Monthly Weather Review</w:t>
      </w:r>
      <w:r w:rsidRPr="001964E0">
        <w:t xml:space="preserve">, </w:t>
      </w:r>
      <w:r w:rsidRPr="001964E0">
        <w:rPr>
          <w:b/>
          <w:bCs/>
        </w:rPr>
        <w:t>146</w:t>
      </w:r>
      <w:r w:rsidRPr="001964E0">
        <w:t>, 1077–1107, https://doi.org/10.1175/MWR-D-17-0280.1.</w:t>
      </w:r>
    </w:p>
    <w:p w14:paraId="36792F0E" w14:textId="77777777" w:rsidR="001964E0" w:rsidRPr="001964E0" w:rsidRDefault="001964E0" w:rsidP="001964E0">
      <w:pPr>
        <w:pStyle w:val="Bibliography"/>
      </w:pPr>
      <w:r w:rsidRPr="001964E0">
        <w:t xml:space="preserve">——, and Coauthors, 2020: Assimilation of GOES-16 Radiances and Retrievals into the Warn-on-Forecast System. </w:t>
      </w:r>
      <w:r w:rsidRPr="001964E0">
        <w:rPr>
          <w:i/>
          <w:iCs/>
        </w:rPr>
        <w:t>Monthly Weather Review</w:t>
      </w:r>
      <w:r w:rsidRPr="001964E0">
        <w:t xml:space="preserve">, </w:t>
      </w:r>
      <w:r w:rsidRPr="001964E0">
        <w:rPr>
          <w:b/>
          <w:bCs/>
        </w:rPr>
        <w:t>148</w:t>
      </w:r>
      <w:r w:rsidRPr="001964E0">
        <w:t>, 1829–1859, https://doi.org/10.1175/MWR-D-19-0379.1.</w:t>
      </w:r>
    </w:p>
    <w:p w14:paraId="620EF4C4" w14:textId="77777777" w:rsidR="001964E0" w:rsidRPr="001964E0" w:rsidRDefault="001964E0" w:rsidP="001964E0">
      <w:pPr>
        <w:pStyle w:val="Bibliography"/>
      </w:pPr>
      <w:r w:rsidRPr="001964E0">
        <w:t xml:space="preserve">Jung, Y., M. Xue, and M. Tong, 2012: Ensemble Kalman Filter Analyses of the 29–30 May 2004 Oklahoma Tornadic Thunderstorm Using One- and Two-Moment Bulk Microphysics Schemes, with Verification against Polarimetric Radar Data. </w:t>
      </w:r>
      <w:r w:rsidRPr="001964E0">
        <w:rPr>
          <w:i/>
          <w:iCs/>
        </w:rPr>
        <w:t>Monthly Weather Review</w:t>
      </w:r>
      <w:r w:rsidRPr="001964E0">
        <w:t xml:space="preserve">, </w:t>
      </w:r>
      <w:r w:rsidRPr="001964E0">
        <w:rPr>
          <w:b/>
          <w:bCs/>
        </w:rPr>
        <w:t>140</w:t>
      </w:r>
      <w:r w:rsidRPr="001964E0">
        <w:t>, 1457–1475, https://doi.org/10.1175/MWR-D-11-00032.1.</w:t>
      </w:r>
    </w:p>
    <w:p w14:paraId="72D0FB63" w14:textId="77777777" w:rsidR="001964E0" w:rsidRPr="001964E0" w:rsidRDefault="001964E0" w:rsidP="001964E0">
      <w:pPr>
        <w:pStyle w:val="Bibliography"/>
      </w:pPr>
      <w:r w:rsidRPr="001964E0">
        <w:t xml:space="preserve">Kain, J. S., P. R. Janish, S. J. Weiss, M. E. Baldwin, R. S. Schneider, and H. E. Brooks, 2003: Collaboration between Forecasters and Research Scientists at the NSSL and SPC: The Spring Program: The Spring Program. </w:t>
      </w:r>
      <w:r w:rsidRPr="001964E0">
        <w:rPr>
          <w:i/>
          <w:iCs/>
        </w:rPr>
        <w:t>Bulletin of the American Meteorological Society</w:t>
      </w:r>
      <w:r w:rsidRPr="001964E0">
        <w:t xml:space="preserve">, </w:t>
      </w:r>
      <w:r w:rsidRPr="001964E0">
        <w:rPr>
          <w:b/>
          <w:bCs/>
        </w:rPr>
        <w:t>84</w:t>
      </w:r>
      <w:r w:rsidRPr="001964E0">
        <w:t>, 1797–1806, https://doi.org/10.1175/BAMS-84-12-1797.</w:t>
      </w:r>
    </w:p>
    <w:p w14:paraId="5648EC4A" w14:textId="77777777" w:rsidR="001964E0" w:rsidRPr="001964E0" w:rsidRDefault="001964E0" w:rsidP="001964E0">
      <w:pPr>
        <w:pStyle w:val="Bibliography"/>
      </w:pPr>
      <w:r w:rsidRPr="001964E0">
        <w:t xml:space="preserve">——, and Coauthors, 2008: Some Practical Considerations Regarding Horizontal Resolution in the First Generation of Operational Convection-Allowing NWP. </w:t>
      </w:r>
      <w:r w:rsidRPr="001964E0">
        <w:rPr>
          <w:i/>
          <w:iCs/>
        </w:rPr>
        <w:t>Weather and Forecasting</w:t>
      </w:r>
      <w:r w:rsidRPr="001964E0">
        <w:t xml:space="preserve">, </w:t>
      </w:r>
      <w:r w:rsidRPr="001964E0">
        <w:rPr>
          <w:b/>
          <w:bCs/>
        </w:rPr>
        <w:t>23</w:t>
      </w:r>
      <w:r w:rsidRPr="001964E0">
        <w:t>, 931–952, https://doi.org/10.1175/WAF2007106.1.</w:t>
      </w:r>
    </w:p>
    <w:p w14:paraId="469DBF4E" w14:textId="77777777" w:rsidR="001964E0" w:rsidRPr="001964E0" w:rsidRDefault="001964E0" w:rsidP="001964E0">
      <w:pPr>
        <w:pStyle w:val="Bibliography"/>
      </w:pPr>
      <w:r w:rsidRPr="001964E0">
        <w:lastRenderedPageBreak/>
        <w:t xml:space="preserve">——, and Coauthors, 2010: Assessing Advances in the Assimilation of Radar Data and Other Mesoscale Observations within a Collaborative Forecasting–Research Environment. </w:t>
      </w:r>
      <w:r w:rsidRPr="001964E0">
        <w:rPr>
          <w:i/>
          <w:iCs/>
        </w:rPr>
        <w:t>Weather and Forecasting</w:t>
      </w:r>
      <w:r w:rsidRPr="001964E0">
        <w:t xml:space="preserve">, </w:t>
      </w:r>
      <w:r w:rsidRPr="001964E0">
        <w:rPr>
          <w:b/>
          <w:bCs/>
        </w:rPr>
        <w:t>25</w:t>
      </w:r>
      <w:r w:rsidRPr="001964E0">
        <w:t>, 1510–1521, https://doi.org/10.1175/2010WAF2222405.1.</w:t>
      </w:r>
    </w:p>
    <w:p w14:paraId="2CC0E6CF" w14:textId="77777777" w:rsidR="001964E0" w:rsidRPr="001964E0" w:rsidRDefault="001964E0" w:rsidP="001964E0">
      <w:pPr>
        <w:pStyle w:val="Bibliography"/>
      </w:pPr>
      <w:r w:rsidRPr="001964E0">
        <w:t xml:space="preserve">Kalina, E. A., I. Jankov, T. Alcott, J. Olson, J. Beck, J. Berner, D. Dowell, and C. Alexander, 2021: A Progress Report on the Development of the High-Resolution Rapid Refresh Ensemble. </w:t>
      </w:r>
      <w:r w:rsidRPr="001964E0">
        <w:rPr>
          <w:i/>
          <w:iCs/>
        </w:rPr>
        <w:t>Weather and Forecasting</w:t>
      </w:r>
      <w:r w:rsidRPr="001964E0">
        <w:t xml:space="preserve">, </w:t>
      </w:r>
      <w:r w:rsidRPr="001964E0">
        <w:rPr>
          <w:b/>
          <w:bCs/>
        </w:rPr>
        <w:t>36</w:t>
      </w:r>
      <w:r w:rsidRPr="001964E0">
        <w:t>, 791–804, https://doi.org/10.1175/WAF-D-20-0098.1.</w:t>
      </w:r>
    </w:p>
    <w:p w14:paraId="7F635402" w14:textId="77777777" w:rsidR="001964E0" w:rsidRPr="001964E0" w:rsidRDefault="001964E0" w:rsidP="001964E0">
      <w:pPr>
        <w:pStyle w:val="Bibliography"/>
      </w:pPr>
      <w:r w:rsidRPr="001964E0">
        <w:t xml:space="preserve">Kalnay, E., and S.-C. Yang, 2010: Accelerating the spin-up of Ensemble Kalman Filtering. </w:t>
      </w:r>
      <w:r w:rsidRPr="001964E0">
        <w:rPr>
          <w:i/>
          <w:iCs/>
        </w:rPr>
        <w:t>Quarterly Journal of the Royal Meteorological Society</w:t>
      </w:r>
      <w:r w:rsidRPr="001964E0">
        <w:t xml:space="preserve">, </w:t>
      </w:r>
      <w:r w:rsidRPr="001964E0">
        <w:rPr>
          <w:b/>
          <w:bCs/>
        </w:rPr>
        <w:t>136</w:t>
      </w:r>
      <w:r w:rsidRPr="001964E0">
        <w:t>, 1644–1651, https://doi.org/10.1002/qj.652.</w:t>
      </w:r>
    </w:p>
    <w:p w14:paraId="209AD580" w14:textId="77777777" w:rsidR="001964E0" w:rsidRPr="001964E0" w:rsidRDefault="001964E0" w:rsidP="001964E0">
      <w:pPr>
        <w:pStyle w:val="Bibliography"/>
      </w:pPr>
      <w:r w:rsidRPr="001964E0">
        <w:t xml:space="preserve">Khairoutdinov, M., and D. Randall, 2006: High-Resolution Simulation of Shallow-to-Deep Convection Transition over Land. </w:t>
      </w:r>
      <w:r w:rsidRPr="001964E0">
        <w:rPr>
          <w:i/>
          <w:iCs/>
        </w:rPr>
        <w:t>Journal of the Atmospheric Sciences</w:t>
      </w:r>
      <w:r w:rsidRPr="001964E0">
        <w:t xml:space="preserve">, </w:t>
      </w:r>
      <w:r w:rsidRPr="001964E0">
        <w:rPr>
          <w:b/>
          <w:bCs/>
        </w:rPr>
        <w:t>63</w:t>
      </w:r>
      <w:r w:rsidRPr="001964E0">
        <w:t>, 3421–3436, https://doi.org/10.1175/JAS3810.1.</w:t>
      </w:r>
    </w:p>
    <w:p w14:paraId="6EFD643E" w14:textId="77777777" w:rsidR="001964E0" w:rsidRPr="001964E0" w:rsidRDefault="001964E0" w:rsidP="001964E0">
      <w:pPr>
        <w:pStyle w:val="Bibliography"/>
      </w:pPr>
      <w:r w:rsidRPr="001964E0">
        <w:t xml:space="preserve">Kong, R., M. Xue, C. Liu, and Y. Jung, 2020: Comparisons of Hybrid En3DVar with 3DVar and EnKF for Radar Data Assimilation: Tests with the 10 May 2010 Oklahoma Tornado Outbreak. </w:t>
      </w:r>
      <w:r w:rsidRPr="001964E0">
        <w:rPr>
          <w:i/>
          <w:iCs/>
        </w:rPr>
        <w:t>Monthly Weather Review</w:t>
      </w:r>
      <w:r w:rsidRPr="001964E0">
        <w:t xml:space="preserve">, </w:t>
      </w:r>
      <w:r w:rsidRPr="001964E0">
        <w:rPr>
          <w:b/>
          <w:bCs/>
        </w:rPr>
        <w:t>149</w:t>
      </w:r>
      <w:r w:rsidRPr="001964E0">
        <w:t>, 21–40, https://doi.org/10.1175/MWR-D-20-0053.1.</w:t>
      </w:r>
    </w:p>
    <w:p w14:paraId="09FB8913" w14:textId="77777777" w:rsidR="001964E0" w:rsidRPr="001964E0" w:rsidRDefault="001964E0" w:rsidP="001964E0">
      <w:pPr>
        <w:pStyle w:val="Bibliography"/>
      </w:pPr>
      <w:r w:rsidRPr="001964E0">
        <w:t>Kucukkaraca, E., and M. Fisher, 2006: Use of analysis ensembles in estimating flow-dependent background error variances. 16, https://doi.org/10.21957/36n2z0p1p.</w:t>
      </w:r>
    </w:p>
    <w:p w14:paraId="11C65CC5" w14:textId="77777777" w:rsidR="001964E0" w:rsidRPr="001964E0" w:rsidRDefault="001964E0" w:rsidP="001964E0">
      <w:pPr>
        <w:pStyle w:val="Bibliography"/>
      </w:pPr>
      <w:r w:rsidRPr="001964E0">
        <w:t xml:space="preserve">Lai, A., J. Gao, S. E. Koch, Y. Wang, S. Pan, A. O. Fierro, C. Cui, and J. Min, 2019: Assimilation of Radar Radial Velocity, Reflectivity, and Pseudo–Water Vapor for Convective-Scale NWP in a Variational Framework. </w:t>
      </w:r>
      <w:r w:rsidRPr="001964E0">
        <w:rPr>
          <w:i/>
          <w:iCs/>
        </w:rPr>
        <w:t>Monthly Weather Review</w:t>
      </w:r>
      <w:r w:rsidRPr="001964E0">
        <w:t xml:space="preserve">, </w:t>
      </w:r>
      <w:r w:rsidRPr="001964E0">
        <w:rPr>
          <w:b/>
          <w:bCs/>
        </w:rPr>
        <w:t>147</w:t>
      </w:r>
      <w:r w:rsidRPr="001964E0">
        <w:t>, 2877–2900, https://doi.org/10.1175/MWR-D-18-0403.1.</w:t>
      </w:r>
    </w:p>
    <w:p w14:paraId="01E1B442" w14:textId="77777777" w:rsidR="001964E0" w:rsidRPr="001964E0" w:rsidRDefault="001964E0" w:rsidP="001964E0">
      <w:pPr>
        <w:pStyle w:val="Bibliography"/>
      </w:pPr>
      <w:r w:rsidRPr="001964E0">
        <w:t xml:space="preserve">Li, H., C. Liu, M. Xue, J. Park, L. Chen, Y. Jung, R. Kong, and C.-C. Tong, 2022: Use of Power Transform Total Number Concentration as Control Variable for Direct Assimilation of Radar Reflectivity in GSI En3DVar and Tests with Six Convective Storms Cases. </w:t>
      </w:r>
      <w:r w:rsidRPr="001964E0">
        <w:rPr>
          <w:i/>
          <w:iCs/>
        </w:rPr>
        <w:t>Monthly Weather Review</w:t>
      </w:r>
      <w:r w:rsidRPr="001964E0">
        <w:t xml:space="preserve">, </w:t>
      </w:r>
      <w:r w:rsidRPr="001964E0">
        <w:rPr>
          <w:b/>
          <w:bCs/>
        </w:rPr>
        <w:t>150</w:t>
      </w:r>
      <w:r w:rsidRPr="001964E0">
        <w:t>, 821–842, https://doi.org/10.1175/MWR-D-21-0041.1.</w:t>
      </w:r>
    </w:p>
    <w:p w14:paraId="4ACCEE6A" w14:textId="77777777" w:rsidR="001964E0" w:rsidRPr="001964E0" w:rsidRDefault="001964E0" w:rsidP="001964E0">
      <w:pPr>
        <w:pStyle w:val="Bibliography"/>
      </w:pPr>
      <w:r w:rsidRPr="001964E0">
        <w:t xml:space="preserve">Lorenc, A. C., 2003: The potential of the ensemble Kalman filter for NWP—a comparison with 4D-Var. </w:t>
      </w:r>
      <w:r w:rsidRPr="001964E0">
        <w:rPr>
          <w:i/>
          <w:iCs/>
        </w:rPr>
        <w:t>Quarterly Journal of the Royal Meteorological Society</w:t>
      </w:r>
      <w:r w:rsidRPr="001964E0">
        <w:t xml:space="preserve">, </w:t>
      </w:r>
      <w:r w:rsidRPr="001964E0">
        <w:rPr>
          <w:b/>
          <w:bCs/>
        </w:rPr>
        <w:t>129</w:t>
      </w:r>
      <w:r w:rsidRPr="001964E0">
        <w:t>, 3183–3203, https://doi.org/10.1256/qj.02.132.</w:t>
      </w:r>
    </w:p>
    <w:p w14:paraId="32E33952" w14:textId="77777777" w:rsidR="001964E0" w:rsidRPr="001964E0" w:rsidRDefault="001964E0" w:rsidP="001964E0">
      <w:pPr>
        <w:pStyle w:val="Bibliography"/>
      </w:pPr>
      <w:r w:rsidRPr="001964E0">
        <w:t xml:space="preserve">Lu, J., T. Feng, J. Li, Z. Cai, X. Xu, L. Li, and J. Li, 2019: Impact of Assimilating Himawari-8-Derived Layered Precipitable Water With Varying Cumulus and Microphysics Parameterization Schemes on the Simulation of Typhoon Hato. </w:t>
      </w:r>
      <w:r w:rsidRPr="001964E0">
        <w:rPr>
          <w:i/>
          <w:iCs/>
        </w:rPr>
        <w:t>Journal of Geophysical Research: Atmospheres</w:t>
      </w:r>
      <w:r w:rsidRPr="001964E0">
        <w:t xml:space="preserve">, </w:t>
      </w:r>
      <w:r w:rsidRPr="001964E0">
        <w:rPr>
          <w:b/>
          <w:bCs/>
        </w:rPr>
        <w:t>124</w:t>
      </w:r>
      <w:r w:rsidRPr="001964E0">
        <w:t>, 3050–3071, https://doi.org/10.1029/2018JD029364.</w:t>
      </w:r>
    </w:p>
    <w:p w14:paraId="521ABCFB" w14:textId="77777777" w:rsidR="001964E0" w:rsidRPr="001964E0" w:rsidRDefault="001964E0" w:rsidP="001964E0">
      <w:pPr>
        <w:pStyle w:val="Bibliography"/>
      </w:pPr>
      <w:r w:rsidRPr="001964E0">
        <w:t xml:space="preserve">Mansell, E. R., C. L. Ziegler, and E. C. Bruning, 2010: Simulated Electrification of a Small Thunderstorm with Two-Moment Bulk Microphysics. </w:t>
      </w:r>
      <w:r w:rsidRPr="001964E0">
        <w:rPr>
          <w:i/>
          <w:iCs/>
        </w:rPr>
        <w:t>Journal of the Atmospheric Sciences</w:t>
      </w:r>
      <w:r w:rsidRPr="001964E0">
        <w:t xml:space="preserve">, </w:t>
      </w:r>
      <w:r w:rsidRPr="001964E0">
        <w:rPr>
          <w:b/>
          <w:bCs/>
        </w:rPr>
        <w:t>67</w:t>
      </w:r>
      <w:r w:rsidRPr="001964E0">
        <w:t>, 171–194, https://doi.org/10.1175/2009JAS2965.1.</w:t>
      </w:r>
    </w:p>
    <w:p w14:paraId="66D0B9E1" w14:textId="77777777" w:rsidR="001964E0" w:rsidRPr="001964E0" w:rsidRDefault="001964E0" w:rsidP="001964E0">
      <w:pPr>
        <w:pStyle w:val="Bibliography"/>
      </w:pPr>
      <w:r w:rsidRPr="001964E0">
        <w:lastRenderedPageBreak/>
        <w:t xml:space="preserve">McPherson, R. A., and Coauthors, 2007: Statewide Monitoring of the Mesoscale Environment: A Technical Update on the Oklahoma Mesonet. </w:t>
      </w:r>
      <w:r w:rsidRPr="001964E0">
        <w:rPr>
          <w:i/>
          <w:iCs/>
        </w:rPr>
        <w:t>Journal of Atmospheric and Oceanic Technology</w:t>
      </w:r>
      <w:r w:rsidRPr="001964E0">
        <w:t xml:space="preserve">, </w:t>
      </w:r>
      <w:r w:rsidRPr="001964E0">
        <w:rPr>
          <w:b/>
          <w:bCs/>
        </w:rPr>
        <w:t>24</w:t>
      </w:r>
      <w:r w:rsidRPr="001964E0">
        <w:t>, 301–321, https://doi.org/10.1175/JTECH1976.1.</w:t>
      </w:r>
    </w:p>
    <w:p w14:paraId="7077DEA0" w14:textId="77777777" w:rsidR="001964E0" w:rsidRPr="001964E0" w:rsidRDefault="001964E0" w:rsidP="001964E0">
      <w:pPr>
        <w:pStyle w:val="Bibliography"/>
      </w:pPr>
      <w:r w:rsidRPr="001964E0">
        <w:t xml:space="preserve">Michel, Y., T. Auligné, and T. Montmerle, 2011: Heterogeneous Convective-Scale Background Error Covariances with the Inclusion of Hydrometeor Variables. </w:t>
      </w:r>
      <w:r w:rsidRPr="001964E0">
        <w:rPr>
          <w:i/>
          <w:iCs/>
        </w:rPr>
        <w:t>Monthly Weather Review</w:t>
      </w:r>
      <w:r w:rsidRPr="001964E0">
        <w:t xml:space="preserve">, </w:t>
      </w:r>
      <w:r w:rsidRPr="001964E0">
        <w:rPr>
          <w:b/>
          <w:bCs/>
        </w:rPr>
        <w:t>139</w:t>
      </w:r>
      <w:r w:rsidRPr="001964E0">
        <w:t>, 2994–3015, https://doi.org/10.1175/2011MWR3632.1.</w:t>
      </w:r>
    </w:p>
    <w:p w14:paraId="41A4A3ED" w14:textId="77777777" w:rsidR="001964E0" w:rsidRPr="001964E0" w:rsidRDefault="001964E0" w:rsidP="001964E0">
      <w:pPr>
        <w:pStyle w:val="Bibliography"/>
      </w:pPr>
      <w:r w:rsidRPr="001964E0">
        <w:t xml:space="preserve">Miller, W. J. S., and Coauthors, 2022: Exploring the Usefulness of Downscaling Free Forecasts from the Warn-on-Forecast System. </w:t>
      </w:r>
      <w:r w:rsidRPr="001964E0">
        <w:rPr>
          <w:i/>
          <w:iCs/>
        </w:rPr>
        <w:t>Weather and Forecasting</w:t>
      </w:r>
      <w:r w:rsidRPr="001964E0">
        <w:t xml:space="preserve">, </w:t>
      </w:r>
      <w:r w:rsidRPr="001964E0">
        <w:rPr>
          <w:b/>
          <w:bCs/>
        </w:rPr>
        <w:t>37</w:t>
      </w:r>
      <w:r w:rsidRPr="001964E0">
        <w:t>, 181–203, https://doi.org/10.1175/WAF-D-21-0079.1.</w:t>
      </w:r>
    </w:p>
    <w:p w14:paraId="6431820E" w14:textId="77777777" w:rsidR="001964E0" w:rsidRPr="001964E0" w:rsidRDefault="001964E0" w:rsidP="001964E0">
      <w:pPr>
        <w:pStyle w:val="Bibliography"/>
      </w:pPr>
      <w:r w:rsidRPr="001964E0">
        <w:t xml:space="preserve">Minnis, P., and Coauthors, 2011: CERES Edition-2 Cloud Property Retrievals Using TRMM VIRS and Terra and Aqua MODIS Data—Part I: Algorithms. </w:t>
      </w:r>
      <w:r w:rsidRPr="001964E0">
        <w:rPr>
          <w:i/>
          <w:iCs/>
        </w:rPr>
        <w:t>IEEE Transactions on Geoscience and Remote Sensing</w:t>
      </w:r>
      <w:r w:rsidRPr="001964E0">
        <w:t xml:space="preserve">, </w:t>
      </w:r>
      <w:r w:rsidRPr="001964E0">
        <w:rPr>
          <w:b/>
          <w:bCs/>
        </w:rPr>
        <w:t>49</w:t>
      </w:r>
      <w:r w:rsidRPr="001964E0">
        <w:t>, 4374–4400, https://doi.org/10.1109/TGRS.2011.2144601.</w:t>
      </w:r>
    </w:p>
    <w:p w14:paraId="5A572D73" w14:textId="77777777" w:rsidR="001964E0" w:rsidRPr="001964E0" w:rsidRDefault="001964E0" w:rsidP="001964E0">
      <w:pPr>
        <w:pStyle w:val="Bibliography"/>
      </w:pPr>
      <w:r w:rsidRPr="001964E0">
        <w:t xml:space="preserve">Mlawer, E. J., S. J. Taubman, P. D. Brown, M. J. Iacono, and S. A. Clough, 1997: Radiative transfer for inhomogeneous atmospheres: RRTM, a validated correlated-k model for the longwave. </w:t>
      </w:r>
      <w:r w:rsidRPr="001964E0">
        <w:rPr>
          <w:i/>
          <w:iCs/>
        </w:rPr>
        <w:t>Journal of Geophysical Research: Atmospheres</w:t>
      </w:r>
      <w:r w:rsidRPr="001964E0">
        <w:t xml:space="preserve">, </w:t>
      </w:r>
      <w:r w:rsidRPr="001964E0">
        <w:rPr>
          <w:b/>
          <w:bCs/>
        </w:rPr>
        <w:t>102</w:t>
      </w:r>
      <w:r w:rsidRPr="001964E0">
        <w:t>, 16663–16682, https://doi.org/10.1029/97JD00237.</w:t>
      </w:r>
    </w:p>
    <w:p w14:paraId="5D7770DD" w14:textId="77777777" w:rsidR="001964E0" w:rsidRPr="001964E0" w:rsidRDefault="001964E0" w:rsidP="001964E0">
      <w:pPr>
        <w:pStyle w:val="Bibliography"/>
      </w:pPr>
      <w:r w:rsidRPr="001964E0">
        <w:t xml:space="preserve">Monteiro, M., and L. Berre, 2010: A diagnostic study of time variations of regionally averaged background error covariances. </w:t>
      </w:r>
      <w:r w:rsidRPr="001964E0">
        <w:rPr>
          <w:i/>
          <w:iCs/>
        </w:rPr>
        <w:t>Journal of Geophysical Research: Atmospheres</w:t>
      </w:r>
      <w:r w:rsidRPr="001964E0">
        <w:t xml:space="preserve">, </w:t>
      </w:r>
      <w:r w:rsidRPr="001964E0">
        <w:rPr>
          <w:b/>
          <w:bCs/>
        </w:rPr>
        <w:t>115</w:t>
      </w:r>
      <w:r w:rsidRPr="001964E0">
        <w:t>, https://doi.org/10.1029/2010JD014095.</w:t>
      </w:r>
    </w:p>
    <w:p w14:paraId="4A31B131" w14:textId="77777777" w:rsidR="001964E0" w:rsidRPr="001964E0" w:rsidRDefault="001964E0" w:rsidP="001964E0">
      <w:pPr>
        <w:pStyle w:val="Bibliography"/>
      </w:pPr>
      <w:r w:rsidRPr="001964E0">
        <w:t xml:space="preserve">Montmerle, T., and L. Berre, 2010: Diagnosis and formulation of heterogeneous background-error covariances at the mesoscale. </w:t>
      </w:r>
      <w:r w:rsidRPr="001964E0">
        <w:rPr>
          <w:i/>
          <w:iCs/>
        </w:rPr>
        <w:t>Quarterly Journal of the Royal Meteorological Society</w:t>
      </w:r>
      <w:r w:rsidRPr="001964E0">
        <w:t xml:space="preserve">, </w:t>
      </w:r>
      <w:r w:rsidRPr="001964E0">
        <w:rPr>
          <w:b/>
          <w:bCs/>
        </w:rPr>
        <w:t>136</w:t>
      </w:r>
      <w:r w:rsidRPr="001964E0">
        <w:t>, 1408–1420, https://doi.org/10.1002/qj.655.</w:t>
      </w:r>
    </w:p>
    <w:p w14:paraId="6F6775A5" w14:textId="77777777" w:rsidR="001964E0" w:rsidRPr="001964E0" w:rsidRDefault="001964E0" w:rsidP="001964E0">
      <w:pPr>
        <w:pStyle w:val="Bibliography"/>
      </w:pPr>
      <w:r w:rsidRPr="001964E0">
        <w:t xml:space="preserve">Nakanishi, M., and H. Niino, 2004: An Improved Mellor–Yamada Level-3 Model with Condensation Physics: Its Design and Verification. </w:t>
      </w:r>
      <w:r w:rsidRPr="001964E0">
        <w:rPr>
          <w:i/>
          <w:iCs/>
        </w:rPr>
        <w:t>Boundary-Layer Meteorology</w:t>
      </w:r>
      <w:r w:rsidRPr="001964E0">
        <w:t xml:space="preserve">, </w:t>
      </w:r>
      <w:r w:rsidRPr="001964E0">
        <w:rPr>
          <w:b/>
          <w:bCs/>
        </w:rPr>
        <w:t>112</w:t>
      </w:r>
      <w:r w:rsidRPr="001964E0">
        <w:t>, 1–31, https://doi.org/10.1023/B:BOUN.0000020164.04146.98.</w:t>
      </w:r>
    </w:p>
    <w:p w14:paraId="6F193AC4" w14:textId="77777777" w:rsidR="001964E0" w:rsidRPr="001964E0" w:rsidRDefault="001964E0" w:rsidP="001964E0">
      <w:pPr>
        <w:pStyle w:val="Bibliography"/>
      </w:pPr>
      <w:r w:rsidRPr="001964E0">
        <w:t>NOAA National Centers for Environmental Information (NCEI), 2021: Billion-Dollar Weather and Climate Disasters. https://doi.org/10.25921/stkw-7w73.</w:t>
      </w:r>
    </w:p>
    <w:p w14:paraId="35F06CE9" w14:textId="77777777" w:rsidR="001964E0" w:rsidRPr="001964E0" w:rsidRDefault="001964E0" w:rsidP="001964E0">
      <w:pPr>
        <w:pStyle w:val="Bibliography"/>
      </w:pPr>
      <w:r w:rsidRPr="001964E0">
        <w:t xml:space="preserve">Pan, S., and J. Gao, 2022: A Method for Assimilating Pseudo Dewpoint Temperature as a Function of GLM Flash Extent Density in GSI-Based EnKF Data Assimilation System – A Proof of Concept study. </w:t>
      </w:r>
      <w:r w:rsidRPr="001964E0">
        <w:rPr>
          <w:i/>
          <w:iCs/>
        </w:rPr>
        <w:t>Earth and Space Science</w:t>
      </w:r>
      <w:r w:rsidRPr="001964E0">
        <w:t xml:space="preserve">, </w:t>
      </w:r>
      <w:r w:rsidRPr="001964E0">
        <w:rPr>
          <w:b/>
          <w:bCs/>
        </w:rPr>
        <w:t>9</w:t>
      </w:r>
      <w:r w:rsidRPr="001964E0">
        <w:t>, e2022EA002378, https://doi.org/10.1029/2022EA002378.</w:t>
      </w:r>
    </w:p>
    <w:p w14:paraId="638EFC49" w14:textId="77777777" w:rsidR="001964E0" w:rsidRPr="001964E0" w:rsidRDefault="001964E0" w:rsidP="001964E0">
      <w:pPr>
        <w:pStyle w:val="Bibliography"/>
      </w:pPr>
      <w:r w:rsidRPr="001964E0">
        <w:t xml:space="preserve">——, ——, D. J. Stensrud, X. Wang, and T. A. Jones, 2018: Assimilation of Radar Radial Velocity and Reflectivity, Satellite Cloud Water Path, and Total Precipitable Water for Convective-Scale NWP in OSSEs. </w:t>
      </w:r>
      <w:r w:rsidRPr="001964E0">
        <w:rPr>
          <w:i/>
          <w:iCs/>
        </w:rPr>
        <w:t>Journal of Atmospheric and Oceanic Technology</w:t>
      </w:r>
      <w:r w:rsidRPr="001964E0">
        <w:t xml:space="preserve">, </w:t>
      </w:r>
      <w:r w:rsidRPr="001964E0">
        <w:rPr>
          <w:b/>
          <w:bCs/>
        </w:rPr>
        <w:t>35</w:t>
      </w:r>
      <w:r w:rsidRPr="001964E0">
        <w:t>, 67–89, https://doi.org/10.1175/JTECH-D-17-0081.1.</w:t>
      </w:r>
    </w:p>
    <w:p w14:paraId="7F716DF5" w14:textId="77777777" w:rsidR="001964E0" w:rsidRPr="001964E0" w:rsidRDefault="001964E0" w:rsidP="001964E0">
      <w:pPr>
        <w:pStyle w:val="Bibliography"/>
      </w:pPr>
      <w:r w:rsidRPr="001964E0">
        <w:lastRenderedPageBreak/>
        <w:t xml:space="preserve">——, ——, T. A. Jones, Y. Wang, X. Wang, and J. Li, 2021: The Impact of Assimilating Satellite-Derived Layered Precipitable Water, Cloud Water Path, and Radar Data on Short-Range Thunderstorm Forecasts. </w:t>
      </w:r>
      <w:r w:rsidRPr="001964E0">
        <w:rPr>
          <w:i/>
          <w:iCs/>
        </w:rPr>
        <w:t>Monthly Weather Review</w:t>
      </w:r>
      <w:r w:rsidRPr="001964E0">
        <w:t xml:space="preserve">, </w:t>
      </w:r>
      <w:r w:rsidRPr="001964E0">
        <w:rPr>
          <w:b/>
          <w:bCs/>
        </w:rPr>
        <w:t>149</w:t>
      </w:r>
      <w:r w:rsidRPr="001964E0">
        <w:t>, 1359–1380, https://doi.org/10.1175/MWR-D-20-0040.1.</w:t>
      </w:r>
    </w:p>
    <w:p w14:paraId="3D94505B" w14:textId="77777777" w:rsidR="001964E0" w:rsidRPr="001964E0" w:rsidRDefault="001964E0" w:rsidP="001964E0">
      <w:pPr>
        <w:pStyle w:val="Bibliography"/>
      </w:pPr>
      <w:r w:rsidRPr="001964E0">
        <w:t xml:space="preserve">Parrish, D. F., and J. C. Derber, 1992: The National Meteorological Center’s Spectral Statistical-Interpolation Analysis System. </w:t>
      </w:r>
      <w:r w:rsidRPr="001964E0">
        <w:rPr>
          <w:i/>
          <w:iCs/>
        </w:rPr>
        <w:t>Monthly Weather Review</w:t>
      </w:r>
      <w:r w:rsidRPr="001964E0">
        <w:t xml:space="preserve">, </w:t>
      </w:r>
      <w:r w:rsidRPr="001964E0">
        <w:rPr>
          <w:b/>
          <w:bCs/>
        </w:rPr>
        <w:t>120</w:t>
      </w:r>
      <w:r w:rsidRPr="001964E0">
        <w:t>, 1747–1763, https://doi.org/10.1175/1520-0493(1992)120&lt;1747:TNMCSS&gt;2.0.CO;2.</w:t>
      </w:r>
    </w:p>
    <w:p w14:paraId="7DDB92BD" w14:textId="77777777" w:rsidR="001964E0" w:rsidRPr="001964E0" w:rsidRDefault="001964E0" w:rsidP="001964E0">
      <w:pPr>
        <w:pStyle w:val="Bibliography"/>
      </w:pPr>
      <w:r w:rsidRPr="001964E0">
        <w:t xml:space="preserve">Potvin, C. K., C. Broyles, P. S. Skinner, H. E. Brooks, and E. Rasmussen, 2019: A Bayesian Hierarchical Modeling Framework for Correcting Reporting Bias in the U.S. Tornado Database. </w:t>
      </w:r>
      <w:r w:rsidRPr="001964E0">
        <w:rPr>
          <w:i/>
          <w:iCs/>
        </w:rPr>
        <w:t>Weather and Forecasting</w:t>
      </w:r>
      <w:r w:rsidRPr="001964E0">
        <w:t xml:space="preserve">, </w:t>
      </w:r>
      <w:r w:rsidRPr="001964E0">
        <w:rPr>
          <w:b/>
          <w:bCs/>
        </w:rPr>
        <w:t>34</w:t>
      </w:r>
      <w:r w:rsidRPr="001964E0">
        <w:t>, 15–30, https://doi.org/10.1175/WAF-D-18-0137.1.</w:t>
      </w:r>
    </w:p>
    <w:p w14:paraId="6B995B23" w14:textId="77777777" w:rsidR="001964E0" w:rsidRPr="001964E0" w:rsidRDefault="001964E0" w:rsidP="001964E0">
      <w:pPr>
        <w:pStyle w:val="Bibliography"/>
      </w:pPr>
      <w:r w:rsidRPr="001964E0">
        <w:t xml:space="preserve">Purser, R. J., W.-S. Wu, D. F. Parrish, and N. M. Roberts, 2003a: Numerical Aspects of the Application of Recursive Filters to Variational Statistical Analysis. Part I: Spatially Homogeneous and Isotropic Gaussian Covariances. </w:t>
      </w:r>
      <w:r w:rsidRPr="001964E0">
        <w:rPr>
          <w:i/>
          <w:iCs/>
        </w:rPr>
        <w:t>Monthly Weather Review</w:t>
      </w:r>
      <w:r w:rsidRPr="001964E0">
        <w:t xml:space="preserve">, </w:t>
      </w:r>
      <w:r w:rsidRPr="001964E0">
        <w:rPr>
          <w:b/>
          <w:bCs/>
        </w:rPr>
        <w:t>131</w:t>
      </w:r>
      <w:r w:rsidRPr="001964E0">
        <w:t>, 1524–1535, https://doi.org/10.1175//1520-0493(2003)131&lt;1524:NAOTAO&gt;2.0.CO;2.</w:t>
      </w:r>
    </w:p>
    <w:p w14:paraId="754A3EEE" w14:textId="77777777" w:rsidR="001964E0" w:rsidRPr="001964E0" w:rsidRDefault="001964E0" w:rsidP="001964E0">
      <w:pPr>
        <w:pStyle w:val="Bibliography"/>
      </w:pPr>
      <w:r w:rsidRPr="001964E0">
        <w:t xml:space="preserve">——, ——, ——, and ——, 2003b: Numerical Aspects of the Application of Recursive Filters to Variational Statistical Analysis. Part II: Spatially Inhomogeneous and Anisotropic General Covariances. </w:t>
      </w:r>
      <w:r w:rsidRPr="001964E0">
        <w:rPr>
          <w:i/>
          <w:iCs/>
        </w:rPr>
        <w:t>Monthly Weather Review</w:t>
      </w:r>
      <w:r w:rsidRPr="001964E0">
        <w:t xml:space="preserve">, </w:t>
      </w:r>
      <w:r w:rsidRPr="001964E0">
        <w:rPr>
          <w:b/>
          <w:bCs/>
        </w:rPr>
        <w:t>131</w:t>
      </w:r>
      <w:r w:rsidRPr="001964E0">
        <w:t>, 1536–1548, https://doi.org/10.1175//2543.1.</w:t>
      </w:r>
    </w:p>
    <w:p w14:paraId="3C5D1BFC" w14:textId="77777777" w:rsidR="001964E0" w:rsidRPr="001964E0" w:rsidRDefault="001964E0" w:rsidP="001964E0">
      <w:pPr>
        <w:pStyle w:val="Bibliography"/>
      </w:pPr>
      <w:r w:rsidRPr="001964E0">
        <w:t xml:space="preserve">Roberts, N., 2008: Assessing the spatial and temporal variation in the skill of precipitation forecasts from an NWP model. </w:t>
      </w:r>
      <w:r w:rsidRPr="001964E0">
        <w:rPr>
          <w:i/>
          <w:iCs/>
        </w:rPr>
        <w:t>Meteorological Applications</w:t>
      </w:r>
      <w:r w:rsidRPr="001964E0">
        <w:t xml:space="preserve">, </w:t>
      </w:r>
      <w:r w:rsidRPr="001964E0">
        <w:rPr>
          <w:b/>
          <w:bCs/>
        </w:rPr>
        <w:t>15</w:t>
      </w:r>
      <w:r w:rsidRPr="001964E0">
        <w:t>, 163–169, https://doi.org/10.1002/met.57.</w:t>
      </w:r>
    </w:p>
    <w:p w14:paraId="5B075F32" w14:textId="77777777" w:rsidR="001964E0" w:rsidRPr="001964E0" w:rsidRDefault="001964E0" w:rsidP="001964E0">
      <w:pPr>
        <w:pStyle w:val="Bibliography"/>
      </w:pPr>
      <w:r w:rsidRPr="001964E0">
        <w:t xml:space="preserve">Roberts, N. M., and H. W. Lean, 2008: Scale-Selective Verification of Rainfall Accumulations from High-Resolution Forecasts of Convective Events. </w:t>
      </w:r>
      <w:r w:rsidRPr="001964E0">
        <w:rPr>
          <w:i/>
          <w:iCs/>
        </w:rPr>
        <w:t>Monthly Weather Review</w:t>
      </w:r>
      <w:r w:rsidRPr="001964E0">
        <w:t xml:space="preserve">, </w:t>
      </w:r>
      <w:r w:rsidRPr="001964E0">
        <w:rPr>
          <w:b/>
          <w:bCs/>
        </w:rPr>
        <w:t>136</w:t>
      </w:r>
      <w:r w:rsidRPr="001964E0">
        <w:t>, 78–97, https://doi.org/10.1175/2007MWR2123.1.</w:t>
      </w:r>
    </w:p>
    <w:p w14:paraId="44DBFA66" w14:textId="77777777" w:rsidR="001964E0" w:rsidRPr="001964E0" w:rsidRDefault="001964E0" w:rsidP="001964E0">
      <w:pPr>
        <w:pStyle w:val="Bibliography"/>
      </w:pPr>
      <w:r w:rsidRPr="001964E0">
        <w:t xml:space="preserve">Roebber, P. J., 2009: Visualizing Multiple Measures of Forecast Quality. </w:t>
      </w:r>
      <w:r w:rsidRPr="001964E0">
        <w:rPr>
          <w:i/>
          <w:iCs/>
        </w:rPr>
        <w:t>Weather and Forecasting</w:t>
      </w:r>
      <w:r w:rsidRPr="001964E0">
        <w:t xml:space="preserve">, </w:t>
      </w:r>
      <w:r w:rsidRPr="001964E0">
        <w:rPr>
          <w:b/>
          <w:bCs/>
        </w:rPr>
        <w:t>24</w:t>
      </w:r>
      <w:r w:rsidRPr="001964E0">
        <w:t>, 601–608, https://doi.org/10.1175/2008WAF2222159.1.</w:t>
      </w:r>
    </w:p>
    <w:p w14:paraId="4621F0D9" w14:textId="77777777" w:rsidR="001964E0" w:rsidRPr="001964E0" w:rsidRDefault="001964E0" w:rsidP="001964E0">
      <w:pPr>
        <w:pStyle w:val="Bibliography"/>
      </w:pPr>
      <w:r w:rsidRPr="001964E0">
        <w:t xml:space="preserve">Schmit, T. J., M. M. Gunshor, W. P. Menzel, J. J. Gurka, J. Li, and A. S. Bachmeier, 2005: INTRODUCING THE NEXT-GENERATION ADVANCED BASELINE IMAGER ON GOES-R. </w:t>
      </w:r>
      <w:r w:rsidRPr="001964E0">
        <w:rPr>
          <w:i/>
          <w:iCs/>
        </w:rPr>
        <w:t>Bulletin of the American Meteorological Society</w:t>
      </w:r>
      <w:r w:rsidRPr="001964E0">
        <w:t xml:space="preserve">, </w:t>
      </w:r>
      <w:r w:rsidRPr="001964E0">
        <w:rPr>
          <w:b/>
          <w:bCs/>
        </w:rPr>
        <w:t>86</w:t>
      </w:r>
      <w:r w:rsidRPr="001964E0">
        <w:t>, 1079–1096, https://doi.org/10.1175/BAMS-86-8-1079.</w:t>
      </w:r>
    </w:p>
    <w:p w14:paraId="1F218DD9" w14:textId="77777777" w:rsidR="001964E0" w:rsidRPr="001964E0" w:rsidRDefault="001964E0" w:rsidP="001964E0">
      <w:pPr>
        <w:pStyle w:val="Bibliography"/>
      </w:pPr>
      <w:r w:rsidRPr="001964E0">
        <w:t xml:space="preserve">——, P. Griffith, M. M. Gunshor, J. M. Daniels, S. J. Goodman, and W. J. Lebair, 2017: A Closer Look at the ABI on the GOES-R Series. </w:t>
      </w:r>
      <w:r w:rsidRPr="001964E0">
        <w:rPr>
          <w:i/>
          <w:iCs/>
        </w:rPr>
        <w:t>Bulletin of the American Meteorological Society</w:t>
      </w:r>
      <w:r w:rsidRPr="001964E0">
        <w:t xml:space="preserve">, </w:t>
      </w:r>
      <w:r w:rsidRPr="001964E0">
        <w:rPr>
          <w:b/>
          <w:bCs/>
        </w:rPr>
        <w:t>98</w:t>
      </w:r>
      <w:r w:rsidRPr="001964E0">
        <w:t>, 681–698, https://doi.org/10.1175/BAMS-D-15-00230.1.</w:t>
      </w:r>
    </w:p>
    <w:p w14:paraId="654B8F94" w14:textId="77777777" w:rsidR="001964E0" w:rsidRPr="001964E0" w:rsidRDefault="001964E0" w:rsidP="001964E0">
      <w:pPr>
        <w:pStyle w:val="Bibliography"/>
      </w:pPr>
      <w:r w:rsidRPr="001964E0">
        <w:t xml:space="preserve">——, and Coauthors, 2019: Legacy Atmospheric Profiles and Derived Products From GOES-16: Validation and Applications. </w:t>
      </w:r>
      <w:r w:rsidRPr="001964E0">
        <w:rPr>
          <w:i/>
          <w:iCs/>
        </w:rPr>
        <w:t>Earth and Space Science</w:t>
      </w:r>
      <w:r w:rsidRPr="001964E0">
        <w:t xml:space="preserve">, </w:t>
      </w:r>
      <w:r w:rsidRPr="001964E0">
        <w:rPr>
          <w:b/>
          <w:bCs/>
        </w:rPr>
        <w:t>6</w:t>
      </w:r>
      <w:r w:rsidRPr="001964E0">
        <w:t>, 1730–1748, https://doi.org/10.1029/2019EA000729.</w:t>
      </w:r>
    </w:p>
    <w:p w14:paraId="1ED00120" w14:textId="77777777" w:rsidR="001964E0" w:rsidRPr="001964E0" w:rsidRDefault="001964E0" w:rsidP="001964E0">
      <w:pPr>
        <w:pStyle w:val="Bibliography"/>
      </w:pPr>
      <w:proofErr w:type="spellStart"/>
      <w:r w:rsidRPr="001964E0">
        <w:lastRenderedPageBreak/>
        <w:t>Skamarock</w:t>
      </w:r>
      <w:proofErr w:type="spellEnd"/>
      <w:r w:rsidRPr="001964E0">
        <w:t xml:space="preserve">, W., J. Klemp, J. Dudhia, D. Gill, D. Barker, W. Wang, X.-Y. Huang, and M. Duda, 2008: A Description of the Advanced Research WRF Version 3 (No. NCAR/TN-475+STR). </w:t>
      </w:r>
      <w:r w:rsidRPr="001964E0">
        <w:rPr>
          <w:i/>
          <w:iCs/>
        </w:rPr>
        <w:t>University Corporation for Atmospheric Research</w:t>
      </w:r>
      <w:r w:rsidRPr="001964E0">
        <w:t>, http://dx.doi.org/10.5065/D68S4MVH.</w:t>
      </w:r>
    </w:p>
    <w:p w14:paraId="2CC7F2BB" w14:textId="77777777" w:rsidR="001964E0" w:rsidRPr="001964E0" w:rsidRDefault="001964E0" w:rsidP="001964E0">
      <w:pPr>
        <w:pStyle w:val="Bibliography"/>
      </w:pPr>
      <w:r w:rsidRPr="001964E0">
        <w:t xml:space="preserve">Skinner, P. S., and Coauthors, 2018: Object-Based Verification of a Prototype Warn-on-Forecast System. </w:t>
      </w:r>
      <w:r w:rsidRPr="001964E0">
        <w:rPr>
          <w:i/>
          <w:iCs/>
        </w:rPr>
        <w:t>Weather and Forecasting</w:t>
      </w:r>
      <w:r w:rsidRPr="001964E0">
        <w:t xml:space="preserve">, </w:t>
      </w:r>
      <w:r w:rsidRPr="001964E0">
        <w:rPr>
          <w:b/>
          <w:bCs/>
        </w:rPr>
        <w:t>33</w:t>
      </w:r>
      <w:r w:rsidRPr="001964E0">
        <w:t>, 1225–1250, https://doi.org/10.1175/WAF-D-18-0020.1.</w:t>
      </w:r>
    </w:p>
    <w:p w14:paraId="0DB7BC10" w14:textId="77777777" w:rsidR="001964E0" w:rsidRPr="001964E0" w:rsidRDefault="001964E0" w:rsidP="001964E0">
      <w:pPr>
        <w:pStyle w:val="Bibliography"/>
      </w:pPr>
      <w:r w:rsidRPr="001964E0">
        <w:t xml:space="preserve">Smith, T. M., and Coauthors, 2014: Examination of a Real-Time 3DVAR Analysis System in the Hazardous Weather Testbed. </w:t>
      </w:r>
      <w:r w:rsidRPr="001964E0">
        <w:rPr>
          <w:i/>
          <w:iCs/>
        </w:rPr>
        <w:t>Weather and Forecasting</w:t>
      </w:r>
      <w:r w:rsidRPr="001964E0">
        <w:t xml:space="preserve">, </w:t>
      </w:r>
      <w:r w:rsidRPr="001964E0">
        <w:rPr>
          <w:b/>
          <w:bCs/>
        </w:rPr>
        <w:t>29</w:t>
      </w:r>
      <w:r w:rsidRPr="001964E0">
        <w:t>, 63–77, https://doi.org/10.1175/WAF-D-13-00044.1.</w:t>
      </w:r>
    </w:p>
    <w:p w14:paraId="5CB67A44" w14:textId="77777777" w:rsidR="001964E0" w:rsidRPr="001964E0" w:rsidRDefault="001964E0" w:rsidP="001964E0">
      <w:pPr>
        <w:pStyle w:val="Bibliography"/>
      </w:pPr>
      <w:r w:rsidRPr="001964E0">
        <w:t xml:space="preserve">——, and Coauthors, 2016: Multi-Radar Multi-Sensor (MRMS) Severe Weather and Aviation Products: Initial Operating Capabilities. </w:t>
      </w:r>
      <w:r w:rsidRPr="001964E0">
        <w:rPr>
          <w:i/>
          <w:iCs/>
        </w:rPr>
        <w:t>Bulletin of the American Meteorological Society</w:t>
      </w:r>
      <w:r w:rsidRPr="001964E0">
        <w:t xml:space="preserve">, </w:t>
      </w:r>
      <w:r w:rsidRPr="001964E0">
        <w:rPr>
          <w:b/>
          <w:bCs/>
        </w:rPr>
        <w:t>97</w:t>
      </w:r>
      <w:r w:rsidRPr="001964E0">
        <w:t>, 1617–1630, https://doi.org/10.1175/BAMS-D-14-00173.1.</w:t>
      </w:r>
    </w:p>
    <w:p w14:paraId="5F7D7558" w14:textId="77777777" w:rsidR="001964E0" w:rsidRPr="001964E0" w:rsidRDefault="001964E0" w:rsidP="001964E0">
      <w:pPr>
        <w:pStyle w:val="Bibliography"/>
      </w:pPr>
      <w:r w:rsidRPr="001964E0">
        <w:t xml:space="preserve">Snyder, C., and F. Zhang, 2003: Assimilation of Simulated Doppler Radar Observations with an Ensemble Kalman Filter. </w:t>
      </w:r>
      <w:r w:rsidRPr="001964E0">
        <w:rPr>
          <w:i/>
          <w:iCs/>
        </w:rPr>
        <w:t>Monthly Weather Review</w:t>
      </w:r>
      <w:r w:rsidRPr="001964E0">
        <w:t xml:space="preserve">, </w:t>
      </w:r>
      <w:r w:rsidRPr="001964E0">
        <w:rPr>
          <w:b/>
          <w:bCs/>
        </w:rPr>
        <w:t>131</w:t>
      </w:r>
      <w:r w:rsidRPr="001964E0">
        <w:t>, 1663–1677, https://doi.org/10.1175//2555.1.</w:t>
      </w:r>
    </w:p>
    <w:p w14:paraId="6B0B875C" w14:textId="77777777" w:rsidR="001964E0" w:rsidRPr="001964E0" w:rsidRDefault="001964E0" w:rsidP="001964E0">
      <w:pPr>
        <w:pStyle w:val="Bibliography"/>
      </w:pPr>
      <w:r w:rsidRPr="001964E0">
        <w:t xml:space="preserve">Stensrud, D. J., and J. Gao, 2010: Importance of Horizontally Inhomogeneous Environmental Initial Conditions to Ensemble Storm-Scale Radar Data Assimilation and Very Short-Range Forecasts. </w:t>
      </w:r>
      <w:r w:rsidRPr="001964E0">
        <w:rPr>
          <w:i/>
          <w:iCs/>
        </w:rPr>
        <w:t>Monthly Weather Review</w:t>
      </w:r>
      <w:r w:rsidRPr="001964E0">
        <w:t xml:space="preserve">, </w:t>
      </w:r>
      <w:r w:rsidRPr="001964E0">
        <w:rPr>
          <w:b/>
          <w:bCs/>
        </w:rPr>
        <w:t>138</w:t>
      </w:r>
      <w:r w:rsidRPr="001964E0">
        <w:t>, 1250–1272, https://doi.org/10.1175/2009MWR3027.1.</w:t>
      </w:r>
    </w:p>
    <w:p w14:paraId="3454BED2" w14:textId="77777777" w:rsidR="001964E0" w:rsidRPr="001964E0" w:rsidRDefault="001964E0" w:rsidP="001964E0">
      <w:pPr>
        <w:pStyle w:val="Bibliography"/>
      </w:pPr>
      <w:r w:rsidRPr="001964E0">
        <w:t xml:space="preserve">——, J.-W. Bao, and T. T. Warner, 2000: Using Initial Condition and Model Physics Perturbations in Short-Range Ensemble Simulations of Mesoscale Convective Systems. </w:t>
      </w:r>
      <w:r w:rsidRPr="001964E0">
        <w:rPr>
          <w:i/>
          <w:iCs/>
        </w:rPr>
        <w:t>Monthly Weather Review</w:t>
      </w:r>
      <w:r w:rsidRPr="001964E0">
        <w:t xml:space="preserve">, </w:t>
      </w:r>
      <w:r w:rsidRPr="001964E0">
        <w:rPr>
          <w:b/>
          <w:bCs/>
        </w:rPr>
        <w:t>128</w:t>
      </w:r>
      <w:r w:rsidRPr="001964E0">
        <w:t>, 2077–2107, https://doi.org/10.1175/1520-0493(2000)128&lt;2077:UICAMP&gt;2.0.CO;2.</w:t>
      </w:r>
    </w:p>
    <w:p w14:paraId="3229556F" w14:textId="77777777" w:rsidR="001964E0" w:rsidRPr="001964E0" w:rsidRDefault="001964E0" w:rsidP="001964E0">
      <w:pPr>
        <w:pStyle w:val="Bibliography"/>
      </w:pPr>
      <w:r w:rsidRPr="001964E0">
        <w:t xml:space="preserve">——, and Coauthors, 2009: Convective-Scale Warn-on-Forecast System: A Vision for 2020. </w:t>
      </w:r>
      <w:r w:rsidRPr="001964E0">
        <w:rPr>
          <w:i/>
          <w:iCs/>
        </w:rPr>
        <w:t>Bulletin of the American Meteorological Society</w:t>
      </w:r>
      <w:r w:rsidRPr="001964E0">
        <w:t xml:space="preserve">, </w:t>
      </w:r>
      <w:r w:rsidRPr="001964E0">
        <w:rPr>
          <w:b/>
          <w:bCs/>
        </w:rPr>
        <w:t>90</w:t>
      </w:r>
      <w:r w:rsidRPr="001964E0">
        <w:t>, 1487–1500, https://doi.org/10.1175/2009BAMS2795.1.</w:t>
      </w:r>
    </w:p>
    <w:p w14:paraId="76BF4050" w14:textId="77777777" w:rsidR="001964E0" w:rsidRPr="001964E0" w:rsidRDefault="001964E0" w:rsidP="001964E0">
      <w:pPr>
        <w:pStyle w:val="Bibliography"/>
      </w:pPr>
      <w:r w:rsidRPr="001964E0">
        <w:t xml:space="preserve">——, and Coauthors, 2013: Progress and challenges with Warn-on-Forecast. </w:t>
      </w:r>
      <w:r w:rsidRPr="001964E0">
        <w:rPr>
          <w:i/>
          <w:iCs/>
        </w:rPr>
        <w:t>Atmospheric Research</w:t>
      </w:r>
      <w:r w:rsidRPr="001964E0">
        <w:t xml:space="preserve">, </w:t>
      </w:r>
      <w:r w:rsidRPr="001964E0">
        <w:rPr>
          <w:b/>
          <w:bCs/>
        </w:rPr>
        <w:t>123</w:t>
      </w:r>
      <w:r w:rsidRPr="001964E0">
        <w:t>, 2–16, https://doi.org/10.1016/j.atmosres.2012.04.004.</w:t>
      </w:r>
    </w:p>
    <w:p w14:paraId="221337B9" w14:textId="77777777" w:rsidR="001964E0" w:rsidRPr="001964E0" w:rsidRDefault="001964E0" w:rsidP="001964E0">
      <w:pPr>
        <w:pStyle w:val="Bibliography"/>
      </w:pPr>
      <w:r w:rsidRPr="001964E0">
        <w:t>Stratman, D. R., and K. A. Brewster, 2015: Verification of 24 May 2011 Simulated Mesocyclones Using Various Microphysics Schemes at 1-km Grid Resolution. 27th Conference On Weather Analysis And Forecasting/23rd Conference On Numerical Weather Prediction, AMS https://ams.confex.com/ams/27WAF23NWP/webprogram/Paper273795.html (Accessed March 23, 2023).</w:t>
      </w:r>
    </w:p>
    <w:p w14:paraId="564D7505" w14:textId="77777777" w:rsidR="001964E0" w:rsidRPr="001964E0" w:rsidRDefault="001964E0" w:rsidP="001964E0">
      <w:pPr>
        <w:pStyle w:val="Bibliography"/>
      </w:pPr>
      <w:r w:rsidRPr="001964E0">
        <w:t xml:space="preserve">Sun, J., 2005: Convective-scale assimilation of radar data: progress and challenges. </w:t>
      </w:r>
      <w:r w:rsidRPr="001964E0">
        <w:rPr>
          <w:i/>
          <w:iCs/>
        </w:rPr>
        <w:t>Quarterly Journal of the Royal Meteorological Society</w:t>
      </w:r>
      <w:r w:rsidRPr="001964E0">
        <w:t xml:space="preserve">, </w:t>
      </w:r>
      <w:r w:rsidRPr="001964E0">
        <w:rPr>
          <w:b/>
          <w:bCs/>
        </w:rPr>
        <w:t>131</w:t>
      </w:r>
      <w:r w:rsidRPr="001964E0">
        <w:t>, 3439–3463, https://doi.org/10.1256/qj.05.149.</w:t>
      </w:r>
    </w:p>
    <w:p w14:paraId="748F1F39" w14:textId="77777777" w:rsidR="001964E0" w:rsidRPr="001964E0" w:rsidRDefault="001964E0" w:rsidP="001964E0">
      <w:pPr>
        <w:pStyle w:val="Bibliography"/>
      </w:pPr>
      <w:r w:rsidRPr="001964E0">
        <w:lastRenderedPageBreak/>
        <w:t xml:space="preserve">——, and N. A. Crook, 1997: Dynamical and Microphysical Retrieval from Doppler Radar Observations Using a Cloud Model and Its Adjoint. Part I: Model Development and Simulated Data Experiments. </w:t>
      </w:r>
      <w:r w:rsidRPr="001964E0">
        <w:rPr>
          <w:i/>
          <w:iCs/>
        </w:rPr>
        <w:t>Journal of the Atmospheric Sciences</w:t>
      </w:r>
      <w:r w:rsidRPr="001964E0">
        <w:t xml:space="preserve">, </w:t>
      </w:r>
      <w:r w:rsidRPr="001964E0">
        <w:rPr>
          <w:b/>
          <w:bCs/>
        </w:rPr>
        <w:t>54</w:t>
      </w:r>
      <w:r w:rsidRPr="001964E0">
        <w:t>, 1642–1661, https://doi.org/10.1175/1520-0469(1997)054&lt;1642:DAMRFD&gt;2.0.CO;2.</w:t>
      </w:r>
    </w:p>
    <w:p w14:paraId="31ADC8D1" w14:textId="77777777" w:rsidR="001964E0" w:rsidRPr="001964E0" w:rsidRDefault="001964E0" w:rsidP="001964E0">
      <w:pPr>
        <w:pStyle w:val="Bibliography"/>
      </w:pPr>
      <w:r w:rsidRPr="001964E0">
        <w:t xml:space="preserve">——, and ——, 1998: Dynamical and Microphysical Retrieval from Doppler Radar Observations Using a Cloud Model and Its Adjoint. Part II: Retrieval Experiments of an Observed Florida Convective Storm. </w:t>
      </w:r>
      <w:r w:rsidRPr="001964E0">
        <w:rPr>
          <w:i/>
          <w:iCs/>
        </w:rPr>
        <w:t>Journal of the Atmospheric Sciences</w:t>
      </w:r>
      <w:r w:rsidRPr="001964E0">
        <w:t xml:space="preserve">, </w:t>
      </w:r>
      <w:r w:rsidRPr="001964E0">
        <w:rPr>
          <w:b/>
          <w:bCs/>
        </w:rPr>
        <w:t>55</w:t>
      </w:r>
      <w:r w:rsidRPr="001964E0">
        <w:t>, 835–852, https://doi.org/10.1175/1520-0469(1998)055&lt;0835:DAMRFD&gt;2.0.CO;2.</w:t>
      </w:r>
    </w:p>
    <w:p w14:paraId="72FDBE2F" w14:textId="77777777" w:rsidR="001964E0" w:rsidRPr="001964E0" w:rsidRDefault="001964E0" w:rsidP="001964E0">
      <w:pPr>
        <w:pStyle w:val="Bibliography"/>
      </w:pPr>
      <w:r w:rsidRPr="001964E0">
        <w:t xml:space="preserve">——, and ——, 2001: Real-Time Low-Level Wind and Temperature Analysis Using Single WSR-88D Data. </w:t>
      </w:r>
      <w:r w:rsidRPr="001964E0">
        <w:rPr>
          <w:i/>
          <w:iCs/>
        </w:rPr>
        <w:t>Weather and Forecasting</w:t>
      </w:r>
      <w:r w:rsidRPr="001964E0">
        <w:t xml:space="preserve">, </w:t>
      </w:r>
      <w:r w:rsidRPr="001964E0">
        <w:rPr>
          <w:b/>
          <w:bCs/>
        </w:rPr>
        <w:t>16</w:t>
      </w:r>
      <w:r w:rsidRPr="001964E0">
        <w:t>, 117–132, https://doi.org/10.1175/1520-0434(2001)016&lt;0117:RTLLWA&gt;2.0.CO;2.</w:t>
      </w:r>
    </w:p>
    <w:p w14:paraId="0B75FD20" w14:textId="77777777" w:rsidR="001964E0" w:rsidRPr="001964E0" w:rsidRDefault="001964E0" w:rsidP="001964E0">
      <w:pPr>
        <w:pStyle w:val="Bibliography"/>
      </w:pPr>
      <w:r w:rsidRPr="001964E0">
        <w:t xml:space="preserve">——, H. Wang, W. Tong, Y. Zhang, C.-Y. Lin, and D. Xu, 2016: Comparison of the Impacts of Momentum Control Variables on High-Resolution Variational Data Assimilation and Precipitation Forecasting. </w:t>
      </w:r>
      <w:r w:rsidRPr="001964E0">
        <w:rPr>
          <w:i/>
          <w:iCs/>
        </w:rPr>
        <w:t>Monthly Weather Review</w:t>
      </w:r>
      <w:r w:rsidRPr="001964E0">
        <w:t xml:space="preserve">, </w:t>
      </w:r>
      <w:r w:rsidRPr="001964E0">
        <w:rPr>
          <w:b/>
          <w:bCs/>
        </w:rPr>
        <w:t>144</w:t>
      </w:r>
      <w:r w:rsidRPr="001964E0">
        <w:t>, 149–169, https://doi.org/10.1175/MWR-D-14-00205.1.</w:t>
      </w:r>
    </w:p>
    <w:p w14:paraId="487C6567" w14:textId="77777777" w:rsidR="001964E0" w:rsidRPr="001964E0" w:rsidRDefault="001964E0" w:rsidP="001964E0">
      <w:pPr>
        <w:pStyle w:val="Bibliography"/>
      </w:pPr>
      <w:r w:rsidRPr="001964E0">
        <w:t xml:space="preserve">——, Y. Zhang, J. Ban, J.-S. Hong, and C.-Y. Lin, 2020: Impact of Combined Assimilation of Radar and Rainfall Data on Short-Term Heavy Rainfall Prediction: A Case Study. </w:t>
      </w:r>
      <w:r w:rsidRPr="001964E0">
        <w:rPr>
          <w:i/>
          <w:iCs/>
        </w:rPr>
        <w:t>Monthly Weather Review</w:t>
      </w:r>
      <w:r w:rsidRPr="001964E0">
        <w:t xml:space="preserve">, </w:t>
      </w:r>
      <w:r w:rsidRPr="001964E0">
        <w:rPr>
          <w:b/>
          <w:bCs/>
        </w:rPr>
        <w:t>148</w:t>
      </w:r>
      <w:r w:rsidRPr="001964E0">
        <w:t>, 2211–2232, https://doi.org/10.1175/MWR-D-19-0337.1.</w:t>
      </w:r>
    </w:p>
    <w:p w14:paraId="674B03C5" w14:textId="77777777" w:rsidR="001964E0" w:rsidRPr="001964E0" w:rsidRDefault="001964E0" w:rsidP="001964E0">
      <w:pPr>
        <w:pStyle w:val="Bibliography"/>
      </w:pPr>
      <w:r w:rsidRPr="001964E0">
        <w:t xml:space="preserve">Thompson, G., P. R. Field, R. M. Rasmussen, and W. D. Hall, 2008: Explicit Forecasts of Winter Precipitation Using an Improved Bulk Microphysics Scheme. Part II: Implementation of a New Snow Parameterization. </w:t>
      </w:r>
      <w:r w:rsidRPr="001964E0">
        <w:rPr>
          <w:i/>
          <w:iCs/>
        </w:rPr>
        <w:t>Monthly Weather Review</w:t>
      </w:r>
      <w:r w:rsidRPr="001964E0">
        <w:t xml:space="preserve">, </w:t>
      </w:r>
      <w:r w:rsidRPr="001964E0">
        <w:rPr>
          <w:b/>
          <w:bCs/>
        </w:rPr>
        <w:t>136</w:t>
      </w:r>
      <w:r w:rsidRPr="001964E0">
        <w:t>, 5095–5115, https://doi.org/10.1175/2008MWR2387.1.</w:t>
      </w:r>
    </w:p>
    <w:p w14:paraId="43DC9739" w14:textId="77777777" w:rsidR="001964E0" w:rsidRPr="001964E0" w:rsidRDefault="001964E0" w:rsidP="001964E0">
      <w:pPr>
        <w:pStyle w:val="Bibliography"/>
      </w:pPr>
      <w:r w:rsidRPr="001964E0">
        <w:t xml:space="preserve">Tong, M., and M. Xue, 2005: Ensemble Kalman Filter Assimilation of Doppler Radar Data with a Compressible Nonhydrostatic Model: OSS Experiments. </w:t>
      </w:r>
      <w:r w:rsidRPr="001964E0">
        <w:rPr>
          <w:i/>
          <w:iCs/>
        </w:rPr>
        <w:t>Monthly Weather Review</w:t>
      </w:r>
      <w:r w:rsidRPr="001964E0">
        <w:t xml:space="preserve">, </w:t>
      </w:r>
      <w:r w:rsidRPr="001964E0">
        <w:rPr>
          <w:b/>
          <w:bCs/>
        </w:rPr>
        <w:t>133</w:t>
      </w:r>
      <w:r w:rsidRPr="001964E0">
        <w:t>, 1789–1807, https://doi.org/10.1175/MWR2898.1.</w:t>
      </w:r>
    </w:p>
    <w:p w14:paraId="00A24CD0" w14:textId="77777777" w:rsidR="001964E0" w:rsidRPr="001964E0" w:rsidRDefault="001964E0" w:rsidP="001964E0">
      <w:pPr>
        <w:pStyle w:val="Bibliography"/>
      </w:pPr>
      <w:r w:rsidRPr="001964E0">
        <w:t xml:space="preserve">Trapp, R. J., D. M. Wheatley, N. T. Atkins, R. W. Przybylinski, and R. Wolf, 2006: Buyer Beware: Some Words of Caution on the Use of Severe Wind Reports in Postevent Assessment and Research. </w:t>
      </w:r>
      <w:r w:rsidRPr="001964E0">
        <w:rPr>
          <w:i/>
          <w:iCs/>
        </w:rPr>
        <w:t>Weather and Forecasting</w:t>
      </w:r>
      <w:r w:rsidRPr="001964E0">
        <w:t xml:space="preserve">, </w:t>
      </w:r>
      <w:r w:rsidRPr="001964E0">
        <w:rPr>
          <w:b/>
          <w:bCs/>
        </w:rPr>
        <w:t>21</w:t>
      </w:r>
      <w:r w:rsidRPr="001964E0">
        <w:t>, 408–415, https://doi.org/10.1175/WAF925.1.</w:t>
      </w:r>
    </w:p>
    <w:p w14:paraId="6D6978A3" w14:textId="77777777" w:rsidR="001964E0" w:rsidRPr="001964E0" w:rsidRDefault="001964E0" w:rsidP="001964E0">
      <w:pPr>
        <w:pStyle w:val="Bibliography"/>
      </w:pPr>
      <w:r w:rsidRPr="001964E0">
        <w:t xml:space="preserve">Wang, H., J. Sun, X. Zhang, X.-Y. Huang, and T. Auligné, 2013: Radar Data Assimilation with WRF 4D-Var. Part I: System Development and Preliminary Testing. </w:t>
      </w:r>
      <w:r w:rsidRPr="001964E0">
        <w:rPr>
          <w:i/>
          <w:iCs/>
        </w:rPr>
        <w:t>Monthly Weather Review</w:t>
      </w:r>
      <w:r w:rsidRPr="001964E0">
        <w:t xml:space="preserve">, </w:t>
      </w:r>
      <w:r w:rsidRPr="001964E0">
        <w:rPr>
          <w:b/>
          <w:bCs/>
        </w:rPr>
        <w:t>141</w:t>
      </w:r>
      <w:r w:rsidRPr="001964E0">
        <w:t>, 2224–2244, https://doi.org/10.1175/MWR-D-12-00168.1.</w:t>
      </w:r>
    </w:p>
    <w:p w14:paraId="02460473" w14:textId="77777777" w:rsidR="001964E0" w:rsidRPr="001964E0" w:rsidRDefault="001964E0" w:rsidP="001964E0">
      <w:pPr>
        <w:pStyle w:val="Bibliography"/>
      </w:pPr>
      <w:r w:rsidRPr="001964E0">
        <w:t xml:space="preserve">Wang, P., J. Li, B. Lu, T. J. Schmit, J. Lu, Y.-K. Lee, J. Li, and Z. Liu, 2018: Impact of Moisture Information From Advanced Himawari Imager Measurements on Heavy Precipitation Forecasts in a Regional NWP Model. </w:t>
      </w:r>
      <w:r w:rsidRPr="001964E0">
        <w:rPr>
          <w:i/>
          <w:iCs/>
        </w:rPr>
        <w:t>Journal of Geophysical Research: Atmospheres</w:t>
      </w:r>
      <w:r w:rsidRPr="001964E0">
        <w:t xml:space="preserve">, </w:t>
      </w:r>
      <w:r w:rsidRPr="001964E0">
        <w:rPr>
          <w:b/>
          <w:bCs/>
        </w:rPr>
        <w:t>123</w:t>
      </w:r>
      <w:r w:rsidRPr="001964E0">
        <w:t>, 6022–6038, https://doi.org/10.1029/2017JD028012.</w:t>
      </w:r>
    </w:p>
    <w:p w14:paraId="532558C3" w14:textId="77777777" w:rsidR="001964E0" w:rsidRPr="001964E0" w:rsidRDefault="001964E0" w:rsidP="001964E0">
      <w:pPr>
        <w:pStyle w:val="Bibliography"/>
      </w:pPr>
      <w:r w:rsidRPr="001964E0">
        <w:lastRenderedPageBreak/>
        <w:t xml:space="preserve">Wang, X., C. Snyder, and T. M. Hamill, 2007: On the Theoretical Equivalence of Differently Proposed Ensemble–3DVAR Hybrid Analysis Schemes. </w:t>
      </w:r>
      <w:r w:rsidRPr="001964E0">
        <w:rPr>
          <w:i/>
          <w:iCs/>
        </w:rPr>
        <w:t>Monthly Weather Review</w:t>
      </w:r>
      <w:r w:rsidRPr="001964E0">
        <w:t xml:space="preserve">, </w:t>
      </w:r>
      <w:r w:rsidRPr="001964E0">
        <w:rPr>
          <w:b/>
          <w:bCs/>
        </w:rPr>
        <w:t>135</w:t>
      </w:r>
      <w:r w:rsidRPr="001964E0">
        <w:t>, 222–227, https://doi.org/10.1175/MWR3282.1.</w:t>
      </w:r>
    </w:p>
    <w:p w14:paraId="5ACB1864" w14:textId="77777777" w:rsidR="001964E0" w:rsidRPr="001964E0" w:rsidRDefault="001964E0" w:rsidP="001964E0">
      <w:pPr>
        <w:pStyle w:val="Bibliography"/>
      </w:pPr>
      <w:r w:rsidRPr="001964E0">
        <w:t xml:space="preserve">——, D. M. Barker, C. Snyder, and T. M. Hamill, 2008a: A Hybrid ETKF–3DVAR Data Assimilation Scheme for the WRF Model. Part I: Observing System Simulation Experiment. </w:t>
      </w:r>
      <w:r w:rsidRPr="001964E0">
        <w:rPr>
          <w:i/>
          <w:iCs/>
        </w:rPr>
        <w:t>Monthly Weather Review</w:t>
      </w:r>
      <w:r w:rsidRPr="001964E0">
        <w:t xml:space="preserve">, </w:t>
      </w:r>
      <w:r w:rsidRPr="001964E0">
        <w:rPr>
          <w:b/>
          <w:bCs/>
        </w:rPr>
        <w:t>136</w:t>
      </w:r>
      <w:r w:rsidRPr="001964E0">
        <w:t>, 5116–5131, https://doi.org/10.1175/2008MWR2444.1.</w:t>
      </w:r>
    </w:p>
    <w:p w14:paraId="3C73A638" w14:textId="77777777" w:rsidR="001964E0" w:rsidRPr="001964E0" w:rsidRDefault="001964E0" w:rsidP="001964E0">
      <w:pPr>
        <w:pStyle w:val="Bibliography"/>
      </w:pPr>
      <w:r w:rsidRPr="001964E0">
        <w:t xml:space="preserve">——, ——, ——, and ——, 2008b: A Hybrid ETKF–3DVAR Data Assimilation Scheme for the WRF Model. Part II: Real Observation Experiments. </w:t>
      </w:r>
      <w:r w:rsidRPr="001964E0">
        <w:rPr>
          <w:i/>
          <w:iCs/>
        </w:rPr>
        <w:t>Monthly Weather Review</w:t>
      </w:r>
      <w:r w:rsidRPr="001964E0">
        <w:t xml:space="preserve">, </w:t>
      </w:r>
      <w:r w:rsidRPr="001964E0">
        <w:rPr>
          <w:b/>
          <w:bCs/>
        </w:rPr>
        <w:t>136</w:t>
      </w:r>
      <w:r w:rsidRPr="001964E0">
        <w:t>, 5132–5147, https://doi.org/10.1175/2008MWR2445.1.</w:t>
      </w:r>
    </w:p>
    <w:p w14:paraId="3BBC8FC8" w14:textId="77777777" w:rsidR="001964E0" w:rsidRPr="001964E0" w:rsidRDefault="001964E0" w:rsidP="001964E0">
      <w:pPr>
        <w:pStyle w:val="Bibliography"/>
      </w:pPr>
      <w:r w:rsidRPr="001964E0">
        <w:t xml:space="preserve">——, T. M. Hamill, J. S. Whitaker, and C. H. Bishop, 2009: A Comparison of the Hybrid and EnSRF Analysis Schemes in the Presence of Model Errors due to Unresolved Scales. </w:t>
      </w:r>
      <w:r w:rsidRPr="001964E0">
        <w:rPr>
          <w:i/>
          <w:iCs/>
        </w:rPr>
        <w:t>Monthly Weather Review</w:t>
      </w:r>
      <w:r w:rsidRPr="001964E0">
        <w:t xml:space="preserve">, </w:t>
      </w:r>
      <w:r w:rsidRPr="001964E0">
        <w:rPr>
          <w:b/>
          <w:bCs/>
        </w:rPr>
        <w:t>137</w:t>
      </w:r>
      <w:r w:rsidRPr="001964E0">
        <w:t>, 3219–3232, https://doi.org/10.1175/2009MWR2923.1.</w:t>
      </w:r>
    </w:p>
    <w:p w14:paraId="4BE4B28A" w14:textId="77777777" w:rsidR="001964E0" w:rsidRPr="001964E0" w:rsidRDefault="001964E0" w:rsidP="001964E0">
      <w:pPr>
        <w:pStyle w:val="Bibliography"/>
      </w:pPr>
      <w:r w:rsidRPr="001964E0">
        <w:t xml:space="preserve">Wang, Y., and X. Wang, 2017: Direct Assimilation of Radar Reflectivity without Tangent Linear and Adjoint of the Nonlinear Observation Operator in the GSI-Based EnVar System: Methodology and Experiment with the 8 May 2003 Oklahoma City Tornadic Supercell. </w:t>
      </w:r>
      <w:r w:rsidRPr="001964E0">
        <w:rPr>
          <w:i/>
          <w:iCs/>
        </w:rPr>
        <w:t>Monthly Weather Review</w:t>
      </w:r>
      <w:r w:rsidRPr="001964E0">
        <w:t xml:space="preserve">, </w:t>
      </w:r>
      <w:r w:rsidRPr="001964E0">
        <w:rPr>
          <w:b/>
          <w:bCs/>
        </w:rPr>
        <w:t>145</w:t>
      </w:r>
      <w:r w:rsidRPr="001964E0">
        <w:t>, 1447–1471, https://doi.org/10.1175/MWR-D-16-0231.1.</w:t>
      </w:r>
    </w:p>
    <w:p w14:paraId="1FA22B88" w14:textId="77777777" w:rsidR="001964E0" w:rsidRPr="001964E0" w:rsidRDefault="001964E0" w:rsidP="001964E0">
      <w:pPr>
        <w:pStyle w:val="Bibliography"/>
      </w:pPr>
      <w:r w:rsidRPr="001964E0">
        <w:t xml:space="preserve">——, and ——, 2021: Development of Convective-Scale Static Background Error Covariance within GSI-Based Hybrid EnVar System for Direct Radar Reflectivity Data Assimilation. </w:t>
      </w:r>
      <w:r w:rsidRPr="001964E0">
        <w:rPr>
          <w:i/>
          <w:iCs/>
        </w:rPr>
        <w:t>Monthly Weather Review</w:t>
      </w:r>
      <w:r w:rsidRPr="001964E0">
        <w:t xml:space="preserve">, </w:t>
      </w:r>
      <w:r w:rsidRPr="001964E0">
        <w:rPr>
          <w:b/>
          <w:bCs/>
        </w:rPr>
        <w:t>149</w:t>
      </w:r>
      <w:r w:rsidRPr="001964E0">
        <w:t>, 2713–2736, https://doi.org/10.1175/MWR-D-20-0215.1.</w:t>
      </w:r>
    </w:p>
    <w:p w14:paraId="2B6CBA41" w14:textId="77777777" w:rsidR="001964E0" w:rsidRPr="001964E0" w:rsidRDefault="001964E0" w:rsidP="001964E0">
      <w:pPr>
        <w:pStyle w:val="Bibliography"/>
      </w:pPr>
      <w:r w:rsidRPr="001964E0">
        <w:t xml:space="preserve">Wang, Y., J. Gao, P. S. Skinner, K. Knopfmeier, T. Jones, G. Creager, P. L. Heiselman, and L. J. Wicker, 2019: Test of a Weather-Adaptive Dual-Resolution Hybrid Warn-on-Forecast Analysis and Forecast System for Several Severe Weather Events. </w:t>
      </w:r>
      <w:r w:rsidRPr="001964E0">
        <w:rPr>
          <w:i/>
          <w:iCs/>
        </w:rPr>
        <w:t>Weather and Forecasting</w:t>
      </w:r>
      <w:r w:rsidRPr="001964E0">
        <w:t xml:space="preserve">, </w:t>
      </w:r>
      <w:r w:rsidRPr="001964E0">
        <w:rPr>
          <w:b/>
          <w:bCs/>
        </w:rPr>
        <w:t>34</w:t>
      </w:r>
      <w:r w:rsidRPr="001964E0">
        <w:t>, 1807–1827, https://doi.org/10.1175/WAF-D-19-0071.1.</w:t>
      </w:r>
    </w:p>
    <w:p w14:paraId="05320BC9" w14:textId="77777777" w:rsidR="001964E0" w:rsidRPr="001964E0" w:rsidRDefault="001964E0" w:rsidP="001964E0">
      <w:pPr>
        <w:pStyle w:val="Bibliography"/>
      </w:pPr>
      <w:r w:rsidRPr="001964E0">
        <w:t xml:space="preserve">Wattrelot, E., O. Caumont, and J.-F. Mahfouf, 2014: Operational Implementation of the 1D+3D-Var Assimilation Method of Radar Reflectivity Data in the AROME Model. </w:t>
      </w:r>
      <w:r w:rsidRPr="001964E0">
        <w:rPr>
          <w:i/>
          <w:iCs/>
        </w:rPr>
        <w:t>Monthly Weather Review</w:t>
      </w:r>
      <w:r w:rsidRPr="001964E0">
        <w:t xml:space="preserve">, </w:t>
      </w:r>
      <w:r w:rsidRPr="001964E0">
        <w:rPr>
          <w:b/>
          <w:bCs/>
        </w:rPr>
        <w:t>142</w:t>
      </w:r>
      <w:r w:rsidRPr="001964E0">
        <w:t>, 1852–1873, https://doi.org/10.1175/MWR-D-13-00230.1.</w:t>
      </w:r>
    </w:p>
    <w:p w14:paraId="6BFACC06" w14:textId="77777777" w:rsidR="001964E0" w:rsidRPr="001964E0" w:rsidRDefault="001964E0" w:rsidP="001964E0">
      <w:pPr>
        <w:pStyle w:val="Bibliography"/>
      </w:pPr>
      <w:r w:rsidRPr="001964E0">
        <w:t xml:space="preserve">Weisman, M. L., and J. B. Klemp, 1982: The Dependence of Numerically Simulated Convective Storms on Vertical Wind Shear and Buoyancy. </w:t>
      </w:r>
      <w:r w:rsidRPr="001964E0">
        <w:rPr>
          <w:i/>
          <w:iCs/>
        </w:rPr>
        <w:t>Monthly Weather Review</w:t>
      </w:r>
      <w:r w:rsidRPr="001964E0">
        <w:t xml:space="preserve">, </w:t>
      </w:r>
      <w:r w:rsidRPr="001964E0">
        <w:rPr>
          <w:b/>
          <w:bCs/>
        </w:rPr>
        <w:t>110</w:t>
      </w:r>
      <w:r w:rsidRPr="001964E0">
        <w:t>, 504–520, https://doi.org/10.1175/1520-0493(1982)110&lt;0504:TDONSC&gt;2.0.CO;2.</w:t>
      </w:r>
    </w:p>
    <w:p w14:paraId="0F71F041" w14:textId="77777777" w:rsidR="001964E0" w:rsidRPr="001964E0" w:rsidRDefault="001964E0" w:rsidP="001964E0">
      <w:pPr>
        <w:pStyle w:val="Bibliography"/>
      </w:pPr>
      <w:r w:rsidRPr="001964E0">
        <w:t xml:space="preserve">Wheatley, D. M., N. Yussouf, and D. J. Stensrud, 2014: Ensemble Kalman Filter Analyses and Forecasts of a Severe Mesoscale Convective System Using Different Choices of Microphysics Schemes. </w:t>
      </w:r>
      <w:r w:rsidRPr="001964E0">
        <w:rPr>
          <w:i/>
          <w:iCs/>
        </w:rPr>
        <w:t>Monthly Weather Review</w:t>
      </w:r>
      <w:r w:rsidRPr="001964E0">
        <w:t xml:space="preserve">, </w:t>
      </w:r>
      <w:r w:rsidRPr="001964E0">
        <w:rPr>
          <w:b/>
          <w:bCs/>
        </w:rPr>
        <w:t>142</w:t>
      </w:r>
      <w:r w:rsidRPr="001964E0">
        <w:t>, 3243–3263, https://doi.org/10.1175/MWR-D-13-00260.1.</w:t>
      </w:r>
    </w:p>
    <w:p w14:paraId="211A9AA6" w14:textId="77777777" w:rsidR="001964E0" w:rsidRPr="001964E0" w:rsidRDefault="001964E0" w:rsidP="001964E0">
      <w:pPr>
        <w:pStyle w:val="Bibliography"/>
      </w:pPr>
      <w:r w:rsidRPr="001964E0">
        <w:t xml:space="preserve">——, K. H. Knopfmeier, T. A. Jones, and G. J. Creager, 2015: Storm-Scale Data Assimilation and Ensemble Forecasting with the NSSL Experimental Warn-on-Forecast System. Part I: Radar Data Experiments. </w:t>
      </w:r>
      <w:r w:rsidRPr="001964E0">
        <w:rPr>
          <w:i/>
          <w:iCs/>
        </w:rPr>
        <w:t>Weather and Forecasting</w:t>
      </w:r>
      <w:r w:rsidRPr="001964E0">
        <w:t xml:space="preserve">, </w:t>
      </w:r>
      <w:r w:rsidRPr="001964E0">
        <w:rPr>
          <w:b/>
          <w:bCs/>
        </w:rPr>
        <w:t>30</w:t>
      </w:r>
      <w:r w:rsidRPr="001964E0">
        <w:t>, 1795–1817, https://doi.org/10.1175/WAF-D-15-0043.1.</w:t>
      </w:r>
    </w:p>
    <w:p w14:paraId="14AB8C27" w14:textId="77777777" w:rsidR="001964E0" w:rsidRPr="001964E0" w:rsidRDefault="001964E0" w:rsidP="001964E0">
      <w:pPr>
        <w:pStyle w:val="Bibliography"/>
      </w:pPr>
      <w:r w:rsidRPr="001964E0">
        <w:lastRenderedPageBreak/>
        <w:t xml:space="preserve">Whitaker, J. S., and T. M. Hamill, 2002: Ensemble Data Assimilation without Perturbed Observations. </w:t>
      </w:r>
      <w:r w:rsidRPr="001964E0">
        <w:rPr>
          <w:i/>
          <w:iCs/>
        </w:rPr>
        <w:t>Monthly Weather Review</w:t>
      </w:r>
      <w:r w:rsidRPr="001964E0">
        <w:t xml:space="preserve">, </w:t>
      </w:r>
      <w:r w:rsidRPr="001964E0">
        <w:rPr>
          <w:b/>
          <w:bCs/>
        </w:rPr>
        <w:t>130</w:t>
      </w:r>
      <w:r w:rsidRPr="001964E0">
        <w:t>, 1913–1924, https://doi.org/10.1175/1520-0493(2002)130&lt;1913:EDAWPO&gt;2.0.CO;2.</w:t>
      </w:r>
    </w:p>
    <w:p w14:paraId="142C7057" w14:textId="77777777" w:rsidR="001964E0" w:rsidRPr="001964E0" w:rsidRDefault="001964E0" w:rsidP="001964E0">
      <w:pPr>
        <w:pStyle w:val="Bibliography"/>
      </w:pPr>
      <w:r w:rsidRPr="001964E0">
        <w:t xml:space="preserve">Wilson, K. A., and Coauthors, 2019: Exploring Applications of Storm-Scale Probabilistic Warn-on-Forecast Guidance in Weather Forecasting. </w:t>
      </w:r>
      <w:r w:rsidRPr="001964E0">
        <w:rPr>
          <w:i/>
          <w:iCs/>
        </w:rPr>
        <w:t>Virtual, Augmented and Mixed Reality. Applications and Case Studies</w:t>
      </w:r>
      <w:r w:rsidRPr="001964E0">
        <w:t xml:space="preserve">, J.Y.C. Chen and G. Fragomeni, Eds., </w:t>
      </w:r>
      <w:r w:rsidRPr="001964E0">
        <w:rPr>
          <w:i/>
          <w:iCs/>
        </w:rPr>
        <w:t>Lecture Notes in Computer Science</w:t>
      </w:r>
      <w:r w:rsidRPr="001964E0">
        <w:t>, Cham, Springer International Publishing, 557–572.</w:t>
      </w:r>
    </w:p>
    <w:p w14:paraId="07DE679D" w14:textId="77777777" w:rsidR="001964E0" w:rsidRPr="001964E0" w:rsidRDefault="001964E0" w:rsidP="001964E0">
      <w:pPr>
        <w:pStyle w:val="Bibliography"/>
      </w:pPr>
      <w:r w:rsidRPr="001964E0">
        <w:t xml:space="preserve">Xiao, Q., and J. Sun, 2007: Multiple-Radar Data Assimilation and Short-Range Quantitative Precipitation Forecasting of a Squall Line Observed during IHOP_2002. </w:t>
      </w:r>
      <w:r w:rsidRPr="001964E0">
        <w:rPr>
          <w:i/>
          <w:iCs/>
        </w:rPr>
        <w:t>Monthly Weather Review</w:t>
      </w:r>
      <w:r w:rsidRPr="001964E0">
        <w:t xml:space="preserve">, </w:t>
      </w:r>
      <w:r w:rsidRPr="001964E0">
        <w:rPr>
          <w:b/>
          <w:bCs/>
        </w:rPr>
        <w:t>135</w:t>
      </w:r>
      <w:r w:rsidRPr="001964E0">
        <w:t>, 3381–3404, https://doi.org/10.1175/MWR3471.1.</w:t>
      </w:r>
    </w:p>
    <w:p w14:paraId="7A39B9BD" w14:textId="77777777" w:rsidR="001964E0" w:rsidRPr="001964E0" w:rsidRDefault="001964E0" w:rsidP="001964E0">
      <w:pPr>
        <w:pStyle w:val="Bibliography"/>
      </w:pPr>
      <w:r w:rsidRPr="001964E0">
        <w:t xml:space="preserve">——, Y.-H. Kuo, J. Sun, W.-C. Lee, E. Lim, Y.-R. Guo, and D. M. Barker, 2005: Assimilation of Doppler Radar Observations with a Regional 3DVAR System: Impact of Doppler Velocities on Forecasts of a Heavy Rainfall Case. </w:t>
      </w:r>
      <w:r w:rsidRPr="001964E0">
        <w:rPr>
          <w:i/>
          <w:iCs/>
        </w:rPr>
        <w:t>Journal of Applied Meteorology and Climatology</w:t>
      </w:r>
      <w:r w:rsidRPr="001964E0">
        <w:t xml:space="preserve">, </w:t>
      </w:r>
      <w:r w:rsidRPr="001964E0">
        <w:rPr>
          <w:b/>
          <w:bCs/>
        </w:rPr>
        <w:t>44</w:t>
      </w:r>
      <w:r w:rsidRPr="001964E0">
        <w:t>, 768–788, https://doi.org/10.1175/JAM2248.1.</w:t>
      </w:r>
    </w:p>
    <w:p w14:paraId="13978159" w14:textId="77777777" w:rsidR="001964E0" w:rsidRPr="001964E0" w:rsidRDefault="001964E0" w:rsidP="001964E0">
      <w:pPr>
        <w:pStyle w:val="Bibliography"/>
      </w:pPr>
      <w:r w:rsidRPr="001964E0">
        <w:t xml:space="preserve">Xue, M., K. K. Droegemeier, and V. Wong, 2000: The Advanced Regional Prediction System (ARPS) – A multi-scale nonhydrostatic atmospheric simulation and prediction model. Part I: Model dynamics and verification. </w:t>
      </w:r>
      <w:r w:rsidRPr="001964E0">
        <w:rPr>
          <w:i/>
          <w:iCs/>
        </w:rPr>
        <w:t>Meteorol Atmos Phys</w:t>
      </w:r>
      <w:r w:rsidRPr="001964E0">
        <w:t xml:space="preserve">, </w:t>
      </w:r>
      <w:r w:rsidRPr="001964E0">
        <w:rPr>
          <w:b/>
          <w:bCs/>
        </w:rPr>
        <w:t>75</w:t>
      </w:r>
      <w:r w:rsidRPr="001964E0">
        <w:t>, 161–193, https://doi.org/10.1007/s007030070003.</w:t>
      </w:r>
    </w:p>
    <w:p w14:paraId="3649E636" w14:textId="77777777" w:rsidR="001964E0" w:rsidRPr="001964E0" w:rsidRDefault="001964E0" w:rsidP="001964E0">
      <w:pPr>
        <w:pStyle w:val="Bibliography"/>
      </w:pPr>
      <w:r w:rsidRPr="001964E0">
        <w:t xml:space="preserve">——, and Coauthors, 2001: The Advanced Regional Prediction System (ARPS) – A multi-scale nonhydrostatic atmospheric simulation and prediction tool. Part II: Model physics and applications. </w:t>
      </w:r>
      <w:r w:rsidRPr="001964E0">
        <w:rPr>
          <w:i/>
          <w:iCs/>
        </w:rPr>
        <w:t>Meteorol Atmos Phys</w:t>
      </w:r>
      <w:r w:rsidRPr="001964E0">
        <w:t xml:space="preserve">, </w:t>
      </w:r>
      <w:r w:rsidRPr="001964E0">
        <w:rPr>
          <w:b/>
          <w:bCs/>
        </w:rPr>
        <w:t>76</w:t>
      </w:r>
      <w:r w:rsidRPr="001964E0">
        <w:t>, 143–165, https://doi.org/10.1007/s007030170027.</w:t>
      </w:r>
    </w:p>
    <w:p w14:paraId="4C1165E8" w14:textId="77777777" w:rsidR="001964E0" w:rsidRPr="001964E0" w:rsidRDefault="001964E0" w:rsidP="001964E0">
      <w:pPr>
        <w:pStyle w:val="Bibliography"/>
      </w:pPr>
      <w:r w:rsidRPr="001964E0">
        <w:t xml:space="preserve">Yussouf, N., and D. J. Stensrud, 2010: Impact of Phased-Array Radar Observations over a Short Assimilation Period: Observing System Simulation Experiments Using an Ensemble Kalman Filter. </w:t>
      </w:r>
      <w:r w:rsidRPr="001964E0">
        <w:rPr>
          <w:i/>
          <w:iCs/>
        </w:rPr>
        <w:t>Monthly Weather Review</w:t>
      </w:r>
      <w:r w:rsidRPr="001964E0">
        <w:t xml:space="preserve">, </w:t>
      </w:r>
      <w:r w:rsidRPr="001964E0">
        <w:rPr>
          <w:b/>
          <w:bCs/>
        </w:rPr>
        <w:t>138</w:t>
      </w:r>
      <w:r w:rsidRPr="001964E0">
        <w:t>, 517–538, https://doi.org/10.1175/2009MWR2925.1.</w:t>
      </w:r>
    </w:p>
    <w:p w14:paraId="527F4946" w14:textId="77777777" w:rsidR="001964E0" w:rsidRPr="001964E0" w:rsidRDefault="001964E0" w:rsidP="001964E0">
      <w:pPr>
        <w:pStyle w:val="Bibliography"/>
      </w:pPr>
      <w:r w:rsidRPr="001964E0">
        <w:t xml:space="preserve">——, and K. H. Knopfmeier, 2019: Application of the Warn-on-Forecast system for flash-flood-producing heavy convective rainfall events. </w:t>
      </w:r>
      <w:r w:rsidRPr="001964E0">
        <w:rPr>
          <w:i/>
          <w:iCs/>
        </w:rPr>
        <w:t>Quarterly Journal of the Royal Meteorological Society</w:t>
      </w:r>
      <w:r w:rsidRPr="001964E0">
        <w:t xml:space="preserve">, </w:t>
      </w:r>
      <w:r w:rsidRPr="001964E0">
        <w:rPr>
          <w:b/>
          <w:bCs/>
        </w:rPr>
        <w:t>145</w:t>
      </w:r>
      <w:r w:rsidRPr="001964E0">
        <w:t>, 2385–2403, https://doi.org/10.1002/qj.3568.</w:t>
      </w:r>
    </w:p>
    <w:p w14:paraId="782AF405" w14:textId="77777777" w:rsidR="001964E0" w:rsidRPr="001964E0" w:rsidRDefault="001964E0" w:rsidP="001964E0">
      <w:pPr>
        <w:pStyle w:val="Bibliography"/>
      </w:pPr>
      <w:r w:rsidRPr="001964E0">
        <w:t xml:space="preserve">——, T. A. Jones, and P. S. Skinner, 2020a: Probabilistic high-impact rainfall forecasts from landfalling tropical cyclones using Warn-on-Forecast system. </w:t>
      </w:r>
      <w:r w:rsidRPr="001964E0">
        <w:rPr>
          <w:i/>
          <w:iCs/>
        </w:rPr>
        <w:t>Quarterly Journal of the Royal Meteorological Society</w:t>
      </w:r>
      <w:r w:rsidRPr="001964E0">
        <w:t xml:space="preserve">, </w:t>
      </w:r>
      <w:r w:rsidRPr="001964E0">
        <w:rPr>
          <w:b/>
          <w:bCs/>
        </w:rPr>
        <w:t>146</w:t>
      </w:r>
      <w:r w:rsidRPr="001964E0">
        <w:t>, 2050–2065, https://doi.org/10.1002/qj.3779.</w:t>
      </w:r>
    </w:p>
    <w:p w14:paraId="22E04BBE" w14:textId="77777777" w:rsidR="001964E0" w:rsidRPr="001964E0" w:rsidRDefault="001964E0" w:rsidP="001964E0">
      <w:pPr>
        <w:pStyle w:val="Bibliography"/>
      </w:pPr>
      <w:r w:rsidRPr="001964E0">
        <w:t xml:space="preserve">——, K. A. Wilson, S. M. Martinaitis, H. Vergara, P. L. Heinselman, and J. J. Gourley, 2020b: The Coupling of NSSL Warn-on-Forecast and FLASH Systems for Probabilistic Flash Flood Prediction. </w:t>
      </w:r>
      <w:r w:rsidRPr="001964E0">
        <w:rPr>
          <w:i/>
          <w:iCs/>
        </w:rPr>
        <w:t>Journal of Hydrometeorology</w:t>
      </w:r>
      <w:r w:rsidRPr="001964E0">
        <w:t xml:space="preserve">, </w:t>
      </w:r>
      <w:r w:rsidRPr="001964E0">
        <w:rPr>
          <w:b/>
          <w:bCs/>
        </w:rPr>
        <w:t>21</w:t>
      </w:r>
      <w:r w:rsidRPr="001964E0">
        <w:t>, 123–141, https://doi.org/10.1175/JHM-D-19-0131.1.</w:t>
      </w:r>
    </w:p>
    <w:p w14:paraId="11C68F78" w14:textId="77777777" w:rsidR="001964E0" w:rsidRPr="001964E0" w:rsidRDefault="001964E0" w:rsidP="001964E0">
      <w:pPr>
        <w:pStyle w:val="Bibliography"/>
      </w:pPr>
      <w:r w:rsidRPr="001964E0">
        <w:t xml:space="preserve">Zhang, F., M. Minamide, R. G. Nystrom, X. Chen, S.-J. Lin, and L. M. Harris, 2019a: Improving Harvey Forecasts with Next-Generation Weather Satellites: Advanced Hurricane </w:t>
      </w:r>
      <w:r w:rsidRPr="001964E0">
        <w:lastRenderedPageBreak/>
        <w:t xml:space="preserve">Analysis and Prediction with Assimilation of GOES-R All-Sky Radiances. </w:t>
      </w:r>
      <w:r w:rsidRPr="001964E0">
        <w:rPr>
          <w:i/>
          <w:iCs/>
        </w:rPr>
        <w:t>Bulletin of the American Meteorological Society</w:t>
      </w:r>
      <w:r w:rsidRPr="001964E0">
        <w:t xml:space="preserve">, </w:t>
      </w:r>
      <w:r w:rsidRPr="001964E0">
        <w:rPr>
          <w:b/>
          <w:bCs/>
        </w:rPr>
        <w:t>100</w:t>
      </w:r>
      <w:r w:rsidRPr="001964E0">
        <w:t>, 1217–1222, https://doi.org/10.1175/BAMS-D-18-0149.1.</w:t>
      </w:r>
    </w:p>
    <w:p w14:paraId="097AA119" w14:textId="77777777" w:rsidR="001964E0" w:rsidRPr="001964E0" w:rsidRDefault="001964E0" w:rsidP="001964E0">
      <w:pPr>
        <w:pStyle w:val="Bibliography"/>
      </w:pPr>
      <w:r w:rsidRPr="001964E0">
        <w:t xml:space="preserve">Zhang, Y., F. Zhang, and D. J. Stensrud, 2018: Assimilating All-Sky Infrared Radiances from GOES-16 ABI Using an Ensemble Kalman Filter for Convection-Allowing Severe Thunderstorms Prediction. </w:t>
      </w:r>
      <w:r w:rsidRPr="001964E0">
        <w:rPr>
          <w:i/>
          <w:iCs/>
        </w:rPr>
        <w:t>Monthly Weather Review</w:t>
      </w:r>
      <w:r w:rsidRPr="001964E0">
        <w:t xml:space="preserve">, </w:t>
      </w:r>
      <w:r w:rsidRPr="001964E0">
        <w:rPr>
          <w:b/>
          <w:bCs/>
        </w:rPr>
        <w:t>146</w:t>
      </w:r>
      <w:r w:rsidRPr="001964E0">
        <w:t>, 3363–3381, https://doi.org/10.1175/MWR-D-18-0062.1.</w:t>
      </w:r>
    </w:p>
    <w:p w14:paraId="4082FFE4" w14:textId="77777777" w:rsidR="001964E0" w:rsidRPr="001964E0" w:rsidRDefault="001964E0" w:rsidP="001964E0">
      <w:pPr>
        <w:pStyle w:val="Bibliography"/>
      </w:pPr>
      <w:r w:rsidRPr="001964E0">
        <w:t xml:space="preserve">——, D. J. Stensrud, and F. Zhang, 2019b: Simultaneous Assimilation of Radar and All-Sky Satellite Infrared Radiance Observations for Convection-Allowing Ensemble Analysis and Prediction of Severe Thunderstorms. </w:t>
      </w:r>
      <w:r w:rsidRPr="001964E0">
        <w:rPr>
          <w:i/>
          <w:iCs/>
        </w:rPr>
        <w:t>Monthly Weather Review</w:t>
      </w:r>
      <w:r w:rsidRPr="001964E0">
        <w:t xml:space="preserve">, </w:t>
      </w:r>
      <w:r w:rsidRPr="001964E0">
        <w:rPr>
          <w:b/>
          <w:bCs/>
        </w:rPr>
        <w:t>147</w:t>
      </w:r>
      <w:r w:rsidRPr="001964E0">
        <w:t>, 4389–4409, https://doi.org/10.1175/MWR-D-19-0163.1.</w:t>
      </w:r>
    </w:p>
    <w:p w14:paraId="7C9FB66D" w14:textId="77777777" w:rsidR="001964E0" w:rsidRPr="001964E0" w:rsidRDefault="001964E0" w:rsidP="001964E0">
      <w:pPr>
        <w:pStyle w:val="Bibliography"/>
      </w:pPr>
      <w:r w:rsidRPr="001964E0">
        <w:t xml:space="preserve">Zhao, J., J. Gao, T. A. Jones, and J. Hu, 2021a: Impact of Assimilating High-Resolution Atmospheric Motion Vectors on Convective Scale Short-Term Forecasts: 1. Observing System Simulation Experiment (OSSE). </w:t>
      </w:r>
      <w:r w:rsidRPr="001964E0">
        <w:rPr>
          <w:i/>
          <w:iCs/>
        </w:rPr>
        <w:t>Journal of Advances in Modeling Earth Systems</w:t>
      </w:r>
      <w:r w:rsidRPr="001964E0">
        <w:t xml:space="preserve">, </w:t>
      </w:r>
      <w:r w:rsidRPr="001964E0">
        <w:rPr>
          <w:b/>
          <w:bCs/>
        </w:rPr>
        <w:t>13</w:t>
      </w:r>
      <w:r w:rsidRPr="001964E0">
        <w:t>, e2021MS002484, https://doi.org/10.1029/2021MS002484.</w:t>
      </w:r>
    </w:p>
    <w:p w14:paraId="16266352" w14:textId="77777777" w:rsidR="001964E0" w:rsidRPr="001964E0" w:rsidRDefault="001964E0" w:rsidP="001964E0">
      <w:pPr>
        <w:pStyle w:val="Bibliography"/>
      </w:pPr>
      <w:r w:rsidRPr="001964E0">
        <w:t xml:space="preserve">——, ——, ——, and ——, 2021b: Impact of Assimilating High-Resolution Atmospheric Motion Vectors on Convective Scale Short-Term Forecasts: 2. Assimilation Experiments of GOES-16 Satellite Derived Winds. </w:t>
      </w:r>
      <w:r w:rsidRPr="001964E0">
        <w:rPr>
          <w:i/>
          <w:iCs/>
        </w:rPr>
        <w:t>Journal of Advances in Modeling Earth Systems</w:t>
      </w:r>
      <w:r w:rsidRPr="001964E0">
        <w:t xml:space="preserve">, </w:t>
      </w:r>
      <w:r w:rsidRPr="001964E0">
        <w:rPr>
          <w:b/>
          <w:bCs/>
        </w:rPr>
        <w:t>13</w:t>
      </w:r>
      <w:r w:rsidRPr="001964E0">
        <w:t>, e2021MS002486, https://doi.org/10.1029/2021MS002486.</w:t>
      </w:r>
    </w:p>
    <w:p w14:paraId="59BCEDAB" w14:textId="77777777" w:rsidR="001964E0" w:rsidRPr="001964E0" w:rsidRDefault="001964E0" w:rsidP="001964E0">
      <w:pPr>
        <w:pStyle w:val="Bibliography"/>
      </w:pPr>
      <w:r w:rsidRPr="001964E0">
        <w:t xml:space="preserve">——, ——, T. Jones, and J. Hu, 2022: Impact of Assimilating High-Resolution Atmospheric Motion Vectors on Convective Scale Short-Term Forecasts: 3. Experiments With Radar Reflectivity and Radial Velocity. </w:t>
      </w:r>
      <w:r w:rsidRPr="001964E0">
        <w:rPr>
          <w:i/>
          <w:iCs/>
        </w:rPr>
        <w:t>Journal of Advances in Modeling Earth Systems</w:t>
      </w:r>
      <w:r w:rsidRPr="001964E0">
        <w:t xml:space="preserve">, </w:t>
      </w:r>
      <w:r w:rsidRPr="001964E0">
        <w:rPr>
          <w:b/>
          <w:bCs/>
        </w:rPr>
        <w:t>14</w:t>
      </w:r>
      <w:r w:rsidRPr="001964E0">
        <w:t>, e2022MS003246, https://doi.org/10.1029/2022MS003246.</w:t>
      </w:r>
    </w:p>
    <w:p w14:paraId="3FF6B1C2" w14:textId="77777777" w:rsidR="001964E0" w:rsidRPr="001964E0" w:rsidRDefault="001964E0" w:rsidP="001964E0">
      <w:pPr>
        <w:pStyle w:val="Bibliography"/>
      </w:pPr>
      <w:r w:rsidRPr="001964E0">
        <w:t xml:space="preserve">Zhou, X., Y. Zhu, D. Hou, Y. Luo, J. Peng, and R. Wobus, 2017: Performance of the New NCEP Global Ensemble Forecast System in a Parallel Experiment. </w:t>
      </w:r>
      <w:r w:rsidRPr="001964E0">
        <w:rPr>
          <w:i/>
          <w:iCs/>
        </w:rPr>
        <w:t>Weather and Forecasting</w:t>
      </w:r>
      <w:r w:rsidRPr="001964E0">
        <w:t xml:space="preserve">, </w:t>
      </w:r>
      <w:r w:rsidRPr="001964E0">
        <w:rPr>
          <w:b/>
          <w:bCs/>
        </w:rPr>
        <w:t>32</w:t>
      </w:r>
      <w:r w:rsidRPr="001964E0">
        <w:t>, 1989–2004, https://doi.org/10.1175/WAF-D-17-0023.1.</w:t>
      </w:r>
    </w:p>
    <w:p w14:paraId="5679A204" w14:textId="3E6DC1C0" w:rsidR="000E2359" w:rsidRPr="000E2359" w:rsidRDefault="00723F3B" w:rsidP="000E2359">
      <w:pPr>
        <w:ind w:firstLine="0"/>
      </w:pPr>
      <w:r>
        <w:fldChar w:fldCharType="end"/>
      </w:r>
    </w:p>
    <w:sectPr w:rsidR="000E2359" w:rsidRPr="000E2359" w:rsidSect="004316CB">
      <w:footerReference w:type="default" r:id="rId60"/>
      <w:footerReference w:type="first" r:id="rId6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400E7C" w14:textId="77777777" w:rsidR="001E7E71" w:rsidRDefault="001E7E71" w:rsidP="006C690B">
      <w:pPr>
        <w:spacing w:line="240" w:lineRule="auto"/>
      </w:pPr>
      <w:r>
        <w:separator/>
      </w:r>
    </w:p>
  </w:endnote>
  <w:endnote w:type="continuationSeparator" w:id="0">
    <w:p w14:paraId="070889C5" w14:textId="77777777" w:rsidR="001E7E71" w:rsidRDefault="001E7E71" w:rsidP="006C69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auto"/>
    <w:pitch w:val="variable"/>
    <w:sig w:usb0="E0002AFF" w:usb1="C0007841" w:usb2="00000009" w:usb3="00000000" w:csb0="000001FF" w:csb1="00000000"/>
  </w:font>
  <w:font w:name="Calibri (Body)">
    <w:altName w:val="Calibri"/>
    <w:charset w:val="00"/>
    <w:family w:val="roman"/>
    <w:pitch w:val="default"/>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宋体">
    <w:altName w:val="SimSun"/>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DOHCL G+ Times Ten">
    <w:altName w:val="Times New Roman"/>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微软雅黑">
    <w:altName w:val="Microsoft YaHei"/>
    <w:panose1 w:val="020B0503020204020204"/>
    <w:charset w:val="86"/>
    <w:family w:val="swiss"/>
    <w:pitch w:val="variable"/>
    <w:sig w:usb0="80000287" w:usb1="2ACF3C50" w:usb2="00000016" w:usb3="00000000" w:csb0="0004001F" w:csb1="00000000"/>
  </w:font>
  <w:font w:name="Times">
    <w:panose1 w:val="02020603050405020304"/>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5FE09" w14:textId="77777777" w:rsidR="006C690B" w:rsidRDefault="006C690B">
    <w:pPr>
      <w:pStyle w:val="Footer"/>
      <w:jc w:val="center"/>
    </w:pPr>
  </w:p>
  <w:p w14:paraId="296F72D1" w14:textId="77777777" w:rsidR="006C690B" w:rsidRDefault="006C69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7300789"/>
      <w:docPartObj>
        <w:docPartGallery w:val="Page Numbers (Bottom of Page)"/>
        <w:docPartUnique/>
      </w:docPartObj>
    </w:sdtPr>
    <w:sdtEndPr>
      <w:rPr>
        <w:noProof/>
      </w:rPr>
    </w:sdtEndPr>
    <w:sdtContent>
      <w:p w14:paraId="638D910A" w14:textId="77777777" w:rsidR="006C690B" w:rsidRDefault="006C690B">
        <w:pPr>
          <w:pStyle w:val="Footer"/>
          <w:jc w:val="center"/>
        </w:pPr>
        <w:r>
          <w:fldChar w:fldCharType="begin"/>
        </w:r>
        <w:r>
          <w:instrText xml:space="preserve"> PAGE  \* roman  \* MERGEFORMAT </w:instrText>
        </w:r>
        <w:r>
          <w:fldChar w:fldCharType="separate"/>
        </w:r>
        <w:r>
          <w:rPr>
            <w:noProof/>
          </w:rPr>
          <w:t>iv</w:t>
        </w:r>
        <w:r>
          <w:fldChar w:fldCharType="end"/>
        </w:r>
      </w:p>
    </w:sdtContent>
  </w:sdt>
  <w:p w14:paraId="4902281D" w14:textId="77777777" w:rsidR="006C690B" w:rsidRDefault="006C690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8634552"/>
      <w:docPartObj>
        <w:docPartGallery w:val="Page Numbers (Bottom of Page)"/>
        <w:docPartUnique/>
      </w:docPartObj>
    </w:sdtPr>
    <w:sdtEndPr>
      <w:rPr>
        <w:noProof/>
      </w:rPr>
    </w:sdtEndPr>
    <w:sdtContent>
      <w:p w14:paraId="41F9AFC9" w14:textId="77777777" w:rsidR="00C350DE" w:rsidRDefault="009E5F5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2D98F28" w14:textId="77777777" w:rsidR="00C350DE" w:rsidRDefault="007B297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29FD2" w14:textId="77777777" w:rsidR="00C350DE" w:rsidRDefault="007B297F" w:rsidP="004316CB">
    <w:pPr>
      <w:pStyle w:val="Footer"/>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0DD14B" w14:textId="77777777" w:rsidR="001E7E71" w:rsidRDefault="001E7E71" w:rsidP="006C690B">
      <w:pPr>
        <w:spacing w:line="240" w:lineRule="auto"/>
      </w:pPr>
      <w:r>
        <w:separator/>
      </w:r>
    </w:p>
  </w:footnote>
  <w:footnote w:type="continuationSeparator" w:id="0">
    <w:p w14:paraId="1916DA17" w14:textId="77777777" w:rsidR="001E7E71" w:rsidRDefault="001E7E71" w:rsidP="006C690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E332C3"/>
    <w:multiLevelType w:val="multilevel"/>
    <w:tmpl w:val="CA36EF96"/>
    <w:lvl w:ilvl="0">
      <w:start w:val="2"/>
      <w:numFmt w:val="decimal"/>
      <w:pStyle w:val="Heading1"/>
      <w:suff w:val="space"/>
      <w:lvlText w:val="Chapter %1"/>
      <w:lvlJc w:val="left"/>
      <w:pPr>
        <w:ind w:left="0" w:firstLine="0"/>
      </w:pPr>
      <w:rPr>
        <w:rFonts w:hint="default"/>
      </w:rPr>
    </w:lvl>
    <w:lvl w:ilvl="1">
      <w:start w:val="1"/>
      <w:numFmt w:val="decimal"/>
      <w:pStyle w:val="Heading2"/>
      <w:lvlText w:val="%1.%2"/>
      <w:lvlJc w:val="left"/>
      <w:pPr>
        <w:ind w:left="720" w:hanging="720"/>
      </w:pPr>
      <w:rPr>
        <w:rFonts w:hint="default"/>
      </w:rPr>
    </w:lvl>
    <w:lvl w:ilvl="2">
      <w:start w:val="1"/>
      <w:numFmt w:val="decimal"/>
      <w:pStyle w:val="Heading3"/>
      <w:lvlText w:val="%1.%2.%3"/>
      <w:lvlJc w:val="left"/>
      <w:pPr>
        <w:ind w:left="1170" w:hanging="720"/>
      </w:pPr>
      <w:rPr>
        <w:rFonts w:hint="default"/>
      </w:rPr>
    </w:lvl>
    <w:lvl w:ilvl="3">
      <w:start w:val="1"/>
      <w:numFmt w:val="decimal"/>
      <w:pStyle w:val="Heading4"/>
      <w:lvlText w:val="%1.%2.%3.%4"/>
      <w:lvlJc w:val="left"/>
      <w:pPr>
        <w:ind w:left="108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2E0C41A2"/>
    <w:multiLevelType w:val="multilevel"/>
    <w:tmpl w:val="2B50052A"/>
    <w:styleLink w:val="CurrentList4"/>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9C95989"/>
    <w:multiLevelType w:val="multilevel"/>
    <w:tmpl w:val="B2ACE328"/>
    <w:styleLink w:val="CurrentList1"/>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AF146D7"/>
    <w:multiLevelType w:val="multilevel"/>
    <w:tmpl w:val="9DB0EC4A"/>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4" w15:restartNumberingAfterBreak="0">
    <w:nsid w:val="60544F65"/>
    <w:multiLevelType w:val="multilevel"/>
    <w:tmpl w:val="2B50052A"/>
    <w:styleLink w:val="CurrentList3"/>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87804B8"/>
    <w:multiLevelType w:val="multilevel"/>
    <w:tmpl w:val="9DD2E956"/>
    <w:styleLink w:val="CurrentList2"/>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34631264">
    <w:abstractNumId w:val="0"/>
  </w:num>
  <w:num w:numId="2" w16cid:durableId="28994128">
    <w:abstractNumId w:val="3"/>
  </w:num>
  <w:num w:numId="3" w16cid:durableId="15787794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98106010">
    <w:abstractNumId w:val="2"/>
  </w:num>
  <w:num w:numId="5" w16cid:durableId="17395361">
    <w:abstractNumId w:val="5"/>
  </w:num>
  <w:num w:numId="6" w16cid:durableId="1801264723">
    <w:abstractNumId w:val="4"/>
  </w:num>
  <w:num w:numId="7" w16cid:durableId="430592659">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90B"/>
    <w:rsid w:val="00002826"/>
    <w:rsid w:val="0000440A"/>
    <w:rsid w:val="00004EE8"/>
    <w:rsid w:val="00020EC2"/>
    <w:rsid w:val="00025945"/>
    <w:rsid w:val="00025BE2"/>
    <w:rsid w:val="0004258C"/>
    <w:rsid w:val="000431D0"/>
    <w:rsid w:val="00043247"/>
    <w:rsid w:val="00043305"/>
    <w:rsid w:val="0004540D"/>
    <w:rsid w:val="00073B0F"/>
    <w:rsid w:val="00073B99"/>
    <w:rsid w:val="0007506B"/>
    <w:rsid w:val="0007752B"/>
    <w:rsid w:val="00084808"/>
    <w:rsid w:val="00090BF3"/>
    <w:rsid w:val="000A027A"/>
    <w:rsid w:val="000A02A6"/>
    <w:rsid w:val="000C65EE"/>
    <w:rsid w:val="000D30E9"/>
    <w:rsid w:val="000D6A74"/>
    <w:rsid w:val="000E2359"/>
    <w:rsid w:val="000E556F"/>
    <w:rsid w:val="000F3D30"/>
    <w:rsid w:val="000F798E"/>
    <w:rsid w:val="00101AEA"/>
    <w:rsid w:val="00103462"/>
    <w:rsid w:val="001109DB"/>
    <w:rsid w:val="00113543"/>
    <w:rsid w:val="00125D87"/>
    <w:rsid w:val="001367AC"/>
    <w:rsid w:val="00137D1D"/>
    <w:rsid w:val="00142D4D"/>
    <w:rsid w:val="00152FD3"/>
    <w:rsid w:val="00156B42"/>
    <w:rsid w:val="0017232F"/>
    <w:rsid w:val="0017673D"/>
    <w:rsid w:val="00186B73"/>
    <w:rsid w:val="0019070C"/>
    <w:rsid w:val="001964E0"/>
    <w:rsid w:val="001A0A75"/>
    <w:rsid w:val="001A0EEC"/>
    <w:rsid w:val="001A3D30"/>
    <w:rsid w:val="001C10F1"/>
    <w:rsid w:val="001C3393"/>
    <w:rsid w:val="001C58BC"/>
    <w:rsid w:val="001D2BFF"/>
    <w:rsid w:val="001D5815"/>
    <w:rsid w:val="001E7E71"/>
    <w:rsid w:val="0020741A"/>
    <w:rsid w:val="00210BC6"/>
    <w:rsid w:val="0021452B"/>
    <w:rsid w:val="0021509D"/>
    <w:rsid w:val="00217979"/>
    <w:rsid w:val="0022125A"/>
    <w:rsid w:val="00240036"/>
    <w:rsid w:val="00240080"/>
    <w:rsid w:val="00243A4B"/>
    <w:rsid w:val="002528B4"/>
    <w:rsid w:val="00256DD6"/>
    <w:rsid w:val="00263C79"/>
    <w:rsid w:val="00275216"/>
    <w:rsid w:val="002753AD"/>
    <w:rsid w:val="00275650"/>
    <w:rsid w:val="00276B7F"/>
    <w:rsid w:val="00277FA4"/>
    <w:rsid w:val="0028660F"/>
    <w:rsid w:val="002913B3"/>
    <w:rsid w:val="002A2660"/>
    <w:rsid w:val="002A67A7"/>
    <w:rsid w:val="002A7422"/>
    <w:rsid w:val="002A76B6"/>
    <w:rsid w:val="002B0371"/>
    <w:rsid w:val="002B3C1C"/>
    <w:rsid w:val="002C0751"/>
    <w:rsid w:val="002C0CFC"/>
    <w:rsid w:val="002C1860"/>
    <w:rsid w:val="002D514C"/>
    <w:rsid w:val="002D7320"/>
    <w:rsid w:val="002E1E76"/>
    <w:rsid w:val="002E2724"/>
    <w:rsid w:val="002E3CC1"/>
    <w:rsid w:val="002E41D6"/>
    <w:rsid w:val="0030103D"/>
    <w:rsid w:val="003112AD"/>
    <w:rsid w:val="00316F5B"/>
    <w:rsid w:val="0035106E"/>
    <w:rsid w:val="00365A50"/>
    <w:rsid w:val="0037032C"/>
    <w:rsid w:val="003713D0"/>
    <w:rsid w:val="0037234C"/>
    <w:rsid w:val="00381B37"/>
    <w:rsid w:val="00383D41"/>
    <w:rsid w:val="00385B64"/>
    <w:rsid w:val="003A1125"/>
    <w:rsid w:val="003A240A"/>
    <w:rsid w:val="003E569D"/>
    <w:rsid w:val="003F0051"/>
    <w:rsid w:val="00412920"/>
    <w:rsid w:val="00423D15"/>
    <w:rsid w:val="004271A9"/>
    <w:rsid w:val="004316CB"/>
    <w:rsid w:val="004334B0"/>
    <w:rsid w:val="004345AE"/>
    <w:rsid w:val="004440BF"/>
    <w:rsid w:val="0045081A"/>
    <w:rsid w:val="004512A7"/>
    <w:rsid w:val="00460B81"/>
    <w:rsid w:val="00461A20"/>
    <w:rsid w:val="00464487"/>
    <w:rsid w:val="00472D88"/>
    <w:rsid w:val="00476A86"/>
    <w:rsid w:val="004805BE"/>
    <w:rsid w:val="00490444"/>
    <w:rsid w:val="00492115"/>
    <w:rsid w:val="004A3B94"/>
    <w:rsid w:val="004A429C"/>
    <w:rsid w:val="004A59E2"/>
    <w:rsid w:val="004A668B"/>
    <w:rsid w:val="004A7F95"/>
    <w:rsid w:val="004B25DE"/>
    <w:rsid w:val="004C1C94"/>
    <w:rsid w:val="004D605B"/>
    <w:rsid w:val="004E2330"/>
    <w:rsid w:val="004F3876"/>
    <w:rsid w:val="00506D3C"/>
    <w:rsid w:val="0050720B"/>
    <w:rsid w:val="005222BF"/>
    <w:rsid w:val="00526E7B"/>
    <w:rsid w:val="00532C06"/>
    <w:rsid w:val="00533BAD"/>
    <w:rsid w:val="00552BB5"/>
    <w:rsid w:val="00561511"/>
    <w:rsid w:val="0056352C"/>
    <w:rsid w:val="00564C3D"/>
    <w:rsid w:val="0057279C"/>
    <w:rsid w:val="00573D25"/>
    <w:rsid w:val="00587ECC"/>
    <w:rsid w:val="0059131E"/>
    <w:rsid w:val="00594F2D"/>
    <w:rsid w:val="00597144"/>
    <w:rsid w:val="005B70D7"/>
    <w:rsid w:val="005C44F5"/>
    <w:rsid w:val="005E2FC1"/>
    <w:rsid w:val="005E6E5D"/>
    <w:rsid w:val="005E7432"/>
    <w:rsid w:val="005F0960"/>
    <w:rsid w:val="005F1423"/>
    <w:rsid w:val="005F164F"/>
    <w:rsid w:val="005F7784"/>
    <w:rsid w:val="0060394D"/>
    <w:rsid w:val="0060440E"/>
    <w:rsid w:val="006044EB"/>
    <w:rsid w:val="00604687"/>
    <w:rsid w:val="00607366"/>
    <w:rsid w:val="0061034D"/>
    <w:rsid w:val="00616187"/>
    <w:rsid w:val="00616F94"/>
    <w:rsid w:val="00624491"/>
    <w:rsid w:val="00625AE5"/>
    <w:rsid w:val="00633314"/>
    <w:rsid w:val="006503E4"/>
    <w:rsid w:val="00654C55"/>
    <w:rsid w:val="006671B5"/>
    <w:rsid w:val="00681A86"/>
    <w:rsid w:val="00682CE2"/>
    <w:rsid w:val="006A3C5C"/>
    <w:rsid w:val="006A7CB4"/>
    <w:rsid w:val="006B2377"/>
    <w:rsid w:val="006B5019"/>
    <w:rsid w:val="006C1602"/>
    <w:rsid w:val="006C3737"/>
    <w:rsid w:val="006C5463"/>
    <w:rsid w:val="006C690B"/>
    <w:rsid w:val="006C767E"/>
    <w:rsid w:val="006D079D"/>
    <w:rsid w:val="006D0DFF"/>
    <w:rsid w:val="006D5691"/>
    <w:rsid w:val="006E0137"/>
    <w:rsid w:val="006E4F25"/>
    <w:rsid w:val="006F01F3"/>
    <w:rsid w:val="006F2D2B"/>
    <w:rsid w:val="006F5EF1"/>
    <w:rsid w:val="00702A2B"/>
    <w:rsid w:val="00706543"/>
    <w:rsid w:val="00710DC3"/>
    <w:rsid w:val="007164E2"/>
    <w:rsid w:val="0071785F"/>
    <w:rsid w:val="00723F3B"/>
    <w:rsid w:val="00726A94"/>
    <w:rsid w:val="007311C0"/>
    <w:rsid w:val="007319B7"/>
    <w:rsid w:val="007325D2"/>
    <w:rsid w:val="0073579B"/>
    <w:rsid w:val="00744E1E"/>
    <w:rsid w:val="0074593E"/>
    <w:rsid w:val="00745C24"/>
    <w:rsid w:val="00754720"/>
    <w:rsid w:val="00755919"/>
    <w:rsid w:val="00764937"/>
    <w:rsid w:val="00766C12"/>
    <w:rsid w:val="007746CA"/>
    <w:rsid w:val="0077568B"/>
    <w:rsid w:val="00780F14"/>
    <w:rsid w:val="007834BC"/>
    <w:rsid w:val="00793FD8"/>
    <w:rsid w:val="007A1E46"/>
    <w:rsid w:val="007A2219"/>
    <w:rsid w:val="007A465B"/>
    <w:rsid w:val="007B297F"/>
    <w:rsid w:val="007C3F59"/>
    <w:rsid w:val="007C4FBE"/>
    <w:rsid w:val="007C645A"/>
    <w:rsid w:val="007D1C9E"/>
    <w:rsid w:val="007D284E"/>
    <w:rsid w:val="007D2959"/>
    <w:rsid w:val="007D42E9"/>
    <w:rsid w:val="007E0630"/>
    <w:rsid w:val="007E1C8B"/>
    <w:rsid w:val="007E6330"/>
    <w:rsid w:val="007F145D"/>
    <w:rsid w:val="007F311C"/>
    <w:rsid w:val="007F70B5"/>
    <w:rsid w:val="0082691C"/>
    <w:rsid w:val="00827864"/>
    <w:rsid w:val="00842329"/>
    <w:rsid w:val="00842DEA"/>
    <w:rsid w:val="00843D4E"/>
    <w:rsid w:val="00857FCC"/>
    <w:rsid w:val="008740F8"/>
    <w:rsid w:val="00881B8B"/>
    <w:rsid w:val="008917B4"/>
    <w:rsid w:val="008957FD"/>
    <w:rsid w:val="008A2ADA"/>
    <w:rsid w:val="008A5B6B"/>
    <w:rsid w:val="008B47A7"/>
    <w:rsid w:val="008C58F8"/>
    <w:rsid w:val="008D1F89"/>
    <w:rsid w:val="008E58A8"/>
    <w:rsid w:val="008E5CF2"/>
    <w:rsid w:val="0090213A"/>
    <w:rsid w:val="00903598"/>
    <w:rsid w:val="00907B95"/>
    <w:rsid w:val="0091172D"/>
    <w:rsid w:val="00911B1E"/>
    <w:rsid w:val="009123E2"/>
    <w:rsid w:val="00916E6E"/>
    <w:rsid w:val="0093219A"/>
    <w:rsid w:val="00946AF9"/>
    <w:rsid w:val="0095125A"/>
    <w:rsid w:val="009572B2"/>
    <w:rsid w:val="00957D1F"/>
    <w:rsid w:val="00961A92"/>
    <w:rsid w:val="0096291C"/>
    <w:rsid w:val="00963EDC"/>
    <w:rsid w:val="009729CF"/>
    <w:rsid w:val="00975C5A"/>
    <w:rsid w:val="009835CF"/>
    <w:rsid w:val="009A3EDD"/>
    <w:rsid w:val="009B25CE"/>
    <w:rsid w:val="009C6107"/>
    <w:rsid w:val="009C7A2D"/>
    <w:rsid w:val="009D06BA"/>
    <w:rsid w:val="009D65B5"/>
    <w:rsid w:val="009E00CF"/>
    <w:rsid w:val="009E5F52"/>
    <w:rsid w:val="009E6897"/>
    <w:rsid w:val="009F1CE3"/>
    <w:rsid w:val="009F326C"/>
    <w:rsid w:val="009F348D"/>
    <w:rsid w:val="00A008AE"/>
    <w:rsid w:val="00A04425"/>
    <w:rsid w:val="00A0627F"/>
    <w:rsid w:val="00A07C14"/>
    <w:rsid w:val="00A20643"/>
    <w:rsid w:val="00A237EC"/>
    <w:rsid w:val="00A3683E"/>
    <w:rsid w:val="00A370AE"/>
    <w:rsid w:val="00A46728"/>
    <w:rsid w:val="00A65966"/>
    <w:rsid w:val="00A832A1"/>
    <w:rsid w:val="00A853AE"/>
    <w:rsid w:val="00A91ACC"/>
    <w:rsid w:val="00A9497B"/>
    <w:rsid w:val="00A95F21"/>
    <w:rsid w:val="00AA4849"/>
    <w:rsid w:val="00AA6123"/>
    <w:rsid w:val="00AB04D8"/>
    <w:rsid w:val="00AB0D07"/>
    <w:rsid w:val="00AB57EE"/>
    <w:rsid w:val="00AC4210"/>
    <w:rsid w:val="00AD13C1"/>
    <w:rsid w:val="00AD7045"/>
    <w:rsid w:val="00AE2400"/>
    <w:rsid w:val="00AE2C4E"/>
    <w:rsid w:val="00AE58E8"/>
    <w:rsid w:val="00AF3E59"/>
    <w:rsid w:val="00AF5467"/>
    <w:rsid w:val="00B00E11"/>
    <w:rsid w:val="00B012AA"/>
    <w:rsid w:val="00B13483"/>
    <w:rsid w:val="00B13845"/>
    <w:rsid w:val="00B16CB3"/>
    <w:rsid w:val="00B3086D"/>
    <w:rsid w:val="00B471C6"/>
    <w:rsid w:val="00B47AFC"/>
    <w:rsid w:val="00B52EF0"/>
    <w:rsid w:val="00B54B9C"/>
    <w:rsid w:val="00B65AEA"/>
    <w:rsid w:val="00B71D64"/>
    <w:rsid w:val="00B73C87"/>
    <w:rsid w:val="00B75643"/>
    <w:rsid w:val="00B774DC"/>
    <w:rsid w:val="00B93325"/>
    <w:rsid w:val="00B94E5D"/>
    <w:rsid w:val="00B9611D"/>
    <w:rsid w:val="00BA19F9"/>
    <w:rsid w:val="00BB2C39"/>
    <w:rsid w:val="00BB5C89"/>
    <w:rsid w:val="00BC7F46"/>
    <w:rsid w:val="00BE0098"/>
    <w:rsid w:val="00BE5E85"/>
    <w:rsid w:val="00C001D7"/>
    <w:rsid w:val="00C15159"/>
    <w:rsid w:val="00C24943"/>
    <w:rsid w:val="00C37BF8"/>
    <w:rsid w:val="00C56B7F"/>
    <w:rsid w:val="00C63F9C"/>
    <w:rsid w:val="00C76AE0"/>
    <w:rsid w:val="00C77C87"/>
    <w:rsid w:val="00C8368F"/>
    <w:rsid w:val="00C95B08"/>
    <w:rsid w:val="00C96E3B"/>
    <w:rsid w:val="00CA370A"/>
    <w:rsid w:val="00CA44D3"/>
    <w:rsid w:val="00CB74BD"/>
    <w:rsid w:val="00CC6F52"/>
    <w:rsid w:val="00CC70A4"/>
    <w:rsid w:val="00CD15FC"/>
    <w:rsid w:val="00CD5F15"/>
    <w:rsid w:val="00CD6045"/>
    <w:rsid w:val="00CD621F"/>
    <w:rsid w:val="00CD68A9"/>
    <w:rsid w:val="00CE5AA0"/>
    <w:rsid w:val="00CF43EE"/>
    <w:rsid w:val="00D00BB0"/>
    <w:rsid w:val="00D03262"/>
    <w:rsid w:val="00D04DC3"/>
    <w:rsid w:val="00D055EF"/>
    <w:rsid w:val="00D065DA"/>
    <w:rsid w:val="00D10B08"/>
    <w:rsid w:val="00D12F56"/>
    <w:rsid w:val="00D15D44"/>
    <w:rsid w:val="00D24CBB"/>
    <w:rsid w:val="00D40ABF"/>
    <w:rsid w:val="00D4121D"/>
    <w:rsid w:val="00D5112C"/>
    <w:rsid w:val="00D51693"/>
    <w:rsid w:val="00D60A80"/>
    <w:rsid w:val="00D623DE"/>
    <w:rsid w:val="00D64B87"/>
    <w:rsid w:val="00D8617E"/>
    <w:rsid w:val="00D92996"/>
    <w:rsid w:val="00D9372F"/>
    <w:rsid w:val="00DA54EC"/>
    <w:rsid w:val="00DA57F5"/>
    <w:rsid w:val="00DB6CE6"/>
    <w:rsid w:val="00DC2D4C"/>
    <w:rsid w:val="00DC333A"/>
    <w:rsid w:val="00DC4D81"/>
    <w:rsid w:val="00DD50E5"/>
    <w:rsid w:val="00DE3826"/>
    <w:rsid w:val="00DE73FF"/>
    <w:rsid w:val="00DF5C5A"/>
    <w:rsid w:val="00E02700"/>
    <w:rsid w:val="00E13C00"/>
    <w:rsid w:val="00E24DCB"/>
    <w:rsid w:val="00E3378E"/>
    <w:rsid w:val="00E44D54"/>
    <w:rsid w:val="00E450D3"/>
    <w:rsid w:val="00E506D7"/>
    <w:rsid w:val="00E572CD"/>
    <w:rsid w:val="00E6042D"/>
    <w:rsid w:val="00E60DB7"/>
    <w:rsid w:val="00E619D3"/>
    <w:rsid w:val="00E641C4"/>
    <w:rsid w:val="00E6523E"/>
    <w:rsid w:val="00E73268"/>
    <w:rsid w:val="00E751CB"/>
    <w:rsid w:val="00E762B3"/>
    <w:rsid w:val="00E77BB5"/>
    <w:rsid w:val="00E832D4"/>
    <w:rsid w:val="00E87008"/>
    <w:rsid w:val="00E9005E"/>
    <w:rsid w:val="00E91819"/>
    <w:rsid w:val="00E973EE"/>
    <w:rsid w:val="00EA1DF0"/>
    <w:rsid w:val="00EA474F"/>
    <w:rsid w:val="00EB6941"/>
    <w:rsid w:val="00ED0CFF"/>
    <w:rsid w:val="00ED0DFA"/>
    <w:rsid w:val="00ED6964"/>
    <w:rsid w:val="00EE0630"/>
    <w:rsid w:val="00EE2ADF"/>
    <w:rsid w:val="00EE35E5"/>
    <w:rsid w:val="00EE45D9"/>
    <w:rsid w:val="00EE6A73"/>
    <w:rsid w:val="00EF201B"/>
    <w:rsid w:val="00EF6098"/>
    <w:rsid w:val="00F0040B"/>
    <w:rsid w:val="00F06785"/>
    <w:rsid w:val="00F10239"/>
    <w:rsid w:val="00F146CB"/>
    <w:rsid w:val="00F30A99"/>
    <w:rsid w:val="00F35DB8"/>
    <w:rsid w:val="00F43520"/>
    <w:rsid w:val="00F44E30"/>
    <w:rsid w:val="00F52997"/>
    <w:rsid w:val="00F529B7"/>
    <w:rsid w:val="00F535BF"/>
    <w:rsid w:val="00F57FE3"/>
    <w:rsid w:val="00F60E08"/>
    <w:rsid w:val="00F653F2"/>
    <w:rsid w:val="00F73C78"/>
    <w:rsid w:val="00F76E11"/>
    <w:rsid w:val="00F7770D"/>
    <w:rsid w:val="00F90A2D"/>
    <w:rsid w:val="00FA0C00"/>
    <w:rsid w:val="00FB5992"/>
    <w:rsid w:val="00FB59B1"/>
    <w:rsid w:val="00FC4DA0"/>
    <w:rsid w:val="00FE78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891C9"/>
  <w15:chartTrackingRefBased/>
  <w15:docId w15:val="{A3CD2320-C188-B849-B1CB-7B40D3847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1F89"/>
    <w:pPr>
      <w:spacing w:line="480" w:lineRule="auto"/>
      <w:ind w:firstLine="547"/>
      <w:jc w:val="both"/>
    </w:pPr>
    <w:rPr>
      <w:rFonts w:ascii="Times New Roman" w:hAnsi="Times New Roman"/>
      <w:szCs w:val="22"/>
    </w:rPr>
  </w:style>
  <w:style w:type="paragraph" w:styleId="Heading1">
    <w:name w:val="heading 1"/>
    <w:basedOn w:val="Normal"/>
    <w:next w:val="Normal"/>
    <w:link w:val="Heading1Char"/>
    <w:uiPriority w:val="9"/>
    <w:qFormat/>
    <w:rsid w:val="008D1F89"/>
    <w:pPr>
      <w:keepNext/>
      <w:keepLines/>
      <w:numPr>
        <w:numId w:val="1"/>
      </w:numPr>
      <w:spacing w:after="240"/>
      <w:outlineLvl w:val="0"/>
    </w:pPr>
    <w:rPr>
      <w:rFonts w:eastAsiaTheme="majorEastAsia" w:cstheme="majorBidi"/>
      <w:b/>
      <w:color w:val="000000" w:themeColor="text1"/>
      <w:szCs w:val="32"/>
    </w:rPr>
  </w:style>
  <w:style w:type="paragraph" w:styleId="Heading2">
    <w:name w:val="heading 2"/>
    <w:basedOn w:val="Normal"/>
    <w:next w:val="Normal"/>
    <w:link w:val="Heading2Char"/>
    <w:uiPriority w:val="9"/>
    <w:unhideWhenUsed/>
    <w:qFormat/>
    <w:rsid w:val="0017673D"/>
    <w:pPr>
      <w:keepNext/>
      <w:keepLines/>
      <w:numPr>
        <w:ilvl w:val="1"/>
        <w:numId w:val="1"/>
      </w:numPr>
      <w:ind w:left="0" w:firstLine="0"/>
      <w:outlineLvl w:val="1"/>
    </w:pPr>
    <w:rPr>
      <w:rFonts w:eastAsiaTheme="majorEastAsia" w:cstheme="majorBidi"/>
      <w:b/>
      <w:color w:val="000000" w:themeColor="text1"/>
      <w:szCs w:val="26"/>
    </w:rPr>
  </w:style>
  <w:style w:type="paragraph" w:styleId="Heading3">
    <w:name w:val="heading 3"/>
    <w:basedOn w:val="Normal"/>
    <w:next w:val="Normal"/>
    <w:link w:val="Heading3Char"/>
    <w:uiPriority w:val="9"/>
    <w:unhideWhenUsed/>
    <w:qFormat/>
    <w:rsid w:val="008D1F89"/>
    <w:pPr>
      <w:keepNext/>
      <w:keepLines/>
      <w:numPr>
        <w:ilvl w:val="2"/>
        <w:numId w:val="1"/>
      </w:numPr>
      <w:ind w:left="720"/>
      <w:outlineLvl w:val="2"/>
    </w:pPr>
    <w:rPr>
      <w:rFonts w:eastAsiaTheme="majorEastAsia" w:cstheme="majorBidi"/>
      <w:b/>
      <w:i/>
      <w:color w:val="000000" w:themeColor="text1"/>
      <w:szCs w:val="24"/>
    </w:rPr>
  </w:style>
  <w:style w:type="paragraph" w:styleId="Heading4">
    <w:name w:val="heading 4"/>
    <w:basedOn w:val="Normal"/>
    <w:next w:val="Normal"/>
    <w:link w:val="Heading4Char"/>
    <w:uiPriority w:val="9"/>
    <w:unhideWhenUsed/>
    <w:qFormat/>
    <w:rsid w:val="008D1F89"/>
    <w:pPr>
      <w:keepNext/>
      <w:keepLines/>
      <w:numPr>
        <w:ilvl w:val="3"/>
        <w:numId w:val="1"/>
      </w:numPr>
      <w:outlineLvl w:val="3"/>
    </w:pPr>
    <w:rPr>
      <w:rFonts w:eastAsiaTheme="majorEastAsia" w:cstheme="majorBidi"/>
      <w:i/>
      <w:iCs/>
      <w:color w:val="000000" w:themeColor="text1"/>
    </w:rPr>
  </w:style>
  <w:style w:type="paragraph" w:styleId="Heading5">
    <w:name w:val="heading 5"/>
    <w:basedOn w:val="Normal"/>
    <w:next w:val="Normal"/>
    <w:link w:val="Heading5Char"/>
    <w:uiPriority w:val="9"/>
    <w:semiHidden/>
    <w:unhideWhenUsed/>
    <w:qFormat/>
    <w:rsid w:val="00AD13C1"/>
    <w:pPr>
      <w:keepNext/>
      <w:keepLines/>
      <w:numPr>
        <w:ilvl w:val="4"/>
        <w:numId w:val="2"/>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AD13C1"/>
    <w:pPr>
      <w:keepNext/>
      <w:keepLines/>
      <w:numPr>
        <w:ilvl w:val="5"/>
        <w:numId w:val="2"/>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AD13C1"/>
    <w:pPr>
      <w:keepNext/>
      <w:keepLines/>
      <w:numPr>
        <w:ilvl w:val="6"/>
        <w:numId w:val="2"/>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AD13C1"/>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D13C1"/>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1F89"/>
    <w:rPr>
      <w:rFonts w:ascii="Times New Roman" w:eastAsiaTheme="majorEastAsia" w:hAnsi="Times New Roman" w:cstheme="majorBidi"/>
      <w:b/>
      <w:color w:val="000000" w:themeColor="text1"/>
      <w:szCs w:val="32"/>
    </w:rPr>
  </w:style>
  <w:style w:type="character" w:customStyle="1" w:styleId="Heading2Char">
    <w:name w:val="Heading 2 Char"/>
    <w:basedOn w:val="DefaultParagraphFont"/>
    <w:link w:val="Heading2"/>
    <w:uiPriority w:val="9"/>
    <w:rsid w:val="0017673D"/>
    <w:rPr>
      <w:rFonts w:ascii="Times New Roman" w:eastAsiaTheme="majorEastAsia" w:hAnsi="Times New Roman" w:cstheme="majorBidi"/>
      <w:b/>
      <w:color w:val="000000" w:themeColor="text1"/>
      <w:szCs w:val="26"/>
    </w:rPr>
  </w:style>
  <w:style w:type="character" w:customStyle="1" w:styleId="Heading3Char">
    <w:name w:val="Heading 3 Char"/>
    <w:basedOn w:val="DefaultParagraphFont"/>
    <w:link w:val="Heading3"/>
    <w:uiPriority w:val="9"/>
    <w:rsid w:val="008D1F89"/>
    <w:rPr>
      <w:rFonts w:ascii="Times New Roman" w:eastAsiaTheme="majorEastAsia" w:hAnsi="Times New Roman" w:cstheme="majorBidi"/>
      <w:b/>
      <w:i/>
      <w:color w:val="000000" w:themeColor="text1"/>
    </w:rPr>
  </w:style>
  <w:style w:type="paragraph" w:customStyle="1" w:styleId="Default">
    <w:name w:val="Default"/>
    <w:rsid w:val="006C690B"/>
    <w:pPr>
      <w:autoSpaceDE w:val="0"/>
      <w:autoSpaceDN w:val="0"/>
      <w:adjustRightInd w:val="0"/>
    </w:pPr>
    <w:rPr>
      <w:rFonts w:ascii="Times New Roman" w:hAnsi="Times New Roman" w:cs="Times New Roman"/>
      <w:color w:val="000000"/>
    </w:rPr>
  </w:style>
  <w:style w:type="paragraph" w:styleId="Subtitle">
    <w:name w:val="Subtitle"/>
    <w:basedOn w:val="Normal"/>
    <w:next w:val="Normal"/>
    <w:link w:val="SubtitleChar"/>
    <w:uiPriority w:val="11"/>
    <w:qFormat/>
    <w:rsid w:val="006C690B"/>
    <w:pPr>
      <w:numPr>
        <w:ilvl w:val="1"/>
      </w:numPr>
      <w:ind w:firstLine="547"/>
    </w:pPr>
    <w:rPr>
      <w:color w:val="5A5A5A" w:themeColor="text1" w:themeTint="A5"/>
      <w:spacing w:val="15"/>
    </w:rPr>
  </w:style>
  <w:style w:type="character" w:customStyle="1" w:styleId="SubtitleChar">
    <w:name w:val="Subtitle Char"/>
    <w:basedOn w:val="DefaultParagraphFont"/>
    <w:link w:val="Subtitle"/>
    <w:uiPriority w:val="11"/>
    <w:rsid w:val="006C690B"/>
    <w:rPr>
      <w:color w:val="5A5A5A" w:themeColor="text1" w:themeTint="A5"/>
      <w:spacing w:val="15"/>
      <w:sz w:val="22"/>
      <w:szCs w:val="22"/>
    </w:rPr>
  </w:style>
  <w:style w:type="paragraph" w:styleId="TOCHeading">
    <w:name w:val="TOC Heading"/>
    <w:basedOn w:val="Heading1"/>
    <w:next w:val="Normal"/>
    <w:uiPriority w:val="39"/>
    <w:unhideWhenUsed/>
    <w:qFormat/>
    <w:rsid w:val="006C690B"/>
    <w:pPr>
      <w:outlineLvl w:val="9"/>
    </w:pPr>
    <w:rPr>
      <w:lang w:eastAsia="en-US"/>
    </w:rPr>
  </w:style>
  <w:style w:type="paragraph" w:styleId="TOC1">
    <w:name w:val="toc 1"/>
    <w:basedOn w:val="Normal"/>
    <w:next w:val="Normal"/>
    <w:autoRedefine/>
    <w:uiPriority w:val="39"/>
    <w:unhideWhenUsed/>
    <w:rsid w:val="0045081A"/>
    <w:pPr>
      <w:spacing w:before="240" w:after="120" w:line="240" w:lineRule="auto"/>
      <w:ind w:firstLine="0"/>
    </w:pPr>
    <w:rPr>
      <w:rFonts w:ascii="Times New Roman Bold" w:hAnsi="Times New Roman Bold" w:cs="Calibri (Body)"/>
      <w:b/>
      <w:bCs/>
      <w:szCs w:val="20"/>
    </w:rPr>
  </w:style>
  <w:style w:type="paragraph" w:styleId="TOC2">
    <w:name w:val="toc 2"/>
    <w:basedOn w:val="Normal"/>
    <w:next w:val="Normal"/>
    <w:autoRedefine/>
    <w:uiPriority w:val="39"/>
    <w:unhideWhenUsed/>
    <w:rsid w:val="00EF6098"/>
    <w:pPr>
      <w:spacing w:line="240" w:lineRule="auto"/>
      <w:ind w:left="288" w:firstLine="0"/>
    </w:pPr>
    <w:rPr>
      <w:rFonts w:cs="Calibri (Body)"/>
      <w:szCs w:val="20"/>
    </w:rPr>
  </w:style>
  <w:style w:type="character" w:styleId="Hyperlink">
    <w:name w:val="Hyperlink"/>
    <w:basedOn w:val="DefaultParagraphFont"/>
    <w:uiPriority w:val="99"/>
    <w:unhideWhenUsed/>
    <w:rsid w:val="006C690B"/>
    <w:rPr>
      <w:color w:val="0563C1" w:themeColor="hyperlink"/>
      <w:u w:val="single"/>
    </w:rPr>
  </w:style>
  <w:style w:type="paragraph" w:styleId="Header">
    <w:name w:val="header"/>
    <w:basedOn w:val="Normal"/>
    <w:link w:val="HeaderChar"/>
    <w:uiPriority w:val="99"/>
    <w:unhideWhenUsed/>
    <w:rsid w:val="006C690B"/>
    <w:pPr>
      <w:tabs>
        <w:tab w:val="center" w:pos="4680"/>
        <w:tab w:val="right" w:pos="9360"/>
      </w:tabs>
      <w:spacing w:line="240" w:lineRule="auto"/>
    </w:pPr>
  </w:style>
  <w:style w:type="character" w:customStyle="1" w:styleId="HeaderChar">
    <w:name w:val="Header Char"/>
    <w:basedOn w:val="DefaultParagraphFont"/>
    <w:link w:val="Header"/>
    <w:uiPriority w:val="99"/>
    <w:rsid w:val="006C690B"/>
    <w:rPr>
      <w:sz w:val="22"/>
      <w:szCs w:val="22"/>
    </w:rPr>
  </w:style>
  <w:style w:type="paragraph" w:styleId="Footer">
    <w:name w:val="footer"/>
    <w:basedOn w:val="Normal"/>
    <w:link w:val="FooterChar"/>
    <w:uiPriority w:val="99"/>
    <w:unhideWhenUsed/>
    <w:rsid w:val="006C690B"/>
    <w:pPr>
      <w:tabs>
        <w:tab w:val="center" w:pos="4680"/>
        <w:tab w:val="right" w:pos="9360"/>
      </w:tabs>
      <w:spacing w:line="240" w:lineRule="auto"/>
    </w:pPr>
  </w:style>
  <w:style w:type="character" w:customStyle="1" w:styleId="FooterChar">
    <w:name w:val="Footer Char"/>
    <w:basedOn w:val="DefaultParagraphFont"/>
    <w:link w:val="Footer"/>
    <w:uiPriority w:val="99"/>
    <w:rsid w:val="006C690B"/>
    <w:rPr>
      <w:sz w:val="22"/>
      <w:szCs w:val="22"/>
    </w:rPr>
  </w:style>
  <w:style w:type="paragraph" w:styleId="ListParagraph">
    <w:name w:val="List Paragraph"/>
    <w:basedOn w:val="Normal"/>
    <w:uiPriority w:val="34"/>
    <w:qFormat/>
    <w:rsid w:val="006C690B"/>
    <w:pPr>
      <w:spacing w:line="240" w:lineRule="auto"/>
      <w:ind w:left="720"/>
      <w:contextualSpacing/>
    </w:pPr>
    <w:rPr>
      <w:rFonts w:ascii="Cambria" w:eastAsia="MS Mincho" w:hAnsi="Cambria" w:cs="Times New Roman"/>
      <w:szCs w:val="24"/>
      <w:lang w:eastAsia="en-US"/>
    </w:rPr>
  </w:style>
  <w:style w:type="paragraph" w:styleId="FootnoteText">
    <w:name w:val="footnote text"/>
    <w:basedOn w:val="Normal"/>
    <w:link w:val="FootnoteTextChar"/>
    <w:uiPriority w:val="99"/>
    <w:unhideWhenUsed/>
    <w:rsid w:val="006C690B"/>
    <w:pPr>
      <w:spacing w:line="240" w:lineRule="auto"/>
    </w:pPr>
    <w:rPr>
      <w:rFonts w:ascii="Calibri" w:eastAsia="Calibri" w:hAnsi="Calibri" w:cs="Times New Roman"/>
      <w:sz w:val="20"/>
      <w:szCs w:val="20"/>
      <w:lang w:eastAsia="en-US"/>
    </w:rPr>
  </w:style>
  <w:style w:type="character" w:customStyle="1" w:styleId="FootnoteTextChar">
    <w:name w:val="Footnote Text Char"/>
    <w:basedOn w:val="DefaultParagraphFont"/>
    <w:link w:val="FootnoteText"/>
    <w:uiPriority w:val="99"/>
    <w:rsid w:val="006C690B"/>
    <w:rPr>
      <w:rFonts w:ascii="Calibri" w:eastAsia="Calibri" w:hAnsi="Calibri" w:cs="Times New Roman"/>
      <w:sz w:val="20"/>
      <w:szCs w:val="20"/>
      <w:lang w:eastAsia="en-US"/>
    </w:rPr>
  </w:style>
  <w:style w:type="character" w:styleId="FootnoteReference">
    <w:name w:val="footnote reference"/>
    <w:basedOn w:val="DefaultParagraphFont"/>
    <w:uiPriority w:val="99"/>
    <w:unhideWhenUsed/>
    <w:rsid w:val="006C690B"/>
    <w:rPr>
      <w:vertAlign w:val="superscript"/>
    </w:rPr>
  </w:style>
  <w:style w:type="character" w:styleId="EndnoteReference">
    <w:name w:val="endnote reference"/>
    <w:basedOn w:val="DefaultParagraphFont"/>
    <w:uiPriority w:val="99"/>
    <w:semiHidden/>
    <w:unhideWhenUsed/>
    <w:rsid w:val="006C690B"/>
    <w:rPr>
      <w:vertAlign w:val="superscript"/>
    </w:rPr>
  </w:style>
  <w:style w:type="paragraph" w:styleId="TOC3">
    <w:name w:val="toc 3"/>
    <w:basedOn w:val="Normal"/>
    <w:next w:val="Normal"/>
    <w:autoRedefine/>
    <w:uiPriority w:val="39"/>
    <w:unhideWhenUsed/>
    <w:rsid w:val="00EF6098"/>
    <w:pPr>
      <w:spacing w:line="240" w:lineRule="auto"/>
      <w:ind w:left="576" w:firstLine="0"/>
    </w:pPr>
    <w:rPr>
      <w:rFonts w:cstheme="minorHAnsi"/>
      <w:iCs/>
      <w:szCs w:val="20"/>
    </w:rPr>
  </w:style>
  <w:style w:type="paragraph" w:customStyle="1" w:styleId="Captions">
    <w:name w:val="Captions"/>
    <w:basedOn w:val="Caption"/>
    <w:link w:val="CaptionsChar"/>
    <w:qFormat/>
    <w:rsid w:val="007B297F"/>
    <w:pPr>
      <w:widowControl w:val="0"/>
      <w:autoSpaceDE w:val="0"/>
      <w:autoSpaceDN w:val="0"/>
      <w:adjustRightInd w:val="0"/>
      <w:ind w:firstLine="0"/>
    </w:pPr>
    <w:rPr>
      <w:b/>
      <w:bCs/>
      <w:i w:val="0"/>
      <w:color w:val="000000" w:themeColor="text1"/>
      <w:sz w:val="24"/>
      <w:szCs w:val="20"/>
    </w:rPr>
  </w:style>
  <w:style w:type="paragraph" w:styleId="Caption">
    <w:name w:val="caption"/>
    <w:basedOn w:val="Normal"/>
    <w:next w:val="Normal"/>
    <w:link w:val="CaptionChar"/>
    <w:uiPriority w:val="35"/>
    <w:unhideWhenUsed/>
    <w:qFormat/>
    <w:rsid w:val="006C690B"/>
    <w:pPr>
      <w:spacing w:after="200" w:line="240" w:lineRule="auto"/>
    </w:pPr>
    <w:rPr>
      <w:i/>
      <w:iCs/>
      <w:color w:val="44546A" w:themeColor="text2"/>
      <w:sz w:val="18"/>
      <w:szCs w:val="18"/>
    </w:rPr>
  </w:style>
  <w:style w:type="character" w:customStyle="1" w:styleId="CaptionChar">
    <w:name w:val="Caption Char"/>
    <w:basedOn w:val="DefaultParagraphFont"/>
    <w:link w:val="Caption"/>
    <w:uiPriority w:val="35"/>
    <w:rsid w:val="006C690B"/>
    <w:rPr>
      <w:i/>
      <w:iCs/>
      <w:color w:val="44546A" w:themeColor="text2"/>
      <w:sz w:val="18"/>
      <w:szCs w:val="18"/>
    </w:rPr>
  </w:style>
  <w:style w:type="character" w:customStyle="1" w:styleId="CaptionsChar">
    <w:name w:val="Captions Char"/>
    <w:basedOn w:val="CaptionChar"/>
    <w:link w:val="Captions"/>
    <w:rsid w:val="007B297F"/>
    <w:rPr>
      <w:rFonts w:ascii="Times New Roman" w:hAnsi="Times New Roman"/>
      <w:b/>
      <w:bCs/>
      <w:i w:val="0"/>
      <w:iCs/>
      <w:color w:val="000000" w:themeColor="text1"/>
      <w:sz w:val="18"/>
      <w:szCs w:val="20"/>
    </w:rPr>
  </w:style>
  <w:style w:type="table" w:styleId="TableGrid">
    <w:name w:val="Table Grid"/>
    <w:basedOn w:val="TableNormal"/>
    <w:uiPriority w:val="39"/>
    <w:rsid w:val="006C690B"/>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C690B"/>
    <w:pPr>
      <w:spacing w:before="100" w:beforeAutospacing="1" w:after="100" w:afterAutospacing="1" w:line="240" w:lineRule="auto"/>
    </w:pPr>
    <w:rPr>
      <w:rFonts w:ascii="宋体" w:eastAsia="宋体" w:hAnsi="宋体" w:cs="宋体"/>
      <w:szCs w:val="24"/>
    </w:rPr>
  </w:style>
  <w:style w:type="paragraph" w:styleId="TableofFigures">
    <w:name w:val="table of figures"/>
    <w:basedOn w:val="Normal"/>
    <w:next w:val="Normal"/>
    <w:autoRedefine/>
    <w:uiPriority w:val="99"/>
    <w:unhideWhenUsed/>
    <w:qFormat/>
    <w:rsid w:val="007B297F"/>
    <w:pPr>
      <w:tabs>
        <w:tab w:val="right" w:leader="dot" w:pos="9350"/>
      </w:tabs>
      <w:spacing w:after="240" w:line="240" w:lineRule="auto"/>
      <w:ind w:firstLine="0"/>
    </w:pPr>
    <w:rPr>
      <w:b/>
    </w:rPr>
  </w:style>
  <w:style w:type="paragraph" w:styleId="BalloonText">
    <w:name w:val="Balloon Text"/>
    <w:basedOn w:val="Normal"/>
    <w:link w:val="BalloonTextChar"/>
    <w:uiPriority w:val="99"/>
    <w:semiHidden/>
    <w:unhideWhenUsed/>
    <w:rsid w:val="006C690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690B"/>
    <w:rPr>
      <w:rFonts w:ascii="Segoe UI" w:hAnsi="Segoe UI" w:cs="Segoe UI"/>
      <w:sz w:val="18"/>
      <w:szCs w:val="18"/>
    </w:rPr>
  </w:style>
  <w:style w:type="table" w:customStyle="1" w:styleId="TableGrid1">
    <w:name w:val="Table Grid1"/>
    <w:basedOn w:val="TableNormal"/>
    <w:next w:val="TableGrid"/>
    <w:uiPriority w:val="39"/>
    <w:rsid w:val="00AD13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D13C1"/>
    <w:rPr>
      <w:sz w:val="16"/>
      <w:szCs w:val="16"/>
    </w:rPr>
  </w:style>
  <w:style w:type="paragraph" w:styleId="CommentText">
    <w:name w:val="annotation text"/>
    <w:basedOn w:val="Normal"/>
    <w:link w:val="CommentTextChar"/>
    <w:uiPriority w:val="99"/>
    <w:semiHidden/>
    <w:unhideWhenUsed/>
    <w:rsid w:val="00AD13C1"/>
    <w:pPr>
      <w:spacing w:line="240" w:lineRule="auto"/>
    </w:pPr>
    <w:rPr>
      <w:rFonts w:eastAsia="Times New Roman" w:cs="Times New Roman"/>
      <w:sz w:val="20"/>
      <w:szCs w:val="20"/>
    </w:rPr>
  </w:style>
  <w:style w:type="character" w:customStyle="1" w:styleId="CommentTextChar">
    <w:name w:val="Comment Text Char"/>
    <w:basedOn w:val="DefaultParagraphFont"/>
    <w:link w:val="CommentText"/>
    <w:uiPriority w:val="99"/>
    <w:semiHidden/>
    <w:rsid w:val="00AD13C1"/>
    <w:rPr>
      <w:rFonts w:ascii="Times New Roman" w:eastAsia="Times New Roman" w:hAnsi="Times New Roman" w:cs="Times New Roman"/>
      <w:sz w:val="20"/>
      <w:szCs w:val="20"/>
    </w:rPr>
  </w:style>
  <w:style w:type="table" w:customStyle="1" w:styleId="TableGrid2">
    <w:name w:val="Table Grid2"/>
    <w:basedOn w:val="TableNormal"/>
    <w:next w:val="TableGrid"/>
    <w:uiPriority w:val="39"/>
    <w:rsid w:val="00AD13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D13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AD13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D13C1"/>
    <w:rPr>
      <w:color w:val="808080"/>
    </w:rPr>
  </w:style>
  <w:style w:type="table" w:customStyle="1" w:styleId="TableGrid5">
    <w:name w:val="Table Grid5"/>
    <w:basedOn w:val="TableNormal"/>
    <w:next w:val="TableGrid"/>
    <w:uiPriority w:val="39"/>
    <w:rsid w:val="00AD13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8D1F89"/>
    <w:rPr>
      <w:rFonts w:ascii="Times New Roman" w:eastAsiaTheme="majorEastAsia" w:hAnsi="Times New Roman" w:cstheme="majorBidi"/>
      <w:i/>
      <w:iCs/>
      <w:color w:val="000000" w:themeColor="text1"/>
      <w:szCs w:val="22"/>
    </w:rPr>
  </w:style>
  <w:style w:type="character" w:customStyle="1" w:styleId="Heading5Char">
    <w:name w:val="Heading 5 Char"/>
    <w:basedOn w:val="DefaultParagraphFont"/>
    <w:link w:val="Heading5"/>
    <w:uiPriority w:val="9"/>
    <w:semiHidden/>
    <w:rsid w:val="00AD13C1"/>
    <w:rPr>
      <w:rFonts w:asciiTheme="majorHAnsi" w:eastAsiaTheme="majorEastAsia" w:hAnsiTheme="majorHAnsi" w:cstheme="majorBidi"/>
      <w:color w:val="2F5496" w:themeColor="accent1" w:themeShade="BF"/>
      <w:szCs w:val="22"/>
    </w:rPr>
  </w:style>
  <w:style w:type="character" w:customStyle="1" w:styleId="Heading6Char">
    <w:name w:val="Heading 6 Char"/>
    <w:basedOn w:val="DefaultParagraphFont"/>
    <w:link w:val="Heading6"/>
    <w:uiPriority w:val="9"/>
    <w:semiHidden/>
    <w:rsid w:val="00AD13C1"/>
    <w:rPr>
      <w:rFonts w:asciiTheme="majorHAnsi" w:eastAsiaTheme="majorEastAsia" w:hAnsiTheme="majorHAnsi" w:cstheme="majorBidi"/>
      <w:color w:val="1F3763" w:themeColor="accent1" w:themeShade="7F"/>
      <w:szCs w:val="22"/>
    </w:rPr>
  </w:style>
  <w:style w:type="character" w:customStyle="1" w:styleId="Heading7Char">
    <w:name w:val="Heading 7 Char"/>
    <w:basedOn w:val="DefaultParagraphFont"/>
    <w:link w:val="Heading7"/>
    <w:uiPriority w:val="9"/>
    <w:rsid w:val="00AD13C1"/>
    <w:rPr>
      <w:rFonts w:asciiTheme="majorHAnsi" w:eastAsiaTheme="majorEastAsia" w:hAnsiTheme="majorHAnsi" w:cstheme="majorBidi"/>
      <w:i/>
      <w:iCs/>
      <w:color w:val="1F3763" w:themeColor="accent1" w:themeShade="7F"/>
      <w:szCs w:val="22"/>
    </w:rPr>
  </w:style>
  <w:style w:type="character" w:customStyle="1" w:styleId="Heading8Char">
    <w:name w:val="Heading 8 Char"/>
    <w:basedOn w:val="DefaultParagraphFont"/>
    <w:link w:val="Heading8"/>
    <w:uiPriority w:val="9"/>
    <w:semiHidden/>
    <w:rsid w:val="00AD13C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D13C1"/>
    <w:rPr>
      <w:rFonts w:asciiTheme="majorHAnsi" w:eastAsiaTheme="majorEastAsia" w:hAnsiTheme="majorHAnsi" w:cstheme="majorBidi"/>
      <w:i/>
      <w:iCs/>
      <w:color w:val="272727" w:themeColor="text1" w:themeTint="D8"/>
      <w:sz w:val="21"/>
      <w:szCs w:val="21"/>
    </w:rPr>
  </w:style>
  <w:style w:type="paragraph" w:styleId="NoSpacing">
    <w:name w:val="No Spacing"/>
    <w:uiPriority w:val="1"/>
    <w:qFormat/>
    <w:rsid w:val="008D1F89"/>
    <w:rPr>
      <w:rFonts w:ascii="Times New Roman" w:hAnsi="Times New Roman"/>
      <w:szCs w:val="22"/>
    </w:rPr>
  </w:style>
  <w:style w:type="table" w:customStyle="1" w:styleId="TableGrid6">
    <w:name w:val="Table Grid6"/>
    <w:basedOn w:val="TableNormal"/>
    <w:next w:val="TableGrid"/>
    <w:uiPriority w:val="39"/>
    <w:rsid w:val="00A659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07C14"/>
    <w:rPr>
      <w:rFonts w:ascii="Times New Roman" w:eastAsia="Times New Roman" w:hAnsi="Times New Roman" w:cs="Times New Roman"/>
    </w:rPr>
  </w:style>
  <w:style w:type="character" w:styleId="LineNumber">
    <w:name w:val="line number"/>
    <w:basedOn w:val="DefaultParagraphFont"/>
    <w:uiPriority w:val="99"/>
    <w:semiHidden/>
    <w:unhideWhenUsed/>
    <w:rsid w:val="00682CE2"/>
  </w:style>
  <w:style w:type="paragraph" w:customStyle="1" w:styleId="EndNoteBibliographyTitle">
    <w:name w:val="EndNote Bibliography Title"/>
    <w:basedOn w:val="Normal"/>
    <w:link w:val="EndNoteBibliographyTitleChar"/>
    <w:rsid w:val="00682CE2"/>
    <w:pPr>
      <w:spacing w:line="240" w:lineRule="auto"/>
      <w:ind w:firstLine="0"/>
      <w:jc w:val="center"/>
    </w:pPr>
    <w:rPr>
      <w:rFonts w:ascii="Calibri" w:eastAsia="Times New Roman" w:hAnsi="Calibri" w:cs="Calibri"/>
      <w:szCs w:val="24"/>
    </w:rPr>
  </w:style>
  <w:style w:type="character" w:customStyle="1" w:styleId="EndNoteBibliographyTitleChar">
    <w:name w:val="EndNote Bibliography Title Char"/>
    <w:basedOn w:val="DefaultParagraphFont"/>
    <w:link w:val="EndNoteBibliographyTitle"/>
    <w:rsid w:val="00682CE2"/>
    <w:rPr>
      <w:rFonts w:ascii="Calibri" w:eastAsia="Times New Roman" w:hAnsi="Calibri" w:cs="Calibri"/>
    </w:rPr>
  </w:style>
  <w:style w:type="paragraph" w:customStyle="1" w:styleId="EndNoteBibliography">
    <w:name w:val="EndNote Bibliography"/>
    <w:basedOn w:val="Normal"/>
    <w:link w:val="EndNoteBibliographyChar"/>
    <w:rsid w:val="00682CE2"/>
    <w:pPr>
      <w:spacing w:line="240" w:lineRule="auto"/>
      <w:ind w:firstLine="0"/>
    </w:pPr>
    <w:rPr>
      <w:rFonts w:ascii="Calibri" w:eastAsia="Times New Roman" w:hAnsi="Calibri" w:cs="Calibri"/>
      <w:szCs w:val="24"/>
    </w:rPr>
  </w:style>
  <w:style w:type="character" w:customStyle="1" w:styleId="EndNoteBibliographyChar">
    <w:name w:val="EndNote Bibliography Char"/>
    <w:basedOn w:val="DefaultParagraphFont"/>
    <w:link w:val="EndNoteBibliography"/>
    <w:rsid w:val="00682CE2"/>
    <w:rPr>
      <w:rFonts w:ascii="Calibri" w:eastAsia="Times New Roman" w:hAnsi="Calibri" w:cs="Calibri"/>
    </w:rPr>
  </w:style>
  <w:style w:type="paragraph" w:customStyle="1" w:styleId="EndNoteCategoryHeading">
    <w:name w:val="EndNote Category Heading"/>
    <w:basedOn w:val="Normal"/>
    <w:link w:val="EndNoteCategoryHeadingChar"/>
    <w:rsid w:val="00682CE2"/>
    <w:pPr>
      <w:spacing w:before="120" w:after="120" w:line="240" w:lineRule="auto"/>
      <w:ind w:firstLine="0"/>
      <w:jc w:val="left"/>
    </w:pPr>
    <w:rPr>
      <w:rFonts w:eastAsia="Times New Roman" w:cs="Times New Roman"/>
      <w:b/>
      <w:szCs w:val="24"/>
    </w:rPr>
  </w:style>
  <w:style w:type="character" w:customStyle="1" w:styleId="EndNoteCategoryHeadingChar">
    <w:name w:val="EndNote Category Heading Char"/>
    <w:basedOn w:val="DefaultParagraphFont"/>
    <w:link w:val="EndNoteCategoryHeading"/>
    <w:rsid w:val="00682CE2"/>
    <w:rPr>
      <w:rFonts w:ascii="Times New Roman" w:eastAsia="Times New Roman" w:hAnsi="Times New Roman" w:cs="Times New Roman"/>
      <w:b/>
    </w:rPr>
  </w:style>
  <w:style w:type="character" w:customStyle="1" w:styleId="author1">
    <w:name w:val="author1"/>
    <w:rsid w:val="00682CE2"/>
    <w:rPr>
      <w:sz w:val="18"/>
      <w:szCs w:val="18"/>
    </w:rPr>
  </w:style>
  <w:style w:type="character" w:customStyle="1" w:styleId="artauthors">
    <w:name w:val="art_authors"/>
    <w:basedOn w:val="DefaultParagraphFont"/>
    <w:rsid w:val="00682CE2"/>
  </w:style>
  <w:style w:type="character" w:customStyle="1" w:styleId="year">
    <w:name w:val="year"/>
    <w:basedOn w:val="DefaultParagraphFont"/>
    <w:rsid w:val="00682CE2"/>
  </w:style>
  <w:style w:type="character" w:customStyle="1" w:styleId="arttitle">
    <w:name w:val="art_title"/>
    <w:basedOn w:val="DefaultParagraphFont"/>
    <w:rsid w:val="00682CE2"/>
  </w:style>
  <w:style w:type="character" w:customStyle="1" w:styleId="journalname">
    <w:name w:val="journalname"/>
    <w:basedOn w:val="DefaultParagraphFont"/>
    <w:rsid w:val="00682CE2"/>
  </w:style>
  <w:style w:type="character" w:customStyle="1" w:styleId="volume">
    <w:name w:val="volume"/>
    <w:basedOn w:val="DefaultParagraphFont"/>
    <w:rsid w:val="00682CE2"/>
  </w:style>
  <w:style w:type="character" w:customStyle="1" w:styleId="page">
    <w:name w:val="page"/>
    <w:basedOn w:val="DefaultParagraphFont"/>
    <w:rsid w:val="00682CE2"/>
  </w:style>
  <w:style w:type="character" w:customStyle="1" w:styleId="nlmstring-name">
    <w:name w:val="nlm_string-name"/>
    <w:basedOn w:val="DefaultParagraphFont"/>
    <w:rsid w:val="00682CE2"/>
  </w:style>
  <w:style w:type="character" w:customStyle="1" w:styleId="nlmgiven-names">
    <w:name w:val="nlm_given-names"/>
    <w:basedOn w:val="DefaultParagraphFont"/>
    <w:rsid w:val="00682CE2"/>
  </w:style>
  <w:style w:type="character" w:customStyle="1" w:styleId="nlmyear">
    <w:name w:val="nlm_year"/>
    <w:basedOn w:val="DefaultParagraphFont"/>
    <w:rsid w:val="00682CE2"/>
  </w:style>
  <w:style w:type="character" w:customStyle="1" w:styleId="nlmarticle-title">
    <w:name w:val="nlm_article-title"/>
    <w:basedOn w:val="DefaultParagraphFont"/>
    <w:rsid w:val="00682CE2"/>
  </w:style>
  <w:style w:type="character" w:customStyle="1" w:styleId="nlmfpage">
    <w:name w:val="nlm_fpage"/>
    <w:basedOn w:val="DefaultParagraphFont"/>
    <w:rsid w:val="00682CE2"/>
  </w:style>
  <w:style w:type="character" w:customStyle="1" w:styleId="nlmlpage">
    <w:name w:val="nlm_lpage"/>
    <w:basedOn w:val="DefaultParagraphFont"/>
    <w:rsid w:val="00682CE2"/>
  </w:style>
  <w:style w:type="character" w:customStyle="1" w:styleId="citationsource-journal">
    <w:name w:val="citation_source-journal"/>
    <w:basedOn w:val="DefaultParagraphFont"/>
    <w:rsid w:val="00682CE2"/>
  </w:style>
  <w:style w:type="character" w:styleId="Emphasis">
    <w:name w:val="Emphasis"/>
    <w:basedOn w:val="DefaultParagraphFont"/>
    <w:uiPriority w:val="20"/>
    <w:qFormat/>
    <w:rsid w:val="00682CE2"/>
    <w:rPr>
      <w:i/>
      <w:iCs/>
    </w:rPr>
  </w:style>
  <w:style w:type="character" w:styleId="Strong">
    <w:name w:val="Strong"/>
    <w:basedOn w:val="DefaultParagraphFont"/>
    <w:uiPriority w:val="22"/>
    <w:qFormat/>
    <w:rsid w:val="00682CE2"/>
    <w:rPr>
      <w:b/>
      <w:bCs/>
    </w:rPr>
  </w:style>
  <w:style w:type="paragraph" w:styleId="CommentSubject">
    <w:name w:val="annotation subject"/>
    <w:basedOn w:val="CommentText"/>
    <w:next w:val="CommentText"/>
    <w:link w:val="CommentSubjectChar"/>
    <w:uiPriority w:val="99"/>
    <w:semiHidden/>
    <w:unhideWhenUsed/>
    <w:rsid w:val="00682CE2"/>
    <w:pPr>
      <w:ind w:firstLine="0"/>
      <w:jc w:val="left"/>
    </w:pPr>
    <w:rPr>
      <w:b/>
      <w:bCs/>
    </w:rPr>
  </w:style>
  <w:style w:type="character" w:customStyle="1" w:styleId="CommentSubjectChar">
    <w:name w:val="Comment Subject Char"/>
    <w:basedOn w:val="CommentTextChar"/>
    <w:link w:val="CommentSubject"/>
    <w:uiPriority w:val="99"/>
    <w:semiHidden/>
    <w:rsid w:val="00682CE2"/>
    <w:rPr>
      <w:rFonts w:ascii="Times New Roman" w:eastAsia="Times New Roman" w:hAnsi="Times New Roman" w:cs="Times New Roman"/>
      <w:b/>
      <w:bCs/>
      <w:sz w:val="20"/>
      <w:szCs w:val="20"/>
    </w:rPr>
  </w:style>
  <w:style w:type="character" w:customStyle="1" w:styleId="apple-converted-space">
    <w:name w:val="apple-converted-space"/>
    <w:basedOn w:val="DefaultParagraphFont"/>
    <w:rsid w:val="00682CE2"/>
  </w:style>
  <w:style w:type="character" w:customStyle="1" w:styleId="name">
    <w:name w:val="name"/>
    <w:basedOn w:val="DefaultParagraphFont"/>
    <w:rsid w:val="00682CE2"/>
  </w:style>
  <w:style w:type="character" w:styleId="FollowedHyperlink">
    <w:name w:val="FollowedHyperlink"/>
    <w:basedOn w:val="DefaultParagraphFont"/>
    <w:uiPriority w:val="99"/>
    <w:semiHidden/>
    <w:unhideWhenUsed/>
    <w:rsid w:val="00682CE2"/>
    <w:rPr>
      <w:color w:val="954F72" w:themeColor="followedHyperlink"/>
      <w:u w:val="single"/>
    </w:rPr>
  </w:style>
  <w:style w:type="character" w:styleId="UnresolvedMention">
    <w:name w:val="Unresolved Mention"/>
    <w:basedOn w:val="DefaultParagraphFont"/>
    <w:uiPriority w:val="99"/>
    <w:semiHidden/>
    <w:unhideWhenUsed/>
    <w:rsid w:val="00682CE2"/>
    <w:rPr>
      <w:color w:val="605E5C"/>
      <w:shd w:val="clear" w:color="auto" w:fill="E1DFDD"/>
    </w:rPr>
  </w:style>
  <w:style w:type="paragraph" w:customStyle="1" w:styleId="CM13">
    <w:name w:val="CM13"/>
    <w:basedOn w:val="Default"/>
    <w:next w:val="Default"/>
    <w:rsid w:val="00682CE2"/>
    <w:pPr>
      <w:widowControl w:val="0"/>
      <w:spacing w:line="200" w:lineRule="atLeast"/>
    </w:pPr>
    <w:rPr>
      <w:rFonts w:ascii="DOHCL G+ Times Ten" w:eastAsia="MS Mincho" w:hAnsi="DOHCL G+ Times Ten" w:cs="DOHCL G+ Times Ten"/>
      <w:color w:val="auto"/>
      <w:lang w:eastAsia="ja-JP"/>
    </w:rPr>
  </w:style>
  <w:style w:type="character" w:customStyle="1" w:styleId="person-group">
    <w:name w:val="person-group"/>
    <w:basedOn w:val="DefaultParagraphFont"/>
    <w:rsid w:val="00682CE2"/>
  </w:style>
  <w:style w:type="character" w:customStyle="1" w:styleId="text-node">
    <w:name w:val="text-node"/>
    <w:basedOn w:val="DefaultParagraphFont"/>
    <w:rsid w:val="00682CE2"/>
  </w:style>
  <w:style w:type="paragraph" w:styleId="Bibliography">
    <w:name w:val="Bibliography"/>
    <w:basedOn w:val="Normal"/>
    <w:next w:val="Normal"/>
    <w:uiPriority w:val="37"/>
    <w:unhideWhenUsed/>
    <w:rsid w:val="00682CE2"/>
    <w:pPr>
      <w:spacing w:after="240" w:line="240" w:lineRule="auto"/>
      <w:ind w:left="720" w:hanging="720"/>
      <w:jc w:val="left"/>
    </w:pPr>
    <w:rPr>
      <w:rFonts w:eastAsia="Times New Roman" w:cs="Times New Roman"/>
      <w:szCs w:val="24"/>
    </w:rPr>
  </w:style>
  <w:style w:type="paragraph" w:styleId="BodyText">
    <w:name w:val="Body Text"/>
    <w:basedOn w:val="Normal"/>
    <w:link w:val="BodyTextChar"/>
    <w:uiPriority w:val="1"/>
    <w:qFormat/>
    <w:rsid w:val="00682CE2"/>
    <w:pPr>
      <w:autoSpaceDE w:val="0"/>
      <w:autoSpaceDN w:val="0"/>
      <w:adjustRightInd w:val="0"/>
      <w:spacing w:line="240" w:lineRule="auto"/>
      <w:ind w:left="100" w:firstLine="0"/>
      <w:jc w:val="left"/>
    </w:pPr>
    <w:rPr>
      <w:rFonts w:cs="Times New Roman"/>
      <w:szCs w:val="24"/>
    </w:rPr>
  </w:style>
  <w:style w:type="character" w:customStyle="1" w:styleId="BodyTextChar">
    <w:name w:val="Body Text Char"/>
    <w:basedOn w:val="DefaultParagraphFont"/>
    <w:link w:val="BodyText"/>
    <w:uiPriority w:val="1"/>
    <w:rsid w:val="00682CE2"/>
    <w:rPr>
      <w:rFonts w:ascii="Times New Roman" w:hAnsi="Times New Roman" w:cs="Times New Roman"/>
    </w:rPr>
  </w:style>
  <w:style w:type="character" w:customStyle="1" w:styleId="author">
    <w:name w:val="author"/>
    <w:basedOn w:val="DefaultParagraphFont"/>
    <w:rsid w:val="00682CE2"/>
  </w:style>
  <w:style w:type="character" w:customStyle="1" w:styleId="pubyear">
    <w:name w:val="pubyear"/>
    <w:basedOn w:val="DefaultParagraphFont"/>
    <w:rsid w:val="00682CE2"/>
  </w:style>
  <w:style w:type="character" w:customStyle="1" w:styleId="articletitle">
    <w:name w:val="articletitle"/>
    <w:basedOn w:val="DefaultParagraphFont"/>
    <w:rsid w:val="00682CE2"/>
  </w:style>
  <w:style w:type="character" w:customStyle="1" w:styleId="vol">
    <w:name w:val="vol"/>
    <w:basedOn w:val="DefaultParagraphFont"/>
    <w:rsid w:val="00682CE2"/>
  </w:style>
  <w:style w:type="character" w:customStyle="1" w:styleId="citedissue">
    <w:name w:val="citedissue"/>
    <w:basedOn w:val="DefaultParagraphFont"/>
    <w:rsid w:val="00682CE2"/>
  </w:style>
  <w:style w:type="character" w:customStyle="1" w:styleId="pagefirst">
    <w:name w:val="pagefirst"/>
    <w:basedOn w:val="DefaultParagraphFont"/>
    <w:rsid w:val="00682CE2"/>
  </w:style>
  <w:style w:type="character" w:customStyle="1" w:styleId="pagelast">
    <w:name w:val="pagelast"/>
    <w:basedOn w:val="DefaultParagraphFont"/>
    <w:rsid w:val="00682CE2"/>
  </w:style>
  <w:style w:type="paragraph" w:customStyle="1" w:styleId="ParagraphText">
    <w:name w:val="Paragraph Text"/>
    <w:qFormat/>
    <w:rsid w:val="00682CE2"/>
    <w:pPr>
      <w:snapToGrid w:val="0"/>
      <w:spacing w:before="120" w:line="480" w:lineRule="auto"/>
      <w:ind w:firstLine="360"/>
    </w:pPr>
    <w:rPr>
      <w:rFonts w:ascii="Times New Roman" w:eastAsia="宋体" w:hAnsi="Times New Roman" w:cs="Times New Roman"/>
      <w:szCs w:val="20"/>
      <w:lang w:eastAsia="en-US"/>
    </w:rPr>
  </w:style>
  <w:style w:type="table" w:styleId="GridTable6Colorful">
    <w:name w:val="Grid Table 6 Colorful"/>
    <w:basedOn w:val="TableNormal"/>
    <w:uiPriority w:val="51"/>
    <w:rsid w:val="00682CE2"/>
    <w:rPr>
      <w:color w:val="000000" w:themeColor="text1"/>
      <w:kern w:val="2"/>
      <w:sz w:val="2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1">
    <w:name w:val="书目1"/>
    <w:basedOn w:val="Normal"/>
    <w:link w:val="Bibliography0"/>
    <w:rsid w:val="00682CE2"/>
    <w:pPr>
      <w:widowControl w:val="0"/>
      <w:ind w:left="720" w:hanging="720"/>
    </w:pPr>
    <w:rPr>
      <w:rFonts w:eastAsia="宋体" w:cs="Times New Roman"/>
      <w:b/>
      <w:kern w:val="2"/>
      <w:szCs w:val="24"/>
    </w:rPr>
  </w:style>
  <w:style w:type="character" w:customStyle="1" w:styleId="Bibliography0">
    <w:name w:val="Bibliography 字符"/>
    <w:basedOn w:val="DefaultParagraphFont"/>
    <w:link w:val="1"/>
    <w:rsid w:val="00682CE2"/>
    <w:rPr>
      <w:rFonts w:ascii="Times New Roman" w:eastAsia="宋体" w:hAnsi="Times New Roman" w:cs="Times New Roman"/>
      <w:b/>
      <w:kern w:val="2"/>
    </w:rPr>
  </w:style>
  <w:style w:type="paragraph" w:styleId="BodyTextIndent2">
    <w:name w:val="Body Text Indent 2"/>
    <w:basedOn w:val="Normal"/>
    <w:link w:val="BodyTextIndent2Char"/>
    <w:rsid w:val="00682CE2"/>
    <w:pPr>
      <w:spacing w:after="120"/>
      <w:ind w:left="360" w:firstLine="0"/>
      <w:jc w:val="left"/>
    </w:pPr>
    <w:rPr>
      <w:rFonts w:eastAsia="Times New Roman" w:cs="Times New Roman"/>
      <w:szCs w:val="24"/>
      <w:lang w:val="x-none" w:eastAsia="x-none"/>
    </w:rPr>
  </w:style>
  <w:style w:type="character" w:customStyle="1" w:styleId="BodyTextIndent2Char">
    <w:name w:val="Body Text Indent 2 Char"/>
    <w:basedOn w:val="DefaultParagraphFont"/>
    <w:link w:val="BodyTextIndent2"/>
    <w:rsid w:val="00682CE2"/>
    <w:rPr>
      <w:rFonts w:ascii="Times New Roman" w:eastAsia="Times New Roman" w:hAnsi="Times New Roman" w:cs="Times New Roman"/>
      <w:lang w:val="x-none" w:eastAsia="x-none"/>
    </w:rPr>
  </w:style>
  <w:style w:type="table" w:customStyle="1" w:styleId="TableGrid7">
    <w:name w:val="Table Grid7"/>
    <w:basedOn w:val="TableNormal"/>
    <w:next w:val="TableGrid"/>
    <w:uiPriority w:val="39"/>
    <w:rsid w:val="00E762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B73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2">
    <w:name w:val="H2"/>
    <w:qFormat/>
    <w:rsid w:val="00E6523E"/>
    <w:pPr>
      <w:snapToGrid w:val="0"/>
      <w:spacing w:before="240" w:line="480" w:lineRule="auto"/>
    </w:pPr>
    <w:rPr>
      <w:rFonts w:ascii="Times New Roman" w:eastAsia="宋体" w:hAnsi="Times New Roman" w:cs="Times New Roman"/>
      <w:i/>
      <w:kern w:val="28"/>
      <w:szCs w:val="20"/>
      <w:lang w:eastAsia="en-US"/>
    </w:rPr>
  </w:style>
  <w:style w:type="numbering" w:customStyle="1" w:styleId="CurrentList1">
    <w:name w:val="Current List1"/>
    <w:uiPriority w:val="99"/>
    <w:rsid w:val="00E6523E"/>
    <w:pPr>
      <w:numPr>
        <w:numId w:val="4"/>
      </w:numPr>
    </w:pPr>
  </w:style>
  <w:style w:type="numbering" w:customStyle="1" w:styleId="CurrentList2">
    <w:name w:val="Current List2"/>
    <w:uiPriority w:val="99"/>
    <w:rsid w:val="00E6523E"/>
    <w:pPr>
      <w:numPr>
        <w:numId w:val="5"/>
      </w:numPr>
    </w:pPr>
  </w:style>
  <w:style w:type="numbering" w:customStyle="1" w:styleId="CurrentList3">
    <w:name w:val="Current List3"/>
    <w:uiPriority w:val="99"/>
    <w:rsid w:val="00E6523E"/>
    <w:pPr>
      <w:numPr>
        <w:numId w:val="6"/>
      </w:numPr>
    </w:pPr>
  </w:style>
  <w:style w:type="numbering" w:customStyle="1" w:styleId="CurrentList4">
    <w:name w:val="Current List4"/>
    <w:uiPriority w:val="99"/>
    <w:rsid w:val="00E6523E"/>
    <w:pPr>
      <w:numPr>
        <w:numId w:val="7"/>
      </w:numPr>
    </w:pPr>
  </w:style>
  <w:style w:type="table" w:customStyle="1" w:styleId="TableGrid9">
    <w:name w:val="Table Grid9"/>
    <w:basedOn w:val="TableNormal"/>
    <w:next w:val="TableGrid"/>
    <w:uiPriority w:val="39"/>
    <w:rsid w:val="00ED0C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5">
    <w:name w:val="toc 5"/>
    <w:basedOn w:val="Normal"/>
    <w:next w:val="Normal"/>
    <w:autoRedefine/>
    <w:uiPriority w:val="39"/>
    <w:semiHidden/>
    <w:unhideWhenUsed/>
    <w:rsid w:val="0045081A"/>
    <w:pPr>
      <w:ind w:left="960"/>
      <w:jc w:val="left"/>
    </w:pPr>
    <w:rPr>
      <w:rFonts w:asciiTheme="minorHAnsi" w:hAnsiTheme="minorHAnsi" w:cstheme="minorHAnsi"/>
      <w:sz w:val="18"/>
      <w:szCs w:val="18"/>
    </w:rPr>
  </w:style>
  <w:style w:type="paragraph" w:styleId="TOC4">
    <w:name w:val="toc 4"/>
    <w:basedOn w:val="Normal"/>
    <w:next w:val="Normal"/>
    <w:autoRedefine/>
    <w:uiPriority w:val="39"/>
    <w:unhideWhenUsed/>
    <w:rsid w:val="00EF6098"/>
    <w:pPr>
      <w:spacing w:line="240" w:lineRule="auto"/>
      <w:ind w:left="864" w:firstLine="0"/>
      <w:jc w:val="left"/>
    </w:pPr>
    <w:rPr>
      <w:rFonts w:cstheme="minorHAnsi"/>
      <w:i/>
      <w:szCs w:val="18"/>
    </w:rPr>
  </w:style>
  <w:style w:type="paragraph" w:styleId="TOC6">
    <w:name w:val="toc 6"/>
    <w:basedOn w:val="Normal"/>
    <w:next w:val="Normal"/>
    <w:autoRedefine/>
    <w:uiPriority w:val="39"/>
    <w:semiHidden/>
    <w:unhideWhenUsed/>
    <w:rsid w:val="0045081A"/>
    <w:pPr>
      <w:ind w:left="1200"/>
      <w:jc w:val="left"/>
    </w:pPr>
    <w:rPr>
      <w:rFonts w:asciiTheme="minorHAnsi" w:hAnsiTheme="minorHAnsi" w:cstheme="minorHAnsi"/>
      <w:sz w:val="18"/>
      <w:szCs w:val="18"/>
    </w:rPr>
  </w:style>
  <w:style w:type="paragraph" w:styleId="TOC7">
    <w:name w:val="toc 7"/>
    <w:basedOn w:val="Normal"/>
    <w:next w:val="Normal"/>
    <w:autoRedefine/>
    <w:uiPriority w:val="39"/>
    <w:semiHidden/>
    <w:unhideWhenUsed/>
    <w:rsid w:val="0045081A"/>
    <w:pPr>
      <w:ind w:left="1440"/>
      <w:jc w:val="left"/>
    </w:pPr>
    <w:rPr>
      <w:rFonts w:asciiTheme="minorHAnsi" w:hAnsiTheme="minorHAnsi" w:cstheme="minorHAnsi"/>
      <w:sz w:val="18"/>
      <w:szCs w:val="18"/>
    </w:rPr>
  </w:style>
  <w:style w:type="paragraph" w:styleId="TOC8">
    <w:name w:val="toc 8"/>
    <w:basedOn w:val="Normal"/>
    <w:next w:val="Normal"/>
    <w:autoRedefine/>
    <w:uiPriority w:val="39"/>
    <w:semiHidden/>
    <w:unhideWhenUsed/>
    <w:rsid w:val="0045081A"/>
    <w:pPr>
      <w:ind w:left="1680"/>
      <w:jc w:val="left"/>
    </w:pPr>
    <w:rPr>
      <w:rFonts w:asciiTheme="minorHAnsi" w:hAnsiTheme="minorHAnsi" w:cstheme="minorHAnsi"/>
      <w:sz w:val="18"/>
      <w:szCs w:val="18"/>
    </w:rPr>
  </w:style>
  <w:style w:type="paragraph" w:styleId="TOC9">
    <w:name w:val="toc 9"/>
    <w:basedOn w:val="Normal"/>
    <w:next w:val="Normal"/>
    <w:autoRedefine/>
    <w:uiPriority w:val="39"/>
    <w:semiHidden/>
    <w:unhideWhenUsed/>
    <w:rsid w:val="0045081A"/>
    <w:pPr>
      <w:ind w:left="1920"/>
      <w:jc w:val="left"/>
    </w:pPr>
    <w:rPr>
      <w:rFonts w:asciiTheme="minorHAnsi" w:hAnsiTheme="minorHAnsi" w:cs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04332">
      <w:bodyDiv w:val="1"/>
      <w:marLeft w:val="0"/>
      <w:marRight w:val="0"/>
      <w:marTop w:val="0"/>
      <w:marBottom w:val="0"/>
      <w:divBdr>
        <w:top w:val="none" w:sz="0" w:space="0" w:color="auto"/>
        <w:left w:val="none" w:sz="0" w:space="0" w:color="auto"/>
        <w:bottom w:val="none" w:sz="0" w:space="0" w:color="auto"/>
        <w:right w:val="none" w:sz="0" w:space="0" w:color="auto"/>
      </w:divBdr>
    </w:div>
    <w:div w:id="337970690">
      <w:bodyDiv w:val="1"/>
      <w:marLeft w:val="0"/>
      <w:marRight w:val="0"/>
      <w:marTop w:val="0"/>
      <w:marBottom w:val="0"/>
      <w:divBdr>
        <w:top w:val="none" w:sz="0" w:space="0" w:color="auto"/>
        <w:left w:val="none" w:sz="0" w:space="0" w:color="auto"/>
        <w:bottom w:val="none" w:sz="0" w:space="0" w:color="auto"/>
        <w:right w:val="none" w:sz="0" w:space="0" w:color="auto"/>
      </w:divBdr>
    </w:div>
    <w:div w:id="2069768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tiff"/><Relationship Id="rId18" Type="http://schemas.openxmlformats.org/officeDocument/2006/relationships/image" Target="media/image8.jpeg"/><Relationship Id="rId26" Type="http://schemas.openxmlformats.org/officeDocument/2006/relationships/image" Target="media/image16.tiff"/><Relationship Id="rId39" Type="http://schemas.openxmlformats.org/officeDocument/2006/relationships/image" Target="media/image29.png"/><Relationship Id="rId21" Type="http://schemas.openxmlformats.org/officeDocument/2006/relationships/image" Target="media/image11.tiff"/><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image" Target="media/image45.png"/><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tiff"/><Relationship Id="rId29" Type="http://schemas.openxmlformats.org/officeDocument/2006/relationships/image" Target="media/image19.png"/><Relationship Id="rId11" Type="http://schemas.openxmlformats.org/officeDocument/2006/relationships/image" Target="media/image2.tiff"/><Relationship Id="rId24" Type="http://schemas.openxmlformats.org/officeDocument/2006/relationships/image" Target="media/image14.tiff"/><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image" Target="media/image48.png"/><Relationship Id="rId5" Type="http://schemas.openxmlformats.org/officeDocument/2006/relationships/webSettings" Target="webSettings.xml"/><Relationship Id="rId61" Type="http://schemas.openxmlformats.org/officeDocument/2006/relationships/footer" Target="footer4.xml"/><Relationship Id="rId19" Type="http://schemas.openxmlformats.org/officeDocument/2006/relationships/image" Target="media/image9.tiff"/><Relationship Id="rId14" Type="http://schemas.openxmlformats.org/officeDocument/2006/relationships/image" Target="media/image5.tif"/><Relationship Id="rId22" Type="http://schemas.openxmlformats.org/officeDocument/2006/relationships/image" Target="media/image12.tiff"/><Relationship Id="rId27" Type="http://schemas.openxmlformats.org/officeDocument/2006/relationships/image" Target="media/image17.tiff"/><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8" Type="http://schemas.openxmlformats.org/officeDocument/2006/relationships/footer" Target="footer1.xml"/><Relationship Id="rId51" Type="http://schemas.openxmlformats.org/officeDocument/2006/relationships/image" Target="media/image41.png"/><Relationship Id="rId3" Type="http://schemas.openxmlformats.org/officeDocument/2006/relationships/styles" Target="styles.xml"/><Relationship Id="rId12" Type="http://schemas.openxmlformats.org/officeDocument/2006/relationships/image" Target="media/image3.tiff"/><Relationship Id="rId17" Type="http://schemas.openxmlformats.org/officeDocument/2006/relationships/hyperlink" Target="https://www.wpc.ncep.noaa.gov/archives/web_pages/sfc/sfc_archive_maps.php?arcdate=05/16/2017&amp;selmap=2017051621&amp;maptype=namussfc" TargetMode="External"/><Relationship Id="rId25" Type="http://schemas.openxmlformats.org/officeDocument/2006/relationships/image" Target="media/image15.tiff"/><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png"/><Relationship Id="rId20" Type="http://schemas.openxmlformats.org/officeDocument/2006/relationships/image" Target="media/image10.tiff"/><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tiff"/><Relationship Id="rId23" Type="http://schemas.openxmlformats.org/officeDocument/2006/relationships/image" Target="media/image13.tiff"/><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10" Type="http://schemas.openxmlformats.org/officeDocument/2006/relationships/image" Target="media/image1.emf"/><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09813-57E8-D84A-AECB-2192B2E8A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156</Pages>
  <Words>137963</Words>
  <Characters>786393</Characters>
  <Application>Microsoft Office Word</Application>
  <DocSecurity>0</DocSecurity>
  <Lines>6553</Lines>
  <Paragraphs>1845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 Sijie</dc:creator>
  <cp:keywords/>
  <dc:description/>
  <cp:lastModifiedBy>Pan, Sijie</cp:lastModifiedBy>
  <cp:revision>4</cp:revision>
  <dcterms:created xsi:type="dcterms:W3CDTF">2023-05-03T18:09:00Z</dcterms:created>
  <dcterms:modified xsi:type="dcterms:W3CDTF">2023-05-11T16:00:00Z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id="El88fenb"/&gt;&lt;style id="http://www.zotero.org/styles/american-meteorological-society" hasBibliography="1" bibliographyStyleHasBeenSet="1"/&gt;&lt;prefs&gt;&lt;pref name="fieldType" value="Field"/&gt;&lt;/prefs&gt;&lt;/dat</vt:lpwstr>
  </property>
  <property fmtid="{D5CDD505-2E9C-101B-9397-08002B2CF9AE}" pid="3" name="ZOTERO_PREF_2">
    <vt:lpwstr>a&gt;</vt:lpwstr>
  </property>
</Properties>
</file>