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ADA62"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UNIVERSITY OF OKLAHOMA</w:t>
      </w:r>
    </w:p>
    <w:p w14:paraId="4EF89BAC"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GRADUATE COLLEGE</w:t>
      </w:r>
    </w:p>
    <w:p w14:paraId="3278E68F"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6331C3F4"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073756D7"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710B187F"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COMPARISON OF MIGRATORY AND RESIDENT BIRD SPECIES IN A CONTAMINATED ENVIRONMENT</w:t>
      </w:r>
    </w:p>
    <w:p w14:paraId="51B7A849"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0DBFE4F2"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15BEC506"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A THESIS</w:t>
      </w:r>
    </w:p>
    <w:p w14:paraId="529937FE"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SUBMITTED TO THE GRADUATE FACULTY</w:t>
      </w:r>
    </w:p>
    <w:p w14:paraId="5B05E9AF"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in partial fulfillment of the requirements for the</w:t>
      </w:r>
    </w:p>
    <w:p w14:paraId="0CE2B352"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Degree of</w:t>
      </w:r>
    </w:p>
    <w:p w14:paraId="700614F9"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MASTER OF SCIENCE</w:t>
      </w:r>
    </w:p>
    <w:p w14:paraId="345F7989"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4DC657F5"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4D292E04"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3FD72B64"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3CA8704C"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By</w:t>
      </w:r>
    </w:p>
    <w:p w14:paraId="24E8ECB3"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HEATHER K. LEPAGE</w:t>
      </w:r>
    </w:p>
    <w:p w14:paraId="16CD67BF"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Norman, Oklahoma</w:t>
      </w:r>
    </w:p>
    <w:p w14:paraId="6111C042"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2020</w:t>
      </w:r>
    </w:p>
    <w:p w14:paraId="64B9524D" w14:textId="77777777" w:rsidR="00B7504F" w:rsidRPr="007D1120" w:rsidRDefault="00B7504F" w:rsidP="00B7504F">
      <w:pPr>
        <w:spacing w:before="240" w:after="240" w:line="240" w:lineRule="auto"/>
        <w:jc w:val="center"/>
        <w:rPr>
          <w:rFonts w:ascii="Times New Roman" w:eastAsia="Times New Roman" w:hAnsi="Times New Roman" w:cs="Times New Roman"/>
          <w:color w:val="000000"/>
          <w:szCs w:val="24"/>
        </w:rPr>
      </w:pPr>
    </w:p>
    <w:p w14:paraId="2926BAD2" w14:textId="77777777" w:rsidR="00B7504F" w:rsidRPr="007D1120" w:rsidRDefault="00B7504F" w:rsidP="00B7504F">
      <w:pPr>
        <w:spacing w:before="240" w:after="240" w:line="240" w:lineRule="auto"/>
        <w:jc w:val="center"/>
        <w:rPr>
          <w:rFonts w:ascii="Times New Roman" w:eastAsia="Times New Roman" w:hAnsi="Times New Roman" w:cs="Times New Roman"/>
          <w:color w:val="000000"/>
          <w:szCs w:val="24"/>
        </w:rPr>
      </w:pPr>
    </w:p>
    <w:p w14:paraId="368E0BA6" w14:textId="77777777" w:rsidR="00B7504F" w:rsidRPr="007D1120" w:rsidRDefault="00B7504F" w:rsidP="00B7504F">
      <w:pPr>
        <w:spacing w:before="240" w:after="240" w:line="240" w:lineRule="auto"/>
        <w:jc w:val="center"/>
        <w:rPr>
          <w:rFonts w:ascii="Times New Roman" w:eastAsia="Times New Roman" w:hAnsi="Times New Roman" w:cs="Times New Roman"/>
          <w:color w:val="000000"/>
          <w:szCs w:val="24"/>
        </w:rPr>
      </w:pPr>
    </w:p>
    <w:p w14:paraId="010994D3" w14:textId="4DD9C602"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lastRenderedPageBreak/>
        <w:t>COMPARISON OF MIGRATORY AND RESIDENT BIRD SPECIES IN A CONTAMINATED ENVIRONMENT</w:t>
      </w:r>
    </w:p>
    <w:p w14:paraId="679F04E4"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5A8B9F68"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396F3265"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79ED2FD1"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A THESIS APPROVED FOR THE</w:t>
      </w:r>
    </w:p>
    <w:p w14:paraId="1B50710B"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DEPARTMENT OF BIOLOGY</w:t>
      </w:r>
    </w:p>
    <w:p w14:paraId="780D803E"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38FDD524" w14:textId="77777777" w:rsidR="00B7504F" w:rsidRPr="007D1120" w:rsidRDefault="00B7504F" w:rsidP="00B7504F">
      <w:pPr>
        <w:spacing w:after="0" w:line="240" w:lineRule="auto"/>
        <w:rPr>
          <w:rFonts w:ascii="Times New Roman" w:eastAsia="Times New Roman" w:hAnsi="Times New Roman" w:cs="Times New Roman"/>
          <w:szCs w:val="24"/>
        </w:rPr>
      </w:pPr>
    </w:p>
    <w:p w14:paraId="7CE6A16A"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36CB4975"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2FCDE15A"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084AF6FE"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BY THE COMMITTEE CONSISTING OF</w:t>
      </w:r>
    </w:p>
    <w:p w14:paraId="3EF211B7" w14:textId="77777777" w:rsidR="00B7504F" w:rsidRPr="007D1120" w:rsidRDefault="00B7504F" w:rsidP="00B7504F">
      <w:pPr>
        <w:spacing w:before="240" w:after="240" w:line="240" w:lineRule="auto"/>
        <w:jc w:val="right"/>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679E7018" w14:textId="77777777" w:rsidR="00B7504F" w:rsidRPr="007D1120" w:rsidRDefault="00B7504F" w:rsidP="00B7504F">
      <w:pPr>
        <w:spacing w:before="240" w:after="240" w:line="240" w:lineRule="auto"/>
        <w:jc w:val="right"/>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443F4806" w14:textId="77777777" w:rsidR="00B7504F" w:rsidRPr="007D1120" w:rsidRDefault="00B7504F" w:rsidP="00B7504F">
      <w:pPr>
        <w:spacing w:before="240" w:after="240" w:line="240" w:lineRule="auto"/>
        <w:jc w:val="right"/>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4ABAD8F5" w14:textId="77777777" w:rsidR="00B7504F" w:rsidRPr="007D1120" w:rsidRDefault="00B7504F" w:rsidP="00B7504F">
      <w:pPr>
        <w:spacing w:before="240" w:after="240" w:line="240" w:lineRule="auto"/>
        <w:jc w:val="right"/>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7D22137B" w14:textId="77777777" w:rsidR="00B7504F" w:rsidRPr="007D1120" w:rsidRDefault="00B7504F" w:rsidP="00B7504F">
      <w:pPr>
        <w:spacing w:before="240" w:after="240" w:line="240" w:lineRule="auto"/>
        <w:jc w:val="right"/>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1F5245C7" w14:textId="77777777" w:rsidR="00B7504F" w:rsidRPr="007D1120" w:rsidRDefault="00B7504F" w:rsidP="00B7504F">
      <w:pPr>
        <w:spacing w:before="240" w:after="240" w:line="240" w:lineRule="auto"/>
        <w:jc w:val="right"/>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324BB2F1" w14:textId="77777777" w:rsidR="00B7504F" w:rsidRPr="007D1120" w:rsidRDefault="00B7504F" w:rsidP="00B7504F">
      <w:pPr>
        <w:spacing w:before="240" w:after="240" w:line="240" w:lineRule="auto"/>
        <w:jc w:val="right"/>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w:t>
      </w:r>
    </w:p>
    <w:p w14:paraId="1D1CA49D" w14:textId="77777777" w:rsidR="00B7504F" w:rsidRPr="007D1120" w:rsidRDefault="00B7504F" w:rsidP="00B7504F">
      <w:pPr>
        <w:spacing w:before="240" w:after="240" w:line="240" w:lineRule="auto"/>
        <w:jc w:val="right"/>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Dr. Eli S. Bridge, Chair</w:t>
      </w:r>
    </w:p>
    <w:p w14:paraId="6EE3E570" w14:textId="77777777" w:rsidR="00B7504F" w:rsidRPr="007D1120" w:rsidRDefault="00B7504F" w:rsidP="00B7504F">
      <w:pPr>
        <w:spacing w:before="240" w:after="240" w:line="240" w:lineRule="auto"/>
        <w:jc w:val="right"/>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Dr. Douglas D. Gaffin</w:t>
      </w:r>
    </w:p>
    <w:p w14:paraId="37E5E1B0" w14:textId="77777777" w:rsidR="00B7504F" w:rsidRPr="007D1120" w:rsidRDefault="00B7504F" w:rsidP="00B7504F">
      <w:pPr>
        <w:spacing w:before="240" w:after="240" w:line="240" w:lineRule="auto"/>
        <w:jc w:val="right"/>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Dr. Jeffrey Kelly</w:t>
      </w:r>
    </w:p>
    <w:p w14:paraId="7B0586BB" w14:textId="77777777" w:rsidR="00B7504F" w:rsidRPr="007D1120" w:rsidRDefault="00B7504F" w:rsidP="00B7504F">
      <w:pPr>
        <w:spacing w:after="240" w:line="240" w:lineRule="auto"/>
        <w:rPr>
          <w:rFonts w:ascii="Times New Roman" w:eastAsia="Times New Roman" w:hAnsi="Times New Roman" w:cs="Times New Roman"/>
          <w:szCs w:val="24"/>
        </w:rPr>
      </w:pP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lastRenderedPageBreak/>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p>
    <w:p w14:paraId="32756A2C" w14:textId="77777777" w:rsidR="00B7504F" w:rsidRPr="007D1120" w:rsidRDefault="00B7504F" w:rsidP="00B7504F">
      <w:pPr>
        <w:spacing w:after="240" w:line="240" w:lineRule="auto"/>
        <w:rPr>
          <w:rFonts w:ascii="Times New Roman" w:eastAsia="Times New Roman" w:hAnsi="Times New Roman" w:cs="Times New Roman"/>
          <w:szCs w:val="24"/>
        </w:rPr>
      </w:pPr>
    </w:p>
    <w:p w14:paraId="33898476" w14:textId="77777777" w:rsidR="00B7504F" w:rsidRPr="007D1120" w:rsidRDefault="00B7504F" w:rsidP="00B7504F">
      <w:pPr>
        <w:spacing w:after="240" w:line="240" w:lineRule="auto"/>
        <w:rPr>
          <w:rFonts w:ascii="Times New Roman" w:eastAsia="Times New Roman" w:hAnsi="Times New Roman" w:cs="Times New Roman"/>
          <w:szCs w:val="24"/>
        </w:rPr>
      </w:pPr>
    </w:p>
    <w:p w14:paraId="73DC7FF4" w14:textId="77777777" w:rsidR="00B7504F" w:rsidRPr="007D1120" w:rsidRDefault="00B7504F" w:rsidP="00B7504F">
      <w:pPr>
        <w:spacing w:after="240" w:line="240" w:lineRule="auto"/>
        <w:rPr>
          <w:rFonts w:ascii="Times New Roman" w:eastAsia="Times New Roman" w:hAnsi="Times New Roman" w:cs="Times New Roman"/>
          <w:szCs w:val="24"/>
        </w:rPr>
      </w:pPr>
    </w:p>
    <w:p w14:paraId="588B6D25" w14:textId="77777777" w:rsidR="00B7504F" w:rsidRPr="007D1120" w:rsidRDefault="00B7504F" w:rsidP="00B7504F">
      <w:pPr>
        <w:spacing w:after="240" w:line="240" w:lineRule="auto"/>
        <w:rPr>
          <w:rFonts w:ascii="Times New Roman" w:eastAsia="Times New Roman" w:hAnsi="Times New Roman" w:cs="Times New Roman"/>
          <w:szCs w:val="24"/>
        </w:rPr>
      </w:pPr>
    </w:p>
    <w:p w14:paraId="76A14033" w14:textId="77777777" w:rsidR="00B7504F" w:rsidRPr="007D1120" w:rsidRDefault="00B7504F" w:rsidP="00B7504F">
      <w:pPr>
        <w:spacing w:after="240" w:line="240" w:lineRule="auto"/>
        <w:rPr>
          <w:rFonts w:ascii="Times New Roman" w:eastAsia="Times New Roman" w:hAnsi="Times New Roman" w:cs="Times New Roman"/>
          <w:szCs w:val="24"/>
        </w:rPr>
      </w:pPr>
    </w:p>
    <w:p w14:paraId="7337A78A" w14:textId="77777777" w:rsidR="00B7504F" w:rsidRPr="007D1120" w:rsidRDefault="00B7504F" w:rsidP="00B7504F">
      <w:pPr>
        <w:spacing w:after="240" w:line="240" w:lineRule="auto"/>
        <w:rPr>
          <w:rFonts w:ascii="Times New Roman" w:eastAsia="Times New Roman" w:hAnsi="Times New Roman" w:cs="Times New Roman"/>
          <w:szCs w:val="24"/>
        </w:rPr>
      </w:pPr>
    </w:p>
    <w:p w14:paraId="1A9D3BC9" w14:textId="77777777" w:rsidR="00B7504F" w:rsidRPr="007D1120" w:rsidRDefault="00B7504F" w:rsidP="00B7504F">
      <w:pPr>
        <w:spacing w:after="240" w:line="240" w:lineRule="auto"/>
        <w:rPr>
          <w:rFonts w:ascii="Times New Roman" w:eastAsia="Times New Roman" w:hAnsi="Times New Roman" w:cs="Times New Roman"/>
          <w:szCs w:val="24"/>
        </w:rPr>
      </w:pPr>
    </w:p>
    <w:p w14:paraId="54411248" w14:textId="77777777" w:rsidR="00B7504F" w:rsidRPr="007D1120" w:rsidRDefault="00B7504F" w:rsidP="00B7504F">
      <w:pPr>
        <w:spacing w:after="240" w:line="240" w:lineRule="auto"/>
        <w:rPr>
          <w:rFonts w:ascii="Times New Roman" w:eastAsia="Times New Roman" w:hAnsi="Times New Roman" w:cs="Times New Roman"/>
          <w:szCs w:val="24"/>
        </w:rPr>
      </w:pPr>
    </w:p>
    <w:p w14:paraId="15ACB22E" w14:textId="77777777" w:rsidR="00B7504F" w:rsidRPr="007D1120" w:rsidRDefault="00B7504F" w:rsidP="00B7504F">
      <w:pPr>
        <w:spacing w:after="240" w:line="240" w:lineRule="auto"/>
        <w:rPr>
          <w:rFonts w:ascii="Times New Roman" w:eastAsia="Times New Roman" w:hAnsi="Times New Roman" w:cs="Times New Roman"/>
          <w:szCs w:val="24"/>
        </w:rPr>
      </w:pPr>
    </w:p>
    <w:p w14:paraId="2E2E014E" w14:textId="77777777" w:rsidR="00B7504F" w:rsidRPr="007D1120" w:rsidRDefault="00B7504F" w:rsidP="00B7504F">
      <w:pPr>
        <w:spacing w:after="240" w:line="240" w:lineRule="auto"/>
        <w:rPr>
          <w:rFonts w:ascii="Times New Roman" w:eastAsia="Times New Roman" w:hAnsi="Times New Roman" w:cs="Times New Roman"/>
          <w:szCs w:val="24"/>
        </w:rPr>
      </w:pPr>
    </w:p>
    <w:p w14:paraId="0EB76223" w14:textId="77777777" w:rsidR="00B7504F" w:rsidRPr="007D1120" w:rsidRDefault="00B7504F" w:rsidP="00B7504F">
      <w:pPr>
        <w:spacing w:after="240" w:line="240" w:lineRule="auto"/>
        <w:rPr>
          <w:rFonts w:ascii="Times New Roman" w:eastAsia="Times New Roman" w:hAnsi="Times New Roman" w:cs="Times New Roman"/>
          <w:szCs w:val="24"/>
        </w:rPr>
      </w:pPr>
    </w:p>
    <w:p w14:paraId="2942AC54" w14:textId="77777777" w:rsidR="00B7504F" w:rsidRPr="007D1120" w:rsidRDefault="00B7504F" w:rsidP="00B7504F">
      <w:pPr>
        <w:spacing w:after="240" w:line="240" w:lineRule="auto"/>
        <w:rPr>
          <w:rFonts w:ascii="Times New Roman" w:eastAsia="Times New Roman" w:hAnsi="Times New Roman" w:cs="Times New Roman"/>
          <w:szCs w:val="24"/>
        </w:rPr>
      </w:pPr>
    </w:p>
    <w:p w14:paraId="2A78A5D0" w14:textId="77777777" w:rsidR="00B7504F" w:rsidRPr="007D1120" w:rsidRDefault="00B7504F" w:rsidP="00B7504F">
      <w:pPr>
        <w:spacing w:after="240" w:line="240" w:lineRule="auto"/>
        <w:rPr>
          <w:rFonts w:ascii="Times New Roman" w:eastAsia="Times New Roman" w:hAnsi="Times New Roman" w:cs="Times New Roman"/>
          <w:szCs w:val="24"/>
        </w:rPr>
      </w:pPr>
    </w:p>
    <w:p w14:paraId="0582C033" w14:textId="77777777" w:rsidR="00B7504F" w:rsidRPr="007D1120" w:rsidRDefault="00B7504F" w:rsidP="00B7504F">
      <w:pPr>
        <w:spacing w:after="240" w:line="240" w:lineRule="auto"/>
        <w:rPr>
          <w:rFonts w:ascii="Times New Roman" w:eastAsia="Times New Roman" w:hAnsi="Times New Roman" w:cs="Times New Roman"/>
          <w:szCs w:val="24"/>
        </w:rPr>
      </w:pPr>
    </w:p>
    <w:p w14:paraId="090FFB47" w14:textId="04142AE4" w:rsidR="00B7504F" w:rsidRPr="007D1120" w:rsidRDefault="00B7504F" w:rsidP="00B7504F">
      <w:pPr>
        <w:spacing w:after="240" w:line="240" w:lineRule="auto"/>
        <w:rPr>
          <w:rFonts w:ascii="Times New Roman" w:eastAsia="Times New Roman" w:hAnsi="Times New Roman" w:cs="Times New Roman"/>
          <w:szCs w:val="24"/>
        </w:rPr>
      </w:pP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r w:rsidRPr="007D1120">
        <w:rPr>
          <w:rFonts w:ascii="Times New Roman" w:eastAsia="Times New Roman" w:hAnsi="Times New Roman" w:cs="Times New Roman"/>
          <w:szCs w:val="24"/>
        </w:rPr>
        <w:br/>
      </w:r>
    </w:p>
    <w:p w14:paraId="45277A35" w14:textId="77777777" w:rsidR="00B7504F" w:rsidRPr="007D1120" w:rsidRDefault="00B7504F" w:rsidP="00B7504F">
      <w:pPr>
        <w:spacing w:before="240" w:after="240" w:line="240" w:lineRule="auto"/>
        <w:jc w:val="center"/>
        <w:rPr>
          <w:rFonts w:ascii="Times New Roman" w:eastAsia="Times New Roman" w:hAnsi="Times New Roman" w:cs="Times New Roman"/>
          <w:szCs w:val="24"/>
        </w:rPr>
      </w:pPr>
      <w:r w:rsidRPr="007D1120">
        <w:rPr>
          <w:rFonts w:ascii="Times New Roman" w:eastAsia="Times New Roman" w:hAnsi="Times New Roman" w:cs="Times New Roman"/>
          <w:color w:val="000000"/>
          <w:szCs w:val="24"/>
        </w:rPr>
        <w:t>© Copyright by HEATHER K. LEPAGE 2020</w:t>
      </w:r>
    </w:p>
    <w:p w14:paraId="5459EFEF" w14:textId="7D51BEE0" w:rsidR="003B5E9B" w:rsidRPr="007D1120" w:rsidRDefault="00B7504F" w:rsidP="00C9166E">
      <w:pPr>
        <w:spacing w:before="240" w:after="240" w:line="240" w:lineRule="auto"/>
        <w:jc w:val="center"/>
        <w:rPr>
          <w:rFonts w:ascii="Times New Roman" w:eastAsia="Times New Roman" w:hAnsi="Times New Roman" w:cs="Times New Roman"/>
          <w:szCs w:val="24"/>
        </w:rPr>
        <w:sectPr w:rsidR="003B5E9B" w:rsidRPr="007D1120" w:rsidSect="00E66C91">
          <w:footerReference w:type="default" r:id="rId8"/>
          <w:pgSz w:w="12240" w:h="15840"/>
          <w:pgMar w:top="1440" w:right="1440" w:bottom="1440" w:left="1440" w:header="720" w:footer="720" w:gutter="0"/>
          <w:cols w:space="720"/>
          <w:docGrid w:linePitch="360"/>
        </w:sectPr>
      </w:pPr>
      <w:r w:rsidRPr="007D1120">
        <w:rPr>
          <w:rFonts w:ascii="Times New Roman" w:eastAsia="Times New Roman" w:hAnsi="Times New Roman" w:cs="Times New Roman"/>
          <w:color w:val="000000"/>
          <w:szCs w:val="24"/>
        </w:rPr>
        <w:t>All Rights Reserved.</w:t>
      </w:r>
    </w:p>
    <w:p w14:paraId="1E6FC29B" w14:textId="77777777" w:rsidR="00825CEB" w:rsidRPr="00D3178A" w:rsidRDefault="00825CEB" w:rsidP="00762026">
      <w:pPr>
        <w:rPr>
          <w:rFonts w:ascii="Times New Roman" w:hAnsi="Times New Roman" w:cs="Times New Roman"/>
          <w:b/>
          <w:bCs/>
          <w:szCs w:val="24"/>
        </w:rPr>
      </w:pPr>
      <w:r w:rsidRPr="00D3178A">
        <w:rPr>
          <w:rFonts w:ascii="Times New Roman" w:hAnsi="Times New Roman" w:cs="Times New Roman"/>
          <w:b/>
          <w:bCs/>
          <w:szCs w:val="24"/>
        </w:rPr>
        <w:lastRenderedPageBreak/>
        <w:t>ACKNOWLEDGEMENTS</w:t>
      </w:r>
    </w:p>
    <w:p w14:paraId="262F9B7F" w14:textId="3509A516" w:rsidR="00740696" w:rsidRDefault="00825CEB" w:rsidP="00740696">
      <w:pPr>
        <w:rPr>
          <w:rFonts w:ascii="Times New Roman" w:hAnsi="Times New Roman" w:cs="Times New Roman"/>
          <w:szCs w:val="24"/>
        </w:rPr>
      </w:pPr>
      <w:r>
        <w:rPr>
          <w:rFonts w:ascii="Times New Roman" w:hAnsi="Times New Roman" w:cs="Times New Roman"/>
          <w:szCs w:val="24"/>
        </w:rPr>
        <w:tab/>
      </w:r>
      <w:r w:rsidR="00740696">
        <w:rPr>
          <w:rFonts w:ascii="Times New Roman" w:hAnsi="Times New Roman" w:cs="Times New Roman"/>
          <w:szCs w:val="24"/>
        </w:rPr>
        <w:t xml:space="preserve">I would first like to thank my committee, Dr. Jeff Kelly, Dr. Douglas Gaffin, and chair Dr. Eli Bridge. Eli guided me through this process with his patience, knowledge, and always creative ideas. Most importantly his support, not only through this project but in the </w:t>
      </w:r>
      <w:proofErr w:type="gramStart"/>
      <w:r w:rsidR="00740696">
        <w:rPr>
          <w:rFonts w:ascii="Times New Roman" w:hAnsi="Times New Roman" w:cs="Times New Roman"/>
          <w:szCs w:val="24"/>
        </w:rPr>
        <w:t>obstacles</w:t>
      </w:r>
      <w:proofErr w:type="gramEnd"/>
      <w:r w:rsidR="00740696">
        <w:rPr>
          <w:rFonts w:ascii="Times New Roman" w:hAnsi="Times New Roman" w:cs="Times New Roman"/>
          <w:szCs w:val="24"/>
        </w:rPr>
        <w:t xml:space="preserve"> I’ve tackled through these years, has been invaluable to me. I truly could not have accomplished any of this without him and his homemade pizzas. Eli and his family made me feel loved and at home in a foreign state.</w:t>
      </w:r>
    </w:p>
    <w:p w14:paraId="0B6D2BF6" w14:textId="77777777" w:rsidR="00740696" w:rsidRDefault="00740696" w:rsidP="00740696">
      <w:pPr>
        <w:ind w:firstLine="720"/>
        <w:rPr>
          <w:rFonts w:ascii="Times New Roman" w:hAnsi="Times New Roman" w:cs="Times New Roman"/>
          <w:szCs w:val="24"/>
        </w:rPr>
      </w:pPr>
      <w:r>
        <w:rPr>
          <w:rFonts w:ascii="Times New Roman" w:hAnsi="Times New Roman" w:cs="Times New Roman"/>
          <w:szCs w:val="24"/>
        </w:rPr>
        <w:t>Rebecca Jim is the voice of Tar Creek her passion for speaking out against the injustice faced by the people and the environment was the fire that kept me going when I was ready to quit. Her home served as my reference site and her role as my Tar Creek guide developed into her being my role model. Our friendship is the most precious result of this project.</w:t>
      </w:r>
    </w:p>
    <w:p w14:paraId="763C2127" w14:textId="77777777" w:rsidR="00740696" w:rsidRDefault="00740696" w:rsidP="00740696">
      <w:pPr>
        <w:ind w:firstLine="720"/>
        <w:rPr>
          <w:rFonts w:ascii="Times New Roman" w:hAnsi="Times New Roman" w:cs="Times New Roman"/>
          <w:szCs w:val="24"/>
        </w:rPr>
      </w:pPr>
      <w:r>
        <w:rPr>
          <w:rFonts w:ascii="Times New Roman" w:hAnsi="Times New Roman" w:cs="Times New Roman"/>
          <w:szCs w:val="24"/>
        </w:rPr>
        <w:t xml:space="preserve">I would also like to acknowledge my family and friends whose support was vital to me during my time in graduate school. Particularly my abuela Nancy del Val, friend Sandra </w:t>
      </w:r>
      <w:proofErr w:type="spellStart"/>
      <w:r>
        <w:rPr>
          <w:rFonts w:ascii="Times New Roman" w:hAnsi="Times New Roman" w:cs="Times New Roman"/>
          <w:szCs w:val="24"/>
        </w:rPr>
        <w:t>Pletschet</w:t>
      </w:r>
      <w:proofErr w:type="spellEnd"/>
      <w:r>
        <w:rPr>
          <w:rFonts w:ascii="Times New Roman" w:hAnsi="Times New Roman" w:cs="Times New Roman"/>
          <w:szCs w:val="24"/>
        </w:rPr>
        <w:t>, brother Andrew LePage, and loving partner William Oakley, who was the backbone of this project. He helped capture and sample these birds as well as preserved my sanity these last several years.</w:t>
      </w:r>
    </w:p>
    <w:p w14:paraId="7BD0DC7C" w14:textId="5900A8DA" w:rsidR="00740696" w:rsidRDefault="00740696" w:rsidP="00740696">
      <w:pPr>
        <w:ind w:firstLine="720"/>
        <w:rPr>
          <w:rFonts w:ascii="Times New Roman" w:hAnsi="Times New Roman" w:cs="Times New Roman"/>
          <w:szCs w:val="24"/>
        </w:rPr>
      </w:pPr>
      <w:r>
        <w:rPr>
          <w:rFonts w:ascii="Times New Roman" w:hAnsi="Times New Roman" w:cs="Times New Roman"/>
          <w:szCs w:val="24"/>
        </w:rPr>
        <w:t xml:space="preserve">Lastly, I would not be working with birds without the support and inspiration of the wonderful Dr. Alex Jahn. He introduced me to Eli Bridge and to the world of birds. Alex took me under his wing and taught me both how to study birds and how to love them. He and his beautiful wife, </w:t>
      </w:r>
      <w:proofErr w:type="spellStart"/>
      <w:r>
        <w:rPr>
          <w:rFonts w:ascii="Times New Roman" w:hAnsi="Times New Roman" w:cs="Times New Roman"/>
          <w:szCs w:val="24"/>
        </w:rPr>
        <w:t>Shazeeda</w:t>
      </w:r>
      <w:proofErr w:type="spellEnd"/>
      <w:r>
        <w:rPr>
          <w:rFonts w:ascii="Times New Roman" w:hAnsi="Times New Roman" w:cs="Times New Roman"/>
          <w:szCs w:val="24"/>
        </w:rPr>
        <w:t>, are my forever friends and ultimate mentors</w:t>
      </w:r>
      <w:r w:rsidR="00033E04">
        <w:rPr>
          <w:rFonts w:ascii="Times New Roman" w:hAnsi="Times New Roman" w:cs="Times New Roman"/>
          <w:szCs w:val="24"/>
        </w:rPr>
        <w:t xml:space="preserve"> in life</w:t>
      </w:r>
      <w:r>
        <w:rPr>
          <w:rFonts w:ascii="Times New Roman" w:hAnsi="Times New Roman" w:cs="Times New Roman"/>
          <w:szCs w:val="24"/>
        </w:rPr>
        <w:t>.</w:t>
      </w:r>
    </w:p>
    <w:p w14:paraId="2F2945E5" w14:textId="699AB09B" w:rsidR="003B5E9B" w:rsidRPr="007D1120" w:rsidRDefault="00B7504F" w:rsidP="00B7504F">
      <w:pPr>
        <w:rPr>
          <w:rFonts w:ascii="Times New Roman" w:hAnsi="Times New Roman" w:cs="Times New Roman"/>
          <w:szCs w:val="24"/>
        </w:rPr>
        <w:sectPr w:rsidR="003B5E9B" w:rsidRPr="007D1120" w:rsidSect="00E66C91">
          <w:footerReference w:type="default" r:id="rId9"/>
          <w:footerReference w:type="first" r:id="rId10"/>
          <w:pgSz w:w="12240" w:h="15840"/>
          <w:pgMar w:top="1440" w:right="1440" w:bottom="1440" w:left="1440" w:header="720" w:footer="720" w:gutter="0"/>
          <w:pgNumType w:fmt="lowerRoman" w:start="4"/>
          <w:cols w:space="720"/>
          <w:docGrid w:linePitch="360"/>
        </w:sectPr>
      </w:pPr>
      <w:r w:rsidRPr="007D1120">
        <w:rPr>
          <w:rFonts w:ascii="Times New Roman" w:hAnsi="Times New Roman" w:cs="Times New Roman"/>
          <w:szCs w:val="24"/>
        </w:rPr>
        <w:br/>
      </w:r>
      <w:r w:rsidRPr="007D1120">
        <w:rPr>
          <w:rFonts w:ascii="Times New Roman" w:hAnsi="Times New Roman" w:cs="Times New Roman"/>
          <w:szCs w:val="24"/>
        </w:rPr>
        <w:br/>
      </w:r>
    </w:p>
    <w:p w14:paraId="6003E255" w14:textId="77777777" w:rsidR="00825CEB" w:rsidRPr="007D1120" w:rsidRDefault="00825CEB" w:rsidP="00825CEB">
      <w:pPr>
        <w:rPr>
          <w:rFonts w:ascii="Times New Roman" w:hAnsi="Times New Roman" w:cs="Times New Roman"/>
          <w:szCs w:val="24"/>
        </w:rPr>
      </w:pPr>
      <w:r w:rsidRPr="007D1120">
        <w:rPr>
          <w:rFonts w:ascii="Times New Roman" w:hAnsi="Times New Roman" w:cs="Times New Roman"/>
          <w:b/>
          <w:bCs/>
          <w:szCs w:val="24"/>
        </w:rPr>
        <w:lastRenderedPageBreak/>
        <w:t>TABLE OF CONTENTS</w:t>
      </w:r>
    </w:p>
    <w:p w14:paraId="100EBA89" w14:textId="09B7725F" w:rsidR="00825CEB" w:rsidRDefault="00825CEB" w:rsidP="00825CEB">
      <w:pPr>
        <w:rPr>
          <w:rFonts w:ascii="Times New Roman" w:hAnsi="Times New Roman" w:cs="Times New Roman"/>
          <w:szCs w:val="24"/>
        </w:rPr>
      </w:pPr>
      <w:r>
        <w:rPr>
          <w:rFonts w:ascii="Times New Roman" w:hAnsi="Times New Roman" w:cs="Times New Roman"/>
          <w:szCs w:val="24"/>
        </w:rPr>
        <w:t>ACKNOWLEDGMENTS……………………………………………………………………</w:t>
      </w:r>
      <w:proofErr w:type="gramStart"/>
      <w:r>
        <w:rPr>
          <w:rFonts w:ascii="Times New Roman" w:hAnsi="Times New Roman" w:cs="Times New Roman"/>
          <w:szCs w:val="24"/>
        </w:rPr>
        <w:t>…</w:t>
      </w:r>
      <w:r w:rsidR="00F63F2D">
        <w:rPr>
          <w:rFonts w:ascii="Times New Roman" w:hAnsi="Times New Roman" w:cs="Times New Roman"/>
          <w:szCs w:val="24"/>
        </w:rPr>
        <w:t>..</w:t>
      </w:r>
      <w:proofErr w:type="gramEnd"/>
      <w:r>
        <w:rPr>
          <w:rFonts w:ascii="Times New Roman" w:hAnsi="Times New Roman" w:cs="Times New Roman"/>
          <w:szCs w:val="24"/>
        </w:rPr>
        <w:t>iv</w:t>
      </w:r>
    </w:p>
    <w:p w14:paraId="2016E394" w14:textId="77777777" w:rsidR="00825CEB" w:rsidRPr="007D1120" w:rsidRDefault="00825CEB" w:rsidP="00825CEB">
      <w:pPr>
        <w:rPr>
          <w:rFonts w:ascii="Times New Roman" w:hAnsi="Times New Roman" w:cs="Times New Roman"/>
          <w:szCs w:val="24"/>
        </w:rPr>
      </w:pPr>
      <w:r w:rsidRPr="007D1120">
        <w:rPr>
          <w:rFonts w:ascii="Times New Roman" w:hAnsi="Times New Roman" w:cs="Times New Roman"/>
          <w:szCs w:val="24"/>
        </w:rPr>
        <w:t>ABSTRACT...................................................................................................................................v</w:t>
      </w:r>
      <w:r>
        <w:rPr>
          <w:rFonts w:ascii="Times New Roman" w:hAnsi="Times New Roman" w:cs="Times New Roman"/>
          <w:szCs w:val="24"/>
        </w:rPr>
        <w:t>i</w:t>
      </w:r>
    </w:p>
    <w:p w14:paraId="29255505" w14:textId="77777777" w:rsidR="00825CEB" w:rsidRPr="007D1120" w:rsidRDefault="00825CEB" w:rsidP="00825CEB">
      <w:pPr>
        <w:rPr>
          <w:rFonts w:ascii="Times New Roman" w:hAnsi="Times New Roman" w:cs="Times New Roman"/>
          <w:szCs w:val="24"/>
        </w:rPr>
      </w:pPr>
      <w:r w:rsidRPr="007D1120">
        <w:rPr>
          <w:rFonts w:ascii="Times New Roman" w:hAnsi="Times New Roman" w:cs="Times New Roman"/>
          <w:szCs w:val="24"/>
        </w:rPr>
        <w:t>INTRODUCTION...........................................................................................................................1</w:t>
      </w:r>
    </w:p>
    <w:p w14:paraId="183B79C2" w14:textId="77777777" w:rsidR="00825CEB" w:rsidRPr="007D1120" w:rsidRDefault="00825CEB" w:rsidP="00825CEB">
      <w:pPr>
        <w:rPr>
          <w:rFonts w:ascii="Times New Roman" w:hAnsi="Times New Roman" w:cs="Times New Roman"/>
          <w:szCs w:val="24"/>
        </w:rPr>
      </w:pPr>
      <w:r w:rsidRPr="007D1120">
        <w:rPr>
          <w:rFonts w:ascii="Times New Roman" w:hAnsi="Times New Roman" w:cs="Times New Roman"/>
          <w:szCs w:val="24"/>
        </w:rPr>
        <w:t>METHODS......................................................................................................................................4</w:t>
      </w:r>
    </w:p>
    <w:p w14:paraId="3CBAD241" w14:textId="4F7CE9E1" w:rsidR="00825CEB" w:rsidRPr="007D1120" w:rsidRDefault="00825CEB" w:rsidP="00825CEB">
      <w:pPr>
        <w:rPr>
          <w:rFonts w:ascii="Times New Roman" w:hAnsi="Times New Roman" w:cs="Times New Roman"/>
          <w:szCs w:val="24"/>
        </w:rPr>
      </w:pPr>
      <w:r w:rsidRPr="007D1120">
        <w:rPr>
          <w:rFonts w:ascii="Times New Roman" w:hAnsi="Times New Roman" w:cs="Times New Roman"/>
          <w:szCs w:val="24"/>
        </w:rPr>
        <w:t>RESULTS........................................................................................................................................</w:t>
      </w:r>
      <w:r w:rsidR="00371F18">
        <w:rPr>
          <w:rFonts w:ascii="Times New Roman" w:hAnsi="Times New Roman" w:cs="Times New Roman"/>
          <w:szCs w:val="24"/>
        </w:rPr>
        <w:t>9</w:t>
      </w:r>
    </w:p>
    <w:p w14:paraId="6620EC17" w14:textId="3401BE2D" w:rsidR="00825CEB" w:rsidRPr="007D1120" w:rsidRDefault="00825CEB" w:rsidP="00825CEB">
      <w:pPr>
        <w:rPr>
          <w:rFonts w:ascii="Times New Roman" w:hAnsi="Times New Roman" w:cs="Times New Roman"/>
          <w:szCs w:val="24"/>
        </w:rPr>
      </w:pPr>
      <w:r w:rsidRPr="007D1120">
        <w:rPr>
          <w:rFonts w:ascii="Times New Roman" w:hAnsi="Times New Roman" w:cs="Times New Roman"/>
          <w:szCs w:val="24"/>
        </w:rPr>
        <w:t>DISCUSSION................................................................................................................................</w:t>
      </w:r>
      <w:r w:rsidR="00371F18">
        <w:rPr>
          <w:rFonts w:ascii="Times New Roman" w:hAnsi="Times New Roman" w:cs="Times New Roman"/>
          <w:szCs w:val="24"/>
        </w:rPr>
        <w:t>1</w:t>
      </w:r>
      <w:r w:rsidR="00C81104">
        <w:rPr>
          <w:rFonts w:ascii="Times New Roman" w:hAnsi="Times New Roman" w:cs="Times New Roman"/>
          <w:szCs w:val="24"/>
        </w:rPr>
        <w:t>2</w:t>
      </w:r>
    </w:p>
    <w:p w14:paraId="180E1E73" w14:textId="15314D9A" w:rsidR="00825CEB" w:rsidRDefault="00825CEB" w:rsidP="00825CEB">
      <w:pPr>
        <w:rPr>
          <w:rFonts w:ascii="Times New Roman" w:hAnsi="Times New Roman" w:cs="Times New Roman"/>
          <w:szCs w:val="24"/>
        </w:rPr>
      </w:pPr>
      <w:r w:rsidRPr="007D1120">
        <w:rPr>
          <w:rFonts w:ascii="Times New Roman" w:hAnsi="Times New Roman" w:cs="Times New Roman"/>
          <w:szCs w:val="24"/>
        </w:rPr>
        <w:t>REFERENCES .............................................................................................................................</w:t>
      </w:r>
      <w:r w:rsidR="00371F18">
        <w:rPr>
          <w:rFonts w:ascii="Times New Roman" w:hAnsi="Times New Roman" w:cs="Times New Roman"/>
          <w:szCs w:val="24"/>
        </w:rPr>
        <w:t>18</w:t>
      </w:r>
    </w:p>
    <w:p w14:paraId="7CB12DCE" w14:textId="7AA53393" w:rsidR="00A63053" w:rsidRDefault="00A63053" w:rsidP="00825CEB">
      <w:pPr>
        <w:rPr>
          <w:rFonts w:ascii="Times New Roman" w:hAnsi="Times New Roman" w:cs="Times New Roman"/>
          <w:szCs w:val="24"/>
        </w:rPr>
      </w:pPr>
      <w:r>
        <w:rPr>
          <w:rFonts w:ascii="Times New Roman" w:hAnsi="Times New Roman" w:cs="Times New Roman"/>
          <w:szCs w:val="24"/>
        </w:rPr>
        <w:t>FIGURES……………………………………………………………………</w:t>
      </w:r>
      <w:r w:rsidR="001E3A8E">
        <w:rPr>
          <w:rFonts w:ascii="Times New Roman" w:hAnsi="Times New Roman" w:cs="Times New Roman"/>
          <w:szCs w:val="24"/>
        </w:rPr>
        <w:t>...</w:t>
      </w:r>
      <w:r>
        <w:rPr>
          <w:rFonts w:ascii="Times New Roman" w:hAnsi="Times New Roman" w:cs="Times New Roman"/>
          <w:szCs w:val="24"/>
        </w:rPr>
        <w:t>…………………</w:t>
      </w:r>
      <w:r w:rsidR="001E3A8E">
        <w:rPr>
          <w:rFonts w:ascii="Times New Roman" w:hAnsi="Times New Roman" w:cs="Times New Roman"/>
          <w:szCs w:val="24"/>
        </w:rPr>
        <w:t>30</w:t>
      </w:r>
    </w:p>
    <w:p w14:paraId="201FA218" w14:textId="4C7F873F" w:rsidR="001E3A8E" w:rsidRDefault="001E3A8E" w:rsidP="001E3A8E">
      <w:pPr>
        <w:rPr>
          <w:rFonts w:ascii="Times New Roman" w:hAnsi="Times New Roman" w:cs="Times New Roman"/>
          <w:szCs w:val="24"/>
        </w:rPr>
      </w:pPr>
      <w:r>
        <w:rPr>
          <w:rFonts w:ascii="Times New Roman" w:hAnsi="Times New Roman" w:cs="Times New Roman"/>
          <w:szCs w:val="24"/>
        </w:rPr>
        <w:tab/>
        <w:t>FIGURE 1………</w:t>
      </w:r>
      <w:proofErr w:type="gramStart"/>
      <w:r>
        <w:rPr>
          <w:rFonts w:ascii="Times New Roman" w:hAnsi="Times New Roman" w:cs="Times New Roman"/>
          <w:szCs w:val="24"/>
        </w:rPr>
        <w:t>…..</w:t>
      </w:r>
      <w:proofErr w:type="gramEnd"/>
      <w:r>
        <w:rPr>
          <w:rFonts w:ascii="Times New Roman" w:hAnsi="Times New Roman" w:cs="Times New Roman"/>
          <w:szCs w:val="24"/>
        </w:rPr>
        <w:t>……………………………………………………………………30</w:t>
      </w:r>
    </w:p>
    <w:p w14:paraId="516958D0" w14:textId="5AB7F9CD" w:rsidR="001E3A8E" w:rsidRDefault="001E3A8E" w:rsidP="00825CEB">
      <w:pPr>
        <w:rPr>
          <w:rFonts w:ascii="Times New Roman" w:hAnsi="Times New Roman" w:cs="Times New Roman"/>
          <w:szCs w:val="24"/>
        </w:rPr>
      </w:pPr>
      <w:r>
        <w:rPr>
          <w:rFonts w:ascii="Times New Roman" w:hAnsi="Times New Roman" w:cs="Times New Roman"/>
          <w:szCs w:val="24"/>
        </w:rPr>
        <w:tab/>
        <w:t>FIGURE 2………</w:t>
      </w:r>
      <w:proofErr w:type="gramStart"/>
      <w:r>
        <w:rPr>
          <w:rFonts w:ascii="Times New Roman" w:hAnsi="Times New Roman" w:cs="Times New Roman"/>
          <w:szCs w:val="24"/>
        </w:rPr>
        <w:t>…..</w:t>
      </w:r>
      <w:proofErr w:type="gramEnd"/>
      <w:r>
        <w:rPr>
          <w:rFonts w:ascii="Times New Roman" w:hAnsi="Times New Roman" w:cs="Times New Roman"/>
          <w:szCs w:val="24"/>
        </w:rPr>
        <w:t>……………………………………………………………………31</w:t>
      </w:r>
    </w:p>
    <w:p w14:paraId="69EE4633" w14:textId="47E2E296" w:rsidR="001E3A8E" w:rsidRDefault="001E3A8E" w:rsidP="00825CEB">
      <w:pPr>
        <w:rPr>
          <w:rFonts w:ascii="Times New Roman" w:hAnsi="Times New Roman" w:cs="Times New Roman"/>
          <w:szCs w:val="24"/>
        </w:rPr>
      </w:pPr>
      <w:r>
        <w:rPr>
          <w:rFonts w:ascii="Times New Roman" w:hAnsi="Times New Roman" w:cs="Times New Roman"/>
          <w:szCs w:val="24"/>
        </w:rPr>
        <w:tab/>
        <w:t>FIGURE 3………</w:t>
      </w:r>
      <w:proofErr w:type="gramStart"/>
      <w:r>
        <w:rPr>
          <w:rFonts w:ascii="Times New Roman" w:hAnsi="Times New Roman" w:cs="Times New Roman"/>
          <w:szCs w:val="24"/>
        </w:rPr>
        <w:t>…..</w:t>
      </w:r>
      <w:proofErr w:type="gramEnd"/>
      <w:r>
        <w:rPr>
          <w:rFonts w:ascii="Times New Roman" w:hAnsi="Times New Roman" w:cs="Times New Roman"/>
          <w:szCs w:val="24"/>
        </w:rPr>
        <w:t>……………………………………………………………………32</w:t>
      </w:r>
    </w:p>
    <w:p w14:paraId="08DB3577" w14:textId="4402F475" w:rsidR="001E3A8E" w:rsidRDefault="001E3A8E" w:rsidP="001E3A8E">
      <w:pPr>
        <w:ind w:firstLine="720"/>
        <w:rPr>
          <w:rFonts w:ascii="Times New Roman" w:hAnsi="Times New Roman" w:cs="Times New Roman"/>
          <w:szCs w:val="24"/>
        </w:rPr>
      </w:pPr>
      <w:r>
        <w:rPr>
          <w:rFonts w:ascii="Times New Roman" w:hAnsi="Times New Roman" w:cs="Times New Roman"/>
          <w:szCs w:val="24"/>
        </w:rPr>
        <w:t>FIGURE 4………</w:t>
      </w:r>
      <w:proofErr w:type="gramStart"/>
      <w:r>
        <w:rPr>
          <w:rFonts w:ascii="Times New Roman" w:hAnsi="Times New Roman" w:cs="Times New Roman"/>
          <w:szCs w:val="24"/>
        </w:rPr>
        <w:t>…..</w:t>
      </w:r>
      <w:proofErr w:type="gramEnd"/>
      <w:r>
        <w:rPr>
          <w:rFonts w:ascii="Times New Roman" w:hAnsi="Times New Roman" w:cs="Times New Roman"/>
          <w:szCs w:val="24"/>
        </w:rPr>
        <w:t>……………………………………………………………………33</w:t>
      </w:r>
    </w:p>
    <w:p w14:paraId="71F9A068" w14:textId="194D4253" w:rsidR="001E3A8E" w:rsidRDefault="001E3A8E" w:rsidP="001E3A8E">
      <w:pPr>
        <w:ind w:firstLine="720"/>
        <w:rPr>
          <w:rFonts w:ascii="Times New Roman" w:hAnsi="Times New Roman" w:cs="Times New Roman"/>
          <w:szCs w:val="24"/>
        </w:rPr>
      </w:pPr>
      <w:r>
        <w:rPr>
          <w:rFonts w:ascii="Times New Roman" w:hAnsi="Times New Roman" w:cs="Times New Roman"/>
          <w:szCs w:val="24"/>
        </w:rPr>
        <w:t>FIGURE 5………</w:t>
      </w:r>
      <w:proofErr w:type="gramStart"/>
      <w:r>
        <w:rPr>
          <w:rFonts w:ascii="Times New Roman" w:hAnsi="Times New Roman" w:cs="Times New Roman"/>
          <w:szCs w:val="24"/>
        </w:rPr>
        <w:t>…..</w:t>
      </w:r>
      <w:proofErr w:type="gramEnd"/>
      <w:r>
        <w:rPr>
          <w:rFonts w:ascii="Times New Roman" w:hAnsi="Times New Roman" w:cs="Times New Roman"/>
          <w:szCs w:val="24"/>
        </w:rPr>
        <w:t>……………………………………………………………………34</w:t>
      </w:r>
    </w:p>
    <w:p w14:paraId="391DAE3F" w14:textId="04FAF993" w:rsidR="001E3A8E" w:rsidRDefault="001E3A8E" w:rsidP="001E3A8E">
      <w:pPr>
        <w:ind w:firstLine="720"/>
        <w:rPr>
          <w:rFonts w:ascii="Times New Roman" w:hAnsi="Times New Roman" w:cs="Times New Roman"/>
          <w:szCs w:val="24"/>
        </w:rPr>
      </w:pPr>
      <w:r>
        <w:rPr>
          <w:rFonts w:ascii="Times New Roman" w:hAnsi="Times New Roman" w:cs="Times New Roman"/>
          <w:szCs w:val="24"/>
        </w:rPr>
        <w:t>FIGURE 6………</w:t>
      </w:r>
      <w:proofErr w:type="gramStart"/>
      <w:r>
        <w:rPr>
          <w:rFonts w:ascii="Times New Roman" w:hAnsi="Times New Roman" w:cs="Times New Roman"/>
          <w:szCs w:val="24"/>
        </w:rPr>
        <w:t>…..</w:t>
      </w:r>
      <w:proofErr w:type="gramEnd"/>
      <w:r>
        <w:rPr>
          <w:rFonts w:ascii="Times New Roman" w:hAnsi="Times New Roman" w:cs="Times New Roman"/>
          <w:szCs w:val="24"/>
        </w:rPr>
        <w:t>……………………………………………………...…………….35</w:t>
      </w:r>
    </w:p>
    <w:p w14:paraId="2B45405D" w14:textId="0D31C97B" w:rsidR="0045278A" w:rsidRPr="007D1120" w:rsidRDefault="0045278A" w:rsidP="001E3A8E">
      <w:pPr>
        <w:ind w:firstLine="720"/>
        <w:rPr>
          <w:rFonts w:ascii="Times New Roman" w:hAnsi="Times New Roman" w:cs="Times New Roman"/>
          <w:szCs w:val="24"/>
        </w:rPr>
      </w:pPr>
      <w:r>
        <w:rPr>
          <w:rFonts w:ascii="Times New Roman" w:hAnsi="Times New Roman" w:cs="Times New Roman"/>
          <w:szCs w:val="24"/>
        </w:rPr>
        <w:t>TABLE 1…………………………………………………………………………………37</w:t>
      </w:r>
    </w:p>
    <w:p w14:paraId="25D9A501" w14:textId="77777777" w:rsidR="00D3178A" w:rsidRDefault="00D3178A" w:rsidP="00B7504F">
      <w:pPr>
        <w:spacing w:line="259" w:lineRule="auto"/>
        <w:rPr>
          <w:rFonts w:ascii="Times New Roman" w:hAnsi="Times New Roman" w:cs="Times New Roman"/>
          <w:szCs w:val="24"/>
        </w:rPr>
      </w:pPr>
    </w:p>
    <w:p w14:paraId="5B790C7B" w14:textId="77777777" w:rsidR="00D3178A" w:rsidRDefault="00D3178A" w:rsidP="00B7504F">
      <w:pPr>
        <w:spacing w:line="259" w:lineRule="auto"/>
        <w:rPr>
          <w:rFonts w:ascii="Times New Roman" w:hAnsi="Times New Roman" w:cs="Times New Roman"/>
          <w:szCs w:val="24"/>
        </w:rPr>
      </w:pPr>
    </w:p>
    <w:p w14:paraId="3E08FADF" w14:textId="77777777" w:rsidR="00D3178A" w:rsidRDefault="00D3178A" w:rsidP="00B7504F">
      <w:pPr>
        <w:spacing w:line="259" w:lineRule="auto"/>
        <w:rPr>
          <w:rFonts w:ascii="Times New Roman" w:hAnsi="Times New Roman" w:cs="Times New Roman"/>
          <w:szCs w:val="24"/>
        </w:rPr>
      </w:pPr>
    </w:p>
    <w:p w14:paraId="4B6300C2" w14:textId="7E45B581" w:rsidR="00B7504F" w:rsidRPr="007D1120" w:rsidRDefault="00B7504F" w:rsidP="00B7504F">
      <w:pPr>
        <w:spacing w:line="259" w:lineRule="auto"/>
        <w:rPr>
          <w:rFonts w:ascii="Times New Roman" w:hAnsi="Times New Roman" w:cs="Times New Roman"/>
          <w:szCs w:val="24"/>
        </w:rPr>
      </w:pPr>
      <w:r w:rsidRPr="007D1120">
        <w:rPr>
          <w:rFonts w:ascii="Times New Roman" w:hAnsi="Times New Roman" w:cs="Times New Roman"/>
          <w:b/>
          <w:bCs/>
          <w:szCs w:val="24"/>
        </w:rPr>
        <w:lastRenderedPageBreak/>
        <w:t>ABSTRACT</w:t>
      </w:r>
    </w:p>
    <w:p w14:paraId="34888055" w14:textId="2482C645" w:rsidR="00460765" w:rsidRPr="007D1120" w:rsidRDefault="00B7504F" w:rsidP="00195211">
      <w:pPr>
        <w:ind w:firstLine="720"/>
        <w:rPr>
          <w:rFonts w:ascii="Times New Roman" w:hAnsi="Times New Roman" w:cs="Times New Roman"/>
          <w:szCs w:val="24"/>
        </w:rPr>
      </w:pPr>
      <w:r w:rsidRPr="007D1120">
        <w:rPr>
          <w:rFonts w:ascii="Times New Roman" w:hAnsi="Times New Roman" w:cs="Times New Roman"/>
          <w:szCs w:val="24"/>
        </w:rPr>
        <w:t xml:space="preserve">Billions of animals seasonally migrate long distances which allows them to exploit resources or favorable environmental conditions across time and space. In addition, long-distance migratory movements may allow animals to temporarily avoid certain hazards such as parasites or diseases associated with a </w:t>
      </w:r>
      <w:proofErr w:type="gramStart"/>
      <w:r w:rsidRPr="007D1120">
        <w:rPr>
          <w:rFonts w:ascii="Times New Roman" w:hAnsi="Times New Roman" w:cs="Times New Roman"/>
          <w:szCs w:val="24"/>
        </w:rPr>
        <w:t>particular habitat</w:t>
      </w:r>
      <w:proofErr w:type="gramEnd"/>
      <w:r w:rsidRPr="007D1120">
        <w:rPr>
          <w:rFonts w:ascii="Times New Roman" w:hAnsi="Times New Roman" w:cs="Times New Roman"/>
          <w:szCs w:val="24"/>
        </w:rPr>
        <w:t>. This concept has been termed “migratory escape”, and it has been applied to taxa ranging from zebras to butterflies. In this study we test whether “migratory escape” applies to human-induced contamination by comparing heavy metal exposure in migratory and non-migratory birds captured at one of the most highly toxic areas in the United States, the Tar Creek Superfund Site (TCSS) in northeastern Oklahoma. Concentrations of lead, cadmium, and zinc (Pb, Cd, Zn) were measured in both the blood and feathers of adult passerines from TCSS and from a non-contaminated reference site. We also sampled nestlings of</w:t>
      </w:r>
      <w:r w:rsidR="0045278A">
        <w:rPr>
          <w:rFonts w:ascii="Times New Roman" w:hAnsi="Times New Roman" w:cs="Times New Roman"/>
          <w:szCs w:val="24"/>
        </w:rPr>
        <w:t xml:space="preserve"> two</w:t>
      </w:r>
      <w:r w:rsidRPr="007D1120">
        <w:rPr>
          <w:rFonts w:ascii="Times New Roman" w:hAnsi="Times New Roman" w:cs="Times New Roman"/>
          <w:szCs w:val="24"/>
        </w:rPr>
        <w:t xml:space="preserve"> migratory swallow</w:t>
      </w:r>
      <w:r w:rsidR="0045278A">
        <w:rPr>
          <w:rFonts w:ascii="Times New Roman" w:hAnsi="Times New Roman" w:cs="Times New Roman"/>
          <w:szCs w:val="24"/>
        </w:rPr>
        <w:t xml:space="preserve"> species</w:t>
      </w:r>
      <w:r w:rsidR="00804A81" w:rsidRPr="007D1120">
        <w:rPr>
          <w:rFonts w:ascii="Times New Roman" w:hAnsi="Times New Roman" w:cs="Times New Roman"/>
          <w:szCs w:val="24"/>
        </w:rPr>
        <w:t>, Northern Rough-winged Swallow</w:t>
      </w:r>
      <w:r w:rsidRPr="007D1120">
        <w:rPr>
          <w:rFonts w:ascii="Times New Roman" w:hAnsi="Times New Roman" w:cs="Times New Roman"/>
          <w:szCs w:val="24"/>
        </w:rPr>
        <w:t xml:space="preserve"> (</w:t>
      </w:r>
      <w:r w:rsidRPr="007D1120">
        <w:rPr>
          <w:rFonts w:ascii="Times New Roman" w:hAnsi="Times New Roman" w:cs="Times New Roman"/>
          <w:i/>
          <w:iCs/>
          <w:szCs w:val="24"/>
        </w:rPr>
        <w:t>Stelgidopteryx</w:t>
      </w:r>
      <w:r w:rsidR="00804A81" w:rsidRPr="007D1120">
        <w:rPr>
          <w:rFonts w:ascii="Times New Roman" w:hAnsi="Times New Roman" w:cs="Times New Roman"/>
          <w:i/>
          <w:iCs/>
          <w:szCs w:val="24"/>
        </w:rPr>
        <w:t xml:space="preserve"> </w:t>
      </w:r>
      <w:r w:rsidR="00EB3B16" w:rsidRPr="007D1120">
        <w:rPr>
          <w:rFonts w:ascii="Times New Roman" w:hAnsi="Times New Roman" w:cs="Times New Roman"/>
          <w:i/>
          <w:iCs/>
          <w:szCs w:val="24"/>
        </w:rPr>
        <w:t>serripennis</w:t>
      </w:r>
      <w:r w:rsidR="00804A81" w:rsidRPr="007D1120">
        <w:rPr>
          <w:rFonts w:ascii="Times New Roman" w:hAnsi="Times New Roman" w:cs="Times New Roman"/>
          <w:szCs w:val="24"/>
        </w:rPr>
        <w:t xml:space="preserve">) </w:t>
      </w:r>
      <w:r w:rsidRPr="007D1120">
        <w:rPr>
          <w:rFonts w:ascii="Times New Roman" w:hAnsi="Times New Roman" w:cs="Times New Roman"/>
          <w:szCs w:val="24"/>
        </w:rPr>
        <w:t>and</w:t>
      </w:r>
      <w:r w:rsidR="00804A81" w:rsidRPr="007D1120">
        <w:rPr>
          <w:rFonts w:ascii="Times New Roman" w:hAnsi="Times New Roman" w:cs="Times New Roman"/>
          <w:szCs w:val="24"/>
        </w:rPr>
        <w:t xml:space="preserve"> Bank Swallow (</w:t>
      </w:r>
      <w:r w:rsidRPr="007D1120">
        <w:rPr>
          <w:rFonts w:ascii="Times New Roman" w:hAnsi="Times New Roman" w:cs="Times New Roman"/>
          <w:i/>
          <w:iCs/>
          <w:szCs w:val="24"/>
        </w:rPr>
        <w:t>Riperia</w:t>
      </w:r>
      <w:r w:rsidR="00804A81" w:rsidRPr="007D1120">
        <w:rPr>
          <w:rFonts w:ascii="Times New Roman" w:hAnsi="Times New Roman" w:cs="Times New Roman"/>
          <w:i/>
          <w:iCs/>
          <w:szCs w:val="24"/>
        </w:rPr>
        <w:t xml:space="preserve"> riperia</w:t>
      </w:r>
      <w:r w:rsidRPr="007D1120">
        <w:rPr>
          <w:rFonts w:ascii="Times New Roman" w:hAnsi="Times New Roman" w:cs="Times New Roman"/>
          <w:szCs w:val="24"/>
        </w:rPr>
        <w:t xml:space="preserve">) to enable comparisons </w:t>
      </w:r>
      <w:r w:rsidR="0045278A">
        <w:rPr>
          <w:rFonts w:ascii="Times New Roman" w:hAnsi="Times New Roman" w:cs="Times New Roman"/>
          <w:szCs w:val="24"/>
        </w:rPr>
        <w:t>between migrants that have never left TCSS and</w:t>
      </w:r>
      <w:r w:rsidRPr="007D1120">
        <w:rPr>
          <w:rFonts w:ascii="Times New Roman" w:hAnsi="Times New Roman" w:cs="Times New Roman"/>
          <w:szCs w:val="24"/>
        </w:rPr>
        <w:t xml:space="preserve"> adult swallows (</w:t>
      </w:r>
      <w:r w:rsidRPr="007D1120">
        <w:rPr>
          <w:rFonts w:ascii="Times New Roman" w:hAnsi="Times New Roman" w:cs="Times New Roman"/>
          <w:i/>
          <w:iCs/>
          <w:szCs w:val="24"/>
        </w:rPr>
        <w:t>i.e.</w:t>
      </w:r>
      <w:r w:rsidRPr="007D1120">
        <w:rPr>
          <w:rFonts w:ascii="Times New Roman" w:hAnsi="Times New Roman" w:cs="Times New Roman"/>
          <w:szCs w:val="24"/>
        </w:rPr>
        <w:t xml:space="preserve"> birds that have migrated at least once). We</w:t>
      </w:r>
      <w:r w:rsidR="0045278A">
        <w:rPr>
          <w:rFonts w:ascii="Times New Roman" w:hAnsi="Times New Roman" w:cs="Times New Roman"/>
          <w:szCs w:val="24"/>
        </w:rPr>
        <w:t xml:space="preserve"> initially</w:t>
      </w:r>
      <w:r w:rsidRPr="007D1120">
        <w:rPr>
          <w:rFonts w:ascii="Times New Roman" w:hAnsi="Times New Roman" w:cs="Times New Roman"/>
          <w:szCs w:val="24"/>
        </w:rPr>
        <w:t xml:space="preserve"> found limited evidence of “migratory escape” </w:t>
      </w:r>
      <w:r w:rsidR="0045278A">
        <w:rPr>
          <w:rFonts w:ascii="Times New Roman" w:hAnsi="Times New Roman" w:cs="Times New Roman"/>
          <w:szCs w:val="24"/>
        </w:rPr>
        <w:t>from a data set wherein</w:t>
      </w:r>
      <w:r w:rsidRPr="007D1120">
        <w:rPr>
          <w:rFonts w:ascii="Times New Roman" w:hAnsi="Times New Roman" w:cs="Times New Roman"/>
          <w:szCs w:val="24"/>
        </w:rPr>
        <w:t xml:space="preserve"> swallows dominat</w:t>
      </w:r>
      <w:r w:rsidR="0045278A">
        <w:rPr>
          <w:rFonts w:ascii="Times New Roman" w:hAnsi="Times New Roman" w:cs="Times New Roman"/>
          <w:szCs w:val="24"/>
        </w:rPr>
        <w:t>ed</w:t>
      </w:r>
      <w:r w:rsidRPr="007D1120">
        <w:rPr>
          <w:rFonts w:ascii="Times New Roman" w:hAnsi="Times New Roman" w:cs="Times New Roman"/>
          <w:szCs w:val="24"/>
        </w:rPr>
        <w:t xml:space="preserve"> our sample of migrant species. More specifically, both resident and migrant birds from TCSS exhibited higher levels of Pb in blood, and Pb, Cd, and Zn in feathers than birds sampled from a non-contaminated reference site. </w:t>
      </w:r>
      <w:r w:rsidR="0045278A">
        <w:rPr>
          <w:rFonts w:ascii="Times New Roman" w:hAnsi="Times New Roman" w:cs="Times New Roman"/>
          <w:szCs w:val="24"/>
        </w:rPr>
        <w:t xml:space="preserve">Also, </w:t>
      </w:r>
      <w:r w:rsidRPr="007D1120">
        <w:rPr>
          <w:rFonts w:ascii="Times New Roman" w:hAnsi="Times New Roman" w:cs="Times New Roman"/>
          <w:szCs w:val="24"/>
        </w:rPr>
        <w:t xml:space="preserve">Pb in feathers and Cd in blood of adult swallows were significantly lower than in nestling swallows. We found strong evidence of “migratory escape” when swallows were excluded from the migrant sample. Non-swallow migrants had significantly lower levels of Pb, Cd, and Zn in feathers than resident species at TCSS. </w:t>
      </w:r>
      <w:r w:rsidR="0045278A">
        <w:rPr>
          <w:rFonts w:ascii="Times New Roman" w:hAnsi="Times New Roman" w:cs="Times New Roman"/>
          <w:szCs w:val="24"/>
        </w:rPr>
        <w:t>The s</w:t>
      </w:r>
      <w:r w:rsidRPr="007D1120">
        <w:rPr>
          <w:rFonts w:ascii="Times New Roman" w:hAnsi="Times New Roman" w:cs="Times New Roman"/>
          <w:szCs w:val="24"/>
        </w:rPr>
        <w:t xml:space="preserve">wallows </w:t>
      </w:r>
      <w:r w:rsidR="0045278A">
        <w:rPr>
          <w:rFonts w:ascii="Times New Roman" w:hAnsi="Times New Roman" w:cs="Times New Roman"/>
          <w:szCs w:val="24"/>
        </w:rPr>
        <w:t xml:space="preserve">we sampled </w:t>
      </w:r>
      <w:r w:rsidRPr="007D1120">
        <w:rPr>
          <w:rFonts w:ascii="Times New Roman" w:hAnsi="Times New Roman" w:cs="Times New Roman"/>
          <w:szCs w:val="24"/>
        </w:rPr>
        <w:t>nest</w:t>
      </w:r>
      <w:r w:rsidR="0045278A">
        <w:rPr>
          <w:rFonts w:ascii="Times New Roman" w:hAnsi="Times New Roman" w:cs="Times New Roman"/>
          <w:szCs w:val="24"/>
        </w:rPr>
        <w:t>ed</w:t>
      </w:r>
      <w:r w:rsidRPr="007D1120">
        <w:rPr>
          <w:rFonts w:ascii="Times New Roman" w:hAnsi="Times New Roman" w:cs="Times New Roman"/>
          <w:szCs w:val="24"/>
        </w:rPr>
        <w:t xml:space="preserve"> directly in the contaminated mine tailings, which may explain why the evidence of “migratory escape” </w:t>
      </w:r>
      <w:r w:rsidR="0045278A">
        <w:rPr>
          <w:rFonts w:ascii="Times New Roman" w:hAnsi="Times New Roman" w:cs="Times New Roman"/>
          <w:szCs w:val="24"/>
        </w:rPr>
        <w:t>was</w:t>
      </w:r>
      <w:r w:rsidRPr="007D1120">
        <w:rPr>
          <w:rFonts w:ascii="Times New Roman" w:hAnsi="Times New Roman" w:cs="Times New Roman"/>
          <w:szCs w:val="24"/>
        </w:rPr>
        <w:t xml:space="preserve"> not as strong</w:t>
      </w:r>
      <w:r w:rsidR="0045278A">
        <w:rPr>
          <w:rFonts w:ascii="Times New Roman" w:hAnsi="Times New Roman" w:cs="Times New Roman"/>
          <w:szCs w:val="24"/>
        </w:rPr>
        <w:t xml:space="preserve"> when swallows were part of the analysis</w:t>
      </w:r>
      <w:r w:rsidRPr="007D1120">
        <w:rPr>
          <w:rFonts w:ascii="Times New Roman" w:hAnsi="Times New Roman" w:cs="Times New Roman"/>
          <w:szCs w:val="24"/>
        </w:rPr>
        <w:t xml:space="preserve">. </w:t>
      </w:r>
      <w:r w:rsidR="0045278A">
        <w:rPr>
          <w:rFonts w:ascii="Times New Roman" w:hAnsi="Times New Roman" w:cs="Times New Roman"/>
          <w:szCs w:val="24"/>
        </w:rPr>
        <w:t>Our</w:t>
      </w:r>
      <w:r w:rsidRPr="007D1120">
        <w:rPr>
          <w:rFonts w:ascii="Times New Roman" w:hAnsi="Times New Roman" w:cs="Times New Roman"/>
          <w:szCs w:val="24"/>
        </w:rPr>
        <w:t xml:space="preserve"> results</w:t>
      </w:r>
      <w:r w:rsidR="0045278A">
        <w:rPr>
          <w:rFonts w:ascii="Times New Roman" w:hAnsi="Times New Roman" w:cs="Times New Roman"/>
          <w:szCs w:val="24"/>
        </w:rPr>
        <w:t xml:space="preserve"> generally</w:t>
      </w:r>
      <w:r w:rsidRPr="007D1120">
        <w:rPr>
          <w:rFonts w:ascii="Times New Roman" w:hAnsi="Times New Roman" w:cs="Times New Roman"/>
          <w:szCs w:val="24"/>
        </w:rPr>
        <w:t xml:space="preserve"> align with the idea that migrants benefit from </w:t>
      </w:r>
      <w:r w:rsidRPr="007D1120">
        <w:rPr>
          <w:rFonts w:ascii="Times New Roman" w:hAnsi="Times New Roman" w:cs="Times New Roman"/>
          <w:szCs w:val="24"/>
        </w:rPr>
        <w:lastRenderedPageBreak/>
        <w:t>migration by escaping long-term exposure to toxic heavy metals. “Migratory escape” studies have previously focused on disease and parasites; this is the first study to apply this concept to human-induced contamination.</w:t>
      </w:r>
    </w:p>
    <w:p w14:paraId="18842C5A" w14:textId="77777777" w:rsidR="00460765" w:rsidRPr="007D1120" w:rsidRDefault="00460765" w:rsidP="00B7504F">
      <w:pPr>
        <w:rPr>
          <w:rFonts w:ascii="Times New Roman" w:hAnsi="Times New Roman" w:cs="Times New Roman"/>
          <w:szCs w:val="24"/>
        </w:rPr>
        <w:sectPr w:rsidR="00460765" w:rsidRPr="007D1120" w:rsidSect="00E66C91">
          <w:footerReference w:type="default" r:id="rId11"/>
          <w:pgSz w:w="12240" w:h="15840"/>
          <w:pgMar w:top="1440" w:right="1440" w:bottom="1440" w:left="1440" w:header="720" w:footer="720" w:gutter="0"/>
          <w:pgNumType w:fmt="lowerRoman" w:start="5"/>
          <w:cols w:space="720"/>
          <w:docGrid w:linePitch="360"/>
        </w:sectPr>
      </w:pPr>
    </w:p>
    <w:p w14:paraId="4A6F01A8" w14:textId="77777777" w:rsidR="00B4399D" w:rsidRPr="007D1120" w:rsidRDefault="00B4399D" w:rsidP="00B4399D">
      <w:pPr>
        <w:pStyle w:val="NormalWeb"/>
        <w:spacing w:before="240" w:beforeAutospacing="0" w:after="240" w:afterAutospacing="0" w:line="480" w:lineRule="auto"/>
      </w:pPr>
      <w:r w:rsidRPr="007D1120">
        <w:rPr>
          <w:b/>
          <w:bCs/>
          <w:color w:val="000000"/>
        </w:rPr>
        <w:lastRenderedPageBreak/>
        <w:t>INTRODUCTION</w:t>
      </w:r>
    </w:p>
    <w:p w14:paraId="1F9F76C1" w14:textId="77777777" w:rsidR="00B4399D" w:rsidRPr="007D1120" w:rsidRDefault="00B4399D" w:rsidP="00B4399D">
      <w:pPr>
        <w:pStyle w:val="NormalWeb"/>
        <w:spacing w:before="240" w:beforeAutospacing="0" w:after="240" w:afterAutospacing="0" w:line="480" w:lineRule="auto"/>
        <w:ind w:firstLine="720"/>
      </w:pPr>
      <w:r w:rsidRPr="007D1120">
        <w:rPr>
          <w:color w:val="000000"/>
        </w:rPr>
        <w:t>Migration allows animals to exploit seasonal changes in resource distributions across space and time, and this capacity to track resources is presumably the primary driver for the evolution and maintenance of migration behavior (Greenberg and Marra, 2005). However, there may be less obvious benefits associated with a migratory life history. One potential benefit is that migratory birds may temporarily avoid detrimental aspects of their breeding or wintering areas. For example, if parasites or pathogens accumulate in the hosts’ environment over time, animals may escape these hazards by migrating. This concept, termed “migratory escape”, suggests that disease, parasites, and predators are powerful selective forces driving migratory behavior (Loehle, 1995). In this study we extend the concept of “migratory escape” to apply to heavy metal contamination that results from mining activities. Although industrial scale mining and the associated contamination have not contributed to the origin and maintenance of migration on an evolutionary timescale, it is possible that exposure to heavy metals exerts selection on animal populations in a manner that could favor migratory behavior.</w:t>
      </w:r>
    </w:p>
    <w:p w14:paraId="439B9318" w14:textId="0D9E5621" w:rsidR="00B4399D" w:rsidRPr="007D1120" w:rsidRDefault="00B4399D" w:rsidP="00B4399D">
      <w:pPr>
        <w:pStyle w:val="NormalWeb"/>
        <w:spacing w:before="240" w:beforeAutospacing="0" w:after="240" w:afterAutospacing="0" w:line="480" w:lineRule="auto"/>
        <w:ind w:firstLine="720"/>
      </w:pPr>
      <w:r w:rsidRPr="007D1120">
        <w:rPr>
          <w:color w:val="000000"/>
        </w:rPr>
        <w:t>“Migratory escape,” traditionally refers to the tendency for migratory animals to avoid exposure to parasites, pathogens, and predators (Loehle, 1995). For example, in a sedentary population of Monarch butterflies (</w:t>
      </w:r>
      <w:r w:rsidRPr="007D1120">
        <w:rPr>
          <w:i/>
          <w:iCs/>
          <w:color w:val="000000"/>
        </w:rPr>
        <w:t>Danaus plexippus</w:t>
      </w:r>
      <w:r w:rsidRPr="007D1120">
        <w:rPr>
          <w:color w:val="000000"/>
        </w:rPr>
        <w:t xml:space="preserve">), parasite infestation increased from early to late in the breeding season; whereas monarchs that overwintered in Mexico had lower parasite loads (Bartel et al., 2011). Similarly, comparisons of migratory and non-migratory populations of galaxiid fish (genus </w:t>
      </w:r>
      <w:r w:rsidRPr="007D1120">
        <w:rPr>
          <w:i/>
          <w:iCs/>
          <w:color w:val="000000"/>
        </w:rPr>
        <w:t>Galaxias</w:t>
      </w:r>
      <w:r w:rsidRPr="007D1120">
        <w:rPr>
          <w:color w:val="000000"/>
        </w:rPr>
        <w:t>;), Dark-eyed Juncos (</w:t>
      </w:r>
      <w:r w:rsidRPr="007D1120">
        <w:rPr>
          <w:i/>
          <w:iCs/>
          <w:color w:val="000000"/>
        </w:rPr>
        <w:t xml:space="preserve">Junco </w:t>
      </w:r>
      <w:proofErr w:type="spellStart"/>
      <w:r w:rsidRPr="007D1120">
        <w:rPr>
          <w:i/>
          <w:iCs/>
          <w:color w:val="000000"/>
        </w:rPr>
        <w:t>hyemalis</w:t>
      </w:r>
      <w:proofErr w:type="spellEnd"/>
      <w:r w:rsidRPr="007D1120">
        <w:rPr>
          <w:color w:val="000000"/>
        </w:rPr>
        <w:t>), and Reindeer (</w:t>
      </w:r>
      <w:r w:rsidRPr="007D1120">
        <w:rPr>
          <w:i/>
          <w:iCs/>
          <w:color w:val="000000"/>
        </w:rPr>
        <w:t xml:space="preserve">Rangifer </w:t>
      </w:r>
      <w:proofErr w:type="spellStart"/>
      <w:r w:rsidRPr="007D1120">
        <w:rPr>
          <w:i/>
          <w:iCs/>
          <w:color w:val="000000"/>
        </w:rPr>
        <w:t>tarandus</w:t>
      </w:r>
      <w:proofErr w:type="spellEnd"/>
      <w:r w:rsidRPr="007D1120">
        <w:rPr>
          <w:color w:val="000000"/>
        </w:rPr>
        <w:t xml:space="preserve">) have shown evidence of reduced parasite exposure in association with a migratory life history (Poulin et al., 2012; </w:t>
      </w:r>
      <w:proofErr w:type="spellStart"/>
      <w:r w:rsidRPr="007D1120">
        <w:rPr>
          <w:color w:val="000000"/>
        </w:rPr>
        <w:t>Slowinski</w:t>
      </w:r>
      <w:proofErr w:type="spellEnd"/>
      <w:r w:rsidRPr="007D1120">
        <w:rPr>
          <w:color w:val="000000"/>
        </w:rPr>
        <w:t xml:space="preserve"> et al., 2018; </w:t>
      </w:r>
      <w:proofErr w:type="spellStart"/>
      <w:r w:rsidRPr="007D1120">
        <w:rPr>
          <w:color w:val="000000"/>
        </w:rPr>
        <w:t>Folstad</w:t>
      </w:r>
      <w:proofErr w:type="spellEnd"/>
      <w:r w:rsidRPr="007D1120">
        <w:rPr>
          <w:color w:val="000000"/>
        </w:rPr>
        <w:t xml:space="preserve"> et al., 1991). Support for “migratory </w:t>
      </w:r>
      <w:r w:rsidRPr="007D1120">
        <w:rPr>
          <w:color w:val="000000"/>
        </w:rPr>
        <w:lastRenderedPageBreak/>
        <w:t xml:space="preserve">escape” as a form of pathogen avoidance comes from computer models </w:t>
      </w:r>
      <w:r w:rsidR="009C3361">
        <w:rPr>
          <w:color w:val="000000"/>
        </w:rPr>
        <w:t>that employ a</w:t>
      </w:r>
      <w:r w:rsidRPr="007D1120">
        <w:rPr>
          <w:color w:val="000000"/>
        </w:rPr>
        <w:t xml:space="preserve"> pathogen-migration framework </w:t>
      </w:r>
      <w:r w:rsidR="009C3361">
        <w:rPr>
          <w:color w:val="000000"/>
        </w:rPr>
        <w:t>to predict</w:t>
      </w:r>
      <w:r w:rsidRPr="007D1120">
        <w:rPr>
          <w:color w:val="000000"/>
        </w:rPr>
        <w:t xml:space="preserve"> lower disease prevalence for animals that seasonally migrate (Hall et al., 2014; Johns and Shaw, 2016). Finally, “migratory escape” may apply to forms of predation </w:t>
      </w:r>
      <w:r w:rsidRPr="009330AF">
        <w:rPr>
          <w:color w:val="000000"/>
        </w:rPr>
        <w:t>wherein the predators are unwilling</w:t>
      </w:r>
      <w:r w:rsidR="009330AF" w:rsidRPr="009330AF">
        <w:rPr>
          <w:b/>
          <w:bCs/>
          <w:color w:val="000000"/>
        </w:rPr>
        <w:t xml:space="preserve"> </w:t>
      </w:r>
      <w:r w:rsidRPr="009330AF">
        <w:rPr>
          <w:color w:val="000000"/>
        </w:rPr>
        <w:t>or unable</w:t>
      </w:r>
      <w:r w:rsidRPr="007D1120">
        <w:rPr>
          <w:color w:val="000000"/>
        </w:rPr>
        <w:t xml:space="preserve"> to pursue migrating prey (</w:t>
      </w:r>
      <w:proofErr w:type="spellStart"/>
      <w:r w:rsidRPr="007D1120">
        <w:rPr>
          <w:color w:val="000000"/>
        </w:rPr>
        <w:t>Avgar</w:t>
      </w:r>
      <w:proofErr w:type="spellEnd"/>
      <w:r w:rsidRPr="007D1120">
        <w:rPr>
          <w:color w:val="000000"/>
        </w:rPr>
        <w:t xml:space="preserve"> et al., 2014). For example, </w:t>
      </w:r>
      <w:proofErr w:type="spellStart"/>
      <w:r w:rsidRPr="007D1120">
        <w:rPr>
          <w:color w:val="000000"/>
        </w:rPr>
        <w:t>Gliwicz</w:t>
      </w:r>
      <w:proofErr w:type="spellEnd"/>
      <w:r w:rsidRPr="007D1120">
        <w:rPr>
          <w:color w:val="000000"/>
        </w:rPr>
        <w:t xml:space="preserve"> (1986), demonstrated that zooplankton exhibit diel </w:t>
      </w:r>
      <w:r w:rsidRPr="006A7741">
        <w:rPr>
          <w:color w:val="000000"/>
        </w:rPr>
        <w:t>vertical migration in lakes containing predatory fish whereas the behavior is not apparent in lakes without predators. The implication is that vertical migration functions as a predator avoidance strategy.</w:t>
      </w:r>
    </w:p>
    <w:p w14:paraId="4266D669" w14:textId="3D7FA997" w:rsidR="00B4399D" w:rsidRPr="007D1120" w:rsidRDefault="00B4399D" w:rsidP="00B4399D">
      <w:pPr>
        <w:pStyle w:val="NormalWeb"/>
        <w:spacing w:before="240" w:beforeAutospacing="0" w:after="240" w:afterAutospacing="0" w:line="480" w:lineRule="auto"/>
        <w:ind w:firstLine="720"/>
      </w:pPr>
      <w:r w:rsidRPr="007D1120">
        <w:rPr>
          <w:color w:val="000000"/>
        </w:rPr>
        <w:t>It is likely that migratory behavior has evolved in the context of natural hazards in the form of parasites, pathogens, and predators (Shaw and Binning, 2020). However, humans have introduced several new hazards for wildlife, one of the most pervasive being environmental contamination by heavy metals. Heavy metals in the environment adversely affect living organisms by making them susceptible to illnesses and developmental abnormalities (</w:t>
      </w:r>
      <w:proofErr w:type="spellStart"/>
      <w:r w:rsidRPr="007D1120">
        <w:rPr>
          <w:color w:val="000000"/>
        </w:rPr>
        <w:t>Borghesi</w:t>
      </w:r>
      <w:proofErr w:type="spellEnd"/>
      <w:r w:rsidRPr="007D1120">
        <w:rPr>
          <w:color w:val="000000"/>
        </w:rPr>
        <w:t xml:space="preserve"> et al., 2017). Although heavy metals occur naturally, human activities have resulted in dramatic increases in the bioavailability of heavy metals in mining sites and industrial areas. At present, </w:t>
      </w:r>
      <w:r w:rsidRPr="00F95883">
        <w:rPr>
          <w:color w:val="000000"/>
        </w:rPr>
        <w:t>human activity has driven approximately half of all metal fluctuation in the environment (Paris et al., 2015). Birds are highly sensitive and particularly vulnerable to heavy metal exposure</w:t>
      </w:r>
      <w:r w:rsidR="00F63F2D" w:rsidRPr="00F95883">
        <w:rPr>
          <w:color w:val="000000"/>
        </w:rPr>
        <w:t xml:space="preserve"> </w:t>
      </w:r>
      <w:r w:rsidRPr="00F95883">
        <w:rPr>
          <w:color w:val="000000"/>
        </w:rPr>
        <w:t>and can be adversely affected by relatively low heavy metal concentrations (</w:t>
      </w:r>
      <w:proofErr w:type="spellStart"/>
      <w:r w:rsidRPr="00F95883">
        <w:rPr>
          <w:color w:val="000000"/>
        </w:rPr>
        <w:t>Markowski</w:t>
      </w:r>
      <w:proofErr w:type="spellEnd"/>
      <w:r w:rsidRPr="00F95883">
        <w:rPr>
          <w:color w:val="000000"/>
        </w:rPr>
        <w:t xml:space="preserve"> et al., 2013). For example, Golden eagles (</w:t>
      </w:r>
      <w:r w:rsidRPr="00F95883">
        <w:rPr>
          <w:i/>
          <w:iCs/>
          <w:color w:val="000000"/>
        </w:rPr>
        <w:t xml:space="preserve">Aquila </w:t>
      </w:r>
      <w:proofErr w:type="spellStart"/>
      <w:r w:rsidRPr="00F95883">
        <w:rPr>
          <w:i/>
          <w:iCs/>
          <w:color w:val="000000"/>
        </w:rPr>
        <w:t>chrysaetos</w:t>
      </w:r>
      <w:proofErr w:type="spellEnd"/>
      <w:r w:rsidRPr="00F95883">
        <w:rPr>
          <w:color w:val="000000"/>
        </w:rPr>
        <w:t>) exposed to lead exhibited reduced activity levels (</w:t>
      </w:r>
      <w:proofErr w:type="spellStart"/>
      <w:r w:rsidRPr="00F95883">
        <w:rPr>
          <w:color w:val="000000"/>
        </w:rPr>
        <w:t>Ecke</w:t>
      </w:r>
      <w:proofErr w:type="spellEnd"/>
      <w:r w:rsidRPr="00F95883">
        <w:rPr>
          <w:color w:val="000000"/>
        </w:rPr>
        <w:t xml:space="preserve"> et al., 2017), and Great tits (</w:t>
      </w:r>
      <w:proofErr w:type="spellStart"/>
      <w:r w:rsidRPr="00F95883">
        <w:rPr>
          <w:i/>
          <w:iCs/>
          <w:color w:val="000000"/>
        </w:rPr>
        <w:t>Parus</w:t>
      </w:r>
      <w:proofErr w:type="spellEnd"/>
      <w:r w:rsidRPr="00F95883">
        <w:rPr>
          <w:i/>
          <w:iCs/>
          <w:color w:val="000000"/>
        </w:rPr>
        <w:t xml:space="preserve"> major</w:t>
      </w:r>
      <w:r w:rsidRPr="00F95883">
        <w:rPr>
          <w:color w:val="000000"/>
        </w:rPr>
        <w:t>) living near a metal pollution source experienced reduced novel environment exploration behavior, an important personality trait (</w:t>
      </w:r>
      <w:proofErr w:type="spellStart"/>
      <w:r w:rsidRPr="00F95883">
        <w:rPr>
          <w:color w:val="000000"/>
        </w:rPr>
        <w:t>Grunst</w:t>
      </w:r>
      <w:proofErr w:type="spellEnd"/>
      <w:r w:rsidRPr="00F95883">
        <w:rPr>
          <w:color w:val="000000"/>
        </w:rPr>
        <w:t xml:space="preserve"> et al., 2019).</w:t>
      </w:r>
    </w:p>
    <w:p w14:paraId="7E3C5A0D" w14:textId="39E10D85" w:rsidR="00B4399D" w:rsidRPr="00B74485" w:rsidRDefault="00B4399D" w:rsidP="00B4399D">
      <w:pPr>
        <w:pStyle w:val="NormalWeb"/>
        <w:spacing w:before="240" w:beforeAutospacing="0" w:after="0" w:afterAutospacing="0" w:line="480" w:lineRule="auto"/>
        <w:ind w:firstLine="720"/>
      </w:pPr>
      <w:r w:rsidRPr="007D1120">
        <w:rPr>
          <w:color w:val="000000"/>
        </w:rPr>
        <w:lastRenderedPageBreak/>
        <w:t xml:space="preserve">The current study focuses on three heavy metals: lead (Pb), cadmium (Cd), and zinc (Zn); which number </w:t>
      </w:r>
      <w:r w:rsidRPr="006A7741">
        <w:rPr>
          <w:color w:val="000000"/>
        </w:rPr>
        <w:t>among the seven heavy metals of greatest environmental concern (Han et al, 2002). Pb and Cd are non-essential and highly toxic, while Zn is essential yet toxic in large amounts. Blood Pb has a short biological half-life--around two weeks in birds, so Pb blood concentrations indicate recent absorption (Pain et al., 2009). Pb absorption can cause</w:t>
      </w:r>
      <w:r w:rsidRPr="007D1120">
        <w:rPr>
          <w:color w:val="000000"/>
        </w:rPr>
        <w:t xml:space="preserve"> detrimental reproductive, and </w:t>
      </w:r>
      <w:r w:rsidRPr="007E38CF">
        <w:rPr>
          <w:color w:val="000000"/>
        </w:rPr>
        <w:t>hematologic</w:t>
      </w:r>
      <w:r w:rsidR="00D84661">
        <w:rPr>
          <w:color w:val="000000"/>
        </w:rPr>
        <w:t xml:space="preserve"> effects</w:t>
      </w:r>
      <w:r w:rsidRPr="007E38CF">
        <w:rPr>
          <w:color w:val="000000"/>
        </w:rPr>
        <w:t xml:space="preserve"> (</w:t>
      </w:r>
      <w:proofErr w:type="spellStart"/>
      <w:r w:rsidRPr="007E38CF">
        <w:rPr>
          <w:color w:val="000000"/>
        </w:rPr>
        <w:t>Gochfeld</w:t>
      </w:r>
      <w:proofErr w:type="spellEnd"/>
      <w:r w:rsidR="007E38CF" w:rsidRPr="007E38CF">
        <w:rPr>
          <w:color w:val="000000"/>
        </w:rPr>
        <w:t xml:space="preserve"> and Burger</w:t>
      </w:r>
      <w:r w:rsidRPr="007E38CF">
        <w:rPr>
          <w:color w:val="000000"/>
        </w:rPr>
        <w:t>, 2000) and</w:t>
      </w:r>
      <w:r w:rsidRPr="007D1120">
        <w:rPr>
          <w:color w:val="000000"/>
        </w:rPr>
        <w:t xml:space="preserve"> can permanently affect brain function (Stansfield et al., 2012); it</w:t>
      </w:r>
      <w:r w:rsidRPr="007D1120">
        <w:rPr>
          <w:color w:val="000000"/>
          <w:shd w:val="clear" w:color="auto" w:fill="FFFFFF"/>
        </w:rPr>
        <w:t xml:space="preserve"> is believed that </w:t>
      </w:r>
      <w:r w:rsidR="00D84661">
        <w:rPr>
          <w:color w:val="000000"/>
          <w:shd w:val="clear" w:color="auto" w:fill="FFFFFF"/>
        </w:rPr>
        <w:t>Pb exposure</w:t>
      </w:r>
      <w:r w:rsidRPr="007D1120">
        <w:rPr>
          <w:color w:val="000000"/>
          <w:shd w:val="clear" w:color="auto" w:fill="FFFFFF"/>
        </w:rPr>
        <w:t xml:space="preserve"> is one of the causes of learning and behavioral problems in humans (Dietrich et al., 1987). </w:t>
      </w:r>
      <w:r w:rsidRPr="007D1120">
        <w:rPr>
          <w:color w:val="000000"/>
        </w:rPr>
        <w:t>Cd has a long biological half-life, so concentrations increase with age and are highest in the kidneys and liver (Kushwaha, 2016; Furness, 1996). Cd negatively affects growth and reproduction of birds (</w:t>
      </w:r>
      <w:proofErr w:type="spellStart"/>
      <w:r w:rsidRPr="007D1120">
        <w:rPr>
          <w:color w:val="000000"/>
        </w:rPr>
        <w:t>Spahn</w:t>
      </w:r>
      <w:proofErr w:type="spellEnd"/>
      <w:r w:rsidRPr="007D1120">
        <w:rPr>
          <w:color w:val="000000"/>
        </w:rPr>
        <w:t xml:space="preserve"> and Sherry, 1999; Feng et al., 2001). Finally, Zn is essential for feather formation (</w:t>
      </w:r>
      <w:proofErr w:type="spellStart"/>
      <w:r w:rsidRPr="00B74485">
        <w:rPr>
          <w:color w:val="000000"/>
        </w:rPr>
        <w:t>Kushawa</w:t>
      </w:r>
      <w:proofErr w:type="spellEnd"/>
      <w:r w:rsidRPr="00B74485">
        <w:rPr>
          <w:color w:val="000000"/>
        </w:rPr>
        <w:t xml:space="preserve">, 2016), but persistent exposure can cause adverse health effects </w:t>
      </w:r>
      <w:r w:rsidR="00D84661">
        <w:rPr>
          <w:color w:val="000000"/>
        </w:rPr>
        <w:t>via degradation of</w:t>
      </w:r>
      <w:r w:rsidRPr="00B74485">
        <w:rPr>
          <w:color w:val="000000"/>
        </w:rPr>
        <w:t xml:space="preserve"> the kidneys and pancreas (Chow and Pollock, 20</w:t>
      </w:r>
      <w:r w:rsidR="00070775" w:rsidRPr="00B74485">
        <w:rPr>
          <w:color w:val="000000"/>
        </w:rPr>
        <w:t>09</w:t>
      </w:r>
      <w:r w:rsidRPr="00B74485">
        <w:rPr>
          <w:color w:val="000000"/>
        </w:rPr>
        <w:t>). </w:t>
      </w:r>
    </w:p>
    <w:p w14:paraId="6C5791BE" w14:textId="0D2A0071" w:rsidR="00B4399D" w:rsidRPr="007D1120" w:rsidRDefault="00B4399D" w:rsidP="00D84661">
      <w:pPr>
        <w:pStyle w:val="NormalWeb"/>
        <w:spacing w:before="240" w:beforeAutospacing="0" w:after="240" w:afterAutospacing="0" w:line="480" w:lineRule="auto"/>
        <w:ind w:firstLine="720"/>
      </w:pPr>
      <w:r w:rsidRPr="007D1120">
        <w:rPr>
          <w:color w:val="000000"/>
        </w:rPr>
        <w:t>We compared concentrations of Pb, Cd, and Zn in migratory and non-migratory birds captured during the summer breeding season at the Tar Creek Superfund Site (TCSS) in Northeastern Oklahoma, where all three of these metals are found in high quantities in various environmental media (</w:t>
      </w:r>
      <w:r w:rsidR="007F4EE9" w:rsidRPr="007D1120">
        <w:rPr>
          <w:color w:val="000000"/>
        </w:rPr>
        <w:t xml:space="preserve">Hu et </w:t>
      </w:r>
      <w:r w:rsidR="007F4EE9" w:rsidRPr="00852365">
        <w:rPr>
          <w:color w:val="000000"/>
        </w:rPr>
        <w:t>al.</w:t>
      </w:r>
      <w:r w:rsidRPr="00852365">
        <w:rPr>
          <w:color w:val="000000"/>
        </w:rPr>
        <w:t xml:space="preserve">, 2007; </w:t>
      </w:r>
      <w:proofErr w:type="spellStart"/>
      <w:r w:rsidRPr="00852365">
        <w:rPr>
          <w:color w:val="000000"/>
        </w:rPr>
        <w:t>Juracek</w:t>
      </w:r>
      <w:proofErr w:type="spellEnd"/>
      <w:r w:rsidRPr="00852365">
        <w:rPr>
          <w:color w:val="000000"/>
        </w:rPr>
        <w:t xml:space="preserve">, 2013). </w:t>
      </w:r>
      <w:r w:rsidR="00D84661">
        <w:rPr>
          <w:color w:val="000000"/>
        </w:rPr>
        <w:t xml:space="preserve">To minimize invasive and/or destructive procedures, we </w:t>
      </w:r>
      <w:r w:rsidRPr="007D1120">
        <w:rPr>
          <w:color w:val="000000"/>
        </w:rPr>
        <w:t>collected</w:t>
      </w:r>
      <w:r w:rsidR="00D84661">
        <w:rPr>
          <w:color w:val="000000"/>
        </w:rPr>
        <w:t xml:space="preserve"> only</w:t>
      </w:r>
      <w:r w:rsidRPr="007D1120">
        <w:rPr>
          <w:color w:val="000000"/>
        </w:rPr>
        <w:t xml:space="preserve"> blood and feathers from </w:t>
      </w:r>
      <w:r w:rsidR="00D84661">
        <w:rPr>
          <w:color w:val="000000"/>
        </w:rPr>
        <w:t xml:space="preserve">each captured bird, and we sampled from </w:t>
      </w:r>
      <w:r w:rsidRPr="007D1120">
        <w:rPr>
          <w:color w:val="000000"/>
        </w:rPr>
        <w:t xml:space="preserve">nestling migrants and adults of both migratory and resident species. We also collected the same tissues from birds at a nearby, uncontaminated reference site. We sought to test four specific predictions. First, we predicted that TCSS residents and migrants should have elevated levels of Pb, Cd, Zn when compared to birds from the reference site. In accordance with the “migration escape” paradigm, our second prediction was that residents of TCSS would have higher </w:t>
      </w:r>
      <w:r w:rsidRPr="007D1120">
        <w:rPr>
          <w:color w:val="000000"/>
        </w:rPr>
        <w:lastRenderedPageBreak/>
        <w:t xml:space="preserve">contamination levels than migrants in the same contaminated habitat. Third, we predicted that nestlings of migratory species in the TCSS would have higher contaminant levels than adults of the same </w:t>
      </w:r>
      <w:r w:rsidRPr="00F95883">
        <w:rPr>
          <w:color w:val="000000"/>
        </w:rPr>
        <w:t>species. Finally, our fourth prediction was that contaminant levels in blood and feathers should be correlated across individuals.</w:t>
      </w:r>
      <w:r w:rsidR="00D84661">
        <w:rPr>
          <w:color w:val="000000"/>
        </w:rPr>
        <w:t xml:space="preserve"> </w:t>
      </w:r>
      <w:r w:rsidR="00D84661">
        <w:rPr>
          <w:color w:val="000000"/>
        </w:rPr>
        <w:t xml:space="preserve">This fourth general prediction </w:t>
      </w:r>
      <w:proofErr w:type="gramStart"/>
      <w:r w:rsidR="00D84661">
        <w:rPr>
          <w:color w:val="000000"/>
        </w:rPr>
        <w:t>is based on an assumption</w:t>
      </w:r>
      <w:proofErr w:type="gramEnd"/>
      <w:r w:rsidR="00D84661">
        <w:rPr>
          <w:color w:val="000000"/>
        </w:rPr>
        <w:t xml:space="preserve"> that the birds were exposed to toxins in a generalized manner such that contaminant loads for one metal can predict that of the others. Similarly, we expected indices from the blood and feathers of the same individual to be similar. Finally, we expected correlations across different metals and tissues to be most pronounced in resident </w:t>
      </w:r>
      <w:r w:rsidR="00D84661">
        <w:rPr>
          <w:color w:val="000000"/>
        </w:rPr>
        <w:t>species because</w:t>
      </w:r>
      <w:r w:rsidR="00D84661">
        <w:rPr>
          <w:color w:val="000000"/>
        </w:rPr>
        <w:t xml:space="preserve"> they will have the most consistent exposure. </w:t>
      </w:r>
    </w:p>
    <w:p w14:paraId="767F0AF3" w14:textId="78D6E383" w:rsidR="00B4399D" w:rsidRPr="00F95883" w:rsidRDefault="00B4399D" w:rsidP="00B4399D">
      <w:pPr>
        <w:pStyle w:val="NormalWeb"/>
        <w:spacing w:before="240" w:beforeAutospacing="0" w:after="240" w:afterAutospacing="0" w:line="480" w:lineRule="auto"/>
        <w:ind w:firstLine="720"/>
      </w:pPr>
      <w:r w:rsidRPr="007D1120">
        <w:rPr>
          <w:color w:val="000000"/>
        </w:rPr>
        <w:t>The concept of “migratory escape” has so far only been applied to naturally occurring hazards (</w:t>
      </w:r>
      <w:proofErr w:type="spellStart"/>
      <w:r w:rsidRPr="007D1120">
        <w:rPr>
          <w:color w:val="000000"/>
        </w:rPr>
        <w:t>Altizer</w:t>
      </w:r>
      <w:proofErr w:type="spellEnd"/>
      <w:r w:rsidRPr="007D1120">
        <w:rPr>
          <w:color w:val="000000"/>
        </w:rPr>
        <w:t xml:space="preserve"> et al., 2011), and our study is the first effort to evaluate “migratory escape” in the context of anthropogenic heavy metal contamination. Captive studies have been used widely for measuring heavy </w:t>
      </w:r>
      <w:r w:rsidRPr="00F95883">
        <w:rPr>
          <w:color w:val="000000"/>
        </w:rPr>
        <w:t>metal concentrations in animals, but there are few in situ field studies illustrating heavy metal contaminant levels on free-ranging avian communities. In addition to this novel evaluation “migratory escape”, monitoring birds at the TCSS can give us insight into the environmental health and changing biodiversity of the TCSS as remediation efforts</w:t>
      </w:r>
      <w:r w:rsidR="00D84661">
        <w:rPr>
          <w:color w:val="000000"/>
        </w:rPr>
        <w:t xml:space="preserve"> there</w:t>
      </w:r>
      <w:r w:rsidRPr="00F95883">
        <w:rPr>
          <w:color w:val="000000"/>
        </w:rPr>
        <w:t xml:space="preserve"> continue. </w:t>
      </w:r>
    </w:p>
    <w:p w14:paraId="5F38358B" w14:textId="1B8F717E" w:rsidR="003054ED" w:rsidRPr="00F95883" w:rsidRDefault="003054ED" w:rsidP="004E5C3A">
      <w:pPr>
        <w:pStyle w:val="NormalWeb"/>
        <w:spacing w:line="480" w:lineRule="auto"/>
      </w:pPr>
      <w:r w:rsidRPr="00F95883">
        <w:rPr>
          <w:b/>
          <w:bCs/>
        </w:rPr>
        <w:t>METHODS</w:t>
      </w:r>
    </w:p>
    <w:p w14:paraId="6EB9BD38" w14:textId="5082D1A7" w:rsidR="00E30D07" w:rsidRPr="007D1120" w:rsidRDefault="003054ED" w:rsidP="004E5C3A">
      <w:pPr>
        <w:pStyle w:val="NormalWeb"/>
        <w:spacing w:line="480" w:lineRule="auto"/>
        <w:ind w:firstLine="720"/>
      </w:pPr>
      <w:r w:rsidRPr="00F95883">
        <w:rPr>
          <w:i/>
          <w:iCs/>
        </w:rPr>
        <w:t>Study Sites</w:t>
      </w:r>
      <w:r w:rsidRPr="00F95883">
        <w:t xml:space="preserve">—We sampled feathers and blood from </w:t>
      </w:r>
      <w:r w:rsidR="00F95883">
        <w:t>passerines</w:t>
      </w:r>
      <w:r w:rsidRPr="00F95883">
        <w:t xml:space="preserve"> in contaminated</w:t>
      </w:r>
      <w:r w:rsidRPr="007D1120">
        <w:t xml:space="preserve"> sites within the TCSS and in a reference site approximately 50 km to the Southwest. TCSS encompasses the Oklahoma portion of the former Tri-State Mining District which included Northeastern Oklahoma, Southeastern Kansas, and Southwestern Missouri (see Figure 1).</w:t>
      </w:r>
    </w:p>
    <w:p w14:paraId="0A6AF8B4" w14:textId="64B98B2B" w:rsidR="003054ED" w:rsidRPr="007D1120" w:rsidRDefault="003054ED" w:rsidP="004E5C3A">
      <w:pPr>
        <w:pStyle w:val="NormalWeb"/>
        <w:spacing w:line="480" w:lineRule="auto"/>
        <w:ind w:firstLine="720"/>
      </w:pPr>
      <w:r w:rsidRPr="007D1120">
        <w:lastRenderedPageBreak/>
        <w:t xml:space="preserve">The Tri-State Mining District extracted massive quantities of Pb and Zn during the mid-twentieth century that produced, among other things, </w:t>
      </w:r>
      <w:r w:rsidR="00646821" w:rsidRPr="007D1120">
        <w:t>the majority of</w:t>
      </w:r>
      <w:r w:rsidRPr="007D1120">
        <w:t xml:space="preserve"> bullets for both World Wars, and supplied 35% of all heavy metals worldwide for over a decade (</w:t>
      </w:r>
      <w:r w:rsidR="00646821" w:rsidRPr="007D1120">
        <w:t>Phelps, 2006</w:t>
      </w:r>
      <w:r w:rsidRPr="007D1120">
        <w:t xml:space="preserve">). Mining operations ceased in the 1970s, but the decades of mining, milling, and smelting continued to contribute to ground contamination of Pb, Cd, and Zn which remain on site in the form of over 60 million tons of milled mine waste (“chat”), flotation tailings, and aerial particulates (Phelps, 2006; </w:t>
      </w:r>
      <w:proofErr w:type="spellStart"/>
      <w:r w:rsidRPr="001332C7">
        <w:t>Datin</w:t>
      </w:r>
      <w:proofErr w:type="spellEnd"/>
      <w:r w:rsidRPr="001332C7">
        <w:t xml:space="preserve"> and Cates, 2002</w:t>
      </w:r>
      <w:r w:rsidRPr="007D1120">
        <w:t>). Around 300 piles, some hundreds of feet high, remain at TCSS today. TCSS was among the first sites to be listed by the EPA as a superfund site and is currently one of the largest existing superfund sites in the United States (</w:t>
      </w:r>
      <w:r w:rsidRPr="00A757A4">
        <w:t>USACE, 2005</w:t>
      </w:r>
      <w:r w:rsidRPr="007D1120">
        <w:t>). The fine material left behind due to poor cleanup practices is highly bioavailable and about 1000x higher in Pb content than typical gravel-sized chat (</w:t>
      </w:r>
      <w:proofErr w:type="spellStart"/>
      <w:r w:rsidR="00646821" w:rsidRPr="007D1120">
        <w:t>Datin</w:t>
      </w:r>
      <w:proofErr w:type="spellEnd"/>
      <w:r w:rsidR="00646821" w:rsidRPr="007D1120">
        <w:t xml:space="preserve"> and Cates, 2002</w:t>
      </w:r>
      <w:r w:rsidRPr="007D1120">
        <w:t xml:space="preserve">). Moreover, in 1979 the abandoned mines filled with water and contaminated mine drainage began to seep from the ground into streams and </w:t>
      </w:r>
      <w:proofErr w:type="gramStart"/>
      <w:r w:rsidRPr="007D1120">
        <w:t>other</w:t>
      </w:r>
      <w:proofErr w:type="gramEnd"/>
      <w:r w:rsidRPr="007D1120">
        <w:t xml:space="preserve"> surface water (</w:t>
      </w:r>
      <w:r w:rsidR="00646821" w:rsidRPr="00FF4A01">
        <w:t>EPA, 1994</w:t>
      </w:r>
      <w:r w:rsidRPr="007D1120">
        <w:t xml:space="preserve">). In 2008 the federal government forced an evacuation of the TCSS area </w:t>
      </w:r>
      <w:proofErr w:type="gramStart"/>
      <w:r w:rsidRPr="007D1120">
        <w:t>in light of</w:t>
      </w:r>
      <w:proofErr w:type="gramEnd"/>
      <w:r w:rsidRPr="007D1120">
        <w:t xml:space="preserve"> evidence of lead poisoning and associated learning and behavioral problems in local children (</w:t>
      </w:r>
      <w:r w:rsidR="005F2A63" w:rsidRPr="007D1120">
        <w:t>Hu et al.</w:t>
      </w:r>
      <w:r w:rsidR="00646821" w:rsidRPr="007D1120">
        <w:t>, 2007</w:t>
      </w:r>
      <w:r w:rsidRPr="007D1120">
        <w:t>).</w:t>
      </w:r>
    </w:p>
    <w:p w14:paraId="44D3D7C0" w14:textId="3EE044C1" w:rsidR="003054ED" w:rsidRPr="007D1120" w:rsidRDefault="003054ED" w:rsidP="00646821">
      <w:pPr>
        <w:pStyle w:val="NormalWeb"/>
        <w:spacing w:line="480" w:lineRule="auto"/>
        <w:ind w:firstLine="720"/>
      </w:pPr>
      <w:r w:rsidRPr="007D1120">
        <w:rPr>
          <w:i/>
          <w:iCs/>
        </w:rPr>
        <w:t>Sampling</w:t>
      </w:r>
      <w:r w:rsidRPr="007D1120">
        <w:t>—</w:t>
      </w:r>
      <w:r w:rsidRPr="007D1120">
        <w:rPr>
          <w:b/>
          <w:bCs/>
        </w:rPr>
        <w:t xml:space="preserve"> </w:t>
      </w:r>
      <w:r w:rsidRPr="007D1120">
        <w:t>One focus of our sampling effort was on a mixed species colony comprised of two species: Northern Rough-winged Swallow (</w:t>
      </w:r>
      <w:r w:rsidRPr="007D1120">
        <w:rPr>
          <w:i/>
          <w:iCs/>
        </w:rPr>
        <w:t>Stelgidopteryx serripennis</w:t>
      </w:r>
      <w:r w:rsidRPr="007D1120">
        <w:t>) and Bank Swallow (</w:t>
      </w:r>
      <w:proofErr w:type="spellStart"/>
      <w:r w:rsidRPr="007D1120">
        <w:rPr>
          <w:i/>
          <w:iCs/>
        </w:rPr>
        <w:t>Riparia</w:t>
      </w:r>
      <w:proofErr w:type="spellEnd"/>
      <w:r w:rsidRPr="007D1120">
        <w:rPr>
          <w:i/>
          <w:iCs/>
        </w:rPr>
        <w:t xml:space="preserve"> </w:t>
      </w:r>
      <w:proofErr w:type="spellStart"/>
      <w:r w:rsidRPr="007D1120">
        <w:rPr>
          <w:i/>
          <w:iCs/>
        </w:rPr>
        <w:t>riparia</w:t>
      </w:r>
      <w:proofErr w:type="spellEnd"/>
      <w:r w:rsidRPr="007D1120">
        <w:t>). We were interested in these species because they nest directly in the chat piles</w:t>
      </w:r>
      <w:r w:rsidR="00D84661">
        <w:t>, and all s</w:t>
      </w:r>
      <w:r w:rsidRPr="007D1120">
        <w:t xml:space="preserve">wallows </w:t>
      </w:r>
      <w:r w:rsidR="00D84661">
        <w:t xml:space="preserve">used in this study </w:t>
      </w:r>
      <w:r w:rsidRPr="007D1120">
        <w:t>came from three chat piles which the birds were using as a nesting substrate (see Figure 2). One pile was owned by Bingham Sand and Gravel, Inc (now Williams Diversified Materials) and the other two were on land owned by the Quapaw Nation.</w:t>
      </w:r>
    </w:p>
    <w:p w14:paraId="3817442A" w14:textId="42ABF6FF" w:rsidR="00887C8B" w:rsidRPr="007D1120" w:rsidRDefault="00887C8B" w:rsidP="000932F1">
      <w:pPr>
        <w:pStyle w:val="NormalWeb"/>
        <w:spacing w:line="480" w:lineRule="auto"/>
        <w:ind w:firstLine="720"/>
      </w:pPr>
      <w:r w:rsidRPr="007D1120">
        <w:lastRenderedPageBreak/>
        <w:t xml:space="preserve">Non-swallow passerines were also sampled within the TCSS area in and around the abandoned town of Pitcher, OK in mixed cross timber and woodland habitats that surround the chat piles in the area. Reference samples were collected in Vinita, OK, where bird diversity and landscape features are </w:t>
      </w:r>
      <w:proofErr w:type="gramStart"/>
      <w:r w:rsidRPr="007D1120">
        <w:t>similar to</w:t>
      </w:r>
      <w:proofErr w:type="gramEnd"/>
      <w:r w:rsidRPr="007D1120">
        <w:t xml:space="preserve"> those in the TCSS area. In the reference area there is no history of mining or evidence of contamination on the order of the TCSS.</w:t>
      </w:r>
    </w:p>
    <w:p w14:paraId="7E6404E5" w14:textId="3F5EEF83" w:rsidR="00661E02" w:rsidRPr="007D1120" w:rsidRDefault="00804F89" w:rsidP="000932F1">
      <w:pPr>
        <w:pStyle w:val="NormalWeb"/>
        <w:spacing w:line="480" w:lineRule="auto"/>
        <w:ind w:firstLine="720"/>
      </w:pPr>
      <w:r w:rsidRPr="007D1120">
        <w:t xml:space="preserve">Non-swallow passerines were all captured with mist nests, using playbacks to draw in birds. Adult swallows were captured both with mist nets and using a fishing net to catch birds as they exited a nest cavity. Nestling swallows were extracted from nest cavities using a fiber optic camera and a miniature snare pole. All captured birds were banded with metal leg bands and subjected to a series of morphological measurements. We collected blood (less than 1% of body mass) from the brachial vein, by puncturing the vein with a </w:t>
      </w:r>
      <w:proofErr w:type="gramStart"/>
      <w:r w:rsidRPr="007D1120">
        <w:t>25 gauge</w:t>
      </w:r>
      <w:proofErr w:type="gramEnd"/>
      <w:r w:rsidRPr="007D1120">
        <w:t xml:space="preserve"> hypodermic needle and drawing the blood into a capillary tube. Blood samples were stored in Microtainer® Blood Collection Tubes with K2EDTA, placed on ice in coolers and kept refrigerated until analysis. For feather samples, we plucked P9 (the outermost primary) and several contour feathers from the bird’s back and stored them dry in paper envelopes. All field work was performed between 24 April and 29 June in 2017-2019.</w:t>
      </w:r>
    </w:p>
    <w:p w14:paraId="5B0964AD" w14:textId="4E398E68" w:rsidR="005653BB" w:rsidRPr="007D1120" w:rsidRDefault="005653BB" w:rsidP="005653BB">
      <w:pPr>
        <w:pStyle w:val="NormalWeb"/>
        <w:spacing w:before="240" w:beforeAutospacing="0" w:after="240" w:afterAutospacing="0" w:line="480" w:lineRule="auto"/>
        <w:ind w:firstLine="720"/>
      </w:pPr>
      <w:r w:rsidRPr="007D1120">
        <w:rPr>
          <w:i/>
          <w:iCs/>
          <w:color w:val="000000"/>
        </w:rPr>
        <w:t>Chemical Analysis</w:t>
      </w:r>
      <w:r w:rsidRPr="007D1120">
        <w:rPr>
          <w:color w:val="000000"/>
        </w:rPr>
        <w:t>—Toxicology analysis was conducted by the Michigan State University Veterinary Diagnostic Laboratory (MSU-VDL) (East Lansing, MI, USA). Toxic elements in whole blood were analyzed using inductively coupled plasma mass spectrometry (ICP-MS), as previously described (</w:t>
      </w:r>
      <w:proofErr w:type="spellStart"/>
      <w:r w:rsidRPr="007D1120">
        <w:rPr>
          <w:color w:val="000000"/>
        </w:rPr>
        <w:t>Slabe</w:t>
      </w:r>
      <w:proofErr w:type="spellEnd"/>
      <w:r w:rsidRPr="007D1120">
        <w:rPr>
          <w:color w:val="000000"/>
        </w:rPr>
        <w:t xml:space="preserve"> et al., 2020). The blood samples we provided to the MSU-VDL were below the minimum volume required for toxicology analysis. However, the lab was willing to alter their protocol considering the constraints associated with sampling small </w:t>
      </w:r>
      <w:r w:rsidRPr="007D1120">
        <w:rPr>
          <w:color w:val="000000"/>
        </w:rPr>
        <w:lastRenderedPageBreak/>
        <w:t xml:space="preserve">birds. Nevertheless, we had to pool some samples from nestlings to obtain a </w:t>
      </w:r>
      <w:proofErr w:type="gramStart"/>
      <w:r w:rsidRPr="007D1120">
        <w:rPr>
          <w:color w:val="000000"/>
        </w:rPr>
        <w:t>sufficient</w:t>
      </w:r>
      <w:proofErr w:type="gramEnd"/>
      <w:r w:rsidRPr="007D1120">
        <w:rPr>
          <w:color w:val="000000"/>
        </w:rPr>
        <w:t xml:space="preserve"> analysis volume. In these cases, we pooled blood samples from the same nest (i.e. siblings). The blood volumes we collected were not adequate for Zn analysis</w:t>
      </w:r>
      <w:r w:rsidR="00D84661">
        <w:rPr>
          <w:color w:val="000000"/>
        </w:rPr>
        <w:t>; hence Zn analysis were only performed on feathers</w:t>
      </w:r>
      <w:r w:rsidRPr="007D1120">
        <w:rPr>
          <w:color w:val="000000"/>
        </w:rPr>
        <w:t xml:space="preserve">. For nests where blood samples were pooled, we also pooled all feather samples into a single analysis sample. Otherwise all feathers sampled from </w:t>
      </w:r>
      <w:proofErr w:type="gramStart"/>
      <w:r w:rsidRPr="007D1120">
        <w:rPr>
          <w:color w:val="000000"/>
        </w:rPr>
        <w:t>each individual</w:t>
      </w:r>
      <w:proofErr w:type="gramEnd"/>
      <w:r w:rsidRPr="007D1120">
        <w:rPr>
          <w:color w:val="000000"/>
        </w:rPr>
        <w:t xml:space="preserve"> were pooled together and processed as one sample. Processing of feathers involved rigorous cleaning and subsequent air drying to remove all exogenous contaminants before initiating gas chromatography-mass spectrometry (GC/MS). We report blood metal concentrations on a wet weight basis in parts per million (ppm). Data on feather metal concentrations are reported on a dry weight basis in parts per million (ppm). </w:t>
      </w:r>
    </w:p>
    <w:p w14:paraId="0E93F1E3" w14:textId="77777777" w:rsidR="0012748D" w:rsidRPr="007D1120" w:rsidRDefault="0012748D" w:rsidP="0012748D">
      <w:pPr>
        <w:pStyle w:val="NormalWeb"/>
        <w:spacing w:before="240" w:beforeAutospacing="0" w:after="240" w:afterAutospacing="0" w:line="480" w:lineRule="auto"/>
        <w:ind w:firstLine="720"/>
      </w:pPr>
      <w:r w:rsidRPr="007D1120">
        <w:rPr>
          <w:i/>
          <w:iCs/>
          <w:color w:val="000000"/>
        </w:rPr>
        <w:t>Statistical Analysis</w:t>
      </w:r>
      <w:r w:rsidRPr="007D1120">
        <w:rPr>
          <w:color w:val="000000"/>
        </w:rPr>
        <w:t xml:space="preserve">—All statistical analyses were performed in </w:t>
      </w:r>
      <w:r w:rsidRPr="00F94081">
        <w:rPr>
          <w:color w:val="000000"/>
        </w:rPr>
        <w:t>R (R Core Team, 2019),</w:t>
      </w:r>
      <w:r w:rsidRPr="007D1120">
        <w:rPr>
          <w:color w:val="000000"/>
        </w:rPr>
        <w:t xml:space="preserve"> and we made use of </w:t>
      </w:r>
      <w:r w:rsidRPr="00D00779">
        <w:rPr>
          <w:color w:val="000000"/>
        </w:rPr>
        <w:t>packages “car” (Fox and Weisberg, 2019), “</w:t>
      </w:r>
      <w:r w:rsidRPr="00596377">
        <w:rPr>
          <w:color w:val="000000"/>
        </w:rPr>
        <w:t>lme4” (Bates et al., 2015),</w:t>
      </w:r>
      <w:r w:rsidRPr="007D1120">
        <w:rPr>
          <w:color w:val="000000"/>
        </w:rPr>
        <w:t xml:space="preserve"> and “</w:t>
      </w:r>
      <w:proofErr w:type="spellStart"/>
      <w:r w:rsidRPr="00153F4B">
        <w:rPr>
          <w:color w:val="000000"/>
        </w:rPr>
        <w:t>lmerTest</w:t>
      </w:r>
      <w:proofErr w:type="spellEnd"/>
      <w:r w:rsidRPr="00153F4B">
        <w:rPr>
          <w:color w:val="000000"/>
        </w:rPr>
        <w:t xml:space="preserve">” (Kuznetsova et al., 2017). </w:t>
      </w:r>
      <w:proofErr w:type="gramStart"/>
      <w:r w:rsidRPr="00153F4B">
        <w:rPr>
          <w:color w:val="000000"/>
        </w:rPr>
        <w:t>A</w:t>
      </w:r>
      <w:r w:rsidRPr="007D1120">
        <w:rPr>
          <w:color w:val="000000"/>
        </w:rPr>
        <w:t xml:space="preserve"> number of</w:t>
      </w:r>
      <w:proofErr w:type="gramEnd"/>
      <w:r w:rsidRPr="007D1120">
        <w:rPr>
          <w:color w:val="000000"/>
        </w:rPr>
        <w:t xml:space="preserve"> samples indicated heavy metal concentrations that were below detectable concentrations. These detectable limits were &lt;0.005 ppm for Pb and &lt;0.005-0.01 ppm Cd in blood, &lt; 0.876 ppm Pb in feathers, and ranged from &lt;0.247-0.876 ppm for Cd in feathers. Samples below detectable limits were considered as one-half of the respective limit of detection.</w:t>
      </w:r>
    </w:p>
    <w:p w14:paraId="5CB35A12" w14:textId="77777777" w:rsidR="0012748D" w:rsidRPr="007D1120" w:rsidRDefault="0012748D" w:rsidP="0012748D">
      <w:pPr>
        <w:pStyle w:val="NormalWeb"/>
        <w:spacing w:before="240" w:beforeAutospacing="0" w:after="240" w:afterAutospacing="0" w:line="480" w:lineRule="auto"/>
        <w:ind w:firstLine="720"/>
      </w:pPr>
      <w:r w:rsidRPr="007D1120">
        <w:rPr>
          <w:color w:val="000000"/>
        </w:rPr>
        <w:t xml:space="preserve">Preliminary analyses indicated that the results from our blood and feather analyses were skewed to the left. Hence, we performed a square root transformation on all heavy metal concentrations in both blood and feathers to achieve a more normal distribution. We first tested for differences among adult birds from the reference site (n=21), TCSS residents (n=19), and TCSS migrants (n=32). We reasoned that there is no reason to expect animals to have high exposure to heavy metals at the reference site regardless of migratory behavior. Therefore, birds </w:t>
      </w:r>
      <w:r w:rsidRPr="007D1120">
        <w:rPr>
          <w:color w:val="000000"/>
        </w:rPr>
        <w:lastRenderedPageBreak/>
        <w:t>at the reference site were pooled into a single control group regardless of whether they were migratory (n=2) or resident (n=19) species. To compare birds from TCSS and the reference site we ran five generalized linear mixed models (GLMM) with the results from each of the heavy metal analyses (Pb-blood, Pb-feathers, Cd-blood, Cd-feathers, Zn-feathers) used as the dependent variable. The groups (Reference Site, TCSS Residents, and TCSS Migrants) were included as a factor, and species was included as a random factor. We calculated p-values from least-square means to discern significant differences among the three groups while controlling for multiple comparisons.</w:t>
      </w:r>
    </w:p>
    <w:p w14:paraId="67933EC0" w14:textId="63A811BB" w:rsidR="0012748D" w:rsidRPr="007D1120" w:rsidRDefault="0012748D" w:rsidP="0012748D">
      <w:pPr>
        <w:pStyle w:val="NormalWeb"/>
        <w:spacing w:before="240" w:beforeAutospacing="0" w:after="240" w:afterAutospacing="0" w:line="480" w:lineRule="auto"/>
        <w:ind w:firstLine="720"/>
      </w:pPr>
      <w:r w:rsidRPr="007D1120">
        <w:rPr>
          <w:color w:val="000000"/>
        </w:rPr>
        <w:t xml:space="preserve">As a follow up, we reran this same analysis with the swallows excluded. Swallows made up </w:t>
      </w:r>
      <w:proofErr w:type="gramStart"/>
      <w:r w:rsidRPr="007D1120">
        <w:rPr>
          <w:color w:val="000000"/>
        </w:rPr>
        <w:t>the vast majority of</w:t>
      </w:r>
      <w:proofErr w:type="gramEnd"/>
      <w:r w:rsidRPr="007D1120">
        <w:rPr>
          <w:color w:val="000000"/>
        </w:rPr>
        <w:t xml:space="preserve"> the migratory birds in the analysis. They also may have higher </w:t>
      </w:r>
      <w:r w:rsidR="00D84661">
        <w:rPr>
          <w:color w:val="000000"/>
        </w:rPr>
        <w:t>toxin</w:t>
      </w:r>
      <w:r w:rsidRPr="007D1120">
        <w:rPr>
          <w:color w:val="000000"/>
        </w:rPr>
        <w:t xml:space="preserve"> exposure because they were nesting directly in chat piles (Figure 2), which means that they were likely ingesting and inhaling contaminated fine chat directly from their nest environment. With swallows excluded, our sample of migratory birds from TCSS was very small (n =5), but these migrants were likely more </w:t>
      </w:r>
      <w:proofErr w:type="gramStart"/>
      <w:r w:rsidRPr="007D1120">
        <w:rPr>
          <w:color w:val="000000"/>
        </w:rPr>
        <w:t>similar to</w:t>
      </w:r>
      <w:proofErr w:type="gramEnd"/>
      <w:r w:rsidRPr="007D1120">
        <w:rPr>
          <w:color w:val="000000"/>
        </w:rPr>
        <w:t xml:space="preserve"> the resident species in terms of their daily contaminant exposure at TCSS.</w:t>
      </w:r>
    </w:p>
    <w:p w14:paraId="16DB4044" w14:textId="77777777" w:rsidR="0012748D" w:rsidRPr="007D1120" w:rsidRDefault="0012748D" w:rsidP="0012748D">
      <w:pPr>
        <w:pStyle w:val="NormalWeb"/>
        <w:spacing w:before="240" w:beforeAutospacing="0" w:after="240" w:afterAutospacing="0" w:line="480" w:lineRule="auto"/>
        <w:ind w:firstLine="720"/>
      </w:pPr>
      <w:r w:rsidRPr="007D1120">
        <w:rPr>
          <w:color w:val="000000"/>
        </w:rPr>
        <w:t xml:space="preserve">Next, we compared heavy metals in nestling swallows </w:t>
      </w:r>
      <w:r w:rsidRPr="007D1120">
        <w:rPr>
          <w:i/>
          <w:iCs/>
          <w:color w:val="000000"/>
        </w:rPr>
        <w:t>vs.</w:t>
      </w:r>
      <w:r w:rsidRPr="007D1120">
        <w:rPr>
          <w:color w:val="000000"/>
        </w:rPr>
        <w:t xml:space="preserve"> adult swallows. This test was performed with a subset of data that included only the two swallow species. Within each nest, data from nestlings were pooled in one of two ways. For smaller nestlings, blood and feather samples from individual birds were pooled prior to chemical analyses in order to achieve a </w:t>
      </w:r>
      <w:proofErr w:type="gramStart"/>
      <w:r w:rsidRPr="007D1120">
        <w:rPr>
          <w:color w:val="000000"/>
        </w:rPr>
        <w:t>sufficient</w:t>
      </w:r>
      <w:proofErr w:type="gramEnd"/>
      <w:r w:rsidRPr="007D1120">
        <w:rPr>
          <w:color w:val="000000"/>
        </w:rPr>
        <w:t xml:space="preserve"> volume of tissue. For larger nestlings, we were able to analyze blood and feathers from </w:t>
      </w:r>
      <w:proofErr w:type="gramStart"/>
      <w:r w:rsidRPr="007D1120">
        <w:rPr>
          <w:color w:val="000000"/>
        </w:rPr>
        <w:t>each individual</w:t>
      </w:r>
      <w:proofErr w:type="gramEnd"/>
      <w:r w:rsidRPr="007D1120">
        <w:rPr>
          <w:color w:val="000000"/>
        </w:rPr>
        <w:t>, but the results were averaged within each nest because the data from siblings were not independent. Hence, we compared heavy metals in adult swallows (n=27) to average heavy metal values from sets of siblings in swallow nests (n=16).  For this test we ran five one-</w:t>
      </w:r>
      <w:r w:rsidRPr="007D1120">
        <w:rPr>
          <w:color w:val="000000"/>
        </w:rPr>
        <w:lastRenderedPageBreak/>
        <w:t xml:space="preserve">way ANOVAs with each of the heavy metal detection tests (Pb-blood, Pb-feathers, Cd-blood, Cd-feathers, Zn-feathers) used as the dependent variable.      </w:t>
      </w:r>
      <w:r w:rsidRPr="007D1120">
        <w:rPr>
          <w:rStyle w:val="apple-tab-span"/>
          <w:color w:val="000000"/>
        </w:rPr>
        <w:tab/>
      </w:r>
    </w:p>
    <w:p w14:paraId="743D357C" w14:textId="4774A6D6" w:rsidR="0012748D" w:rsidRPr="007D1120" w:rsidRDefault="0012748D" w:rsidP="0012748D">
      <w:pPr>
        <w:pStyle w:val="NormalWeb"/>
        <w:spacing w:before="240" w:beforeAutospacing="0" w:after="240" w:afterAutospacing="0" w:line="480" w:lineRule="auto"/>
        <w:ind w:firstLine="720"/>
      </w:pPr>
      <w:r w:rsidRPr="007D1120">
        <w:rPr>
          <w:color w:val="000000"/>
        </w:rPr>
        <w:t xml:space="preserve">Our final analysis tested for correlations among heavy metal concentrations in blood and feathers. Heavy metals in feathers result from a prolonged deposition process that likely </w:t>
      </w:r>
      <w:r w:rsidRPr="006C63AC">
        <w:rPr>
          <w:color w:val="000000"/>
        </w:rPr>
        <w:t>represents exposure over a period of a few weeks, whereas heavy metals in blood may be more representative of short-term exposure</w:t>
      </w:r>
      <w:r w:rsidR="006C63AC" w:rsidRPr="006C63AC">
        <w:rPr>
          <w:color w:val="000000"/>
        </w:rPr>
        <w:t xml:space="preserve">. </w:t>
      </w:r>
      <w:r w:rsidRPr="006C63AC">
        <w:rPr>
          <w:color w:val="000000"/>
        </w:rPr>
        <w:t>In</w:t>
      </w:r>
      <w:r w:rsidRPr="007D1120">
        <w:rPr>
          <w:color w:val="000000"/>
        </w:rPr>
        <w:t xml:space="preserve"> testing for a correlation between heavy metal concentrations in blood and feathers we separated our samples into three groups: Adult Residents, Adult Migrants, and Nestlings. The justification for these groupings relates to the fact that deposition of heavy metals in feathers occurs only during feather replacement. Most birds replace all their feathers in an annual molt that follows the breeding season and, depending on the species, there may or may not be additional molts at other times in the annual cycle. There is uncertainty regarding the molting locations of the adult migrants, which warrants separating them from the other birds. For the migrant nestlings and resident birds, we assume that they grow their feathers in the environment where they were captured. Correlations in nestlings and migrants were tested separately because of presumed physiological differences in how a rapidly growing nesting may absorb, turnover, and excrete contaminants as opposed to an adult. We generated a correlation matrix to examine all possible pairwise correlations across measures of heavy metals. As with the other analyses we used square root transformed data.</w:t>
      </w:r>
    </w:p>
    <w:p w14:paraId="5CD08CE0" w14:textId="77777777" w:rsidR="003054ED" w:rsidRPr="007D1120" w:rsidRDefault="003054ED" w:rsidP="00E6054A">
      <w:pPr>
        <w:pStyle w:val="NormalWeb"/>
        <w:spacing w:line="480" w:lineRule="auto"/>
      </w:pPr>
      <w:r w:rsidRPr="007D1120">
        <w:rPr>
          <w:b/>
          <w:bCs/>
        </w:rPr>
        <w:t>RESULTS</w:t>
      </w:r>
    </w:p>
    <w:p w14:paraId="36F38461" w14:textId="6C58CD3A" w:rsidR="00196601" w:rsidRPr="007D1120" w:rsidRDefault="00196601" w:rsidP="00892852">
      <w:pPr>
        <w:pStyle w:val="NormalWeb"/>
        <w:spacing w:line="480" w:lineRule="auto"/>
        <w:ind w:firstLine="720"/>
      </w:pPr>
      <w:r w:rsidRPr="007D1120">
        <w:t xml:space="preserve">We captured and processed a total of 130 individual birds and had successful heavy metal analyses for 86 individuals and 9 pooled nests. Of </w:t>
      </w:r>
      <w:r w:rsidRPr="006C63AC">
        <w:t xml:space="preserve">these, 21 were from the reference site, and 74 were from TCSS. Among the birds from TCSS there were 32 migratory adult birds and 19 </w:t>
      </w:r>
      <w:r w:rsidRPr="006C63AC">
        <w:lastRenderedPageBreak/>
        <w:t>residents</w:t>
      </w:r>
      <w:r w:rsidR="006C63AC" w:rsidRPr="006C63AC">
        <w:t xml:space="preserve">. </w:t>
      </w:r>
      <w:r w:rsidRPr="006C63AC">
        <w:t>Twenty-seven</w:t>
      </w:r>
      <w:r w:rsidRPr="007D1120">
        <w:t xml:space="preserve"> of the migratory birds from TCSS were swallows (17 Bank Swallows and 10 Northern Rough-winged Swallows). There were only 5 migratory birds from TCSS that were not swallows (4 Indigo Buntings [</w:t>
      </w:r>
      <w:proofErr w:type="spellStart"/>
      <w:r w:rsidRPr="007D1120">
        <w:rPr>
          <w:i/>
          <w:iCs/>
        </w:rPr>
        <w:t>Passerina</w:t>
      </w:r>
      <w:proofErr w:type="spellEnd"/>
      <w:r w:rsidRPr="007D1120">
        <w:rPr>
          <w:i/>
          <w:iCs/>
        </w:rPr>
        <w:t xml:space="preserve"> </w:t>
      </w:r>
      <w:proofErr w:type="spellStart"/>
      <w:r w:rsidRPr="007D1120">
        <w:rPr>
          <w:i/>
          <w:iCs/>
        </w:rPr>
        <w:t>cyanea</w:t>
      </w:r>
      <w:proofErr w:type="spellEnd"/>
      <w:r w:rsidRPr="007D1120">
        <w:t>] and 1 Painted Bunting [</w:t>
      </w:r>
      <w:proofErr w:type="spellStart"/>
      <w:r w:rsidRPr="007D1120">
        <w:rPr>
          <w:i/>
          <w:iCs/>
        </w:rPr>
        <w:t>Passerina</w:t>
      </w:r>
      <w:proofErr w:type="spellEnd"/>
      <w:r w:rsidRPr="007D1120">
        <w:rPr>
          <w:i/>
          <w:iCs/>
        </w:rPr>
        <w:t xml:space="preserve"> </w:t>
      </w:r>
      <w:proofErr w:type="spellStart"/>
      <w:r w:rsidRPr="007D1120">
        <w:rPr>
          <w:i/>
          <w:iCs/>
        </w:rPr>
        <w:t>ciris</w:t>
      </w:r>
      <w:proofErr w:type="spellEnd"/>
      <w:r w:rsidRPr="007D1120">
        <w:t xml:space="preserve">]). For some analyses samples from nestling swallows were pooled by nest, such that we had 16 nests represented. </w:t>
      </w:r>
    </w:p>
    <w:p w14:paraId="1D812FD6" w14:textId="4F763E27" w:rsidR="00991550" w:rsidRDefault="00893480" w:rsidP="00893480">
      <w:pPr>
        <w:pStyle w:val="NormalWeb"/>
        <w:spacing w:line="480" w:lineRule="auto"/>
        <w:ind w:firstLine="720"/>
      </w:pPr>
      <w:r w:rsidRPr="007D1120">
        <w:t xml:space="preserve">Mean heavy metal concentrations in feathers were clearly elevated in the TCSS area relative to the reference site. Average blood Pb concentrations were 400% higher in resident TCSS birds (M=0.1, SD=0.152) than birds at the reference site (M=0.047, SD=0.03) (GLMM; t= -2.828, p=0.006). Similarly, Feather Pb and Zn concentrations differed significantly among all </w:t>
      </w:r>
      <w:r w:rsidRPr="00722399">
        <w:t xml:space="preserve">three groups. Average feather Pb concentrations were </w:t>
      </w:r>
      <w:r w:rsidR="00722399" w:rsidRPr="00722399">
        <w:t>almost</w:t>
      </w:r>
      <w:r w:rsidRPr="00722399">
        <w:t xml:space="preserve"> 1</w:t>
      </w:r>
      <w:r w:rsidR="00722399" w:rsidRPr="00722399">
        <w:t>0</w:t>
      </w:r>
      <w:r w:rsidRPr="00722399">
        <w:t xml:space="preserve">00% higher in TCSS resident birds (M=5.763, SD=9.078) than reference birds (Pb: M=0.593, SD=0.389) (GLMM; t= -5.872, p=1.65e-07;). Average feather Cd concentrations were over </w:t>
      </w:r>
      <w:r w:rsidR="00722399" w:rsidRPr="00722399">
        <w:t>250</w:t>
      </w:r>
      <w:r w:rsidRPr="00722399">
        <w:t>% higher in TCSS resident birds (M= 1.449, SD= 1.961) than reference birds (M=0.535, SD=0.222) (GLMM</w:t>
      </w:r>
      <w:r w:rsidRPr="007D1120">
        <w:t xml:space="preserve">; t= -4.527, p= 2.6e-05;). Average feather Zn concentrations were over 150% higher in TCSS resident (M=258.062, SD=122.812) than reference birds (M=190.702, SD=34.099) (GLMM; t= -5.737, p=2.90e-07). Interestingly, Cd in feathers was significantly higher in resident birds at TCSS than TCSS migrants (GLMM; t= 2.936, p=0.013). Feather Pb and Zn concentrations were </w:t>
      </w:r>
      <w:r w:rsidR="00710630">
        <w:t>overall</w:t>
      </w:r>
      <w:r w:rsidRPr="007D1120">
        <w:t xml:space="preserve"> higher in resident TCSS birds than migrants</w:t>
      </w:r>
      <w:r w:rsidR="00130AF7">
        <w:t>,</w:t>
      </w:r>
      <w:r w:rsidR="00710630">
        <w:t xml:space="preserve"> although not significantly</w:t>
      </w:r>
      <w:r w:rsidRPr="007D1120">
        <w:t xml:space="preserve"> (Pb: GLMM; t= 0.237, p=8.16e-01; Zn: GLMM; t= 1.677, p=1.15e-01), but to a lesser extent than Cd </w:t>
      </w:r>
      <w:r w:rsidR="00A63053">
        <w:t>(</w:t>
      </w:r>
      <w:r w:rsidRPr="007D1120">
        <w:t>See Figure 3</w:t>
      </w:r>
      <w:r w:rsidR="00A63053">
        <w:t>)</w:t>
      </w:r>
      <w:r w:rsidRPr="007D1120">
        <w:t>.</w:t>
      </w:r>
    </w:p>
    <w:p w14:paraId="437C8C3A" w14:textId="09A3F36A" w:rsidR="00893480" w:rsidRPr="007D1120" w:rsidRDefault="00893480" w:rsidP="00893480">
      <w:pPr>
        <w:pStyle w:val="NormalWeb"/>
        <w:spacing w:before="240" w:beforeAutospacing="0" w:after="240" w:afterAutospacing="0" w:line="480" w:lineRule="auto"/>
        <w:ind w:firstLine="720"/>
      </w:pPr>
      <w:r w:rsidRPr="007D1120">
        <w:rPr>
          <w:color w:val="000000"/>
        </w:rPr>
        <w:t xml:space="preserve">When the above analysis was repeated with non-swallow migrants as its own group, there </w:t>
      </w:r>
      <w:r w:rsidRPr="00D55EFE">
        <w:rPr>
          <w:color w:val="000000"/>
        </w:rPr>
        <w:t xml:space="preserve">was a strong suggestion that migratory birds “escaped” contamination by heavy metals to some extent. All </w:t>
      </w:r>
      <w:r w:rsidR="00782DE3" w:rsidRPr="00D55EFE">
        <w:rPr>
          <w:color w:val="000000"/>
        </w:rPr>
        <w:t xml:space="preserve">comparisons of different metals and tissues </w:t>
      </w:r>
      <w:r w:rsidRPr="00D55EFE">
        <w:rPr>
          <w:color w:val="000000"/>
        </w:rPr>
        <w:t xml:space="preserve">indicated that </w:t>
      </w:r>
      <w:r w:rsidR="00D55EFE" w:rsidRPr="00D55EFE">
        <w:rPr>
          <w:color w:val="000000"/>
        </w:rPr>
        <w:t xml:space="preserve">non-swallow </w:t>
      </w:r>
      <w:r w:rsidRPr="00D55EFE">
        <w:rPr>
          <w:color w:val="000000"/>
        </w:rPr>
        <w:t xml:space="preserve">migratory </w:t>
      </w:r>
      <w:r w:rsidRPr="00D55EFE">
        <w:rPr>
          <w:color w:val="000000"/>
        </w:rPr>
        <w:lastRenderedPageBreak/>
        <w:t>birds had lower heavy metal concentrations</w:t>
      </w:r>
      <w:r w:rsidR="00675B2C" w:rsidRPr="00D55EFE">
        <w:rPr>
          <w:color w:val="000000"/>
        </w:rPr>
        <w:t xml:space="preserve"> </w:t>
      </w:r>
      <w:r w:rsidR="00D55EFE" w:rsidRPr="00D55EFE">
        <w:rPr>
          <w:color w:val="000000"/>
        </w:rPr>
        <w:t>than TCSS resident</w:t>
      </w:r>
      <w:r w:rsidR="00D55EFE">
        <w:rPr>
          <w:color w:val="000000"/>
        </w:rPr>
        <w:t xml:space="preserve"> birds </w:t>
      </w:r>
      <w:r w:rsidR="00675B2C">
        <w:rPr>
          <w:color w:val="000000"/>
        </w:rPr>
        <w:t xml:space="preserve">(Blood-Pb: </w:t>
      </w:r>
      <w:r w:rsidR="00675B2C" w:rsidRPr="007D1120">
        <w:t xml:space="preserve">GLMM; t= </w:t>
      </w:r>
      <w:r w:rsidR="00D55EFE">
        <w:t>1.593</w:t>
      </w:r>
      <w:r w:rsidR="00675B2C" w:rsidRPr="007D1120">
        <w:t>, p=</w:t>
      </w:r>
      <w:r w:rsidR="00D55EFE">
        <w:t>0.069</w:t>
      </w:r>
      <w:r w:rsidR="00675B2C">
        <w:rPr>
          <w:color w:val="000000"/>
        </w:rPr>
        <w:t>; Feather-Pb:</w:t>
      </w:r>
      <w:r w:rsidR="00675B2C" w:rsidRPr="00836CE8">
        <w:t xml:space="preserve"> </w:t>
      </w:r>
      <w:r w:rsidR="00675B2C" w:rsidRPr="007D1120">
        <w:t xml:space="preserve">GLMM; t= </w:t>
      </w:r>
      <w:r w:rsidR="00D55EFE">
        <w:t>2.494</w:t>
      </w:r>
      <w:r w:rsidR="00675B2C" w:rsidRPr="007D1120">
        <w:t>, p=</w:t>
      </w:r>
      <w:r w:rsidR="00D55EFE">
        <w:t>0.019</w:t>
      </w:r>
      <w:r w:rsidR="00675B2C">
        <w:rPr>
          <w:color w:val="000000"/>
        </w:rPr>
        <w:t>; Feather-Cd:</w:t>
      </w:r>
      <w:r w:rsidR="00675B2C" w:rsidRPr="00836CE8">
        <w:t xml:space="preserve"> </w:t>
      </w:r>
      <w:r w:rsidR="00675B2C" w:rsidRPr="007D1120">
        <w:t xml:space="preserve">GLMM; t= </w:t>
      </w:r>
      <w:r w:rsidR="00D55EFE">
        <w:t>2.604</w:t>
      </w:r>
      <w:r w:rsidR="00675B2C" w:rsidRPr="007D1120">
        <w:t>, p=</w:t>
      </w:r>
      <w:r w:rsidR="00D55EFE">
        <w:t>0.015</w:t>
      </w:r>
      <w:r w:rsidR="00675B2C">
        <w:rPr>
          <w:color w:val="000000"/>
        </w:rPr>
        <w:t>; Feather-Zn:</w:t>
      </w:r>
      <w:r w:rsidR="00675B2C" w:rsidRPr="00836CE8">
        <w:t xml:space="preserve"> </w:t>
      </w:r>
      <w:r w:rsidR="00675B2C" w:rsidRPr="007D1120">
        <w:t xml:space="preserve">GLMM; t= </w:t>
      </w:r>
      <w:r w:rsidR="00D55EFE">
        <w:t>2.639</w:t>
      </w:r>
      <w:r w:rsidR="00675B2C" w:rsidRPr="007D1120">
        <w:t>, p=</w:t>
      </w:r>
      <w:r w:rsidR="00D55EFE">
        <w:t>0.013</w:t>
      </w:r>
      <w:r w:rsidR="00675B2C">
        <w:rPr>
          <w:color w:val="000000"/>
        </w:rPr>
        <w:t xml:space="preserve">) </w:t>
      </w:r>
      <w:r w:rsidR="00675B2C" w:rsidRPr="007D1120">
        <w:rPr>
          <w:color w:val="000000"/>
        </w:rPr>
        <w:t>except for blood Cd levels</w:t>
      </w:r>
      <w:r w:rsidR="00675B2C">
        <w:rPr>
          <w:color w:val="000000"/>
        </w:rPr>
        <w:t xml:space="preserve"> (</w:t>
      </w:r>
      <w:r w:rsidR="00675B2C" w:rsidRPr="007D1120">
        <w:t xml:space="preserve">GLMM; t= </w:t>
      </w:r>
      <w:r w:rsidR="00D55EFE">
        <w:t>0.850</w:t>
      </w:r>
      <w:r w:rsidR="00675B2C">
        <w:t xml:space="preserve">, p </w:t>
      </w:r>
      <w:r w:rsidR="00675B2C" w:rsidRPr="00675B2C">
        <w:t>=</w:t>
      </w:r>
      <w:r w:rsidR="00D55EFE">
        <w:t>0.402</w:t>
      </w:r>
      <w:r w:rsidR="00675B2C" w:rsidRPr="00675B2C">
        <w:t>)</w:t>
      </w:r>
      <w:r w:rsidRPr="00675B2C">
        <w:rPr>
          <w:color w:val="000000"/>
        </w:rPr>
        <w:t>. In</w:t>
      </w:r>
      <w:r w:rsidRPr="007D1120">
        <w:rPr>
          <w:color w:val="000000"/>
        </w:rPr>
        <w:t xml:space="preserve"> the case of Cd in blood, four of the five migratory birds had Cd levels below the detection limit, and the fifth bird had an extremely high blood Cd concentration. Hence, the lack of significance here was probably due to an outlier that we suspect resulted from an intense short-term exposure to a Cd source that occurred just before the bird was captured and sampled. All five of the migratory birds in this analysis were captured in late June (26th-29th), such that they had likely been at TCSS for at least 8 weeks before they were sampled </w:t>
      </w:r>
      <w:r w:rsidR="00B20B0D">
        <w:rPr>
          <w:color w:val="000000"/>
        </w:rPr>
        <w:t>(</w:t>
      </w:r>
      <w:r w:rsidRPr="007D1120">
        <w:rPr>
          <w:color w:val="000000"/>
        </w:rPr>
        <w:t>See Figure 4</w:t>
      </w:r>
      <w:r w:rsidR="00B20B0D">
        <w:rPr>
          <w:color w:val="000000"/>
        </w:rPr>
        <w:t>)</w:t>
      </w:r>
      <w:r w:rsidRPr="007D1120">
        <w:rPr>
          <w:color w:val="000000"/>
        </w:rPr>
        <w:t>.</w:t>
      </w:r>
    </w:p>
    <w:p w14:paraId="143AB155" w14:textId="4C1DC219" w:rsidR="008562CC" w:rsidRPr="007D1120" w:rsidRDefault="008562CC" w:rsidP="008562CC">
      <w:pPr>
        <w:pStyle w:val="NormalWeb"/>
        <w:spacing w:before="240" w:beforeAutospacing="0" w:after="240" w:afterAutospacing="0" w:line="480" w:lineRule="auto"/>
        <w:ind w:firstLine="720"/>
      </w:pPr>
      <w:r w:rsidRPr="007D1120">
        <w:rPr>
          <w:color w:val="000000"/>
        </w:rPr>
        <w:t xml:space="preserve">The comparison of nestling and adult swallows provided only limited evidence of a “migratory escape” from heavy metal contamination. Concentrations of Cd in nestling blood (M=0.013, SD=0.005) were almost 150% higher than in adults (M=0.009, SD=0.012) (GLMM; </w:t>
      </w:r>
      <w:proofErr w:type="gramStart"/>
      <w:r w:rsidRPr="007D1120">
        <w:rPr>
          <w:color w:val="000000"/>
        </w:rPr>
        <w:t>F(</w:t>
      </w:r>
      <w:proofErr w:type="gramEnd"/>
      <w:r w:rsidRPr="007D1120">
        <w:rPr>
          <w:color w:val="000000"/>
        </w:rPr>
        <w:t xml:space="preserve">1,41)=5.69, p=0.022). Concentrations of Pb in adult feathers (M=15.676, SD=13.294) were 180% higher than in nestlings (M=8.638, SD=16.003) (GLMM; </w:t>
      </w:r>
      <w:proofErr w:type="gramStart"/>
      <w:r w:rsidRPr="007D1120">
        <w:rPr>
          <w:color w:val="000000"/>
        </w:rPr>
        <w:t>F(</w:t>
      </w:r>
      <w:proofErr w:type="gramEnd"/>
      <w:r w:rsidRPr="007D1120">
        <w:rPr>
          <w:color w:val="000000"/>
        </w:rPr>
        <w:t xml:space="preserve">1,41)=7.308, p=0.01) </w:t>
      </w:r>
      <w:r w:rsidR="00783BBB">
        <w:rPr>
          <w:color w:val="000000"/>
        </w:rPr>
        <w:t>(</w:t>
      </w:r>
      <w:r w:rsidRPr="007D1120">
        <w:rPr>
          <w:color w:val="000000"/>
        </w:rPr>
        <w:t>See Figure 5</w:t>
      </w:r>
      <w:r w:rsidR="00783BBB">
        <w:rPr>
          <w:color w:val="000000"/>
        </w:rPr>
        <w:t>)</w:t>
      </w:r>
      <w:r w:rsidRPr="007D1120">
        <w:rPr>
          <w:color w:val="000000"/>
        </w:rPr>
        <w:t>.</w:t>
      </w:r>
    </w:p>
    <w:p w14:paraId="436F64BF" w14:textId="463C18F4" w:rsidR="002E69CA" w:rsidRPr="007D1120" w:rsidRDefault="002E69CA" w:rsidP="002E69CA">
      <w:pPr>
        <w:pStyle w:val="NormalWeb"/>
        <w:spacing w:before="240" w:beforeAutospacing="0" w:after="240" w:afterAutospacing="0" w:line="480" w:lineRule="auto"/>
        <w:ind w:firstLine="720"/>
      </w:pPr>
      <w:r w:rsidRPr="007D1120">
        <w:rPr>
          <w:color w:val="000000"/>
        </w:rPr>
        <w:t>There did not appear to be strong correlations between heavy metals in blood and feathers of adult migrants. However, blood and feather Pb concentrations were strongly correlated among adult residents (r=0.68, n=37, p=9.3e-05) and nestling swallows (r=0.54, n=23, p=0.007). There were no strong correlations between Cd of blood and feathers within the groups. However, there were strong correlations between the metals themselves. Feather concentrations of Pb and Cd, Pb and Zn, and Cd and Zn were positively correlated in all three groups. Blood Pb and Cd concentrations were positively correlated in adult migrants (r=0.86, n=35, p=2.8e-11), but not in adult residents (r=0.17, n=37, p=0.38) or nestlings (r=0.37, n=23, p=0.078)</w:t>
      </w:r>
      <w:r w:rsidR="00783BBB">
        <w:rPr>
          <w:color w:val="000000"/>
        </w:rPr>
        <w:t xml:space="preserve"> (</w:t>
      </w:r>
      <w:r w:rsidRPr="007D1120">
        <w:rPr>
          <w:color w:val="000000"/>
        </w:rPr>
        <w:t>See Figure 6</w:t>
      </w:r>
      <w:r w:rsidR="00783BBB">
        <w:rPr>
          <w:color w:val="000000"/>
        </w:rPr>
        <w:t>)</w:t>
      </w:r>
      <w:r w:rsidRPr="007D1120">
        <w:rPr>
          <w:color w:val="000000"/>
        </w:rPr>
        <w:t>.</w:t>
      </w:r>
    </w:p>
    <w:p w14:paraId="09011FAC" w14:textId="77777777" w:rsidR="00006F6E" w:rsidRPr="007D1120" w:rsidRDefault="00006F6E" w:rsidP="00006F6E">
      <w:pPr>
        <w:pStyle w:val="NormalWeb"/>
        <w:spacing w:before="240" w:beforeAutospacing="0" w:after="240" w:afterAutospacing="0" w:line="480" w:lineRule="auto"/>
      </w:pPr>
      <w:r w:rsidRPr="007D1120">
        <w:rPr>
          <w:b/>
          <w:bCs/>
          <w:color w:val="000000"/>
        </w:rPr>
        <w:lastRenderedPageBreak/>
        <w:t>DISCUSSION</w:t>
      </w:r>
    </w:p>
    <w:p w14:paraId="0B28B206" w14:textId="22F728F6" w:rsidR="00006F6E" w:rsidRPr="007D1120" w:rsidRDefault="00006F6E" w:rsidP="00006F6E">
      <w:pPr>
        <w:pStyle w:val="NormalWeb"/>
        <w:spacing w:before="240" w:beforeAutospacing="0" w:after="240" w:afterAutospacing="0" w:line="480" w:lineRule="auto"/>
      </w:pPr>
      <w:r w:rsidRPr="007D1120">
        <w:rPr>
          <w:rStyle w:val="apple-tab-span"/>
          <w:color w:val="000000"/>
        </w:rPr>
        <w:tab/>
      </w:r>
      <w:r w:rsidRPr="007D1120">
        <w:rPr>
          <w:color w:val="000000"/>
        </w:rPr>
        <w:t>In accordance with our first prediction, we found clear evidence of elevated heavy metal exposure among birds captured at TCSS. This finding agrees with the only previous study of heavy metal concentrations in birds from TCSS (Beyer et al., 2004) as well as studies at other former mining districts in the United States (Beyer et al., 2013; Hansen et al., 2011; Johnson et al., 1999). As expected, blood Pb concentrations of TCSS resident birds was higher than in reference birds, though blood Cd concentrations did not differ among the groups. Feather Pb concentrations in both resident and migrant TCSS birds were higher than in reference birds.</w:t>
      </w:r>
      <w:r w:rsidR="00782DE3">
        <w:rPr>
          <w:color w:val="000000"/>
        </w:rPr>
        <w:t xml:space="preserve"> </w:t>
      </w:r>
      <w:r w:rsidR="00782DE3">
        <w:rPr>
          <w:color w:val="000000"/>
        </w:rPr>
        <w:t>Although h</w:t>
      </w:r>
      <w:r w:rsidR="00782DE3" w:rsidRPr="007D1120">
        <w:rPr>
          <w:color w:val="000000"/>
        </w:rPr>
        <w:t xml:space="preserve">eavy metal concentrations of migratory birds at TCSS were elevated, </w:t>
      </w:r>
      <w:r w:rsidR="00782DE3">
        <w:rPr>
          <w:color w:val="000000"/>
        </w:rPr>
        <w:t xml:space="preserve">it was to </w:t>
      </w:r>
      <w:r w:rsidR="00782DE3" w:rsidRPr="007D1120">
        <w:rPr>
          <w:color w:val="000000"/>
        </w:rPr>
        <w:t>a lesser extent than residents.</w:t>
      </w:r>
      <w:r w:rsidRPr="007D1120">
        <w:rPr>
          <w:color w:val="000000"/>
        </w:rPr>
        <w:t xml:space="preserve"> Interestingly, feather Cd concentrations were considerably higher in TCSS residents than the other two groups. Feather Zn concentrations was substantially higher in TCSS residents and migrants than in reference birds. </w:t>
      </w:r>
    </w:p>
    <w:p w14:paraId="33424DEC" w14:textId="77777777" w:rsidR="00006F6E" w:rsidRPr="007D1120" w:rsidRDefault="00006F6E" w:rsidP="00006F6E">
      <w:pPr>
        <w:pStyle w:val="NormalWeb"/>
        <w:spacing w:before="240" w:beforeAutospacing="0" w:after="240" w:afterAutospacing="0" w:line="480" w:lineRule="auto"/>
        <w:ind w:firstLine="720"/>
      </w:pPr>
      <w:r w:rsidRPr="007D1120">
        <w:rPr>
          <w:color w:val="000000"/>
        </w:rPr>
        <w:t>We also observed higher contamination levels among TCSS resident birds than migrants from TCSS, which aligns with our second prediction and the concept of “migratory escape”. However, support for this prediction was limited to Pb, Cd, and Zn in feathers. There was much stronger support for “migratory escape” when we considered only non-swallow migratory species. As suggested above, the swallows in our sample may have a disproportionately high degree of exposure since they were nesting directly in chat piles. Moreover, these birds were likely consuming prey species from nearby acid drainage ponds that receive large amounts of runoff from chat piles. Hence, the swallows we sampled were likely subject to ingestion and inhalation of heavy metals at a higher rate than non-swallows.</w:t>
      </w:r>
    </w:p>
    <w:p w14:paraId="11B423FD" w14:textId="77777777" w:rsidR="00006F6E" w:rsidRPr="007D1120" w:rsidRDefault="00006F6E" w:rsidP="00006F6E">
      <w:pPr>
        <w:pStyle w:val="NormalWeb"/>
        <w:spacing w:before="240" w:beforeAutospacing="0" w:after="240" w:afterAutospacing="0" w:line="480" w:lineRule="auto"/>
        <w:ind w:firstLine="720"/>
      </w:pPr>
      <w:r w:rsidRPr="007D1120">
        <w:rPr>
          <w:color w:val="000000"/>
        </w:rPr>
        <w:lastRenderedPageBreak/>
        <w:t xml:space="preserve">Our third prediction was that nestlings of migratory species should have higher exposure to contaminants than their parents. We reasoned that nestlings raised in TCSS will have had no exposure to non-contaminated areas, unlike their parents which have presumably spent the winter in a non-contaminated area. We cannot definitively say that feather samples collected from adult swallows indicate exposure solely from TCSS. Feather metal concentrations indicate incorporation of the metals at the time of formation, </w:t>
      </w:r>
      <w:r w:rsidRPr="007D1120">
        <w:rPr>
          <w:i/>
          <w:iCs/>
          <w:color w:val="000000"/>
        </w:rPr>
        <w:t>i.e.</w:t>
      </w:r>
      <w:r w:rsidRPr="007D1120">
        <w:rPr>
          <w:color w:val="000000"/>
        </w:rPr>
        <w:t xml:space="preserve"> molt (Kushwaha, 2016). Molt for Bank Swallows and Northern-rough Winged Swallows begins on breeding grounds about time young have </w:t>
      </w:r>
      <w:r w:rsidRPr="00B820D9">
        <w:rPr>
          <w:color w:val="000000"/>
        </w:rPr>
        <w:t>completed fledging and is suspended during fall migration, then completed on wintering grounds (Garrison and Turner, 2020; De Jong, 2020). However</w:t>
      </w:r>
      <w:r w:rsidRPr="007D1120">
        <w:rPr>
          <w:color w:val="000000"/>
        </w:rPr>
        <w:t>, Bank Swallows do exhibit high site fidelity (Garrison and Turner, 2020) so we assume that the adults we captured began molting at TCSS the previous summer. Overall, nestlings had higher concentrations of metals in their blood than adults. Metal concentrations in blood are indicative of recent exposure as the metals circulate in the bloodstream before being absorbed into organs and other tissue. Adults had higher levels of Pb and Zn in their feathers, but lower levels of Cd. This may be due to the sequestration and slow elimination of Cd from the kidneys and liver (Fernandez et al., 1996). </w:t>
      </w:r>
    </w:p>
    <w:p w14:paraId="46D55ECD" w14:textId="5439C2C7" w:rsidR="00006F6E" w:rsidRPr="007D1120" w:rsidRDefault="00006F6E" w:rsidP="00006F6E">
      <w:pPr>
        <w:pStyle w:val="NormalWeb"/>
        <w:spacing w:before="240" w:beforeAutospacing="0" w:after="240" w:afterAutospacing="0" w:line="480" w:lineRule="auto"/>
        <w:ind w:firstLine="720"/>
      </w:pPr>
      <w:r w:rsidRPr="007D1120">
        <w:rPr>
          <w:color w:val="000000"/>
        </w:rPr>
        <w:t>Our final prediction was that contaminant levels in blood and feathers should be correlated across individuals. Among the three groups tested (residents, adult migrants, and nestlings), significant positive correlations were found in Pb of residents and nestlings</w:t>
      </w:r>
      <w:r w:rsidR="00782DE3">
        <w:rPr>
          <w:color w:val="000000"/>
        </w:rPr>
        <w:t xml:space="preserve"> (See Table 1)</w:t>
      </w:r>
      <w:r w:rsidRPr="007D1120">
        <w:rPr>
          <w:color w:val="000000"/>
        </w:rPr>
        <w:t xml:space="preserve">. Burger and </w:t>
      </w:r>
      <w:proofErr w:type="spellStart"/>
      <w:r w:rsidRPr="007D1120">
        <w:rPr>
          <w:color w:val="000000"/>
        </w:rPr>
        <w:t>Gochfeld</w:t>
      </w:r>
      <w:proofErr w:type="spellEnd"/>
      <w:r w:rsidRPr="007D1120">
        <w:rPr>
          <w:color w:val="000000"/>
        </w:rPr>
        <w:t xml:space="preserve"> (1990) previously found that concentrations of Pb in feathers are strongly correlated to the levels in blood. Cd was not correlated among groups. Interactions between Pb, Cd, Zn and other xenobiotics can increase, inhibit, or offset their absorption and effects (</w:t>
      </w:r>
      <w:proofErr w:type="spellStart"/>
      <w:r w:rsidRPr="007D1120">
        <w:rPr>
          <w:color w:val="000000"/>
        </w:rPr>
        <w:t>Goyer</w:t>
      </w:r>
      <w:proofErr w:type="spellEnd"/>
      <w:r w:rsidRPr="007D1120">
        <w:rPr>
          <w:color w:val="000000"/>
        </w:rPr>
        <w:t>, 1997). Therefore, correlations between the metals themselves were also tested and almost all were positively correlated.    </w:t>
      </w:r>
    </w:p>
    <w:p w14:paraId="02A2B9AA" w14:textId="00518E5E" w:rsidR="00006F6E" w:rsidRPr="007D1120" w:rsidRDefault="00006F6E" w:rsidP="00006F6E">
      <w:pPr>
        <w:pStyle w:val="NormalWeb"/>
        <w:spacing w:before="240" w:beforeAutospacing="0" w:after="240" w:afterAutospacing="0" w:line="480" w:lineRule="auto"/>
        <w:ind w:firstLine="720"/>
      </w:pPr>
      <w:r w:rsidRPr="007D1120">
        <w:rPr>
          <w:color w:val="000000"/>
        </w:rPr>
        <w:lastRenderedPageBreak/>
        <w:t>Our results differed from similar comparisons of adult and nestling birds. Adult Red-shouldered Hawks (</w:t>
      </w:r>
      <w:r w:rsidRPr="007D1120">
        <w:rPr>
          <w:i/>
          <w:iCs/>
          <w:color w:val="000000"/>
        </w:rPr>
        <w:t xml:space="preserve">Buteo </w:t>
      </w:r>
      <w:proofErr w:type="spellStart"/>
      <w:r w:rsidRPr="007D1120">
        <w:rPr>
          <w:i/>
          <w:iCs/>
          <w:color w:val="000000"/>
        </w:rPr>
        <w:t>lineatus</w:t>
      </w:r>
      <w:proofErr w:type="spellEnd"/>
      <w:r w:rsidRPr="007D1120">
        <w:rPr>
          <w:color w:val="000000"/>
        </w:rPr>
        <w:t>) exhibited higher levels of Pb than nestlings during the breeding season (</w:t>
      </w:r>
      <w:proofErr w:type="spellStart"/>
      <w:r w:rsidRPr="007D1120">
        <w:rPr>
          <w:color w:val="000000"/>
        </w:rPr>
        <w:t>Slabe</w:t>
      </w:r>
      <w:proofErr w:type="spellEnd"/>
      <w:r w:rsidRPr="007D1120">
        <w:rPr>
          <w:color w:val="000000"/>
        </w:rPr>
        <w:t xml:space="preserve"> et al., 2019). Similarly, adult Glaucous-winged Gulls (</w:t>
      </w:r>
      <w:proofErr w:type="spellStart"/>
      <w:r w:rsidRPr="007D1120">
        <w:rPr>
          <w:i/>
          <w:iCs/>
          <w:color w:val="000000"/>
        </w:rPr>
        <w:t>Larus</w:t>
      </w:r>
      <w:proofErr w:type="spellEnd"/>
      <w:r w:rsidRPr="007D1120">
        <w:rPr>
          <w:i/>
          <w:iCs/>
          <w:color w:val="000000"/>
        </w:rPr>
        <w:t xml:space="preserve"> </w:t>
      </w:r>
      <w:proofErr w:type="spellStart"/>
      <w:r w:rsidRPr="007D1120">
        <w:rPr>
          <w:i/>
          <w:iCs/>
          <w:color w:val="000000"/>
        </w:rPr>
        <w:t>glaucescens</w:t>
      </w:r>
      <w:proofErr w:type="spellEnd"/>
      <w:r w:rsidRPr="007D1120">
        <w:rPr>
          <w:color w:val="000000"/>
        </w:rPr>
        <w:t>) had higher levels of Cd and Pb concentrations in feathers (Burger et al., 2009). These larger birds are higher on the trophic level and the primary source of heavy metal exposure is diet. For passerines, inhalation and ingestion are the two most important exposure routes (</w:t>
      </w:r>
      <w:proofErr w:type="spellStart"/>
      <w:r w:rsidRPr="005D0B20">
        <w:rPr>
          <w:color w:val="000000"/>
        </w:rPr>
        <w:t>Pattee</w:t>
      </w:r>
      <w:proofErr w:type="spellEnd"/>
      <w:r w:rsidRPr="005D0B20">
        <w:rPr>
          <w:color w:val="000000"/>
        </w:rPr>
        <w:t xml:space="preserve"> and Pain, 2003</w:t>
      </w:r>
      <w:r w:rsidRPr="007D1120">
        <w:rPr>
          <w:color w:val="000000"/>
        </w:rPr>
        <w:t xml:space="preserve">). The nestling swallows in our study are probably inhaling chat particles in a continuous manner for roughly three weeks before they fledge. There is evidence that Pb does not transfer significantly into </w:t>
      </w:r>
      <w:r w:rsidRPr="003733EB">
        <w:rPr>
          <w:color w:val="000000"/>
        </w:rPr>
        <w:t>eggs (Henny, 2003) indicating</w:t>
      </w:r>
      <w:r w:rsidRPr="007D1120">
        <w:rPr>
          <w:color w:val="000000"/>
        </w:rPr>
        <w:t xml:space="preserve"> that the high concentrations of heavy metals in nestlings are accumulated quickly after hatching through inhalation and parental feeding. Little Blue Heron (</w:t>
      </w:r>
      <w:proofErr w:type="spellStart"/>
      <w:r w:rsidRPr="007D1120">
        <w:rPr>
          <w:i/>
          <w:iCs/>
          <w:color w:val="000000"/>
        </w:rPr>
        <w:t>Egretta</w:t>
      </w:r>
      <w:proofErr w:type="spellEnd"/>
      <w:r w:rsidRPr="007D1120">
        <w:rPr>
          <w:i/>
          <w:iCs/>
          <w:color w:val="000000"/>
        </w:rPr>
        <w:t xml:space="preserve"> </w:t>
      </w:r>
      <w:proofErr w:type="spellStart"/>
      <w:r w:rsidRPr="007D1120">
        <w:rPr>
          <w:i/>
          <w:iCs/>
          <w:color w:val="000000"/>
        </w:rPr>
        <w:t>caerulea</w:t>
      </w:r>
      <w:proofErr w:type="spellEnd"/>
      <w:r w:rsidRPr="007D1120">
        <w:rPr>
          <w:color w:val="000000"/>
        </w:rPr>
        <w:t>) chicks exposed to Cd had significantly slower growth rates than non-exposed chicks, and exposure to Pb was correlated with increased nestling mortality (</w:t>
      </w:r>
      <w:proofErr w:type="spellStart"/>
      <w:r w:rsidRPr="007D1120">
        <w:rPr>
          <w:color w:val="000000"/>
        </w:rPr>
        <w:t>Spahn</w:t>
      </w:r>
      <w:proofErr w:type="spellEnd"/>
      <w:r w:rsidRPr="007D1120">
        <w:rPr>
          <w:color w:val="000000"/>
        </w:rPr>
        <w:t xml:space="preserve"> and Sherry, 1999). We did not attempt to measure growth rates in this study due to the difficulty and disturbance associated with accessing the nestlings. However, it would be interesting to compare their growth rates with a reference population. </w:t>
      </w:r>
    </w:p>
    <w:p w14:paraId="37B96468" w14:textId="77777777" w:rsidR="00006F6E" w:rsidRPr="007D1120" w:rsidRDefault="00006F6E" w:rsidP="00006F6E">
      <w:pPr>
        <w:pStyle w:val="NormalWeb"/>
        <w:spacing w:before="240" w:beforeAutospacing="0" w:after="240" w:afterAutospacing="0" w:line="480" w:lineRule="auto"/>
      </w:pPr>
      <w:r w:rsidRPr="007D1120">
        <w:rPr>
          <w:rStyle w:val="apple-tab-span"/>
          <w:color w:val="000000"/>
        </w:rPr>
        <w:tab/>
      </w:r>
      <w:r w:rsidRPr="007D1120">
        <w:rPr>
          <w:color w:val="000000"/>
        </w:rPr>
        <w:t xml:space="preserve"> TCSS is the first site at which wild birds, specifically waterfowl, have been shown to suffer from severe effects of zinc poisoning. (Beyer et al., 2004). Additionally, American Robins (</w:t>
      </w:r>
      <w:proofErr w:type="spellStart"/>
      <w:r w:rsidRPr="007D1120">
        <w:rPr>
          <w:i/>
          <w:iCs/>
          <w:color w:val="000000"/>
        </w:rPr>
        <w:t>Turdus</w:t>
      </w:r>
      <w:proofErr w:type="spellEnd"/>
      <w:r w:rsidRPr="007D1120">
        <w:rPr>
          <w:i/>
          <w:iCs/>
          <w:color w:val="000000"/>
        </w:rPr>
        <w:t xml:space="preserve"> </w:t>
      </w:r>
      <w:proofErr w:type="spellStart"/>
      <w:r w:rsidRPr="007D1120">
        <w:rPr>
          <w:i/>
          <w:iCs/>
          <w:color w:val="000000"/>
        </w:rPr>
        <w:t>migratorius</w:t>
      </w:r>
      <w:proofErr w:type="spellEnd"/>
      <w:r w:rsidRPr="007D1120">
        <w:rPr>
          <w:color w:val="000000"/>
        </w:rPr>
        <w:t>), Northern Cardinals (</w:t>
      </w:r>
      <w:r w:rsidRPr="007D1120">
        <w:rPr>
          <w:i/>
          <w:iCs/>
          <w:color w:val="000000"/>
        </w:rPr>
        <w:t>Cardinalis cardinalis</w:t>
      </w:r>
      <w:r w:rsidRPr="007D1120">
        <w:rPr>
          <w:color w:val="000000"/>
        </w:rPr>
        <w:t>), and several species of waterfowl (</w:t>
      </w:r>
      <w:r w:rsidRPr="007D1120">
        <w:rPr>
          <w:i/>
          <w:iCs/>
          <w:color w:val="000000"/>
        </w:rPr>
        <w:t>Anseriformes</w:t>
      </w:r>
      <w:r w:rsidRPr="007D1120">
        <w:rPr>
          <w:color w:val="000000"/>
        </w:rPr>
        <w:t xml:space="preserve">) at TCSS that exhibited increased Pb tissue concentrations and showed external signs of lead poisoning when compared to reference populations (Beyer et al., 2004). However, although the concentrations of metals in our sampled birds surpassed the levels which should indicate illness or death, the birds did not seem to exhibit outward symptoms. Captive, laboratory studies show that Pb poisoning at ranges lesser than exhibited in our study </w:t>
      </w:r>
      <w:r w:rsidRPr="007D1120">
        <w:rPr>
          <w:color w:val="000000"/>
        </w:rPr>
        <w:lastRenderedPageBreak/>
        <w:t>experienced symptoms like inability to walk, delayed fledging, and growth abnormalities (Burger, 1993; Janssens et al., 2003). One issue with these studies is that exposure to heavy metals are typically evaluated on an individual chemical basis, which does not adequately account for the wide array of co-contaminants encountered in the environment (Anyanwu et al., 2018). Physiologically, even moderate levels of Zn can influence the absorption of Pb (Noonan et al., 2003) and inversely affect absorption, accumulation and toxicity of Cd (</w:t>
      </w:r>
      <w:proofErr w:type="spellStart"/>
      <w:r w:rsidRPr="007D1120">
        <w:rPr>
          <w:color w:val="000000"/>
        </w:rPr>
        <w:t>Brzóska</w:t>
      </w:r>
      <w:proofErr w:type="spellEnd"/>
      <w:r w:rsidRPr="007D1120">
        <w:rPr>
          <w:color w:val="000000"/>
        </w:rPr>
        <w:t xml:space="preserve"> and Moniuszko-</w:t>
      </w:r>
      <w:proofErr w:type="spellStart"/>
      <w:r w:rsidRPr="007D1120">
        <w:rPr>
          <w:color w:val="000000"/>
        </w:rPr>
        <w:t>Jakoniuk</w:t>
      </w:r>
      <w:proofErr w:type="spellEnd"/>
      <w:r w:rsidRPr="007D1120">
        <w:rPr>
          <w:color w:val="000000"/>
        </w:rPr>
        <w:t>, 2001). Zn can protect against some toxic effects of Pb and Cd (Saxena et al., 1989).  Kim et al., (2009) found that Cd concentrations in the livers of wild birds in Korea were positively correlated with Zn. In pigeon feathers Pb, Cd, and Zn were highly correlated (Frantz et al., 2012). However, the concentrations of the metals at TCSS may simply explain the correlations we see in our study (Frantz et al., 2012). </w:t>
      </w:r>
    </w:p>
    <w:p w14:paraId="5E4DC5B8" w14:textId="77777777" w:rsidR="00006F6E" w:rsidRPr="007D1120" w:rsidRDefault="00006F6E" w:rsidP="00006F6E">
      <w:pPr>
        <w:pStyle w:val="NormalWeb"/>
        <w:spacing w:before="240" w:beforeAutospacing="0" w:after="240" w:afterAutospacing="0" w:line="480" w:lineRule="auto"/>
      </w:pPr>
      <w:r w:rsidRPr="007D1120">
        <w:rPr>
          <w:rStyle w:val="apple-tab-span"/>
          <w:color w:val="000000"/>
        </w:rPr>
        <w:tab/>
      </w:r>
      <w:r w:rsidRPr="007D1120">
        <w:rPr>
          <w:color w:val="000000"/>
        </w:rPr>
        <w:t xml:space="preserve">That blood Pb concentrations </w:t>
      </w:r>
      <w:proofErr w:type="gramStart"/>
      <w:r w:rsidRPr="007D1120">
        <w:rPr>
          <w:color w:val="000000"/>
        </w:rPr>
        <w:t>weren’t</w:t>
      </w:r>
      <w:proofErr w:type="gramEnd"/>
      <w:r w:rsidRPr="007D1120">
        <w:rPr>
          <w:color w:val="000000"/>
        </w:rPr>
        <w:t xml:space="preserve"> significantly different between TCSS migrants and reference birds shows some evidence of “migratory escape”. Migrant birds escape the contaminated habitat allowing them to recover/detoxify so they should have reduced levels of heavy metals more </w:t>
      </w:r>
      <w:proofErr w:type="gramStart"/>
      <w:r w:rsidRPr="007D1120">
        <w:rPr>
          <w:color w:val="000000"/>
        </w:rPr>
        <w:t>similar to</w:t>
      </w:r>
      <w:proofErr w:type="gramEnd"/>
      <w:r w:rsidRPr="007D1120">
        <w:rPr>
          <w:color w:val="000000"/>
        </w:rPr>
        <w:t xml:space="preserve"> reference birds. Our strongest evidence for “migratory </w:t>
      </w:r>
      <w:proofErr w:type="gramStart"/>
      <w:r w:rsidRPr="007D1120">
        <w:rPr>
          <w:color w:val="000000"/>
        </w:rPr>
        <w:t>escape“ is</w:t>
      </w:r>
      <w:proofErr w:type="gramEnd"/>
      <w:r w:rsidRPr="007D1120">
        <w:rPr>
          <w:color w:val="000000"/>
        </w:rPr>
        <w:t xml:space="preserve"> the analysis comparing non-swallow migrants to resident TCSS birds. Although our sample size was small, it was clear that migrants were avoiding the accumulation of toxic heavy metals, which is likely due to the birds leaving the area for part of the year or because they recently dispersed into it. </w:t>
      </w:r>
    </w:p>
    <w:p w14:paraId="68A70FD0" w14:textId="46F0E5F6" w:rsidR="00006F6E" w:rsidRPr="007D1120" w:rsidRDefault="00006F6E" w:rsidP="00006F6E">
      <w:pPr>
        <w:pStyle w:val="NormalWeb"/>
        <w:spacing w:before="240" w:beforeAutospacing="0" w:after="240" w:afterAutospacing="0" w:line="480" w:lineRule="auto"/>
        <w:ind w:firstLine="720"/>
      </w:pPr>
      <w:r w:rsidRPr="007D1120">
        <w:rPr>
          <w:color w:val="000000"/>
        </w:rPr>
        <w:t xml:space="preserve">The negative effects of heavy metals are particularly detrimental to migratory species. Many bird species demonstrate dramatic changes in brain organization over the course of their annual </w:t>
      </w:r>
      <w:r w:rsidRPr="00CF0595">
        <w:rPr>
          <w:color w:val="000000"/>
        </w:rPr>
        <w:t>cycle (Hof</w:t>
      </w:r>
      <w:r w:rsidR="00CF0595" w:rsidRPr="00CF0595">
        <w:rPr>
          <w:color w:val="000000"/>
        </w:rPr>
        <w:t>f</w:t>
      </w:r>
      <w:r w:rsidRPr="00CF0595">
        <w:rPr>
          <w:color w:val="000000"/>
        </w:rPr>
        <w:t>man et al., 2002). This</w:t>
      </w:r>
      <w:r w:rsidRPr="007D1120">
        <w:rPr>
          <w:color w:val="000000"/>
        </w:rPr>
        <w:t xml:space="preserve"> adult neurogenesis accounts for birds’ abilities to functionally navigate, survive, and adapt to changing habitats. Successful migrants rely more </w:t>
      </w:r>
      <w:r w:rsidRPr="007D1120">
        <w:rPr>
          <w:color w:val="000000"/>
        </w:rPr>
        <w:lastRenderedPageBreak/>
        <w:t>heavily on these abilities as they travel long distances. Migrant birds exposed to heavy metal pollution may experience greater changes in cognition and behavior (</w:t>
      </w:r>
      <w:proofErr w:type="spellStart"/>
      <w:r w:rsidRPr="007D1120">
        <w:rPr>
          <w:color w:val="000000"/>
        </w:rPr>
        <w:t>Avgar</w:t>
      </w:r>
      <w:proofErr w:type="spellEnd"/>
      <w:r w:rsidRPr="007D1120">
        <w:rPr>
          <w:color w:val="000000"/>
        </w:rPr>
        <w:t xml:space="preserve"> et al., 2014). At the Coeur d’Alene River Basin (CDA), Pb concentrations in blood of migratory wood ducks was higher later in the season suggesting that the amount of time spent in the area and exposed to lead seems to be a factor (Henny, 2003). Tundra swans (Cygnus </w:t>
      </w:r>
      <w:proofErr w:type="spellStart"/>
      <w:r w:rsidRPr="007D1120">
        <w:rPr>
          <w:color w:val="000000"/>
        </w:rPr>
        <w:t>columbianus</w:t>
      </w:r>
      <w:proofErr w:type="spellEnd"/>
      <w:r w:rsidRPr="007D1120">
        <w:rPr>
          <w:color w:val="000000"/>
        </w:rPr>
        <w:t>) are only in the CDA for a several weeks but were often discovered ill or dead. Significantly higher lead concentrations were found in the blood of living swans sampled when compared to reference swans (Henny, 2003). Concentrations of blood lead in these birds dramatically increased in only a few days. In addition to the direct consequences of metal exposure to birds, they can also have indirect effects. Metal pollution, particularly Pb and Cd alters habitat and food quality indirectly increasing oxidative stress in birds (</w:t>
      </w:r>
      <w:proofErr w:type="spellStart"/>
      <w:r w:rsidRPr="007D1120">
        <w:rPr>
          <w:color w:val="000000"/>
        </w:rPr>
        <w:t>Koivula</w:t>
      </w:r>
      <w:proofErr w:type="spellEnd"/>
      <w:r w:rsidRPr="007D1120">
        <w:rPr>
          <w:color w:val="000000"/>
        </w:rPr>
        <w:t xml:space="preserve"> and </w:t>
      </w:r>
      <w:proofErr w:type="spellStart"/>
      <w:r w:rsidRPr="007D1120">
        <w:rPr>
          <w:color w:val="000000"/>
        </w:rPr>
        <w:t>Eeva</w:t>
      </w:r>
      <w:proofErr w:type="spellEnd"/>
      <w:r w:rsidRPr="007D1120">
        <w:rPr>
          <w:color w:val="000000"/>
        </w:rPr>
        <w:t>, 2010). For example, insectivores may consume metal-impacted invertebrates (</w:t>
      </w:r>
      <w:proofErr w:type="spellStart"/>
      <w:r w:rsidRPr="007D1120">
        <w:rPr>
          <w:color w:val="000000"/>
        </w:rPr>
        <w:t>Eeva</w:t>
      </w:r>
      <w:proofErr w:type="spellEnd"/>
      <w:r w:rsidRPr="007D1120">
        <w:rPr>
          <w:color w:val="000000"/>
        </w:rPr>
        <w:t xml:space="preserve"> et al., 2005, 2008) reducing the </w:t>
      </w:r>
      <w:proofErr w:type="gramStart"/>
      <w:r w:rsidRPr="007D1120">
        <w:rPr>
          <w:color w:val="000000"/>
        </w:rPr>
        <w:t>amount</w:t>
      </w:r>
      <w:proofErr w:type="gramEnd"/>
      <w:r w:rsidRPr="007D1120">
        <w:rPr>
          <w:color w:val="000000"/>
        </w:rPr>
        <w:t xml:space="preserve"> of dietary antioxidants available thereby decreasing their ability to defend against free radicals. This lowered antioxidant defense mechanism alters birds’ abilities to remove harmful toxicants from the body (</w:t>
      </w:r>
      <w:proofErr w:type="spellStart"/>
      <w:r w:rsidRPr="007D1120">
        <w:rPr>
          <w:color w:val="000000"/>
        </w:rPr>
        <w:t>Koivula</w:t>
      </w:r>
      <w:proofErr w:type="spellEnd"/>
      <w:r w:rsidRPr="007D1120">
        <w:rPr>
          <w:color w:val="000000"/>
        </w:rPr>
        <w:t xml:space="preserve"> and </w:t>
      </w:r>
      <w:proofErr w:type="spellStart"/>
      <w:r w:rsidRPr="007D1120">
        <w:rPr>
          <w:color w:val="000000"/>
        </w:rPr>
        <w:t>Eeva</w:t>
      </w:r>
      <w:proofErr w:type="spellEnd"/>
      <w:r w:rsidRPr="007D1120">
        <w:rPr>
          <w:color w:val="000000"/>
        </w:rPr>
        <w:t>, 2010). </w:t>
      </w:r>
    </w:p>
    <w:p w14:paraId="6C1694F2" w14:textId="77777777" w:rsidR="00006F6E" w:rsidRPr="007D1120" w:rsidRDefault="00006F6E" w:rsidP="00006F6E">
      <w:pPr>
        <w:pStyle w:val="NormalWeb"/>
        <w:spacing w:before="240" w:beforeAutospacing="0" w:after="240" w:afterAutospacing="0" w:line="480" w:lineRule="auto"/>
        <w:ind w:firstLine="720"/>
      </w:pPr>
      <w:r w:rsidRPr="007D1120">
        <w:rPr>
          <w:color w:val="000000"/>
        </w:rPr>
        <w:t xml:space="preserve">Due to increasing amounts of hazardous chemicals released into the environment, there is a high demand for developing easy and non-destructive biomonitoring tools (Jaspers et al., 2019). Birds provide humans a non-invasive way of informing us of the ecological health and/or pollution levels in an area, and </w:t>
      </w:r>
      <w:proofErr w:type="gramStart"/>
      <w:r w:rsidRPr="007D1120">
        <w:rPr>
          <w:color w:val="000000"/>
        </w:rPr>
        <w:t>they’re</w:t>
      </w:r>
      <w:proofErr w:type="gramEnd"/>
      <w:r w:rsidRPr="007D1120">
        <w:rPr>
          <w:color w:val="000000"/>
        </w:rPr>
        <w:t xml:space="preserve"> relatively easy to sample. They are also readily observable and sensitive to toxicity, high on the food chain, and of interest to the public. Over the </w:t>
      </w:r>
      <w:proofErr w:type="gramStart"/>
      <w:r w:rsidRPr="007D1120">
        <w:rPr>
          <w:color w:val="000000"/>
        </w:rPr>
        <w:t>years</w:t>
      </w:r>
      <w:proofErr w:type="gramEnd"/>
      <w:r w:rsidRPr="007D1120">
        <w:rPr>
          <w:color w:val="000000"/>
        </w:rPr>
        <w:t xml:space="preserve"> birds have served as early warnings for a number of environmental contaminants such as DDT, pesticides, and heavy metals (</w:t>
      </w:r>
      <w:proofErr w:type="spellStart"/>
      <w:r w:rsidRPr="007D1120">
        <w:rPr>
          <w:color w:val="000000"/>
        </w:rPr>
        <w:t>Tsipoura</w:t>
      </w:r>
      <w:proofErr w:type="spellEnd"/>
      <w:r w:rsidRPr="007D1120">
        <w:rPr>
          <w:color w:val="000000"/>
        </w:rPr>
        <w:t xml:space="preserve"> et al., 2008). Raptors, shorebirds, seabirds, waterfowl have all been used to assess environmental health (Dykstra et al., 2010). Recent </w:t>
      </w:r>
      <w:r w:rsidRPr="007D1120">
        <w:rPr>
          <w:color w:val="000000"/>
        </w:rPr>
        <w:lastRenderedPageBreak/>
        <w:t>studies have begun to look at passerines as bio-sentinels, or indicators of local contamination. Tree swallows (</w:t>
      </w:r>
      <w:proofErr w:type="spellStart"/>
      <w:r w:rsidRPr="007D1120">
        <w:rPr>
          <w:i/>
          <w:iCs/>
          <w:color w:val="000000"/>
        </w:rPr>
        <w:t>Tachycineta</w:t>
      </w:r>
      <w:proofErr w:type="spellEnd"/>
      <w:r w:rsidRPr="007D1120">
        <w:rPr>
          <w:i/>
          <w:iCs/>
          <w:color w:val="000000"/>
        </w:rPr>
        <w:t xml:space="preserve"> bicolor</w:t>
      </w:r>
      <w:r w:rsidRPr="007D1120">
        <w:rPr>
          <w:color w:val="000000"/>
        </w:rPr>
        <w:t>) readily use nest boxes, so study sites can be established at specific locations of interest (Custer et al., 2003). Pigeons and Starlings have been suggested as indicators of lead contamination in human environments (</w:t>
      </w:r>
      <w:proofErr w:type="spellStart"/>
      <w:r w:rsidRPr="007D1120">
        <w:rPr>
          <w:color w:val="000000"/>
        </w:rPr>
        <w:t>Solonen</w:t>
      </w:r>
      <w:proofErr w:type="spellEnd"/>
      <w:r w:rsidRPr="007D1120">
        <w:rPr>
          <w:color w:val="000000"/>
        </w:rPr>
        <w:t xml:space="preserve"> et al., 1999; </w:t>
      </w:r>
      <w:proofErr w:type="spellStart"/>
      <w:r w:rsidRPr="007D1120">
        <w:rPr>
          <w:color w:val="000000"/>
        </w:rPr>
        <w:t>Pattee</w:t>
      </w:r>
      <w:proofErr w:type="spellEnd"/>
      <w:r w:rsidRPr="007D1120">
        <w:rPr>
          <w:color w:val="000000"/>
        </w:rPr>
        <w:t xml:space="preserve"> and Pain, 2003; Frantz et al., 2012). </w:t>
      </w:r>
    </w:p>
    <w:p w14:paraId="395D07D1" w14:textId="2EFCD281" w:rsidR="00006F6E" w:rsidRPr="007D1120" w:rsidRDefault="00006F6E" w:rsidP="00006F6E">
      <w:pPr>
        <w:pStyle w:val="NormalWeb"/>
        <w:spacing w:before="240" w:beforeAutospacing="0" w:after="240" w:afterAutospacing="0" w:line="480" w:lineRule="auto"/>
        <w:ind w:firstLine="720"/>
      </w:pPr>
      <w:r w:rsidRPr="007D1120">
        <w:rPr>
          <w:color w:val="000000"/>
        </w:rPr>
        <w:t>Although contamination like that of the TCSS has only occurred in the past 200 years, there may already be evolutionary consequences evident in the genetics of affected animal populations. Brown trout populations impacted by metals are genetically distinct from populations in clean rivers and exhibit lower genetic diversity, possibly due to severe population declines (Paris et al., 2015). Lester and van Riper III (2014) suggested that although levels of heavy metals in some birds may not exceed seemingly innocuous background concentrations, they may be accumulating significantly greater burdens of metals over time. For example, Pb stored in bones from chronic exposure over a bird’s lifetime will ultimately get released back into the bloodstream so older birds will exhibit higher concentrations due to recurring exposure (</w:t>
      </w:r>
      <w:proofErr w:type="spellStart"/>
      <w:r w:rsidRPr="007D1120">
        <w:rPr>
          <w:color w:val="000000"/>
        </w:rPr>
        <w:t>Slabe</w:t>
      </w:r>
      <w:proofErr w:type="spellEnd"/>
      <w:r w:rsidRPr="007D1120">
        <w:rPr>
          <w:color w:val="000000"/>
        </w:rPr>
        <w:t xml:space="preserve"> et al., 2019). Since concentration levels in feathers reflect the body accumulation during the entire time of feather development, potential age biases can be circumvented by restricting the analyses to chick feathers (</w:t>
      </w:r>
      <w:proofErr w:type="spellStart"/>
      <w:r w:rsidRPr="007D1120">
        <w:rPr>
          <w:color w:val="000000"/>
        </w:rPr>
        <w:t>Borghesi</w:t>
      </w:r>
      <w:proofErr w:type="spellEnd"/>
      <w:r w:rsidRPr="007D1120">
        <w:rPr>
          <w:color w:val="000000"/>
        </w:rPr>
        <w:t xml:space="preserve"> et al., 2017). We recommend using nestlings as bioindicators for studies aiming to assess local environmental contamination. Nestlings seem a more optimal choice for the evaluation of local </w:t>
      </w:r>
      <w:r w:rsidR="002C73D8" w:rsidRPr="007D1120">
        <w:rPr>
          <w:color w:val="000000"/>
        </w:rPr>
        <w:t>pollution since</w:t>
      </w:r>
      <w:r w:rsidRPr="007D1120">
        <w:rPr>
          <w:color w:val="000000"/>
        </w:rPr>
        <w:t xml:space="preserve"> we can sample data from a defined area and time period. Also, because the nestlings stay within the nest boxes, there is a very limited possibility of external airborne deposition from industrial sources. Metals in bird nestlings, like Sparrows, reflect local pollution levels, as nestlings are fed entirely on food collected by parents near their breeding colony. Lead concentrations in tissues of juvenile birds </w:t>
      </w:r>
      <w:r w:rsidRPr="007D1120">
        <w:rPr>
          <w:color w:val="000000"/>
        </w:rPr>
        <w:lastRenderedPageBreak/>
        <w:t>have been shown to be a reliable indicator of dietary exposure (Burger, 199</w:t>
      </w:r>
      <w:r w:rsidR="003E12CD" w:rsidRPr="007D1120">
        <w:rPr>
          <w:color w:val="000000"/>
        </w:rPr>
        <w:t>5</w:t>
      </w:r>
      <w:r w:rsidRPr="007D1120">
        <w:rPr>
          <w:color w:val="000000"/>
        </w:rPr>
        <w:t>; Janssens et al., 2003) and to be correlated with lead in some tissues (Golden et al. 2003). </w:t>
      </w:r>
    </w:p>
    <w:p w14:paraId="4101B92A" w14:textId="5186A4BC" w:rsidR="00006F6E" w:rsidRPr="007D1120" w:rsidRDefault="00006F6E" w:rsidP="00006F6E">
      <w:pPr>
        <w:pStyle w:val="NormalWeb"/>
        <w:spacing w:before="240" w:beforeAutospacing="0" w:after="240" w:afterAutospacing="0" w:line="480" w:lineRule="auto"/>
        <w:ind w:firstLine="720"/>
        <w:rPr>
          <w:color w:val="000000"/>
        </w:rPr>
      </w:pPr>
      <w:r w:rsidRPr="007D1120">
        <w:rPr>
          <w:color w:val="000000"/>
        </w:rPr>
        <w:t>As songbird populations continue to decline</w:t>
      </w:r>
      <w:r w:rsidR="00CD4423">
        <w:rPr>
          <w:color w:val="000000"/>
        </w:rPr>
        <w:t xml:space="preserve"> (</w:t>
      </w:r>
      <w:proofErr w:type="spellStart"/>
      <w:r w:rsidR="00CD4423" w:rsidRPr="00CD4423">
        <w:t>Pennisi</w:t>
      </w:r>
      <w:proofErr w:type="spellEnd"/>
      <w:r w:rsidR="00CD4423">
        <w:t>, 2019</w:t>
      </w:r>
      <w:r w:rsidR="00CD4423">
        <w:rPr>
          <w:color w:val="000000"/>
        </w:rPr>
        <w:t>)</w:t>
      </w:r>
      <w:r w:rsidRPr="007D1120">
        <w:rPr>
          <w:color w:val="000000"/>
        </w:rPr>
        <w:t xml:space="preserve">, </w:t>
      </w:r>
      <w:proofErr w:type="gramStart"/>
      <w:r w:rsidRPr="007D1120">
        <w:rPr>
          <w:color w:val="000000"/>
        </w:rPr>
        <w:t>it’s</w:t>
      </w:r>
      <w:proofErr w:type="gramEnd"/>
      <w:r w:rsidRPr="007D1120">
        <w:rPr>
          <w:color w:val="000000"/>
        </w:rPr>
        <w:t xml:space="preserve"> important to understand all the disadvantages and advantages birds face. This is the first study </w:t>
      </w:r>
      <w:r w:rsidR="00CD4423">
        <w:rPr>
          <w:color w:val="000000"/>
        </w:rPr>
        <w:t>to examine</w:t>
      </w:r>
      <w:r w:rsidRPr="007D1120">
        <w:rPr>
          <w:color w:val="000000"/>
        </w:rPr>
        <w:t xml:space="preserve"> heavy metal exposure </w:t>
      </w:r>
      <w:r w:rsidR="00CD4423">
        <w:rPr>
          <w:color w:val="000000"/>
        </w:rPr>
        <w:t>in the context of the</w:t>
      </w:r>
      <w:r w:rsidRPr="007D1120">
        <w:rPr>
          <w:color w:val="000000"/>
        </w:rPr>
        <w:t xml:space="preserve"> “migratory escape”</w:t>
      </w:r>
      <w:r w:rsidR="00CD4423">
        <w:rPr>
          <w:color w:val="000000"/>
        </w:rPr>
        <w:t xml:space="preserve"> concept,</w:t>
      </w:r>
      <w:r w:rsidRPr="007D1120">
        <w:rPr>
          <w:color w:val="000000"/>
        </w:rPr>
        <w:t xml:space="preserve"> and</w:t>
      </w:r>
      <w:r w:rsidR="00CD4423">
        <w:rPr>
          <w:color w:val="000000"/>
        </w:rPr>
        <w:t xml:space="preserve"> clearly</w:t>
      </w:r>
      <w:r w:rsidRPr="007D1120">
        <w:rPr>
          <w:color w:val="000000"/>
        </w:rPr>
        <w:t xml:space="preserve"> further study </w:t>
      </w:r>
      <w:r w:rsidR="00CD4423">
        <w:rPr>
          <w:color w:val="000000"/>
        </w:rPr>
        <w:t>is needed to</w:t>
      </w:r>
      <w:r w:rsidRPr="007D1120">
        <w:rPr>
          <w:color w:val="000000"/>
        </w:rPr>
        <w:t xml:space="preserve"> illuminate how </w:t>
      </w:r>
      <w:r w:rsidR="00CD4423">
        <w:rPr>
          <w:color w:val="000000"/>
        </w:rPr>
        <w:t>migratory birds</w:t>
      </w:r>
      <w:r w:rsidRPr="007D1120">
        <w:rPr>
          <w:color w:val="000000"/>
        </w:rPr>
        <w:t xml:space="preserve"> respond long-term to accumulation of anthropogenic contaminants in the environment. Partial migrants, such as American Robins, </w:t>
      </w:r>
      <w:r w:rsidR="00CD4423">
        <w:rPr>
          <w:color w:val="000000"/>
        </w:rPr>
        <w:t>may be</w:t>
      </w:r>
      <w:r w:rsidRPr="007D1120">
        <w:rPr>
          <w:color w:val="000000"/>
        </w:rPr>
        <w:t xml:space="preserve"> ideal study organisms for further research on this topic. Partial migration is when some members of a breeding population migrate, while others remain at the breeding grounds (Greenberg and Marra, 2005). If migration provides a means of avoiding detrimental accumulation of heavy metals, there might be a shift toward increased migration among local robin populations. Additionally, robins are ground feeders and so would ingest an elevated amount of contaminated soil (Beyer </w:t>
      </w:r>
      <w:r w:rsidR="005E4B07" w:rsidRPr="007D1120">
        <w:rPr>
          <w:color w:val="000000"/>
        </w:rPr>
        <w:t>and Sample</w:t>
      </w:r>
      <w:r w:rsidRPr="007D1120">
        <w:rPr>
          <w:color w:val="000000"/>
        </w:rPr>
        <w:t>, 2017) as well as earthworms, which have been proposed as key species in risk assessments where the contaminant is found in the soil and sediment (</w:t>
      </w:r>
      <w:r w:rsidRPr="00952DAE">
        <w:rPr>
          <w:color w:val="000000"/>
        </w:rPr>
        <w:t>Beyer and Fries, 2003</w:t>
      </w:r>
      <w:r w:rsidRPr="007D1120">
        <w:rPr>
          <w:color w:val="000000"/>
        </w:rPr>
        <w:t>; Helmke et al. 1979). Robins are widely distributed, tolerant of humans (</w:t>
      </w:r>
      <w:proofErr w:type="spellStart"/>
      <w:r w:rsidRPr="007D1120">
        <w:rPr>
          <w:color w:val="000000"/>
        </w:rPr>
        <w:t>Wauer</w:t>
      </w:r>
      <w:proofErr w:type="spellEnd"/>
      <w:r w:rsidRPr="007D1120">
        <w:rPr>
          <w:color w:val="000000"/>
        </w:rPr>
        <w:t xml:space="preserve">, 1999) and have been shown </w:t>
      </w:r>
      <w:r w:rsidR="001E32AA" w:rsidRPr="007D1120">
        <w:rPr>
          <w:color w:val="000000"/>
        </w:rPr>
        <w:t>to have</w:t>
      </w:r>
      <w:r w:rsidRPr="007D1120">
        <w:rPr>
          <w:color w:val="000000"/>
        </w:rPr>
        <w:t xml:space="preserve"> elevated concentrations of toxins</w:t>
      </w:r>
      <w:r w:rsidR="00D24F51" w:rsidRPr="007D1120">
        <w:rPr>
          <w:color w:val="000000"/>
        </w:rPr>
        <w:t xml:space="preserve"> in some cases</w:t>
      </w:r>
      <w:r w:rsidRPr="007D1120">
        <w:rPr>
          <w:color w:val="000000"/>
        </w:rPr>
        <w:t xml:space="preserve"> (Barker, 1958; Bernard, 1966, </w:t>
      </w:r>
      <w:proofErr w:type="spellStart"/>
      <w:r w:rsidRPr="007D1120">
        <w:rPr>
          <w:color w:val="000000"/>
        </w:rPr>
        <w:t>Balcomb</w:t>
      </w:r>
      <w:proofErr w:type="spellEnd"/>
      <w:r w:rsidRPr="007D1120">
        <w:rPr>
          <w:color w:val="000000"/>
        </w:rPr>
        <w:t xml:space="preserve"> et al., 1984). The prospects of migratory birds are unknown so “migratory escape” is especially important to identify and predict risks to migrants, humans, and other wildlife.</w:t>
      </w:r>
    </w:p>
    <w:p w14:paraId="69F23B3B" w14:textId="661D9A08" w:rsidR="004B0BB3" w:rsidRPr="007D1120" w:rsidRDefault="00C60C97" w:rsidP="00C70FBD">
      <w:pPr>
        <w:pStyle w:val="NormalWeb"/>
        <w:spacing w:before="240" w:beforeAutospacing="0" w:after="240" w:afterAutospacing="0" w:line="480" w:lineRule="auto"/>
        <w:rPr>
          <w:b/>
          <w:bCs/>
          <w:color w:val="000000"/>
        </w:rPr>
      </w:pPr>
      <w:r w:rsidRPr="007D1120">
        <w:rPr>
          <w:b/>
          <w:bCs/>
          <w:color w:val="000000"/>
        </w:rPr>
        <w:t>REFERENCES</w:t>
      </w:r>
    </w:p>
    <w:p w14:paraId="1775BA42" w14:textId="77777777" w:rsidR="00C71A51" w:rsidRPr="00C71A51" w:rsidRDefault="00C71A51" w:rsidP="00FD5BDF">
      <w:pPr>
        <w:spacing w:after="0"/>
        <w:ind w:left="480" w:hanging="480"/>
        <w:rPr>
          <w:rFonts w:ascii="Times New Roman" w:eastAsia="Times New Roman" w:hAnsi="Times New Roman" w:cs="Times New Roman"/>
          <w:szCs w:val="24"/>
        </w:rPr>
      </w:pPr>
      <w:proofErr w:type="spellStart"/>
      <w:r w:rsidRPr="00C71A51">
        <w:rPr>
          <w:rFonts w:ascii="Times New Roman" w:eastAsia="Times New Roman" w:hAnsi="Times New Roman" w:cs="Times New Roman"/>
          <w:szCs w:val="24"/>
        </w:rPr>
        <w:t>Altizer</w:t>
      </w:r>
      <w:proofErr w:type="spellEnd"/>
      <w:r w:rsidRPr="00C71A51">
        <w:rPr>
          <w:rFonts w:ascii="Times New Roman" w:eastAsia="Times New Roman" w:hAnsi="Times New Roman" w:cs="Times New Roman"/>
          <w:szCs w:val="24"/>
        </w:rPr>
        <w:t xml:space="preserve">, Sonia, Rebecca Bartel, and Barbara A. Han. “Animal Migration and Infectious Disease Risk.” </w:t>
      </w:r>
      <w:r w:rsidRPr="00C71A51">
        <w:rPr>
          <w:rFonts w:ascii="Times New Roman" w:eastAsia="Times New Roman" w:hAnsi="Times New Roman" w:cs="Times New Roman"/>
          <w:i/>
          <w:iCs/>
          <w:szCs w:val="24"/>
        </w:rPr>
        <w:t>Science</w:t>
      </w:r>
      <w:r w:rsidRPr="00C71A51">
        <w:rPr>
          <w:rFonts w:ascii="Times New Roman" w:eastAsia="Times New Roman" w:hAnsi="Times New Roman" w:cs="Times New Roman"/>
          <w:szCs w:val="24"/>
        </w:rPr>
        <w:t xml:space="preserve"> 331, no. 6015 (2011): 296–302.</w:t>
      </w:r>
    </w:p>
    <w:p w14:paraId="4C4E8A83" w14:textId="77777777" w:rsidR="00C07C24" w:rsidRPr="00C07C24" w:rsidRDefault="00C07C24" w:rsidP="00990600">
      <w:pPr>
        <w:spacing w:after="0"/>
        <w:ind w:left="480" w:hanging="480"/>
        <w:rPr>
          <w:rFonts w:ascii="Times New Roman" w:eastAsia="Times New Roman" w:hAnsi="Times New Roman" w:cs="Times New Roman"/>
          <w:szCs w:val="24"/>
        </w:rPr>
      </w:pPr>
      <w:r w:rsidRPr="00C07C24">
        <w:rPr>
          <w:rFonts w:ascii="Times New Roman" w:eastAsia="Times New Roman" w:hAnsi="Times New Roman" w:cs="Times New Roman"/>
          <w:szCs w:val="24"/>
        </w:rPr>
        <w:lastRenderedPageBreak/>
        <w:t xml:space="preserve">Anyanwu, Brilliance, </w:t>
      </w:r>
      <w:proofErr w:type="spellStart"/>
      <w:r w:rsidRPr="00C07C24">
        <w:rPr>
          <w:rFonts w:ascii="Times New Roman" w:eastAsia="Times New Roman" w:hAnsi="Times New Roman" w:cs="Times New Roman"/>
          <w:szCs w:val="24"/>
        </w:rPr>
        <w:t>Anthonet</w:t>
      </w:r>
      <w:proofErr w:type="spellEnd"/>
      <w:r w:rsidRPr="00C07C24">
        <w:rPr>
          <w:rFonts w:ascii="Times New Roman" w:eastAsia="Times New Roman" w:hAnsi="Times New Roman" w:cs="Times New Roman"/>
          <w:szCs w:val="24"/>
        </w:rPr>
        <w:t xml:space="preserve"> </w:t>
      </w:r>
      <w:proofErr w:type="spellStart"/>
      <w:r w:rsidRPr="00C07C24">
        <w:rPr>
          <w:rFonts w:ascii="Times New Roman" w:eastAsia="Times New Roman" w:hAnsi="Times New Roman" w:cs="Times New Roman"/>
          <w:szCs w:val="24"/>
        </w:rPr>
        <w:t>Ezejiofor</w:t>
      </w:r>
      <w:proofErr w:type="spellEnd"/>
      <w:r w:rsidRPr="00C07C24">
        <w:rPr>
          <w:rFonts w:ascii="Times New Roman" w:eastAsia="Times New Roman" w:hAnsi="Times New Roman" w:cs="Times New Roman"/>
          <w:szCs w:val="24"/>
        </w:rPr>
        <w:t xml:space="preserve">, </w:t>
      </w:r>
      <w:proofErr w:type="spellStart"/>
      <w:r w:rsidRPr="00C07C24">
        <w:rPr>
          <w:rFonts w:ascii="Times New Roman" w:eastAsia="Times New Roman" w:hAnsi="Times New Roman" w:cs="Times New Roman"/>
          <w:szCs w:val="24"/>
        </w:rPr>
        <w:t>Zelinjo</w:t>
      </w:r>
      <w:proofErr w:type="spellEnd"/>
      <w:r w:rsidRPr="00C07C24">
        <w:rPr>
          <w:rFonts w:ascii="Times New Roman" w:eastAsia="Times New Roman" w:hAnsi="Times New Roman" w:cs="Times New Roman"/>
          <w:szCs w:val="24"/>
        </w:rPr>
        <w:t xml:space="preserve"> </w:t>
      </w:r>
      <w:proofErr w:type="spellStart"/>
      <w:r w:rsidRPr="00C07C24">
        <w:rPr>
          <w:rFonts w:ascii="Times New Roman" w:eastAsia="Times New Roman" w:hAnsi="Times New Roman" w:cs="Times New Roman"/>
          <w:szCs w:val="24"/>
        </w:rPr>
        <w:t>Igweze</w:t>
      </w:r>
      <w:proofErr w:type="spellEnd"/>
      <w:r w:rsidRPr="00C07C24">
        <w:rPr>
          <w:rFonts w:ascii="Times New Roman" w:eastAsia="Times New Roman" w:hAnsi="Times New Roman" w:cs="Times New Roman"/>
          <w:szCs w:val="24"/>
        </w:rPr>
        <w:t xml:space="preserve">, and </w:t>
      </w:r>
      <w:proofErr w:type="spellStart"/>
      <w:r w:rsidRPr="00C07C24">
        <w:rPr>
          <w:rFonts w:ascii="Times New Roman" w:eastAsia="Times New Roman" w:hAnsi="Times New Roman" w:cs="Times New Roman"/>
          <w:szCs w:val="24"/>
        </w:rPr>
        <w:t>Orish</w:t>
      </w:r>
      <w:proofErr w:type="spellEnd"/>
      <w:r w:rsidRPr="00C07C24">
        <w:rPr>
          <w:rFonts w:ascii="Times New Roman" w:eastAsia="Times New Roman" w:hAnsi="Times New Roman" w:cs="Times New Roman"/>
          <w:szCs w:val="24"/>
        </w:rPr>
        <w:t xml:space="preserve"> </w:t>
      </w:r>
      <w:proofErr w:type="spellStart"/>
      <w:r w:rsidRPr="00C07C24">
        <w:rPr>
          <w:rFonts w:ascii="Times New Roman" w:eastAsia="Times New Roman" w:hAnsi="Times New Roman" w:cs="Times New Roman"/>
          <w:szCs w:val="24"/>
        </w:rPr>
        <w:t>Orisakwe</w:t>
      </w:r>
      <w:proofErr w:type="spellEnd"/>
      <w:r w:rsidRPr="00C07C24">
        <w:rPr>
          <w:rFonts w:ascii="Times New Roman" w:eastAsia="Times New Roman" w:hAnsi="Times New Roman" w:cs="Times New Roman"/>
          <w:szCs w:val="24"/>
        </w:rPr>
        <w:t xml:space="preserve">. “Heavy Metal Mixture Exposure and Effects in Developing Nations: An Update.” </w:t>
      </w:r>
      <w:r w:rsidRPr="00C07C24">
        <w:rPr>
          <w:rFonts w:ascii="Times New Roman" w:eastAsia="Times New Roman" w:hAnsi="Times New Roman" w:cs="Times New Roman"/>
          <w:i/>
          <w:iCs/>
          <w:szCs w:val="24"/>
        </w:rPr>
        <w:t>Toxics</w:t>
      </w:r>
      <w:r w:rsidRPr="00C07C24">
        <w:rPr>
          <w:rFonts w:ascii="Times New Roman" w:eastAsia="Times New Roman" w:hAnsi="Times New Roman" w:cs="Times New Roman"/>
          <w:szCs w:val="24"/>
        </w:rPr>
        <w:t xml:space="preserve"> 6, no. 4 (November 2, 2018): 65. </w:t>
      </w:r>
      <w:hyperlink r:id="rId12" w:history="1">
        <w:r w:rsidRPr="00C07C24">
          <w:rPr>
            <w:rFonts w:ascii="Times New Roman" w:eastAsia="Times New Roman" w:hAnsi="Times New Roman" w:cs="Times New Roman"/>
            <w:szCs w:val="24"/>
          </w:rPr>
          <w:t>https://doi.org/10.3390/toxics6040065</w:t>
        </w:r>
      </w:hyperlink>
      <w:r w:rsidRPr="00C07C24">
        <w:rPr>
          <w:rFonts w:ascii="Times New Roman" w:eastAsia="Times New Roman" w:hAnsi="Times New Roman" w:cs="Times New Roman"/>
          <w:szCs w:val="24"/>
        </w:rPr>
        <w:t>.</w:t>
      </w:r>
    </w:p>
    <w:p w14:paraId="7C24AD4F" w14:textId="77777777" w:rsidR="00C07C24" w:rsidRPr="00C07C24" w:rsidRDefault="00C07C24" w:rsidP="008E36CC">
      <w:pPr>
        <w:spacing w:after="0"/>
        <w:ind w:left="475" w:hanging="475"/>
        <w:rPr>
          <w:rFonts w:ascii="Times New Roman" w:eastAsia="Times New Roman" w:hAnsi="Times New Roman" w:cs="Times New Roman"/>
          <w:szCs w:val="24"/>
        </w:rPr>
      </w:pPr>
      <w:proofErr w:type="spellStart"/>
      <w:r w:rsidRPr="00C07C24">
        <w:rPr>
          <w:rFonts w:ascii="Times New Roman" w:eastAsia="Times New Roman" w:hAnsi="Times New Roman" w:cs="Times New Roman"/>
          <w:szCs w:val="24"/>
        </w:rPr>
        <w:t>Avgar</w:t>
      </w:r>
      <w:proofErr w:type="spellEnd"/>
      <w:r w:rsidRPr="00C07C24">
        <w:rPr>
          <w:rFonts w:ascii="Times New Roman" w:eastAsia="Times New Roman" w:hAnsi="Times New Roman" w:cs="Times New Roman"/>
          <w:szCs w:val="24"/>
        </w:rPr>
        <w:t xml:space="preserve">, T., G. Street, and J.M. Fryxell. “On the Adaptive Benefits of Mammal Migration.” </w:t>
      </w:r>
      <w:r w:rsidRPr="00C07C24">
        <w:rPr>
          <w:rFonts w:ascii="Times New Roman" w:eastAsia="Times New Roman" w:hAnsi="Times New Roman" w:cs="Times New Roman"/>
          <w:i/>
          <w:iCs/>
          <w:szCs w:val="24"/>
        </w:rPr>
        <w:t>Canadian Journal of Zoology</w:t>
      </w:r>
      <w:r w:rsidRPr="00C07C24">
        <w:rPr>
          <w:rFonts w:ascii="Times New Roman" w:eastAsia="Times New Roman" w:hAnsi="Times New Roman" w:cs="Times New Roman"/>
          <w:szCs w:val="24"/>
        </w:rPr>
        <w:t xml:space="preserve"> 92, no. 6 (June 2014): 481–90. </w:t>
      </w:r>
      <w:hyperlink r:id="rId13" w:history="1">
        <w:r w:rsidRPr="00C07C24">
          <w:rPr>
            <w:rFonts w:ascii="Times New Roman" w:eastAsia="Times New Roman" w:hAnsi="Times New Roman" w:cs="Times New Roman"/>
            <w:szCs w:val="24"/>
          </w:rPr>
          <w:t>https://doi.org/10.1139/cjz-2013-0076</w:t>
        </w:r>
      </w:hyperlink>
      <w:r w:rsidRPr="00C07C24">
        <w:rPr>
          <w:rFonts w:ascii="Times New Roman" w:eastAsia="Times New Roman" w:hAnsi="Times New Roman" w:cs="Times New Roman"/>
          <w:szCs w:val="24"/>
        </w:rPr>
        <w:t>.</w:t>
      </w:r>
    </w:p>
    <w:p w14:paraId="35615C10" w14:textId="77777777" w:rsidR="00C07C24" w:rsidRPr="00C07C24" w:rsidRDefault="00C07C24" w:rsidP="008E36CC">
      <w:pPr>
        <w:spacing w:after="0"/>
        <w:ind w:left="475" w:hanging="475"/>
        <w:rPr>
          <w:rFonts w:ascii="Times New Roman" w:eastAsia="Times New Roman" w:hAnsi="Times New Roman" w:cs="Times New Roman"/>
          <w:szCs w:val="24"/>
        </w:rPr>
      </w:pPr>
      <w:proofErr w:type="spellStart"/>
      <w:r w:rsidRPr="00C07C24">
        <w:rPr>
          <w:rFonts w:ascii="Times New Roman" w:eastAsia="Times New Roman" w:hAnsi="Times New Roman" w:cs="Times New Roman"/>
          <w:szCs w:val="24"/>
        </w:rPr>
        <w:t>Balcomb</w:t>
      </w:r>
      <w:proofErr w:type="spellEnd"/>
      <w:r w:rsidRPr="00C07C24">
        <w:rPr>
          <w:rFonts w:ascii="Times New Roman" w:eastAsia="Times New Roman" w:hAnsi="Times New Roman" w:cs="Times New Roman"/>
          <w:szCs w:val="24"/>
        </w:rPr>
        <w:t xml:space="preserve">, Richard, Charles A. Bowen, Dallas Wright, and Mark Law. “Effects on Wildlife of At-Planting Corn Applications of Granular Carbofuran.” </w:t>
      </w:r>
      <w:r w:rsidRPr="00C07C24">
        <w:rPr>
          <w:rFonts w:ascii="Times New Roman" w:eastAsia="Times New Roman" w:hAnsi="Times New Roman" w:cs="Times New Roman"/>
          <w:i/>
          <w:iCs/>
          <w:szCs w:val="24"/>
        </w:rPr>
        <w:t>The Journal of Wildlife Management</w:t>
      </w:r>
      <w:r w:rsidRPr="00C07C24">
        <w:rPr>
          <w:rFonts w:ascii="Times New Roman" w:eastAsia="Times New Roman" w:hAnsi="Times New Roman" w:cs="Times New Roman"/>
          <w:szCs w:val="24"/>
        </w:rPr>
        <w:t xml:space="preserve"> 48, no. 4 (1984): 1353–59. </w:t>
      </w:r>
      <w:hyperlink r:id="rId14" w:history="1">
        <w:r w:rsidRPr="00C07C24">
          <w:rPr>
            <w:rFonts w:ascii="Times New Roman" w:eastAsia="Times New Roman" w:hAnsi="Times New Roman" w:cs="Times New Roman"/>
            <w:szCs w:val="24"/>
          </w:rPr>
          <w:t>https://doi.org/10.2307/3801796</w:t>
        </w:r>
      </w:hyperlink>
      <w:r w:rsidRPr="00C07C24">
        <w:rPr>
          <w:rFonts w:ascii="Times New Roman" w:eastAsia="Times New Roman" w:hAnsi="Times New Roman" w:cs="Times New Roman"/>
          <w:szCs w:val="24"/>
        </w:rPr>
        <w:t>.</w:t>
      </w:r>
    </w:p>
    <w:p w14:paraId="73159552" w14:textId="77777777" w:rsidR="00C07C24" w:rsidRPr="00C07C24" w:rsidRDefault="00C07C24" w:rsidP="008E36CC">
      <w:pPr>
        <w:spacing w:after="0"/>
        <w:ind w:left="475" w:hanging="475"/>
        <w:rPr>
          <w:rFonts w:ascii="Times New Roman" w:eastAsia="Times New Roman" w:hAnsi="Times New Roman" w:cs="Times New Roman"/>
          <w:szCs w:val="24"/>
        </w:rPr>
      </w:pPr>
      <w:r w:rsidRPr="00C07C24">
        <w:rPr>
          <w:rFonts w:ascii="Times New Roman" w:eastAsia="Times New Roman" w:hAnsi="Times New Roman" w:cs="Times New Roman"/>
          <w:szCs w:val="24"/>
        </w:rPr>
        <w:t xml:space="preserve">Barker, Roy J. “Notes on Some Ecological Effects of DDT Sprayed on Elms.” </w:t>
      </w:r>
      <w:r w:rsidRPr="00C07C24">
        <w:rPr>
          <w:rFonts w:ascii="Times New Roman" w:eastAsia="Times New Roman" w:hAnsi="Times New Roman" w:cs="Times New Roman"/>
          <w:i/>
          <w:iCs/>
          <w:szCs w:val="24"/>
        </w:rPr>
        <w:t>The Journal of Wildlife Management</w:t>
      </w:r>
      <w:r w:rsidRPr="00C07C24">
        <w:rPr>
          <w:rFonts w:ascii="Times New Roman" w:eastAsia="Times New Roman" w:hAnsi="Times New Roman" w:cs="Times New Roman"/>
          <w:szCs w:val="24"/>
        </w:rPr>
        <w:t xml:space="preserve"> 22, no. 3 (July 1958): 269. </w:t>
      </w:r>
      <w:hyperlink r:id="rId15" w:history="1">
        <w:r w:rsidRPr="00C07C24">
          <w:rPr>
            <w:rFonts w:ascii="Times New Roman" w:eastAsia="Times New Roman" w:hAnsi="Times New Roman" w:cs="Times New Roman"/>
            <w:szCs w:val="24"/>
          </w:rPr>
          <w:t>https://doi.org/10.2307/3796459</w:t>
        </w:r>
      </w:hyperlink>
      <w:r w:rsidRPr="00C07C24">
        <w:rPr>
          <w:rFonts w:ascii="Times New Roman" w:eastAsia="Times New Roman" w:hAnsi="Times New Roman" w:cs="Times New Roman"/>
          <w:szCs w:val="24"/>
        </w:rPr>
        <w:t>.</w:t>
      </w:r>
    </w:p>
    <w:p w14:paraId="1E0E5DE2" w14:textId="7DC4704A" w:rsidR="00C07C24" w:rsidRDefault="00C07C24" w:rsidP="008E36CC">
      <w:pPr>
        <w:spacing w:after="0"/>
        <w:ind w:left="475" w:hanging="475"/>
        <w:rPr>
          <w:rFonts w:ascii="Times New Roman" w:eastAsia="Times New Roman" w:hAnsi="Times New Roman" w:cs="Times New Roman"/>
          <w:szCs w:val="24"/>
        </w:rPr>
      </w:pPr>
      <w:r w:rsidRPr="00C07C24">
        <w:rPr>
          <w:rFonts w:ascii="Times New Roman" w:eastAsia="Times New Roman" w:hAnsi="Times New Roman" w:cs="Times New Roman"/>
          <w:szCs w:val="24"/>
        </w:rPr>
        <w:t xml:space="preserve">Bartel, Rebecca A., Karen S. </w:t>
      </w:r>
      <w:proofErr w:type="spellStart"/>
      <w:r w:rsidRPr="00C07C24">
        <w:rPr>
          <w:rFonts w:ascii="Times New Roman" w:eastAsia="Times New Roman" w:hAnsi="Times New Roman" w:cs="Times New Roman"/>
          <w:szCs w:val="24"/>
        </w:rPr>
        <w:t>Oberhauser</w:t>
      </w:r>
      <w:proofErr w:type="spellEnd"/>
      <w:r w:rsidRPr="00C07C24">
        <w:rPr>
          <w:rFonts w:ascii="Times New Roman" w:eastAsia="Times New Roman" w:hAnsi="Times New Roman" w:cs="Times New Roman"/>
          <w:szCs w:val="24"/>
        </w:rPr>
        <w:t xml:space="preserve">, Jacobus C. de </w:t>
      </w:r>
      <w:proofErr w:type="spellStart"/>
      <w:r w:rsidRPr="00C07C24">
        <w:rPr>
          <w:rFonts w:ascii="Times New Roman" w:eastAsia="Times New Roman" w:hAnsi="Times New Roman" w:cs="Times New Roman"/>
          <w:szCs w:val="24"/>
        </w:rPr>
        <w:t>Roode</w:t>
      </w:r>
      <w:proofErr w:type="spellEnd"/>
      <w:r w:rsidRPr="00C07C24">
        <w:rPr>
          <w:rFonts w:ascii="Times New Roman" w:eastAsia="Times New Roman" w:hAnsi="Times New Roman" w:cs="Times New Roman"/>
          <w:szCs w:val="24"/>
        </w:rPr>
        <w:t xml:space="preserve">, and Sonia M. </w:t>
      </w:r>
      <w:proofErr w:type="spellStart"/>
      <w:r w:rsidRPr="00C07C24">
        <w:rPr>
          <w:rFonts w:ascii="Times New Roman" w:eastAsia="Times New Roman" w:hAnsi="Times New Roman" w:cs="Times New Roman"/>
          <w:szCs w:val="24"/>
        </w:rPr>
        <w:t>Altizer</w:t>
      </w:r>
      <w:proofErr w:type="spellEnd"/>
      <w:r w:rsidRPr="00C07C24">
        <w:rPr>
          <w:rFonts w:ascii="Times New Roman" w:eastAsia="Times New Roman" w:hAnsi="Times New Roman" w:cs="Times New Roman"/>
          <w:szCs w:val="24"/>
        </w:rPr>
        <w:t xml:space="preserve">. “Monarch Butterfly Migration and Parasite Transmission in Eastern North America.” </w:t>
      </w:r>
      <w:r w:rsidRPr="00C07C24">
        <w:rPr>
          <w:rFonts w:ascii="Times New Roman" w:eastAsia="Times New Roman" w:hAnsi="Times New Roman" w:cs="Times New Roman"/>
          <w:i/>
          <w:iCs/>
          <w:szCs w:val="24"/>
        </w:rPr>
        <w:t>Ecology</w:t>
      </w:r>
      <w:r w:rsidRPr="00C07C24">
        <w:rPr>
          <w:rFonts w:ascii="Times New Roman" w:eastAsia="Times New Roman" w:hAnsi="Times New Roman" w:cs="Times New Roman"/>
          <w:szCs w:val="24"/>
        </w:rPr>
        <w:t xml:space="preserve"> 92, no. 2 (2011): 342–51. </w:t>
      </w:r>
      <w:hyperlink r:id="rId16" w:history="1">
        <w:r w:rsidRPr="00C07C24">
          <w:rPr>
            <w:rFonts w:ascii="Times New Roman" w:eastAsia="Times New Roman" w:hAnsi="Times New Roman" w:cs="Times New Roman"/>
            <w:szCs w:val="24"/>
          </w:rPr>
          <w:t>https://doi.org/10.1890/10-0489.1</w:t>
        </w:r>
      </w:hyperlink>
      <w:r w:rsidRPr="00C07C24">
        <w:rPr>
          <w:rFonts w:ascii="Times New Roman" w:eastAsia="Times New Roman" w:hAnsi="Times New Roman" w:cs="Times New Roman"/>
          <w:szCs w:val="24"/>
        </w:rPr>
        <w:t>.</w:t>
      </w:r>
    </w:p>
    <w:p w14:paraId="7414B566" w14:textId="5346513A" w:rsidR="00596377" w:rsidRPr="00C07C24" w:rsidRDefault="00596377" w:rsidP="008E36CC">
      <w:pPr>
        <w:spacing w:after="0"/>
        <w:ind w:left="475" w:hanging="475"/>
        <w:rPr>
          <w:rFonts w:ascii="Times New Roman" w:eastAsia="Times New Roman" w:hAnsi="Times New Roman" w:cs="Times New Roman"/>
          <w:szCs w:val="24"/>
        </w:rPr>
      </w:pPr>
      <w:r w:rsidRPr="00596377">
        <w:rPr>
          <w:rFonts w:ascii="Times New Roman" w:eastAsia="Times New Roman" w:hAnsi="Times New Roman" w:cs="Times New Roman"/>
          <w:szCs w:val="24"/>
        </w:rPr>
        <w:t xml:space="preserve">Bates, Douglas, Martin </w:t>
      </w:r>
      <w:proofErr w:type="spellStart"/>
      <w:r w:rsidRPr="00596377">
        <w:rPr>
          <w:rFonts w:ascii="Times New Roman" w:eastAsia="Times New Roman" w:hAnsi="Times New Roman" w:cs="Times New Roman"/>
          <w:szCs w:val="24"/>
        </w:rPr>
        <w:t>Maechler</w:t>
      </w:r>
      <w:proofErr w:type="spellEnd"/>
      <w:r w:rsidRPr="00596377">
        <w:rPr>
          <w:rFonts w:ascii="Times New Roman" w:eastAsia="Times New Roman" w:hAnsi="Times New Roman" w:cs="Times New Roman"/>
          <w:szCs w:val="24"/>
        </w:rPr>
        <w:t xml:space="preserve">, Ben </w:t>
      </w:r>
      <w:proofErr w:type="spellStart"/>
      <w:r w:rsidRPr="00596377">
        <w:rPr>
          <w:rFonts w:ascii="Times New Roman" w:eastAsia="Times New Roman" w:hAnsi="Times New Roman" w:cs="Times New Roman"/>
          <w:szCs w:val="24"/>
        </w:rPr>
        <w:t>Bolker</w:t>
      </w:r>
      <w:proofErr w:type="spellEnd"/>
      <w:r w:rsidRPr="00596377">
        <w:rPr>
          <w:rFonts w:ascii="Times New Roman" w:eastAsia="Times New Roman" w:hAnsi="Times New Roman" w:cs="Times New Roman"/>
          <w:szCs w:val="24"/>
        </w:rPr>
        <w:t xml:space="preserve">, Steven Walker, Rune </w:t>
      </w:r>
      <w:proofErr w:type="spellStart"/>
      <w:r w:rsidRPr="00596377">
        <w:rPr>
          <w:rFonts w:ascii="Times New Roman" w:eastAsia="Times New Roman" w:hAnsi="Times New Roman" w:cs="Times New Roman"/>
          <w:szCs w:val="24"/>
        </w:rPr>
        <w:t>Haubo</w:t>
      </w:r>
      <w:proofErr w:type="spellEnd"/>
      <w:r w:rsidRPr="00596377">
        <w:rPr>
          <w:rFonts w:ascii="Times New Roman" w:eastAsia="Times New Roman" w:hAnsi="Times New Roman" w:cs="Times New Roman"/>
          <w:szCs w:val="24"/>
        </w:rPr>
        <w:t xml:space="preserve"> </w:t>
      </w:r>
      <w:proofErr w:type="spellStart"/>
      <w:r w:rsidRPr="00596377">
        <w:rPr>
          <w:rFonts w:ascii="Times New Roman" w:eastAsia="Times New Roman" w:hAnsi="Times New Roman" w:cs="Times New Roman"/>
          <w:szCs w:val="24"/>
        </w:rPr>
        <w:t>Bojesen</w:t>
      </w:r>
      <w:proofErr w:type="spellEnd"/>
      <w:r w:rsidRPr="00596377">
        <w:rPr>
          <w:rFonts w:ascii="Times New Roman" w:eastAsia="Times New Roman" w:hAnsi="Times New Roman" w:cs="Times New Roman"/>
          <w:szCs w:val="24"/>
        </w:rPr>
        <w:t xml:space="preserve"> Christensen, Henrik </w:t>
      </w:r>
      <w:proofErr w:type="spellStart"/>
      <w:r w:rsidRPr="00596377">
        <w:rPr>
          <w:rFonts w:ascii="Times New Roman" w:eastAsia="Times New Roman" w:hAnsi="Times New Roman" w:cs="Times New Roman"/>
          <w:szCs w:val="24"/>
        </w:rPr>
        <w:t>Singmann</w:t>
      </w:r>
      <w:proofErr w:type="spellEnd"/>
      <w:r w:rsidRPr="00596377">
        <w:rPr>
          <w:rFonts w:ascii="Times New Roman" w:eastAsia="Times New Roman" w:hAnsi="Times New Roman" w:cs="Times New Roman"/>
          <w:szCs w:val="24"/>
        </w:rPr>
        <w:t xml:space="preserve">, Bin Dai, Gabor </w:t>
      </w:r>
      <w:proofErr w:type="spellStart"/>
      <w:r w:rsidRPr="00596377">
        <w:rPr>
          <w:rFonts w:ascii="Times New Roman" w:eastAsia="Times New Roman" w:hAnsi="Times New Roman" w:cs="Times New Roman"/>
          <w:szCs w:val="24"/>
        </w:rPr>
        <w:t>Grothendieck</w:t>
      </w:r>
      <w:proofErr w:type="spellEnd"/>
      <w:r w:rsidRPr="00596377">
        <w:rPr>
          <w:rFonts w:ascii="Times New Roman" w:eastAsia="Times New Roman" w:hAnsi="Times New Roman" w:cs="Times New Roman"/>
          <w:szCs w:val="24"/>
        </w:rPr>
        <w:t xml:space="preserve">, Peter Green, and Maintainer Ben </w:t>
      </w:r>
      <w:proofErr w:type="spellStart"/>
      <w:r w:rsidRPr="00596377">
        <w:rPr>
          <w:rFonts w:ascii="Times New Roman" w:eastAsia="Times New Roman" w:hAnsi="Times New Roman" w:cs="Times New Roman"/>
          <w:szCs w:val="24"/>
        </w:rPr>
        <w:t>Bolker</w:t>
      </w:r>
      <w:proofErr w:type="spellEnd"/>
      <w:r w:rsidRPr="00596377">
        <w:rPr>
          <w:rFonts w:ascii="Times New Roman" w:eastAsia="Times New Roman" w:hAnsi="Times New Roman" w:cs="Times New Roman"/>
          <w:szCs w:val="24"/>
        </w:rPr>
        <w:t>. "Package ‘lme4’." </w:t>
      </w:r>
      <w:r w:rsidRPr="00596377">
        <w:rPr>
          <w:rFonts w:ascii="Times New Roman" w:eastAsia="Times New Roman" w:hAnsi="Times New Roman" w:cs="Times New Roman"/>
          <w:i/>
          <w:iCs/>
          <w:szCs w:val="24"/>
        </w:rPr>
        <w:t>Convergence</w:t>
      </w:r>
      <w:r w:rsidRPr="00596377">
        <w:rPr>
          <w:rFonts w:ascii="Times New Roman" w:eastAsia="Times New Roman" w:hAnsi="Times New Roman" w:cs="Times New Roman"/>
          <w:szCs w:val="24"/>
        </w:rPr>
        <w:t> 12, no. 1 (2015): 2.</w:t>
      </w:r>
    </w:p>
    <w:p w14:paraId="28345A94" w14:textId="30B25541" w:rsidR="00C07C24" w:rsidRDefault="00C07C24" w:rsidP="008E36CC">
      <w:pPr>
        <w:spacing w:after="0"/>
        <w:ind w:left="475" w:hanging="475"/>
        <w:rPr>
          <w:rFonts w:ascii="Times New Roman" w:eastAsia="Times New Roman" w:hAnsi="Times New Roman" w:cs="Times New Roman"/>
          <w:szCs w:val="24"/>
        </w:rPr>
      </w:pPr>
      <w:r w:rsidRPr="00C07C24">
        <w:rPr>
          <w:rFonts w:ascii="Times New Roman" w:eastAsia="Times New Roman" w:hAnsi="Times New Roman" w:cs="Times New Roman"/>
          <w:szCs w:val="24"/>
        </w:rPr>
        <w:t xml:space="preserve">Bernard, Richard F. “DDT Residues in Avian Tissues.” </w:t>
      </w:r>
      <w:r w:rsidRPr="00C07C24">
        <w:rPr>
          <w:rFonts w:ascii="Times New Roman" w:eastAsia="Times New Roman" w:hAnsi="Times New Roman" w:cs="Times New Roman"/>
          <w:i/>
          <w:iCs/>
          <w:szCs w:val="24"/>
        </w:rPr>
        <w:t>The Journal of Applied Ecology</w:t>
      </w:r>
      <w:r w:rsidRPr="00C07C24">
        <w:rPr>
          <w:rFonts w:ascii="Times New Roman" w:eastAsia="Times New Roman" w:hAnsi="Times New Roman" w:cs="Times New Roman"/>
          <w:szCs w:val="24"/>
        </w:rPr>
        <w:t xml:space="preserve"> 3 (June 1966): 193. </w:t>
      </w:r>
      <w:hyperlink r:id="rId17" w:history="1">
        <w:r w:rsidRPr="00C07C24">
          <w:rPr>
            <w:rFonts w:ascii="Times New Roman" w:eastAsia="Times New Roman" w:hAnsi="Times New Roman" w:cs="Times New Roman"/>
            <w:szCs w:val="24"/>
          </w:rPr>
          <w:t>https://doi.org/10.2307/2401459</w:t>
        </w:r>
      </w:hyperlink>
      <w:r w:rsidRPr="00C07C24">
        <w:rPr>
          <w:rFonts w:ascii="Times New Roman" w:eastAsia="Times New Roman" w:hAnsi="Times New Roman" w:cs="Times New Roman"/>
          <w:szCs w:val="24"/>
        </w:rPr>
        <w:t>.</w:t>
      </w:r>
    </w:p>
    <w:p w14:paraId="447D6100" w14:textId="2A8CF9DC" w:rsidR="00CA63A6" w:rsidRPr="00C07C24" w:rsidRDefault="00CA63A6" w:rsidP="008E36CC">
      <w:pPr>
        <w:spacing w:after="0"/>
        <w:ind w:left="475" w:hanging="475"/>
        <w:rPr>
          <w:rFonts w:ascii="Times New Roman" w:eastAsia="Times New Roman" w:hAnsi="Times New Roman" w:cs="Times New Roman"/>
          <w:szCs w:val="24"/>
        </w:rPr>
      </w:pPr>
      <w:r w:rsidRPr="00CA63A6">
        <w:rPr>
          <w:rFonts w:ascii="Times New Roman" w:eastAsia="Times New Roman" w:hAnsi="Times New Roman" w:cs="Times New Roman"/>
          <w:szCs w:val="24"/>
        </w:rPr>
        <w:t>Beyer, W. N., and G. F. Fries. "Chapter 6: Toxicological significance of soil ingestion by wild and domestic animals." </w:t>
      </w:r>
      <w:r w:rsidRPr="00CA63A6">
        <w:rPr>
          <w:rFonts w:ascii="Times New Roman" w:eastAsia="Times New Roman" w:hAnsi="Times New Roman" w:cs="Times New Roman"/>
          <w:i/>
          <w:iCs/>
          <w:szCs w:val="24"/>
        </w:rPr>
        <w:t xml:space="preserve">Hoffman DJ, Rattner BA, Burton GA and Cairns </w:t>
      </w:r>
      <w:proofErr w:type="gramStart"/>
      <w:r w:rsidRPr="00CA63A6">
        <w:rPr>
          <w:rFonts w:ascii="Times New Roman" w:eastAsia="Times New Roman" w:hAnsi="Times New Roman" w:cs="Times New Roman"/>
          <w:i/>
          <w:iCs/>
          <w:szCs w:val="24"/>
        </w:rPr>
        <w:t>J.(</w:t>
      </w:r>
      <w:proofErr w:type="gramEnd"/>
      <w:r w:rsidRPr="00CA63A6">
        <w:rPr>
          <w:rFonts w:ascii="Times New Roman" w:eastAsia="Times New Roman" w:hAnsi="Times New Roman" w:cs="Times New Roman"/>
          <w:i/>
          <w:iCs/>
          <w:szCs w:val="24"/>
        </w:rPr>
        <w:t>Eds.)</w:t>
      </w:r>
      <w:r w:rsidRPr="00CA63A6">
        <w:rPr>
          <w:rFonts w:ascii="Times New Roman" w:eastAsia="Times New Roman" w:hAnsi="Times New Roman" w:cs="Times New Roman"/>
          <w:szCs w:val="24"/>
        </w:rPr>
        <w:t> (2003).</w:t>
      </w:r>
    </w:p>
    <w:p w14:paraId="7B83B16F" w14:textId="77777777" w:rsidR="00C07C24" w:rsidRPr="00C07C24" w:rsidRDefault="00C07C24" w:rsidP="008E36CC">
      <w:pPr>
        <w:spacing w:after="0"/>
        <w:ind w:left="475" w:hanging="475"/>
        <w:rPr>
          <w:rFonts w:ascii="Times New Roman" w:eastAsia="Times New Roman" w:hAnsi="Times New Roman" w:cs="Times New Roman"/>
          <w:szCs w:val="24"/>
        </w:rPr>
      </w:pPr>
      <w:r w:rsidRPr="00C07C24">
        <w:rPr>
          <w:rFonts w:ascii="Times New Roman" w:eastAsia="Times New Roman" w:hAnsi="Times New Roman" w:cs="Times New Roman"/>
          <w:szCs w:val="24"/>
        </w:rPr>
        <w:t xml:space="preserve">Beyer, W. N., J. </w:t>
      </w:r>
      <w:proofErr w:type="spellStart"/>
      <w:r w:rsidRPr="00C07C24">
        <w:rPr>
          <w:rFonts w:ascii="Times New Roman" w:eastAsia="Times New Roman" w:hAnsi="Times New Roman" w:cs="Times New Roman"/>
          <w:szCs w:val="24"/>
        </w:rPr>
        <w:t>Dalgarn</w:t>
      </w:r>
      <w:proofErr w:type="spellEnd"/>
      <w:r w:rsidRPr="00C07C24">
        <w:rPr>
          <w:rFonts w:ascii="Times New Roman" w:eastAsia="Times New Roman" w:hAnsi="Times New Roman" w:cs="Times New Roman"/>
          <w:szCs w:val="24"/>
        </w:rPr>
        <w:t xml:space="preserve">, S. Dudding, J. B. French, R. Mateo, J. </w:t>
      </w:r>
      <w:proofErr w:type="spellStart"/>
      <w:r w:rsidRPr="00C07C24">
        <w:rPr>
          <w:rFonts w:ascii="Times New Roman" w:eastAsia="Times New Roman" w:hAnsi="Times New Roman" w:cs="Times New Roman"/>
          <w:szCs w:val="24"/>
        </w:rPr>
        <w:t>Miesner</w:t>
      </w:r>
      <w:proofErr w:type="spellEnd"/>
      <w:r w:rsidRPr="00C07C24">
        <w:rPr>
          <w:rFonts w:ascii="Times New Roman" w:eastAsia="Times New Roman" w:hAnsi="Times New Roman" w:cs="Times New Roman"/>
          <w:szCs w:val="24"/>
        </w:rPr>
        <w:t xml:space="preserve">, L. </w:t>
      </w:r>
      <w:proofErr w:type="spellStart"/>
      <w:r w:rsidRPr="00C07C24">
        <w:rPr>
          <w:rFonts w:ascii="Times New Roman" w:eastAsia="Times New Roman" w:hAnsi="Times New Roman" w:cs="Times New Roman"/>
          <w:szCs w:val="24"/>
        </w:rPr>
        <w:t>Sileo</w:t>
      </w:r>
      <w:proofErr w:type="spellEnd"/>
      <w:r w:rsidRPr="00C07C24">
        <w:rPr>
          <w:rFonts w:ascii="Times New Roman" w:eastAsia="Times New Roman" w:hAnsi="Times New Roman" w:cs="Times New Roman"/>
          <w:szCs w:val="24"/>
        </w:rPr>
        <w:t xml:space="preserve">, and J. Spann. “Zinc and Lead Poisoning in Wild Birds in the Tri-State Mining District (Oklahoma, </w:t>
      </w:r>
      <w:r w:rsidRPr="00C07C24">
        <w:rPr>
          <w:rFonts w:ascii="Times New Roman" w:eastAsia="Times New Roman" w:hAnsi="Times New Roman" w:cs="Times New Roman"/>
          <w:szCs w:val="24"/>
        </w:rPr>
        <w:lastRenderedPageBreak/>
        <w:t xml:space="preserve">Kansas, and Missouri).” </w:t>
      </w:r>
      <w:r w:rsidRPr="00C07C24">
        <w:rPr>
          <w:rFonts w:ascii="Times New Roman" w:eastAsia="Times New Roman" w:hAnsi="Times New Roman" w:cs="Times New Roman"/>
          <w:i/>
          <w:iCs/>
          <w:szCs w:val="24"/>
        </w:rPr>
        <w:t>Archives of Environmental Contamination and Toxicology</w:t>
      </w:r>
      <w:r w:rsidRPr="00C07C24">
        <w:rPr>
          <w:rFonts w:ascii="Times New Roman" w:eastAsia="Times New Roman" w:hAnsi="Times New Roman" w:cs="Times New Roman"/>
          <w:szCs w:val="24"/>
        </w:rPr>
        <w:t xml:space="preserve"> 48, no. 1 (December 2004): 108–17. </w:t>
      </w:r>
      <w:hyperlink r:id="rId18" w:history="1">
        <w:r w:rsidRPr="00C07C24">
          <w:rPr>
            <w:rFonts w:ascii="Times New Roman" w:eastAsia="Times New Roman" w:hAnsi="Times New Roman" w:cs="Times New Roman"/>
            <w:szCs w:val="24"/>
          </w:rPr>
          <w:t>https://doi.org/10.1007/s00244-004-0010-7</w:t>
        </w:r>
      </w:hyperlink>
      <w:r w:rsidRPr="00C07C24">
        <w:rPr>
          <w:rFonts w:ascii="Times New Roman" w:eastAsia="Times New Roman" w:hAnsi="Times New Roman" w:cs="Times New Roman"/>
          <w:szCs w:val="24"/>
        </w:rPr>
        <w:t>.</w:t>
      </w:r>
    </w:p>
    <w:p w14:paraId="063AEF15" w14:textId="77777777" w:rsidR="00C07C24" w:rsidRPr="00C07C24" w:rsidRDefault="00C07C24" w:rsidP="008E36CC">
      <w:pPr>
        <w:spacing w:after="0"/>
        <w:ind w:left="475" w:hanging="475"/>
        <w:rPr>
          <w:rFonts w:ascii="Times New Roman" w:eastAsia="Times New Roman" w:hAnsi="Times New Roman" w:cs="Times New Roman"/>
          <w:szCs w:val="24"/>
        </w:rPr>
      </w:pPr>
      <w:r w:rsidRPr="00C07C24">
        <w:rPr>
          <w:rFonts w:ascii="Times New Roman" w:eastAsia="Times New Roman" w:hAnsi="Times New Roman" w:cs="Times New Roman"/>
          <w:szCs w:val="24"/>
        </w:rPr>
        <w:t xml:space="preserve">Beyer, W. Nelson, J. Christian </w:t>
      </w:r>
      <w:proofErr w:type="spellStart"/>
      <w:r w:rsidRPr="00C07C24">
        <w:rPr>
          <w:rFonts w:ascii="Times New Roman" w:eastAsia="Times New Roman" w:hAnsi="Times New Roman" w:cs="Times New Roman"/>
          <w:szCs w:val="24"/>
        </w:rPr>
        <w:t>Franson</w:t>
      </w:r>
      <w:proofErr w:type="spellEnd"/>
      <w:r w:rsidRPr="00C07C24">
        <w:rPr>
          <w:rFonts w:ascii="Times New Roman" w:eastAsia="Times New Roman" w:hAnsi="Times New Roman" w:cs="Times New Roman"/>
          <w:szCs w:val="24"/>
        </w:rPr>
        <w:t xml:space="preserve">, John B. French, Thomas May, Barnett A. Rattner, Valerie I. </w:t>
      </w:r>
      <w:proofErr w:type="spellStart"/>
      <w:r w:rsidRPr="00C07C24">
        <w:rPr>
          <w:rFonts w:ascii="Times New Roman" w:eastAsia="Times New Roman" w:hAnsi="Times New Roman" w:cs="Times New Roman"/>
          <w:szCs w:val="24"/>
        </w:rPr>
        <w:t>Shearn-Bochsler</w:t>
      </w:r>
      <w:proofErr w:type="spellEnd"/>
      <w:r w:rsidRPr="00C07C24">
        <w:rPr>
          <w:rFonts w:ascii="Times New Roman" w:eastAsia="Times New Roman" w:hAnsi="Times New Roman" w:cs="Times New Roman"/>
          <w:szCs w:val="24"/>
        </w:rPr>
        <w:t xml:space="preserve">, Sarah E. Warner, John Weber, and David Mosby. “Toxic Exposure of Songbirds to Lead in the Southeast Missouri Lead Mining District.” </w:t>
      </w:r>
      <w:r w:rsidRPr="00C07C24">
        <w:rPr>
          <w:rFonts w:ascii="Times New Roman" w:eastAsia="Times New Roman" w:hAnsi="Times New Roman" w:cs="Times New Roman"/>
          <w:i/>
          <w:iCs/>
          <w:szCs w:val="24"/>
        </w:rPr>
        <w:t>Archives of Environmental Contamination and Toxicology</w:t>
      </w:r>
      <w:r w:rsidRPr="00C07C24">
        <w:rPr>
          <w:rFonts w:ascii="Times New Roman" w:eastAsia="Times New Roman" w:hAnsi="Times New Roman" w:cs="Times New Roman"/>
          <w:szCs w:val="24"/>
        </w:rPr>
        <w:t xml:space="preserve"> 65, no. 3 (October 2013): 598–610. </w:t>
      </w:r>
      <w:hyperlink r:id="rId19" w:history="1">
        <w:r w:rsidRPr="00C07C24">
          <w:rPr>
            <w:rFonts w:ascii="Times New Roman" w:eastAsia="Times New Roman" w:hAnsi="Times New Roman" w:cs="Times New Roman"/>
            <w:szCs w:val="24"/>
          </w:rPr>
          <w:t>https://doi.org/10.1007/s00244-013-9923-3</w:t>
        </w:r>
      </w:hyperlink>
      <w:r w:rsidRPr="00C07C24">
        <w:rPr>
          <w:rFonts w:ascii="Times New Roman" w:eastAsia="Times New Roman" w:hAnsi="Times New Roman" w:cs="Times New Roman"/>
          <w:szCs w:val="24"/>
        </w:rPr>
        <w:t>.</w:t>
      </w:r>
    </w:p>
    <w:p w14:paraId="1DF2A091" w14:textId="77777777" w:rsidR="00C07C24" w:rsidRPr="00C07C24" w:rsidRDefault="00C07C24" w:rsidP="008E36CC">
      <w:pPr>
        <w:spacing w:after="0"/>
        <w:ind w:left="475" w:hanging="475"/>
        <w:rPr>
          <w:rFonts w:ascii="Times New Roman" w:eastAsia="Times New Roman" w:hAnsi="Times New Roman" w:cs="Times New Roman"/>
          <w:szCs w:val="24"/>
        </w:rPr>
      </w:pPr>
      <w:r w:rsidRPr="00C07C24">
        <w:rPr>
          <w:rFonts w:ascii="Times New Roman" w:eastAsia="Times New Roman" w:hAnsi="Times New Roman" w:cs="Times New Roman"/>
          <w:szCs w:val="24"/>
        </w:rPr>
        <w:t xml:space="preserve">Beyer, W Nelson, and Bradley E Sample. “An Evaluation of Inorganic Toxicity Reference Values for Use in Assessing Hazards to American Robins </w:t>
      </w:r>
      <w:proofErr w:type="gramStart"/>
      <w:r w:rsidRPr="00C07C24">
        <w:rPr>
          <w:rFonts w:ascii="Times New Roman" w:eastAsia="Times New Roman" w:hAnsi="Times New Roman" w:cs="Times New Roman"/>
          <w:szCs w:val="24"/>
        </w:rPr>
        <w:t xml:space="preserve">( </w:t>
      </w:r>
      <w:proofErr w:type="spellStart"/>
      <w:r w:rsidRPr="00C07C24">
        <w:rPr>
          <w:rFonts w:ascii="Times New Roman" w:eastAsia="Times New Roman" w:hAnsi="Times New Roman" w:cs="Times New Roman"/>
          <w:i/>
          <w:iCs/>
          <w:szCs w:val="24"/>
        </w:rPr>
        <w:t>Turdus</w:t>
      </w:r>
      <w:proofErr w:type="spellEnd"/>
      <w:proofErr w:type="gramEnd"/>
      <w:r w:rsidRPr="00C07C24">
        <w:rPr>
          <w:rFonts w:ascii="Times New Roman" w:eastAsia="Times New Roman" w:hAnsi="Times New Roman" w:cs="Times New Roman"/>
          <w:i/>
          <w:iCs/>
          <w:szCs w:val="24"/>
        </w:rPr>
        <w:t xml:space="preserve"> </w:t>
      </w:r>
      <w:proofErr w:type="spellStart"/>
      <w:r w:rsidRPr="00C07C24">
        <w:rPr>
          <w:rFonts w:ascii="Times New Roman" w:eastAsia="Times New Roman" w:hAnsi="Times New Roman" w:cs="Times New Roman"/>
          <w:i/>
          <w:iCs/>
          <w:szCs w:val="24"/>
        </w:rPr>
        <w:t>Migratorius</w:t>
      </w:r>
      <w:proofErr w:type="spellEnd"/>
      <w:r w:rsidRPr="00C07C24">
        <w:rPr>
          <w:rFonts w:ascii="Times New Roman" w:eastAsia="Times New Roman" w:hAnsi="Times New Roman" w:cs="Times New Roman"/>
          <w:szCs w:val="24"/>
        </w:rPr>
        <w:t xml:space="preserve"> ): Toxicity Reference Values for Assessing Hazards to Robins.” </w:t>
      </w:r>
      <w:r w:rsidRPr="00C07C24">
        <w:rPr>
          <w:rFonts w:ascii="Times New Roman" w:eastAsia="Times New Roman" w:hAnsi="Times New Roman" w:cs="Times New Roman"/>
          <w:i/>
          <w:iCs/>
          <w:szCs w:val="24"/>
        </w:rPr>
        <w:t>Integrated Environmental Assessment and Management</w:t>
      </w:r>
      <w:r w:rsidRPr="00C07C24">
        <w:rPr>
          <w:rFonts w:ascii="Times New Roman" w:eastAsia="Times New Roman" w:hAnsi="Times New Roman" w:cs="Times New Roman"/>
          <w:szCs w:val="24"/>
        </w:rPr>
        <w:t xml:space="preserve"> 13, no. 2 (March 2017): 352–59. </w:t>
      </w:r>
      <w:hyperlink r:id="rId20" w:history="1">
        <w:r w:rsidRPr="00C07C24">
          <w:rPr>
            <w:rFonts w:ascii="Times New Roman" w:eastAsia="Times New Roman" w:hAnsi="Times New Roman" w:cs="Times New Roman"/>
            <w:szCs w:val="24"/>
          </w:rPr>
          <w:t>https://doi.org/10.1002/ieam.1792</w:t>
        </w:r>
      </w:hyperlink>
      <w:r w:rsidRPr="00C07C24">
        <w:rPr>
          <w:rFonts w:ascii="Times New Roman" w:eastAsia="Times New Roman" w:hAnsi="Times New Roman" w:cs="Times New Roman"/>
          <w:szCs w:val="24"/>
        </w:rPr>
        <w:t>.</w:t>
      </w:r>
    </w:p>
    <w:p w14:paraId="0006AD67" w14:textId="77777777" w:rsidR="00C07C24" w:rsidRPr="00C07C24" w:rsidRDefault="00C07C24" w:rsidP="008E36CC">
      <w:pPr>
        <w:spacing w:after="0"/>
        <w:ind w:left="475" w:hanging="475"/>
        <w:rPr>
          <w:rFonts w:ascii="Times New Roman" w:eastAsia="Times New Roman" w:hAnsi="Times New Roman" w:cs="Times New Roman"/>
          <w:szCs w:val="24"/>
        </w:rPr>
      </w:pPr>
      <w:proofErr w:type="spellStart"/>
      <w:r w:rsidRPr="00C07C24">
        <w:rPr>
          <w:rFonts w:ascii="Times New Roman" w:eastAsia="Times New Roman" w:hAnsi="Times New Roman" w:cs="Times New Roman"/>
          <w:szCs w:val="24"/>
        </w:rPr>
        <w:t>Borghesi</w:t>
      </w:r>
      <w:proofErr w:type="spellEnd"/>
      <w:r w:rsidRPr="00C07C24">
        <w:rPr>
          <w:rFonts w:ascii="Times New Roman" w:eastAsia="Times New Roman" w:hAnsi="Times New Roman" w:cs="Times New Roman"/>
          <w:szCs w:val="24"/>
        </w:rPr>
        <w:t xml:space="preserve">, Fabrizio, Enrico </w:t>
      </w:r>
      <w:proofErr w:type="spellStart"/>
      <w:r w:rsidRPr="00C07C24">
        <w:rPr>
          <w:rFonts w:ascii="Times New Roman" w:eastAsia="Times New Roman" w:hAnsi="Times New Roman" w:cs="Times New Roman"/>
          <w:szCs w:val="24"/>
        </w:rPr>
        <w:t>Dinelli</w:t>
      </w:r>
      <w:proofErr w:type="spellEnd"/>
      <w:r w:rsidRPr="00C07C24">
        <w:rPr>
          <w:rFonts w:ascii="Times New Roman" w:eastAsia="Times New Roman" w:hAnsi="Times New Roman" w:cs="Times New Roman"/>
          <w:szCs w:val="24"/>
        </w:rPr>
        <w:t xml:space="preserve">, Francesca </w:t>
      </w:r>
      <w:proofErr w:type="spellStart"/>
      <w:r w:rsidRPr="00C07C24">
        <w:rPr>
          <w:rFonts w:ascii="Times New Roman" w:eastAsia="Times New Roman" w:hAnsi="Times New Roman" w:cs="Times New Roman"/>
          <w:szCs w:val="24"/>
        </w:rPr>
        <w:t>Migani</w:t>
      </w:r>
      <w:proofErr w:type="spellEnd"/>
      <w:r w:rsidRPr="00C07C24">
        <w:rPr>
          <w:rFonts w:ascii="Times New Roman" w:eastAsia="Times New Roman" w:hAnsi="Times New Roman" w:cs="Times New Roman"/>
          <w:szCs w:val="24"/>
        </w:rPr>
        <w:t xml:space="preserve">, Arnaud </w:t>
      </w:r>
      <w:proofErr w:type="spellStart"/>
      <w:r w:rsidRPr="00C07C24">
        <w:rPr>
          <w:rFonts w:ascii="Times New Roman" w:eastAsia="Times New Roman" w:hAnsi="Times New Roman" w:cs="Times New Roman"/>
          <w:szCs w:val="24"/>
        </w:rPr>
        <w:t>Béchet</w:t>
      </w:r>
      <w:proofErr w:type="spellEnd"/>
      <w:r w:rsidRPr="00C07C24">
        <w:rPr>
          <w:rFonts w:ascii="Times New Roman" w:eastAsia="Times New Roman" w:hAnsi="Times New Roman" w:cs="Times New Roman"/>
          <w:szCs w:val="24"/>
        </w:rPr>
        <w:t xml:space="preserve">, Manuel </w:t>
      </w:r>
      <w:proofErr w:type="spellStart"/>
      <w:r w:rsidRPr="00C07C24">
        <w:rPr>
          <w:rFonts w:ascii="Times New Roman" w:eastAsia="Times New Roman" w:hAnsi="Times New Roman" w:cs="Times New Roman"/>
          <w:szCs w:val="24"/>
        </w:rPr>
        <w:t>Rendón‐Martos</w:t>
      </w:r>
      <w:proofErr w:type="spellEnd"/>
      <w:r w:rsidRPr="00C07C24">
        <w:rPr>
          <w:rFonts w:ascii="Times New Roman" w:eastAsia="Times New Roman" w:hAnsi="Times New Roman" w:cs="Times New Roman"/>
          <w:szCs w:val="24"/>
        </w:rPr>
        <w:t xml:space="preserve">, Juan A. </w:t>
      </w:r>
      <w:proofErr w:type="spellStart"/>
      <w:r w:rsidRPr="00C07C24">
        <w:rPr>
          <w:rFonts w:ascii="Times New Roman" w:eastAsia="Times New Roman" w:hAnsi="Times New Roman" w:cs="Times New Roman"/>
          <w:szCs w:val="24"/>
        </w:rPr>
        <w:t>Amat</w:t>
      </w:r>
      <w:proofErr w:type="spellEnd"/>
      <w:r w:rsidRPr="00C07C24">
        <w:rPr>
          <w:rFonts w:ascii="Times New Roman" w:eastAsia="Times New Roman" w:hAnsi="Times New Roman" w:cs="Times New Roman"/>
          <w:szCs w:val="24"/>
        </w:rPr>
        <w:t xml:space="preserve">, Simone Sommer, and Mark A. F. Gillingham. “Assessing Environmental Pollution in Birds: A New Methodological Approach for Interpreting Bioaccumulation of Trace Elements in Feather Shafts Using Geochemical Sediment Data.” Edited by Matthew Davey. </w:t>
      </w:r>
      <w:r w:rsidRPr="00C07C24">
        <w:rPr>
          <w:rFonts w:ascii="Times New Roman" w:eastAsia="Times New Roman" w:hAnsi="Times New Roman" w:cs="Times New Roman"/>
          <w:i/>
          <w:iCs/>
          <w:szCs w:val="24"/>
        </w:rPr>
        <w:t>Methods in Ecology and Evolution</w:t>
      </w:r>
      <w:r w:rsidRPr="00C07C24">
        <w:rPr>
          <w:rFonts w:ascii="Times New Roman" w:eastAsia="Times New Roman" w:hAnsi="Times New Roman" w:cs="Times New Roman"/>
          <w:szCs w:val="24"/>
        </w:rPr>
        <w:t xml:space="preserve"> 8, no. 1 (January 2017): 96–108. </w:t>
      </w:r>
      <w:hyperlink r:id="rId21" w:history="1">
        <w:r w:rsidRPr="00C07C24">
          <w:rPr>
            <w:rFonts w:ascii="Times New Roman" w:eastAsia="Times New Roman" w:hAnsi="Times New Roman" w:cs="Times New Roman"/>
            <w:szCs w:val="24"/>
          </w:rPr>
          <w:t>https://doi.org/10.1111/2041-210X.12644</w:t>
        </w:r>
      </w:hyperlink>
      <w:r w:rsidRPr="00C07C24">
        <w:rPr>
          <w:rFonts w:ascii="Times New Roman" w:eastAsia="Times New Roman" w:hAnsi="Times New Roman" w:cs="Times New Roman"/>
          <w:szCs w:val="24"/>
        </w:rPr>
        <w:t>.</w:t>
      </w:r>
    </w:p>
    <w:p w14:paraId="54472800" w14:textId="77777777" w:rsidR="00CE2933" w:rsidRPr="00CE2933" w:rsidRDefault="00CE2933" w:rsidP="008E36CC">
      <w:pPr>
        <w:spacing w:after="0"/>
        <w:ind w:left="475" w:hanging="475"/>
        <w:rPr>
          <w:rFonts w:ascii="Times New Roman" w:eastAsia="Times New Roman" w:hAnsi="Times New Roman" w:cs="Times New Roman"/>
          <w:szCs w:val="24"/>
        </w:rPr>
      </w:pPr>
      <w:proofErr w:type="spellStart"/>
      <w:r w:rsidRPr="00CE2933">
        <w:rPr>
          <w:rFonts w:ascii="Times New Roman" w:eastAsia="Times New Roman" w:hAnsi="Times New Roman" w:cs="Times New Roman"/>
          <w:szCs w:val="24"/>
        </w:rPr>
        <w:t>Brzóska</w:t>
      </w:r>
      <w:proofErr w:type="spellEnd"/>
      <w:r w:rsidRPr="00CE2933">
        <w:rPr>
          <w:rFonts w:ascii="Times New Roman" w:eastAsia="Times New Roman" w:hAnsi="Times New Roman" w:cs="Times New Roman"/>
          <w:szCs w:val="24"/>
        </w:rPr>
        <w:t>, M. M., and J. Moniuszko-</w:t>
      </w:r>
      <w:proofErr w:type="spellStart"/>
      <w:r w:rsidRPr="00CE2933">
        <w:rPr>
          <w:rFonts w:ascii="Times New Roman" w:eastAsia="Times New Roman" w:hAnsi="Times New Roman" w:cs="Times New Roman"/>
          <w:szCs w:val="24"/>
        </w:rPr>
        <w:t>Jakoniuk</w:t>
      </w:r>
      <w:proofErr w:type="spellEnd"/>
      <w:r w:rsidRPr="00CE2933">
        <w:rPr>
          <w:rFonts w:ascii="Times New Roman" w:eastAsia="Times New Roman" w:hAnsi="Times New Roman" w:cs="Times New Roman"/>
          <w:szCs w:val="24"/>
        </w:rPr>
        <w:t xml:space="preserve">. “Interactions between Cadmium and Zinc in the Organism.” </w:t>
      </w:r>
      <w:r w:rsidRPr="00CE2933">
        <w:rPr>
          <w:rFonts w:ascii="Times New Roman" w:eastAsia="Times New Roman" w:hAnsi="Times New Roman" w:cs="Times New Roman"/>
          <w:i/>
          <w:iCs/>
          <w:szCs w:val="24"/>
        </w:rPr>
        <w:t>Food and Chemical Toxicology: An International Journal Published for the British Industrial Biological Research Association</w:t>
      </w:r>
      <w:r w:rsidRPr="00CE2933">
        <w:rPr>
          <w:rFonts w:ascii="Times New Roman" w:eastAsia="Times New Roman" w:hAnsi="Times New Roman" w:cs="Times New Roman"/>
          <w:szCs w:val="24"/>
        </w:rPr>
        <w:t xml:space="preserve"> 39, no. 10 (October 2001): 967–80. </w:t>
      </w:r>
      <w:hyperlink r:id="rId22" w:history="1">
        <w:r w:rsidRPr="00CE2933">
          <w:rPr>
            <w:rFonts w:ascii="Times New Roman" w:eastAsia="Times New Roman" w:hAnsi="Times New Roman" w:cs="Times New Roman"/>
            <w:szCs w:val="24"/>
          </w:rPr>
          <w:t>https://doi.org/10.1016/s0278-6915(01)00048-5</w:t>
        </w:r>
      </w:hyperlink>
      <w:r w:rsidRPr="00CE2933">
        <w:rPr>
          <w:rFonts w:ascii="Times New Roman" w:eastAsia="Times New Roman" w:hAnsi="Times New Roman" w:cs="Times New Roman"/>
          <w:szCs w:val="24"/>
        </w:rPr>
        <w:t>.</w:t>
      </w:r>
    </w:p>
    <w:p w14:paraId="48D676E5" w14:textId="77777777" w:rsidR="00CE2933" w:rsidRPr="00CE2933" w:rsidRDefault="00CE2933" w:rsidP="008E36CC">
      <w:pPr>
        <w:spacing w:after="0"/>
        <w:ind w:left="475" w:hanging="475"/>
        <w:rPr>
          <w:rFonts w:ascii="Times New Roman" w:eastAsia="Times New Roman" w:hAnsi="Times New Roman" w:cs="Times New Roman"/>
          <w:szCs w:val="24"/>
        </w:rPr>
      </w:pPr>
      <w:r w:rsidRPr="00CE2933">
        <w:rPr>
          <w:rFonts w:ascii="Times New Roman" w:eastAsia="Times New Roman" w:hAnsi="Times New Roman" w:cs="Times New Roman"/>
          <w:szCs w:val="24"/>
        </w:rPr>
        <w:lastRenderedPageBreak/>
        <w:t xml:space="preserve">Burger, Joanna. “A Risk Assessment for Lead in Birds.” </w:t>
      </w:r>
      <w:r w:rsidRPr="00CE2933">
        <w:rPr>
          <w:rFonts w:ascii="Times New Roman" w:eastAsia="Times New Roman" w:hAnsi="Times New Roman" w:cs="Times New Roman"/>
          <w:i/>
          <w:iCs/>
          <w:szCs w:val="24"/>
        </w:rPr>
        <w:t>Journal of Toxicology and Environmental Health</w:t>
      </w:r>
      <w:r w:rsidRPr="00CE2933">
        <w:rPr>
          <w:rFonts w:ascii="Times New Roman" w:eastAsia="Times New Roman" w:hAnsi="Times New Roman" w:cs="Times New Roman"/>
          <w:szCs w:val="24"/>
        </w:rPr>
        <w:t xml:space="preserve"> 45, no. 4 (August 1, 1995): 369–96. </w:t>
      </w:r>
      <w:hyperlink r:id="rId23" w:history="1">
        <w:r w:rsidRPr="00CE2933">
          <w:rPr>
            <w:rFonts w:ascii="Times New Roman" w:eastAsia="Times New Roman" w:hAnsi="Times New Roman" w:cs="Times New Roman"/>
            <w:szCs w:val="24"/>
          </w:rPr>
          <w:t>https://doi.org/10.1080/15287399509532003</w:t>
        </w:r>
      </w:hyperlink>
      <w:r w:rsidRPr="00CE2933">
        <w:rPr>
          <w:rFonts w:ascii="Times New Roman" w:eastAsia="Times New Roman" w:hAnsi="Times New Roman" w:cs="Times New Roman"/>
          <w:szCs w:val="24"/>
        </w:rPr>
        <w:t>.</w:t>
      </w:r>
    </w:p>
    <w:p w14:paraId="669C026F" w14:textId="77777777" w:rsidR="00CE2933" w:rsidRPr="00CE2933" w:rsidRDefault="00CE2933" w:rsidP="008E36CC">
      <w:pPr>
        <w:spacing w:after="0"/>
        <w:ind w:left="475" w:hanging="475"/>
        <w:rPr>
          <w:rFonts w:ascii="Times New Roman" w:eastAsia="Times New Roman" w:hAnsi="Times New Roman" w:cs="Times New Roman"/>
          <w:szCs w:val="24"/>
        </w:rPr>
      </w:pPr>
      <w:r w:rsidRPr="00CE2933">
        <w:rPr>
          <w:rFonts w:ascii="Times New Roman" w:eastAsia="Times New Roman" w:hAnsi="Times New Roman" w:cs="Times New Roman"/>
          <w:szCs w:val="24"/>
        </w:rPr>
        <w:t xml:space="preserve">Burger, Joanna, Michael </w:t>
      </w:r>
      <w:proofErr w:type="spellStart"/>
      <w:r w:rsidRPr="00CE2933">
        <w:rPr>
          <w:rFonts w:ascii="Times New Roman" w:eastAsia="Times New Roman" w:hAnsi="Times New Roman" w:cs="Times New Roman"/>
          <w:szCs w:val="24"/>
        </w:rPr>
        <w:t>Gochfeld</w:t>
      </w:r>
      <w:proofErr w:type="spellEnd"/>
      <w:r w:rsidRPr="00CE2933">
        <w:rPr>
          <w:rFonts w:ascii="Times New Roman" w:eastAsia="Times New Roman" w:hAnsi="Times New Roman" w:cs="Times New Roman"/>
          <w:szCs w:val="24"/>
        </w:rPr>
        <w:t xml:space="preserve">, Christian </w:t>
      </w:r>
      <w:proofErr w:type="spellStart"/>
      <w:r w:rsidRPr="00CE2933">
        <w:rPr>
          <w:rFonts w:ascii="Times New Roman" w:eastAsia="Times New Roman" w:hAnsi="Times New Roman" w:cs="Times New Roman"/>
          <w:szCs w:val="24"/>
        </w:rPr>
        <w:t>Jeitner</w:t>
      </w:r>
      <w:proofErr w:type="spellEnd"/>
      <w:r w:rsidRPr="00CE2933">
        <w:rPr>
          <w:rFonts w:ascii="Times New Roman" w:eastAsia="Times New Roman" w:hAnsi="Times New Roman" w:cs="Times New Roman"/>
          <w:szCs w:val="24"/>
        </w:rPr>
        <w:t xml:space="preserve">, Sean Burke, Conrad D. Volz, Ronald </w:t>
      </w:r>
      <w:proofErr w:type="spellStart"/>
      <w:r w:rsidRPr="00CE2933">
        <w:rPr>
          <w:rFonts w:ascii="Times New Roman" w:eastAsia="Times New Roman" w:hAnsi="Times New Roman" w:cs="Times New Roman"/>
          <w:szCs w:val="24"/>
        </w:rPr>
        <w:t>Snigaroff</w:t>
      </w:r>
      <w:proofErr w:type="spellEnd"/>
      <w:r w:rsidRPr="00CE2933">
        <w:rPr>
          <w:rFonts w:ascii="Times New Roman" w:eastAsia="Times New Roman" w:hAnsi="Times New Roman" w:cs="Times New Roman"/>
          <w:szCs w:val="24"/>
        </w:rPr>
        <w:t xml:space="preserve">, Daniel </w:t>
      </w:r>
      <w:proofErr w:type="spellStart"/>
      <w:r w:rsidRPr="00CE2933">
        <w:rPr>
          <w:rFonts w:ascii="Times New Roman" w:eastAsia="Times New Roman" w:hAnsi="Times New Roman" w:cs="Times New Roman"/>
          <w:szCs w:val="24"/>
        </w:rPr>
        <w:t>Snigaroff</w:t>
      </w:r>
      <w:proofErr w:type="spellEnd"/>
      <w:r w:rsidRPr="00CE2933">
        <w:rPr>
          <w:rFonts w:ascii="Times New Roman" w:eastAsia="Times New Roman" w:hAnsi="Times New Roman" w:cs="Times New Roman"/>
          <w:szCs w:val="24"/>
        </w:rPr>
        <w:t>, Tara Shukla, and Sheila Shukla. “Mercury and Other Metals in Eggs and Feathers of Glaucous-Winged Gulls (</w:t>
      </w:r>
      <w:proofErr w:type="spellStart"/>
      <w:r w:rsidRPr="00CE2933">
        <w:rPr>
          <w:rFonts w:ascii="Times New Roman" w:eastAsia="Times New Roman" w:hAnsi="Times New Roman" w:cs="Times New Roman"/>
          <w:szCs w:val="24"/>
        </w:rPr>
        <w:t>Larus</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Glaucescens</w:t>
      </w:r>
      <w:proofErr w:type="spellEnd"/>
      <w:r w:rsidRPr="00CE2933">
        <w:rPr>
          <w:rFonts w:ascii="Times New Roman" w:eastAsia="Times New Roman" w:hAnsi="Times New Roman" w:cs="Times New Roman"/>
          <w:szCs w:val="24"/>
        </w:rPr>
        <w:t xml:space="preserve">) in the Aleutians.” </w:t>
      </w:r>
      <w:r w:rsidRPr="00CE2933">
        <w:rPr>
          <w:rFonts w:ascii="Times New Roman" w:eastAsia="Times New Roman" w:hAnsi="Times New Roman" w:cs="Times New Roman"/>
          <w:i/>
          <w:iCs/>
          <w:szCs w:val="24"/>
        </w:rPr>
        <w:t>Environmental Monitoring and Assessment</w:t>
      </w:r>
      <w:r w:rsidRPr="00CE2933">
        <w:rPr>
          <w:rFonts w:ascii="Times New Roman" w:eastAsia="Times New Roman" w:hAnsi="Times New Roman" w:cs="Times New Roman"/>
          <w:szCs w:val="24"/>
        </w:rPr>
        <w:t xml:space="preserve"> 152, no. 1–4 (May 2009): 179–94. </w:t>
      </w:r>
      <w:hyperlink r:id="rId24" w:history="1">
        <w:r w:rsidRPr="00CE2933">
          <w:rPr>
            <w:rFonts w:ascii="Times New Roman" w:eastAsia="Times New Roman" w:hAnsi="Times New Roman" w:cs="Times New Roman"/>
            <w:szCs w:val="24"/>
          </w:rPr>
          <w:t>https://doi.org/10.1007/s10661-008-0306-6</w:t>
        </w:r>
      </w:hyperlink>
      <w:r w:rsidRPr="00CE2933">
        <w:rPr>
          <w:rFonts w:ascii="Times New Roman" w:eastAsia="Times New Roman" w:hAnsi="Times New Roman" w:cs="Times New Roman"/>
          <w:szCs w:val="24"/>
        </w:rPr>
        <w:t>.</w:t>
      </w:r>
    </w:p>
    <w:p w14:paraId="0A1654F6" w14:textId="77777777" w:rsidR="00CE2933" w:rsidRPr="00CE2933" w:rsidRDefault="00CE2933" w:rsidP="008E36CC">
      <w:pPr>
        <w:spacing w:after="0"/>
        <w:ind w:left="475" w:hanging="475"/>
        <w:rPr>
          <w:rFonts w:ascii="Times New Roman" w:eastAsia="Times New Roman" w:hAnsi="Times New Roman" w:cs="Times New Roman"/>
          <w:szCs w:val="24"/>
        </w:rPr>
      </w:pPr>
      <w:r w:rsidRPr="00CE2933">
        <w:rPr>
          <w:rFonts w:ascii="Times New Roman" w:eastAsia="Times New Roman" w:hAnsi="Times New Roman" w:cs="Times New Roman"/>
          <w:szCs w:val="24"/>
        </w:rPr>
        <w:t xml:space="preserve">Burger, Joanna, Mark Laska, and Michael </w:t>
      </w:r>
      <w:proofErr w:type="spellStart"/>
      <w:r w:rsidRPr="00CE2933">
        <w:rPr>
          <w:rFonts w:ascii="Times New Roman" w:eastAsia="Times New Roman" w:hAnsi="Times New Roman" w:cs="Times New Roman"/>
          <w:szCs w:val="24"/>
        </w:rPr>
        <w:t>Gochfeld</w:t>
      </w:r>
      <w:proofErr w:type="spellEnd"/>
      <w:r w:rsidRPr="00CE2933">
        <w:rPr>
          <w:rFonts w:ascii="Times New Roman" w:eastAsia="Times New Roman" w:hAnsi="Times New Roman" w:cs="Times New Roman"/>
          <w:szCs w:val="24"/>
        </w:rPr>
        <w:t xml:space="preserve">. “Metal Concentrations in Feathers of Birds from Papua New Guinea Forests: Evidence of Pollution.” </w:t>
      </w:r>
      <w:r w:rsidRPr="00CE2933">
        <w:rPr>
          <w:rFonts w:ascii="Times New Roman" w:eastAsia="Times New Roman" w:hAnsi="Times New Roman" w:cs="Times New Roman"/>
          <w:i/>
          <w:iCs/>
          <w:szCs w:val="24"/>
        </w:rPr>
        <w:t>Environmental Toxicology and Chemistry</w:t>
      </w:r>
      <w:r w:rsidRPr="00CE2933">
        <w:rPr>
          <w:rFonts w:ascii="Times New Roman" w:eastAsia="Times New Roman" w:hAnsi="Times New Roman" w:cs="Times New Roman"/>
          <w:szCs w:val="24"/>
        </w:rPr>
        <w:t xml:space="preserve"> 12, no. 7 (July 1993): 1291–96. </w:t>
      </w:r>
      <w:hyperlink r:id="rId25" w:history="1">
        <w:r w:rsidRPr="00CE2933">
          <w:rPr>
            <w:rFonts w:ascii="Times New Roman" w:eastAsia="Times New Roman" w:hAnsi="Times New Roman" w:cs="Times New Roman"/>
            <w:szCs w:val="24"/>
          </w:rPr>
          <w:t>https://doi.org/10.1002/etc.5620120719</w:t>
        </w:r>
      </w:hyperlink>
      <w:r w:rsidRPr="00CE2933">
        <w:rPr>
          <w:rFonts w:ascii="Times New Roman" w:eastAsia="Times New Roman" w:hAnsi="Times New Roman" w:cs="Times New Roman"/>
          <w:szCs w:val="24"/>
        </w:rPr>
        <w:t>.</w:t>
      </w:r>
    </w:p>
    <w:p w14:paraId="13516737" w14:textId="243656F9" w:rsidR="00B74485" w:rsidRDefault="00070775" w:rsidP="008E36CC">
      <w:pPr>
        <w:spacing w:after="0"/>
        <w:ind w:left="475" w:hanging="475"/>
        <w:rPr>
          <w:rFonts w:ascii="Times New Roman" w:eastAsia="Times New Roman" w:hAnsi="Times New Roman" w:cs="Times New Roman"/>
          <w:szCs w:val="24"/>
        </w:rPr>
      </w:pPr>
      <w:r w:rsidRPr="00070775">
        <w:rPr>
          <w:rFonts w:ascii="Times New Roman" w:eastAsia="Times New Roman" w:hAnsi="Times New Roman" w:cs="Times New Roman"/>
          <w:szCs w:val="24"/>
        </w:rPr>
        <w:t>Chow, Cynthia, and Christal Pollock. "Heavy Metal Poisoning in Birds." </w:t>
      </w:r>
      <w:r w:rsidRPr="00070775">
        <w:rPr>
          <w:rFonts w:ascii="Times New Roman" w:eastAsia="Times New Roman" w:hAnsi="Times New Roman" w:cs="Times New Roman"/>
          <w:i/>
          <w:iCs/>
          <w:szCs w:val="24"/>
        </w:rPr>
        <w:t>Fonte:&lt; https://lafeber. com/vet/heavy-metal-</w:t>
      </w:r>
      <w:proofErr w:type="spellStart"/>
      <w:r w:rsidRPr="00070775">
        <w:rPr>
          <w:rFonts w:ascii="Times New Roman" w:eastAsia="Times New Roman" w:hAnsi="Times New Roman" w:cs="Times New Roman"/>
          <w:i/>
          <w:iCs/>
          <w:szCs w:val="24"/>
        </w:rPr>
        <w:t>poisoningin</w:t>
      </w:r>
      <w:proofErr w:type="spellEnd"/>
      <w:r w:rsidRPr="00070775">
        <w:rPr>
          <w:rFonts w:ascii="Times New Roman" w:eastAsia="Times New Roman" w:hAnsi="Times New Roman" w:cs="Times New Roman"/>
          <w:i/>
          <w:iCs/>
          <w:szCs w:val="24"/>
        </w:rPr>
        <w:t>-birds/</w:t>
      </w:r>
      <w:proofErr w:type="gramStart"/>
      <w:r w:rsidRPr="00070775">
        <w:rPr>
          <w:rFonts w:ascii="Times New Roman" w:eastAsia="Times New Roman" w:hAnsi="Times New Roman" w:cs="Times New Roman"/>
          <w:i/>
          <w:iCs/>
          <w:szCs w:val="24"/>
        </w:rPr>
        <w:t>&gt;[</w:t>
      </w:r>
      <w:proofErr w:type="gramEnd"/>
      <w:r w:rsidRPr="00070775">
        <w:rPr>
          <w:rFonts w:ascii="Times New Roman" w:eastAsia="Times New Roman" w:hAnsi="Times New Roman" w:cs="Times New Roman"/>
          <w:i/>
          <w:iCs/>
          <w:szCs w:val="24"/>
        </w:rPr>
        <w:t>Accessed online in May 2015]</w:t>
      </w:r>
      <w:r w:rsidRPr="00070775">
        <w:rPr>
          <w:rFonts w:ascii="Times New Roman" w:eastAsia="Times New Roman" w:hAnsi="Times New Roman" w:cs="Times New Roman"/>
          <w:szCs w:val="24"/>
        </w:rPr>
        <w:t> (2009).</w:t>
      </w:r>
    </w:p>
    <w:p w14:paraId="53B362AD" w14:textId="0614A043" w:rsidR="00386293" w:rsidRDefault="00386293" w:rsidP="008E36CC">
      <w:pPr>
        <w:spacing w:after="0"/>
        <w:ind w:left="475" w:hanging="475"/>
        <w:rPr>
          <w:rFonts w:ascii="Times New Roman" w:eastAsia="Times New Roman" w:hAnsi="Times New Roman" w:cs="Times New Roman"/>
          <w:szCs w:val="24"/>
        </w:rPr>
      </w:pPr>
      <w:r w:rsidRPr="00386293">
        <w:rPr>
          <w:rFonts w:ascii="Times New Roman" w:eastAsia="Times New Roman" w:hAnsi="Times New Roman" w:cs="Times New Roman"/>
          <w:szCs w:val="24"/>
        </w:rPr>
        <w:t xml:space="preserve">Custer, C. M., Custer, T. W., </w:t>
      </w:r>
      <w:proofErr w:type="spellStart"/>
      <w:r w:rsidRPr="00386293">
        <w:rPr>
          <w:rFonts w:ascii="Times New Roman" w:eastAsia="Times New Roman" w:hAnsi="Times New Roman" w:cs="Times New Roman"/>
          <w:szCs w:val="24"/>
        </w:rPr>
        <w:t>Dummer</w:t>
      </w:r>
      <w:proofErr w:type="spellEnd"/>
      <w:r w:rsidRPr="00386293">
        <w:rPr>
          <w:rFonts w:ascii="Times New Roman" w:eastAsia="Times New Roman" w:hAnsi="Times New Roman" w:cs="Times New Roman"/>
          <w:szCs w:val="24"/>
        </w:rPr>
        <w:t xml:space="preserve">, P. M., &amp; </w:t>
      </w:r>
      <w:proofErr w:type="spellStart"/>
      <w:r w:rsidRPr="00386293">
        <w:rPr>
          <w:rFonts w:ascii="Times New Roman" w:eastAsia="Times New Roman" w:hAnsi="Times New Roman" w:cs="Times New Roman"/>
          <w:szCs w:val="24"/>
        </w:rPr>
        <w:t>Munney</w:t>
      </w:r>
      <w:proofErr w:type="spellEnd"/>
      <w:r w:rsidRPr="00386293">
        <w:rPr>
          <w:rFonts w:ascii="Times New Roman" w:eastAsia="Times New Roman" w:hAnsi="Times New Roman" w:cs="Times New Roman"/>
          <w:szCs w:val="24"/>
        </w:rPr>
        <w:t>, K. L. (2003). Exposure and effects of chemical contaminants on tree swallows nesting along the Housatonic River, Berkshire County, Massachusetts, USA, 1998–2000. </w:t>
      </w:r>
      <w:r w:rsidRPr="00386293">
        <w:rPr>
          <w:rFonts w:ascii="Times New Roman" w:eastAsia="Times New Roman" w:hAnsi="Times New Roman" w:cs="Times New Roman"/>
          <w:i/>
          <w:iCs/>
          <w:szCs w:val="24"/>
        </w:rPr>
        <w:t>Environmental Toxicology and Chemistry: An International Journal</w:t>
      </w:r>
      <w:r w:rsidRPr="00386293">
        <w:rPr>
          <w:rFonts w:ascii="Times New Roman" w:eastAsia="Times New Roman" w:hAnsi="Times New Roman" w:cs="Times New Roman"/>
          <w:szCs w:val="24"/>
        </w:rPr>
        <w:t>, </w:t>
      </w:r>
      <w:r w:rsidRPr="00386293">
        <w:rPr>
          <w:rFonts w:ascii="Times New Roman" w:eastAsia="Times New Roman" w:hAnsi="Times New Roman" w:cs="Times New Roman"/>
          <w:i/>
          <w:iCs/>
          <w:szCs w:val="24"/>
        </w:rPr>
        <w:t>22</w:t>
      </w:r>
      <w:r w:rsidRPr="00386293">
        <w:rPr>
          <w:rFonts w:ascii="Times New Roman" w:eastAsia="Times New Roman" w:hAnsi="Times New Roman" w:cs="Times New Roman"/>
          <w:szCs w:val="24"/>
        </w:rPr>
        <w:t>(7), 1605-1621.</w:t>
      </w:r>
    </w:p>
    <w:p w14:paraId="0DAF75CB" w14:textId="62C59C73" w:rsidR="001332C7" w:rsidRDefault="001332C7" w:rsidP="008E36CC">
      <w:pPr>
        <w:spacing w:after="0"/>
        <w:ind w:left="475" w:hanging="475"/>
        <w:rPr>
          <w:rFonts w:ascii="Times New Roman" w:eastAsia="Times New Roman" w:hAnsi="Times New Roman" w:cs="Times New Roman"/>
          <w:szCs w:val="24"/>
        </w:rPr>
      </w:pPr>
      <w:proofErr w:type="spellStart"/>
      <w:r w:rsidRPr="001332C7">
        <w:rPr>
          <w:rFonts w:ascii="Times New Roman" w:eastAsia="Times New Roman" w:hAnsi="Times New Roman" w:cs="Times New Roman"/>
          <w:szCs w:val="24"/>
        </w:rPr>
        <w:t>Datin</w:t>
      </w:r>
      <w:proofErr w:type="spellEnd"/>
      <w:r w:rsidRPr="001332C7">
        <w:rPr>
          <w:rFonts w:ascii="Times New Roman" w:eastAsia="Times New Roman" w:hAnsi="Times New Roman" w:cs="Times New Roman"/>
          <w:szCs w:val="24"/>
        </w:rPr>
        <w:t>, Dennis L., and David A. Cates. "Sampling and metal analysis of chat piles in the Tar Creek Superfund Site." </w:t>
      </w:r>
      <w:r w:rsidRPr="001332C7">
        <w:rPr>
          <w:rFonts w:ascii="Times New Roman" w:eastAsia="Times New Roman" w:hAnsi="Times New Roman" w:cs="Times New Roman"/>
          <w:i/>
          <w:iCs/>
          <w:szCs w:val="24"/>
        </w:rPr>
        <w:t>Oklahoma Department of Environmental Quality, Oklahoma City</w:t>
      </w:r>
      <w:r w:rsidRPr="001332C7">
        <w:rPr>
          <w:rFonts w:ascii="Times New Roman" w:eastAsia="Times New Roman" w:hAnsi="Times New Roman" w:cs="Times New Roman"/>
          <w:szCs w:val="24"/>
        </w:rPr>
        <w:t> (2002).</w:t>
      </w:r>
    </w:p>
    <w:p w14:paraId="520FD1A6" w14:textId="02EB3DCE" w:rsidR="00B820D9" w:rsidRPr="00CE2933" w:rsidRDefault="00B820D9" w:rsidP="008E36CC">
      <w:pPr>
        <w:spacing w:after="0"/>
        <w:ind w:left="475" w:hanging="475"/>
        <w:rPr>
          <w:rFonts w:ascii="Times New Roman" w:eastAsia="Times New Roman" w:hAnsi="Times New Roman" w:cs="Times New Roman"/>
          <w:szCs w:val="24"/>
        </w:rPr>
      </w:pPr>
      <w:r w:rsidRPr="00B820D9">
        <w:rPr>
          <w:rFonts w:ascii="Times New Roman" w:eastAsia="Times New Roman" w:hAnsi="Times New Roman" w:cs="Times New Roman"/>
          <w:szCs w:val="24"/>
        </w:rPr>
        <w:t>De Jong, M. J. (2020). Northern Rough-winged Swallow (</w:t>
      </w:r>
      <w:r w:rsidRPr="00B820D9">
        <w:rPr>
          <w:rFonts w:ascii="Times New Roman" w:eastAsia="Times New Roman" w:hAnsi="Times New Roman" w:cs="Times New Roman"/>
          <w:i/>
          <w:iCs/>
          <w:szCs w:val="24"/>
        </w:rPr>
        <w:t>Stelgidopteryx serripennis</w:t>
      </w:r>
      <w:r w:rsidRPr="00B820D9">
        <w:rPr>
          <w:rFonts w:ascii="Times New Roman" w:eastAsia="Times New Roman" w:hAnsi="Times New Roman" w:cs="Times New Roman"/>
          <w:szCs w:val="24"/>
        </w:rPr>
        <w:t>), version 1.0. In Birds of the World (A. F. Poole and F. B. Gill, Editors). Cornell Lab of Ornithology, Ithaca, NY, USA. https://doi-org.ezproxy.lib.ou.edu/10.2173/bow.nrwswa.01</w:t>
      </w:r>
    </w:p>
    <w:p w14:paraId="50DC2251" w14:textId="77777777" w:rsidR="00CE2933" w:rsidRPr="00CE2933" w:rsidRDefault="00CE2933" w:rsidP="008E36CC">
      <w:pPr>
        <w:spacing w:after="0"/>
        <w:ind w:left="475" w:hanging="475"/>
        <w:rPr>
          <w:rFonts w:ascii="Times New Roman" w:eastAsia="Times New Roman" w:hAnsi="Times New Roman" w:cs="Times New Roman"/>
          <w:szCs w:val="24"/>
        </w:rPr>
      </w:pPr>
      <w:r w:rsidRPr="00CE2933">
        <w:rPr>
          <w:rFonts w:ascii="Times New Roman" w:eastAsia="Times New Roman" w:hAnsi="Times New Roman" w:cs="Times New Roman"/>
          <w:szCs w:val="24"/>
        </w:rPr>
        <w:lastRenderedPageBreak/>
        <w:t xml:space="preserve">Dietrich, Kim N., Kathleen M. </w:t>
      </w:r>
      <w:proofErr w:type="spellStart"/>
      <w:r w:rsidRPr="00CE2933">
        <w:rPr>
          <w:rFonts w:ascii="Times New Roman" w:eastAsia="Times New Roman" w:hAnsi="Times New Roman" w:cs="Times New Roman"/>
          <w:szCs w:val="24"/>
        </w:rPr>
        <w:t>Krafft</w:t>
      </w:r>
      <w:proofErr w:type="spellEnd"/>
      <w:r w:rsidRPr="00CE2933">
        <w:rPr>
          <w:rFonts w:ascii="Times New Roman" w:eastAsia="Times New Roman" w:hAnsi="Times New Roman" w:cs="Times New Roman"/>
          <w:szCs w:val="24"/>
        </w:rPr>
        <w:t xml:space="preserve">, Robert L. </w:t>
      </w:r>
      <w:proofErr w:type="spellStart"/>
      <w:r w:rsidRPr="00CE2933">
        <w:rPr>
          <w:rFonts w:ascii="Times New Roman" w:eastAsia="Times New Roman" w:hAnsi="Times New Roman" w:cs="Times New Roman"/>
          <w:szCs w:val="24"/>
        </w:rPr>
        <w:t>Bornschein</w:t>
      </w:r>
      <w:proofErr w:type="spellEnd"/>
      <w:r w:rsidRPr="00CE2933">
        <w:rPr>
          <w:rFonts w:ascii="Times New Roman" w:eastAsia="Times New Roman" w:hAnsi="Times New Roman" w:cs="Times New Roman"/>
          <w:szCs w:val="24"/>
        </w:rPr>
        <w:t xml:space="preserve">, Paul B. Hammond, Omer Berger, Paul A. </w:t>
      </w:r>
      <w:proofErr w:type="spellStart"/>
      <w:r w:rsidRPr="00CE2933">
        <w:rPr>
          <w:rFonts w:ascii="Times New Roman" w:eastAsia="Times New Roman" w:hAnsi="Times New Roman" w:cs="Times New Roman"/>
          <w:szCs w:val="24"/>
        </w:rPr>
        <w:t>Succop</w:t>
      </w:r>
      <w:proofErr w:type="spellEnd"/>
      <w:r w:rsidRPr="00CE2933">
        <w:rPr>
          <w:rFonts w:ascii="Times New Roman" w:eastAsia="Times New Roman" w:hAnsi="Times New Roman" w:cs="Times New Roman"/>
          <w:szCs w:val="24"/>
        </w:rPr>
        <w:t xml:space="preserve">, and Mariana Bier. “Low-Level Fetal Lead Exposure Effect on Neurobehavioral Development in Early Infancy.” </w:t>
      </w:r>
      <w:r w:rsidRPr="00CE2933">
        <w:rPr>
          <w:rFonts w:ascii="Times New Roman" w:eastAsia="Times New Roman" w:hAnsi="Times New Roman" w:cs="Times New Roman"/>
          <w:i/>
          <w:iCs/>
          <w:szCs w:val="24"/>
        </w:rPr>
        <w:t>Pediatrics</w:t>
      </w:r>
      <w:r w:rsidRPr="00CE2933">
        <w:rPr>
          <w:rFonts w:ascii="Times New Roman" w:eastAsia="Times New Roman" w:hAnsi="Times New Roman" w:cs="Times New Roman"/>
          <w:szCs w:val="24"/>
        </w:rPr>
        <w:t xml:space="preserve"> 80, no. 5 (November 1, 1987): 721–30.</w:t>
      </w:r>
    </w:p>
    <w:p w14:paraId="281D7038" w14:textId="77777777" w:rsidR="00CE2933" w:rsidRPr="00CE2933" w:rsidRDefault="00CE2933" w:rsidP="008E36CC">
      <w:pPr>
        <w:spacing w:after="0"/>
        <w:ind w:left="475" w:hanging="475"/>
        <w:rPr>
          <w:rFonts w:ascii="Times New Roman" w:eastAsia="Times New Roman" w:hAnsi="Times New Roman" w:cs="Times New Roman"/>
          <w:szCs w:val="24"/>
        </w:rPr>
      </w:pPr>
      <w:r w:rsidRPr="00CE2933">
        <w:rPr>
          <w:rFonts w:ascii="Times New Roman" w:eastAsia="Times New Roman" w:hAnsi="Times New Roman" w:cs="Times New Roman"/>
          <w:szCs w:val="24"/>
        </w:rPr>
        <w:t xml:space="preserve">Dykstra, Cheryl R., William T. Route, Michael W. Meyer, and Paul W. Rasmussen. “Contaminant Concentrations in Bald Eagles Nesting on Lake Superior, the Upper Mississippi River, and the St. Croix River.” </w:t>
      </w:r>
      <w:r w:rsidRPr="00CE2933">
        <w:rPr>
          <w:rFonts w:ascii="Times New Roman" w:eastAsia="Times New Roman" w:hAnsi="Times New Roman" w:cs="Times New Roman"/>
          <w:i/>
          <w:iCs/>
          <w:szCs w:val="24"/>
        </w:rPr>
        <w:t>Journal of Great Lakes Research</w:t>
      </w:r>
      <w:r w:rsidRPr="00CE2933">
        <w:rPr>
          <w:rFonts w:ascii="Times New Roman" w:eastAsia="Times New Roman" w:hAnsi="Times New Roman" w:cs="Times New Roman"/>
          <w:szCs w:val="24"/>
        </w:rPr>
        <w:t xml:space="preserve"> 36, no. 3 (September 2010): 561–69. </w:t>
      </w:r>
      <w:hyperlink r:id="rId26" w:history="1">
        <w:r w:rsidRPr="00CE2933">
          <w:rPr>
            <w:rFonts w:ascii="Times New Roman" w:eastAsia="Times New Roman" w:hAnsi="Times New Roman" w:cs="Times New Roman"/>
            <w:szCs w:val="24"/>
          </w:rPr>
          <w:t>https://doi.org/10.1016/j.jglr.2010.06.006</w:t>
        </w:r>
      </w:hyperlink>
      <w:r w:rsidRPr="00CE2933">
        <w:rPr>
          <w:rFonts w:ascii="Times New Roman" w:eastAsia="Times New Roman" w:hAnsi="Times New Roman" w:cs="Times New Roman"/>
          <w:szCs w:val="24"/>
        </w:rPr>
        <w:t>.</w:t>
      </w:r>
    </w:p>
    <w:p w14:paraId="0C66D250" w14:textId="77777777" w:rsidR="00CE2933" w:rsidRPr="00CE2933" w:rsidRDefault="00CE2933" w:rsidP="008E36CC">
      <w:pPr>
        <w:spacing w:after="0"/>
        <w:ind w:left="475" w:hanging="475"/>
        <w:rPr>
          <w:rFonts w:ascii="Times New Roman" w:eastAsia="Times New Roman" w:hAnsi="Times New Roman" w:cs="Times New Roman"/>
          <w:szCs w:val="24"/>
        </w:rPr>
      </w:pPr>
      <w:proofErr w:type="spellStart"/>
      <w:r w:rsidRPr="00CE2933">
        <w:rPr>
          <w:rFonts w:ascii="Times New Roman" w:eastAsia="Times New Roman" w:hAnsi="Times New Roman" w:cs="Times New Roman"/>
          <w:szCs w:val="24"/>
        </w:rPr>
        <w:t>Ecke</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Frauke</w:t>
      </w:r>
      <w:proofErr w:type="spellEnd"/>
      <w:r w:rsidRPr="00CE2933">
        <w:rPr>
          <w:rFonts w:ascii="Times New Roman" w:eastAsia="Times New Roman" w:hAnsi="Times New Roman" w:cs="Times New Roman"/>
          <w:szCs w:val="24"/>
        </w:rPr>
        <w:t xml:space="preserve">, Navinder J. Singh, Jon M. </w:t>
      </w:r>
      <w:proofErr w:type="spellStart"/>
      <w:r w:rsidRPr="00CE2933">
        <w:rPr>
          <w:rFonts w:ascii="Times New Roman" w:eastAsia="Times New Roman" w:hAnsi="Times New Roman" w:cs="Times New Roman"/>
          <w:szCs w:val="24"/>
        </w:rPr>
        <w:t>Arnemo</w:t>
      </w:r>
      <w:proofErr w:type="spellEnd"/>
      <w:r w:rsidRPr="00CE2933">
        <w:rPr>
          <w:rFonts w:ascii="Times New Roman" w:eastAsia="Times New Roman" w:hAnsi="Times New Roman" w:cs="Times New Roman"/>
          <w:szCs w:val="24"/>
        </w:rPr>
        <w:t xml:space="preserve">, Anders </w:t>
      </w:r>
      <w:proofErr w:type="spellStart"/>
      <w:r w:rsidRPr="00CE2933">
        <w:rPr>
          <w:rFonts w:ascii="Times New Roman" w:eastAsia="Times New Roman" w:hAnsi="Times New Roman" w:cs="Times New Roman"/>
          <w:szCs w:val="24"/>
        </w:rPr>
        <w:t>Bignert</w:t>
      </w:r>
      <w:proofErr w:type="spellEnd"/>
      <w:r w:rsidRPr="00CE2933">
        <w:rPr>
          <w:rFonts w:ascii="Times New Roman" w:eastAsia="Times New Roman" w:hAnsi="Times New Roman" w:cs="Times New Roman"/>
          <w:szCs w:val="24"/>
        </w:rPr>
        <w:t xml:space="preserve">, Björn </w:t>
      </w:r>
      <w:proofErr w:type="spellStart"/>
      <w:r w:rsidRPr="00CE2933">
        <w:rPr>
          <w:rFonts w:ascii="Times New Roman" w:eastAsia="Times New Roman" w:hAnsi="Times New Roman" w:cs="Times New Roman"/>
          <w:szCs w:val="24"/>
        </w:rPr>
        <w:t>Helander</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Åsa</w:t>
      </w:r>
      <w:proofErr w:type="spellEnd"/>
      <w:r w:rsidRPr="00CE2933">
        <w:rPr>
          <w:rFonts w:ascii="Times New Roman" w:eastAsia="Times New Roman" w:hAnsi="Times New Roman" w:cs="Times New Roman"/>
          <w:szCs w:val="24"/>
        </w:rPr>
        <w:t xml:space="preserve"> M. M. Berglund, Hans Borg, et al. “Sublethal Lead Exposure Alters Movement Behavior in Free-Ranging Golden Eagles.” </w:t>
      </w:r>
      <w:r w:rsidRPr="00CE2933">
        <w:rPr>
          <w:rFonts w:ascii="Times New Roman" w:eastAsia="Times New Roman" w:hAnsi="Times New Roman" w:cs="Times New Roman"/>
          <w:i/>
          <w:iCs/>
          <w:szCs w:val="24"/>
        </w:rPr>
        <w:t>Environmental Science &amp; Technology</w:t>
      </w:r>
      <w:r w:rsidRPr="00CE2933">
        <w:rPr>
          <w:rFonts w:ascii="Times New Roman" w:eastAsia="Times New Roman" w:hAnsi="Times New Roman" w:cs="Times New Roman"/>
          <w:szCs w:val="24"/>
        </w:rPr>
        <w:t xml:space="preserve"> 51, no. 10 (May 16, 2017): 5729–36. </w:t>
      </w:r>
      <w:hyperlink r:id="rId27" w:history="1">
        <w:r w:rsidRPr="00CE2933">
          <w:rPr>
            <w:rFonts w:ascii="Times New Roman" w:eastAsia="Times New Roman" w:hAnsi="Times New Roman" w:cs="Times New Roman"/>
            <w:szCs w:val="24"/>
          </w:rPr>
          <w:t>https://doi.org/10.1021/acs.est.6b06024</w:t>
        </w:r>
      </w:hyperlink>
      <w:r w:rsidRPr="00CE2933">
        <w:rPr>
          <w:rFonts w:ascii="Times New Roman" w:eastAsia="Times New Roman" w:hAnsi="Times New Roman" w:cs="Times New Roman"/>
          <w:szCs w:val="24"/>
        </w:rPr>
        <w:t>.</w:t>
      </w:r>
    </w:p>
    <w:p w14:paraId="5F9F02DB" w14:textId="77777777" w:rsidR="00CE2933" w:rsidRPr="00CE2933" w:rsidRDefault="00CE2933" w:rsidP="008E36CC">
      <w:pPr>
        <w:spacing w:after="0"/>
        <w:ind w:left="475" w:hanging="475"/>
        <w:rPr>
          <w:rFonts w:ascii="Times New Roman" w:eastAsia="Times New Roman" w:hAnsi="Times New Roman" w:cs="Times New Roman"/>
          <w:szCs w:val="24"/>
        </w:rPr>
      </w:pPr>
      <w:proofErr w:type="spellStart"/>
      <w:r w:rsidRPr="00CE2933">
        <w:rPr>
          <w:rFonts w:ascii="Times New Roman" w:eastAsia="Times New Roman" w:hAnsi="Times New Roman" w:cs="Times New Roman"/>
          <w:szCs w:val="24"/>
        </w:rPr>
        <w:t>Eeva</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Tapio</w:t>
      </w:r>
      <w:proofErr w:type="spellEnd"/>
      <w:r w:rsidRPr="00CE2933">
        <w:rPr>
          <w:rFonts w:ascii="Times New Roman" w:eastAsia="Times New Roman" w:hAnsi="Times New Roman" w:cs="Times New Roman"/>
          <w:szCs w:val="24"/>
        </w:rPr>
        <w:t xml:space="preserve">, Dennis </w:t>
      </w:r>
      <w:proofErr w:type="spellStart"/>
      <w:r w:rsidRPr="00CE2933">
        <w:rPr>
          <w:rFonts w:ascii="Times New Roman" w:eastAsia="Times New Roman" w:hAnsi="Times New Roman" w:cs="Times New Roman"/>
          <w:szCs w:val="24"/>
        </w:rPr>
        <w:t>Hasselquist</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Åsa</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Langefors</w:t>
      </w:r>
      <w:proofErr w:type="spellEnd"/>
      <w:r w:rsidRPr="00CE2933">
        <w:rPr>
          <w:rFonts w:ascii="Times New Roman" w:eastAsia="Times New Roman" w:hAnsi="Times New Roman" w:cs="Times New Roman"/>
          <w:szCs w:val="24"/>
        </w:rPr>
        <w:t xml:space="preserve">, Lea </w:t>
      </w:r>
      <w:proofErr w:type="spellStart"/>
      <w:r w:rsidRPr="00CE2933">
        <w:rPr>
          <w:rFonts w:ascii="Times New Roman" w:eastAsia="Times New Roman" w:hAnsi="Times New Roman" w:cs="Times New Roman"/>
          <w:szCs w:val="24"/>
        </w:rPr>
        <w:t>Tummeleht</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Mikko</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Nikinmaa</w:t>
      </w:r>
      <w:proofErr w:type="spellEnd"/>
      <w:r w:rsidRPr="00CE2933">
        <w:rPr>
          <w:rFonts w:ascii="Times New Roman" w:eastAsia="Times New Roman" w:hAnsi="Times New Roman" w:cs="Times New Roman"/>
          <w:szCs w:val="24"/>
        </w:rPr>
        <w:t xml:space="preserve">, and Petteri </w:t>
      </w:r>
      <w:proofErr w:type="spellStart"/>
      <w:r w:rsidRPr="00CE2933">
        <w:rPr>
          <w:rFonts w:ascii="Times New Roman" w:eastAsia="Times New Roman" w:hAnsi="Times New Roman" w:cs="Times New Roman"/>
          <w:szCs w:val="24"/>
        </w:rPr>
        <w:t>Ilmonen</w:t>
      </w:r>
      <w:proofErr w:type="spellEnd"/>
      <w:r w:rsidRPr="00CE2933">
        <w:rPr>
          <w:rFonts w:ascii="Times New Roman" w:eastAsia="Times New Roman" w:hAnsi="Times New Roman" w:cs="Times New Roman"/>
          <w:szCs w:val="24"/>
        </w:rPr>
        <w:t xml:space="preserve">. “Pollution Related Effects on Immune Function and Stress in a Free-Living Population of Pied Flycatcher </w:t>
      </w:r>
      <w:proofErr w:type="spellStart"/>
      <w:r w:rsidRPr="00CE2933">
        <w:rPr>
          <w:rFonts w:ascii="Times New Roman" w:eastAsia="Times New Roman" w:hAnsi="Times New Roman" w:cs="Times New Roman"/>
          <w:szCs w:val="24"/>
        </w:rPr>
        <w:t>Ficedula</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Hypoleuca</w:t>
      </w:r>
      <w:proofErr w:type="spellEnd"/>
      <w:r w:rsidRPr="00CE2933">
        <w:rPr>
          <w:rFonts w:ascii="Times New Roman" w:eastAsia="Times New Roman" w:hAnsi="Times New Roman" w:cs="Times New Roman"/>
          <w:szCs w:val="24"/>
        </w:rPr>
        <w:t xml:space="preserve">.” </w:t>
      </w:r>
      <w:r w:rsidRPr="00CE2933">
        <w:rPr>
          <w:rFonts w:ascii="Times New Roman" w:eastAsia="Times New Roman" w:hAnsi="Times New Roman" w:cs="Times New Roman"/>
          <w:i/>
          <w:iCs/>
          <w:szCs w:val="24"/>
        </w:rPr>
        <w:t>Journal of Avian Biology</w:t>
      </w:r>
      <w:r w:rsidRPr="00CE2933">
        <w:rPr>
          <w:rFonts w:ascii="Times New Roman" w:eastAsia="Times New Roman" w:hAnsi="Times New Roman" w:cs="Times New Roman"/>
          <w:szCs w:val="24"/>
        </w:rPr>
        <w:t xml:space="preserve"> 36, no. 5 (2005): 405–12. </w:t>
      </w:r>
      <w:hyperlink r:id="rId28" w:history="1">
        <w:r w:rsidRPr="00CE2933">
          <w:rPr>
            <w:rFonts w:ascii="Times New Roman" w:eastAsia="Times New Roman" w:hAnsi="Times New Roman" w:cs="Times New Roman"/>
            <w:szCs w:val="24"/>
          </w:rPr>
          <w:t>https://doi.org/10.1111/j.0908-8857.2005.03449.x</w:t>
        </w:r>
      </w:hyperlink>
      <w:r w:rsidRPr="00CE2933">
        <w:rPr>
          <w:rFonts w:ascii="Times New Roman" w:eastAsia="Times New Roman" w:hAnsi="Times New Roman" w:cs="Times New Roman"/>
          <w:szCs w:val="24"/>
        </w:rPr>
        <w:t>.</w:t>
      </w:r>
    </w:p>
    <w:p w14:paraId="723D6372" w14:textId="523E2ED1" w:rsidR="00CE2933" w:rsidRDefault="00CE2933" w:rsidP="008E36CC">
      <w:pPr>
        <w:spacing w:after="0"/>
        <w:ind w:left="475" w:hanging="475"/>
        <w:rPr>
          <w:rFonts w:ascii="Times New Roman" w:eastAsia="Times New Roman" w:hAnsi="Times New Roman" w:cs="Times New Roman"/>
          <w:szCs w:val="24"/>
        </w:rPr>
      </w:pPr>
      <w:proofErr w:type="spellStart"/>
      <w:r w:rsidRPr="00CE2933">
        <w:rPr>
          <w:rFonts w:ascii="Times New Roman" w:eastAsia="Times New Roman" w:hAnsi="Times New Roman" w:cs="Times New Roman"/>
          <w:szCs w:val="24"/>
        </w:rPr>
        <w:t>Eeva</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Tapio</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Saila</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Sillanpää</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Juha-Pekka</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Salminen</w:t>
      </w:r>
      <w:proofErr w:type="spellEnd"/>
      <w:r w:rsidRPr="00CE2933">
        <w:rPr>
          <w:rFonts w:ascii="Times New Roman" w:eastAsia="Times New Roman" w:hAnsi="Times New Roman" w:cs="Times New Roman"/>
          <w:szCs w:val="24"/>
        </w:rPr>
        <w:t xml:space="preserve">, Lauri </w:t>
      </w:r>
      <w:proofErr w:type="spellStart"/>
      <w:r w:rsidRPr="00CE2933">
        <w:rPr>
          <w:rFonts w:ascii="Times New Roman" w:eastAsia="Times New Roman" w:hAnsi="Times New Roman" w:cs="Times New Roman"/>
          <w:szCs w:val="24"/>
        </w:rPr>
        <w:t>Nikkinen</w:t>
      </w:r>
      <w:proofErr w:type="spellEnd"/>
      <w:r w:rsidRPr="00CE2933">
        <w:rPr>
          <w:rFonts w:ascii="Times New Roman" w:eastAsia="Times New Roman" w:hAnsi="Times New Roman" w:cs="Times New Roman"/>
          <w:szCs w:val="24"/>
        </w:rPr>
        <w:t xml:space="preserve">, Anu Tuominen, </w:t>
      </w:r>
      <w:proofErr w:type="spellStart"/>
      <w:r w:rsidRPr="00CE2933">
        <w:rPr>
          <w:rFonts w:ascii="Times New Roman" w:eastAsia="Times New Roman" w:hAnsi="Times New Roman" w:cs="Times New Roman"/>
          <w:szCs w:val="24"/>
        </w:rPr>
        <w:t>Eija</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Toivonen</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Kalevi</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Pihlaja</w:t>
      </w:r>
      <w:proofErr w:type="spellEnd"/>
      <w:r w:rsidRPr="00CE2933">
        <w:rPr>
          <w:rFonts w:ascii="Times New Roman" w:eastAsia="Times New Roman" w:hAnsi="Times New Roman" w:cs="Times New Roman"/>
          <w:szCs w:val="24"/>
        </w:rPr>
        <w:t xml:space="preserve">, and </w:t>
      </w:r>
      <w:proofErr w:type="spellStart"/>
      <w:r w:rsidRPr="00CE2933">
        <w:rPr>
          <w:rFonts w:ascii="Times New Roman" w:eastAsia="Times New Roman" w:hAnsi="Times New Roman" w:cs="Times New Roman"/>
          <w:szCs w:val="24"/>
        </w:rPr>
        <w:t>Esa</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Lehikoinen</w:t>
      </w:r>
      <w:proofErr w:type="spellEnd"/>
      <w:r w:rsidRPr="00CE2933">
        <w:rPr>
          <w:rFonts w:ascii="Times New Roman" w:eastAsia="Times New Roman" w:hAnsi="Times New Roman" w:cs="Times New Roman"/>
          <w:szCs w:val="24"/>
        </w:rPr>
        <w:t xml:space="preserve">. “Environmental Pollution Affects the Plumage Color of Great Tit Nestlings through Carotenoid Availability.” </w:t>
      </w:r>
      <w:proofErr w:type="spellStart"/>
      <w:r w:rsidRPr="00CE2933">
        <w:rPr>
          <w:rFonts w:ascii="Times New Roman" w:eastAsia="Times New Roman" w:hAnsi="Times New Roman" w:cs="Times New Roman"/>
          <w:i/>
          <w:iCs/>
          <w:szCs w:val="24"/>
        </w:rPr>
        <w:t>EcoHealth</w:t>
      </w:r>
      <w:proofErr w:type="spellEnd"/>
      <w:r w:rsidRPr="00CE2933">
        <w:rPr>
          <w:rFonts w:ascii="Times New Roman" w:eastAsia="Times New Roman" w:hAnsi="Times New Roman" w:cs="Times New Roman"/>
          <w:szCs w:val="24"/>
        </w:rPr>
        <w:t xml:space="preserve"> 5, no. 3 (September 1, 2008): 328–37. </w:t>
      </w:r>
      <w:hyperlink r:id="rId29" w:history="1">
        <w:r w:rsidRPr="00CE2933">
          <w:rPr>
            <w:rFonts w:ascii="Times New Roman" w:eastAsia="Times New Roman" w:hAnsi="Times New Roman" w:cs="Times New Roman"/>
            <w:szCs w:val="24"/>
          </w:rPr>
          <w:t>https://doi.org/10.1007/s10393-008-0184-y</w:t>
        </w:r>
      </w:hyperlink>
      <w:r w:rsidRPr="00CE2933">
        <w:rPr>
          <w:rFonts w:ascii="Times New Roman" w:eastAsia="Times New Roman" w:hAnsi="Times New Roman" w:cs="Times New Roman"/>
          <w:szCs w:val="24"/>
        </w:rPr>
        <w:t>.</w:t>
      </w:r>
    </w:p>
    <w:p w14:paraId="3696E61D" w14:textId="25D0B5D3" w:rsidR="00FF4A01" w:rsidRPr="00CE2933" w:rsidRDefault="00FF4A01" w:rsidP="008E36CC">
      <w:pPr>
        <w:spacing w:after="0"/>
        <w:ind w:left="475" w:hanging="475"/>
        <w:rPr>
          <w:rFonts w:ascii="Times New Roman" w:eastAsia="Times New Roman" w:hAnsi="Times New Roman" w:cs="Times New Roman"/>
          <w:szCs w:val="24"/>
        </w:rPr>
      </w:pPr>
      <w:r w:rsidRPr="00FF4A01">
        <w:rPr>
          <w:rFonts w:ascii="Times New Roman" w:eastAsia="Times New Roman" w:hAnsi="Times New Roman" w:cs="Times New Roman"/>
          <w:szCs w:val="24"/>
        </w:rPr>
        <w:t>EPA. 1994. Five Year Review, Tar Creek Superfund Site, Ottawa County, Oklahoma.</w:t>
      </w:r>
    </w:p>
    <w:p w14:paraId="381D0F17" w14:textId="35978C42" w:rsidR="00CE2933" w:rsidRDefault="00CE2933" w:rsidP="008E36CC">
      <w:pPr>
        <w:spacing w:after="0"/>
        <w:ind w:left="475" w:hanging="475"/>
        <w:rPr>
          <w:rFonts w:ascii="Times New Roman" w:eastAsia="Times New Roman" w:hAnsi="Times New Roman" w:cs="Times New Roman"/>
          <w:szCs w:val="24"/>
        </w:rPr>
      </w:pPr>
      <w:proofErr w:type="spellStart"/>
      <w:r w:rsidRPr="00CE2933">
        <w:rPr>
          <w:rFonts w:ascii="Times New Roman" w:eastAsia="Times New Roman" w:hAnsi="Times New Roman" w:cs="Times New Roman"/>
          <w:szCs w:val="24"/>
        </w:rPr>
        <w:lastRenderedPageBreak/>
        <w:t>Folstad</w:t>
      </w:r>
      <w:proofErr w:type="spellEnd"/>
      <w:r w:rsidRPr="00CE2933">
        <w:rPr>
          <w:rFonts w:ascii="Times New Roman" w:eastAsia="Times New Roman" w:hAnsi="Times New Roman" w:cs="Times New Roman"/>
          <w:szCs w:val="24"/>
        </w:rPr>
        <w:t xml:space="preserve">, Ivar, Arne C. </w:t>
      </w:r>
      <w:proofErr w:type="spellStart"/>
      <w:r w:rsidRPr="00CE2933">
        <w:rPr>
          <w:rFonts w:ascii="Times New Roman" w:eastAsia="Times New Roman" w:hAnsi="Times New Roman" w:cs="Times New Roman"/>
          <w:szCs w:val="24"/>
        </w:rPr>
        <w:t>Nilssen</w:t>
      </w:r>
      <w:proofErr w:type="spellEnd"/>
      <w:r w:rsidRPr="00CE2933">
        <w:rPr>
          <w:rFonts w:ascii="Times New Roman" w:eastAsia="Times New Roman" w:hAnsi="Times New Roman" w:cs="Times New Roman"/>
          <w:szCs w:val="24"/>
        </w:rPr>
        <w:t xml:space="preserve">, Odd Halvorsen, and Johan Andersen. “Parasite Avoidance: The Cause of Post-Calving Migrations in </w:t>
      </w:r>
      <w:proofErr w:type="gramStart"/>
      <w:r w:rsidRPr="00CE2933">
        <w:rPr>
          <w:rFonts w:ascii="Times New Roman" w:eastAsia="Times New Roman" w:hAnsi="Times New Roman" w:cs="Times New Roman"/>
          <w:i/>
          <w:iCs/>
          <w:szCs w:val="24"/>
        </w:rPr>
        <w:t>Rangifer</w:t>
      </w:r>
      <w:r w:rsidRPr="00CE2933">
        <w:rPr>
          <w:rFonts w:ascii="Times New Roman" w:eastAsia="Times New Roman" w:hAnsi="Times New Roman" w:cs="Times New Roman"/>
          <w:szCs w:val="24"/>
        </w:rPr>
        <w:t> ?</w:t>
      </w:r>
      <w:proofErr w:type="gramEnd"/>
      <w:r w:rsidRPr="00CE2933">
        <w:rPr>
          <w:rFonts w:ascii="Times New Roman" w:eastAsia="Times New Roman" w:hAnsi="Times New Roman" w:cs="Times New Roman"/>
          <w:szCs w:val="24"/>
        </w:rPr>
        <w:t xml:space="preserve">” </w:t>
      </w:r>
      <w:r w:rsidRPr="00CE2933">
        <w:rPr>
          <w:rFonts w:ascii="Times New Roman" w:eastAsia="Times New Roman" w:hAnsi="Times New Roman" w:cs="Times New Roman"/>
          <w:i/>
          <w:iCs/>
          <w:szCs w:val="24"/>
        </w:rPr>
        <w:t>Canadian Journal of Zoology</w:t>
      </w:r>
      <w:r w:rsidRPr="00CE2933">
        <w:rPr>
          <w:rFonts w:ascii="Times New Roman" w:eastAsia="Times New Roman" w:hAnsi="Times New Roman" w:cs="Times New Roman"/>
          <w:szCs w:val="24"/>
        </w:rPr>
        <w:t xml:space="preserve"> 69, no. 9 (September 1, 1991): 2423–29. </w:t>
      </w:r>
      <w:hyperlink r:id="rId30" w:history="1">
        <w:r w:rsidRPr="00CE2933">
          <w:rPr>
            <w:rFonts w:ascii="Times New Roman" w:eastAsia="Times New Roman" w:hAnsi="Times New Roman" w:cs="Times New Roman"/>
            <w:szCs w:val="24"/>
          </w:rPr>
          <w:t>https://doi.org/10.1139/z91-340</w:t>
        </w:r>
      </w:hyperlink>
      <w:r w:rsidRPr="00CE2933">
        <w:rPr>
          <w:rFonts w:ascii="Times New Roman" w:eastAsia="Times New Roman" w:hAnsi="Times New Roman" w:cs="Times New Roman"/>
          <w:szCs w:val="24"/>
        </w:rPr>
        <w:t>.</w:t>
      </w:r>
    </w:p>
    <w:p w14:paraId="11EC8A15" w14:textId="7F964C2A" w:rsidR="00D00779" w:rsidRPr="00CE2933" w:rsidRDefault="00D00779" w:rsidP="008E36CC">
      <w:pPr>
        <w:spacing w:after="0"/>
        <w:ind w:left="475" w:hanging="475"/>
        <w:rPr>
          <w:rFonts w:ascii="Times New Roman" w:eastAsia="Times New Roman" w:hAnsi="Times New Roman" w:cs="Times New Roman"/>
          <w:szCs w:val="24"/>
        </w:rPr>
      </w:pPr>
      <w:r w:rsidRPr="00D00779">
        <w:rPr>
          <w:rFonts w:ascii="Times New Roman" w:eastAsia="Times New Roman" w:hAnsi="Times New Roman" w:cs="Times New Roman"/>
          <w:szCs w:val="24"/>
        </w:rPr>
        <w:t xml:space="preserve">Fox, J., et al. "R Core </w:t>
      </w:r>
      <w:proofErr w:type="gramStart"/>
      <w:r w:rsidRPr="00D00779">
        <w:rPr>
          <w:rFonts w:ascii="Times New Roman" w:eastAsia="Times New Roman" w:hAnsi="Times New Roman" w:cs="Times New Roman"/>
          <w:szCs w:val="24"/>
        </w:rPr>
        <w:t>Team.(</w:t>
      </w:r>
      <w:proofErr w:type="gramEnd"/>
      <w:r w:rsidRPr="00D00779">
        <w:rPr>
          <w:rFonts w:ascii="Times New Roman" w:eastAsia="Times New Roman" w:hAnsi="Times New Roman" w:cs="Times New Roman"/>
          <w:szCs w:val="24"/>
        </w:rPr>
        <w:t>2018). car: Companion to applied regression. R package version 3.0-2." (2019).</w:t>
      </w:r>
    </w:p>
    <w:p w14:paraId="4DD8B6CD" w14:textId="63C58443" w:rsidR="00CE2933" w:rsidRDefault="00CE2933" w:rsidP="008E36CC">
      <w:pPr>
        <w:spacing w:after="0"/>
        <w:ind w:left="475" w:hanging="475"/>
        <w:rPr>
          <w:rFonts w:ascii="Times New Roman" w:eastAsia="Times New Roman" w:hAnsi="Times New Roman" w:cs="Times New Roman"/>
          <w:szCs w:val="24"/>
        </w:rPr>
      </w:pPr>
      <w:r w:rsidRPr="00CE2933">
        <w:rPr>
          <w:rFonts w:ascii="Times New Roman" w:eastAsia="Times New Roman" w:hAnsi="Times New Roman" w:cs="Times New Roman"/>
          <w:szCs w:val="24"/>
        </w:rPr>
        <w:t xml:space="preserve">Frantz, Adrien, Marie-Anne Pottier, Battle Karimi, Hélène Corbel, Emmanuel </w:t>
      </w:r>
      <w:proofErr w:type="spellStart"/>
      <w:r w:rsidRPr="00CE2933">
        <w:rPr>
          <w:rFonts w:ascii="Times New Roman" w:eastAsia="Times New Roman" w:hAnsi="Times New Roman" w:cs="Times New Roman"/>
          <w:szCs w:val="24"/>
        </w:rPr>
        <w:t>Aubry</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Claudy</w:t>
      </w:r>
      <w:proofErr w:type="spellEnd"/>
      <w:r w:rsidRPr="00CE2933">
        <w:rPr>
          <w:rFonts w:ascii="Times New Roman" w:eastAsia="Times New Roman" w:hAnsi="Times New Roman" w:cs="Times New Roman"/>
          <w:szCs w:val="24"/>
        </w:rPr>
        <w:t xml:space="preserve"> </w:t>
      </w:r>
      <w:proofErr w:type="spellStart"/>
      <w:r w:rsidRPr="00CE2933">
        <w:rPr>
          <w:rFonts w:ascii="Times New Roman" w:eastAsia="Times New Roman" w:hAnsi="Times New Roman" w:cs="Times New Roman"/>
          <w:szCs w:val="24"/>
        </w:rPr>
        <w:t>Haussy</w:t>
      </w:r>
      <w:proofErr w:type="spellEnd"/>
      <w:r w:rsidRPr="00CE2933">
        <w:rPr>
          <w:rFonts w:ascii="Times New Roman" w:eastAsia="Times New Roman" w:hAnsi="Times New Roman" w:cs="Times New Roman"/>
          <w:szCs w:val="24"/>
        </w:rPr>
        <w:t xml:space="preserve">, Julien Gasparini, and Maryse </w:t>
      </w:r>
      <w:proofErr w:type="spellStart"/>
      <w:r w:rsidRPr="00CE2933">
        <w:rPr>
          <w:rFonts w:ascii="Times New Roman" w:eastAsia="Times New Roman" w:hAnsi="Times New Roman" w:cs="Times New Roman"/>
          <w:szCs w:val="24"/>
        </w:rPr>
        <w:t>Castrec-Rouelle</w:t>
      </w:r>
      <w:proofErr w:type="spellEnd"/>
      <w:r w:rsidRPr="00CE2933">
        <w:rPr>
          <w:rFonts w:ascii="Times New Roman" w:eastAsia="Times New Roman" w:hAnsi="Times New Roman" w:cs="Times New Roman"/>
          <w:szCs w:val="24"/>
        </w:rPr>
        <w:t xml:space="preserve">. “Contrasting Levels of Heavy Metals in the Feathers of Urban Pigeons from Close Habitats Suggest Limited Movements at a Restricted Scale.” </w:t>
      </w:r>
      <w:r w:rsidRPr="00CE2933">
        <w:rPr>
          <w:rFonts w:ascii="Times New Roman" w:eastAsia="Times New Roman" w:hAnsi="Times New Roman" w:cs="Times New Roman"/>
          <w:i/>
          <w:iCs/>
          <w:szCs w:val="24"/>
        </w:rPr>
        <w:t>Environmental Pollution</w:t>
      </w:r>
      <w:r w:rsidRPr="00CE2933">
        <w:rPr>
          <w:rFonts w:ascii="Times New Roman" w:eastAsia="Times New Roman" w:hAnsi="Times New Roman" w:cs="Times New Roman"/>
          <w:szCs w:val="24"/>
        </w:rPr>
        <w:t xml:space="preserve"> 168 (September 2012): 23–28. </w:t>
      </w:r>
      <w:hyperlink r:id="rId31" w:history="1">
        <w:r w:rsidRPr="00CE2933">
          <w:rPr>
            <w:rFonts w:ascii="Times New Roman" w:eastAsia="Times New Roman" w:hAnsi="Times New Roman" w:cs="Times New Roman"/>
            <w:szCs w:val="24"/>
          </w:rPr>
          <w:t>https://doi.org/10.1016/j.envpol.2012.04.003</w:t>
        </w:r>
      </w:hyperlink>
      <w:r w:rsidRPr="00CE2933">
        <w:rPr>
          <w:rFonts w:ascii="Times New Roman" w:eastAsia="Times New Roman" w:hAnsi="Times New Roman" w:cs="Times New Roman"/>
          <w:szCs w:val="24"/>
        </w:rPr>
        <w:t>.</w:t>
      </w:r>
    </w:p>
    <w:p w14:paraId="2B6FE2D2" w14:textId="39E81838" w:rsidR="00814AE4" w:rsidRPr="00CE2933" w:rsidRDefault="00814AE4" w:rsidP="008E36CC">
      <w:pPr>
        <w:spacing w:after="0"/>
        <w:ind w:left="475" w:hanging="475"/>
        <w:rPr>
          <w:rFonts w:ascii="Times New Roman" w:eastAsia="Times New Roman" w:hAnsi="Times New Roman" w:cs="Times New Roman"/>
          <w:szCs w:val="24"/>
        </w:rPr>
      </w:pPr>
      <w:r w:rsidRPr="00814AE4">
        <w:rPr>
          <w:rFonts w:ascii="Times New Roman" w:eastAsia="Times New Roman" w:hAnsi="Times New Roman" w:cs="Times New Roman"/>
          <w:szCs w:val="24"/>
        </w:rPr>
        <w:t>Garrison, B. A. and A. Turner (2020). Bank Swallow (</w:t>
      </w:r>
      <w:proofErr w:type="spellStart"/>
      <w:r w:rsidRPr="00814AE4">
        <w:rPr>
          <w:rFonts w:ascii="Times New Roman" w:eastAsia="Times New Roman" w:hAnsi="Times New Roman" w:cs="Times New Roman"/>
          <w:i/>
          <w:iCs/>
          <w:szCs w:val="24"/>
        </w:rPr>
        <w:t>Riparia</w:t>
      </w:r>
      <w:proofErr w:type="spellEnd"/>
      <w:r w:rsidRPr="00814AE4">
        <w:rPr>
          <w:rFonts w:ascii="Times New Roman" w:eastAsia="Times New Roman" w:hAnsi="Times New Roman" w:cs="Times New Roman"/>
          <w:i/>
          <w:iCs/>
          <w:szCs w:val="24"/>
        </w:rPr>
        <w:t xml:space="preserve"> </w:t>
      </w:r>
      <w:proofErr w:type="spellStart"/>
      <w:r w:rsidRPr="00814AE4">
        <w:rPr>
          <w:rFonts w:ascii="Times New Roman" w:eastAsia="Times New Roman" w:hAnsi="Times New Roman" w:cs="Times New Roman"/>
          <w:i/>
          <w:iCs/>
          <w:szCs w:val="24"/>
        </w:rPr>
        <w:t>riparia</w:t>
      </w:r>
      <w:proofErr w:type="spellEnd"/>
      <w:r w:rsidRPr="00814AE4">
        <w:rPr>
          <w:rFonts w:ascii="Times New Roman" w:eastAsia="Times New Roman" w:hAnsi="Times New Roman" w:cs="Times New Roman"/>
          <w:szCs w:val="24"/>
        </w:rPr>
        <w:t xml:space="preserve">), version 1.0. In Birds of the World (S. M. </w:t>
      </w:r>
      <w:proofErr w:type="spellStart"/>
      <w:r w:rsidRPr="00814AE4">
        <w:rPr>
          <w:rFonts w:ascii="Times New Roman" w:eastAsia="Times New Roman" w:hAnsi="Times New Roman" w:cs="Times New Roman"/>
          <w:szCs w:val="24"/>
        </w:rPr>
        <w:t>Billerman</w:t>
      </w:r>
      <w:proofErr w:type="spellEnd"/>
      <w:r w:rsidRPr="00814AE4">
        <w:rPr>
          <w:rFonts w:ascii="Times New Roman" w:eastAsia="Times New Roman" w:hAnsi="Times New Roman" w:cs="Times New Roman"/>
          <w:szCs w:val="24"/>
        </w:rPr>
        <w:t>, Editor). Cornell Lab of Ornithology, Ithaca, NY, USA. https://doi-org.ezproxy.lib.ou.edu/10.2173/bow.banswa.01</w:t>
      </w:r>
    </w:p>
    <w:p w14:paraId="0DE9C153" w14:textId="77777777" w:rsidR="00CE2933" w:rsidRPr="00CE2933" w:rsidRDefault="00CE2933" w:rsidP="008E36CC">
      <w:pPr>
        <w:spacing w:after="0"/>
        <w:ind w:left="475" w:hanging="475"/>
        <w:rPr>
          <w:rFonts w:ascii="Times New Roman" w:eastAsia="Times New Roman" w:hAnsi="Times New Roman" w:cs="Times New Roman"/>
          <w:szCs w:val="24"/>
        </w:rPr>
      </w:pPr>
      <w:proofErr w:type="spellStart"/>
      <w:r w:rsidRPr="00CE2933">
        <w:rPr>
          <w:rFonts w:ascii="Times New Roman" w:eastAsia="Times New Roman" w:hAnsi="Times New Roman" w:cs="Times New Roman"/>
          <w:szCs w:val="24"/>
        </w:rPr>
        <w:t>Gliwicz</w:t>
      </w:r>
      <w:proofErr w:type="spellEnd"/>
      <w:r w:rsidRPr="00CE2933">
        <w:rPr>
          <w:rFonts w:ascii="Times New Roman" w:eastAsia="Times New Roman" w:hAnsi="Times New Roman" w:cs="Times New Roman"/>
          <w:szCs w:val="24"/>
        </w:rPr>
        <w:t xml:space="preserve">, Maciej Z. “Predation and the Evolution of Vertical Migration in Zooplankton.” </w:t>
      </w:r>
      <w:r w:rsidRPr="00CE2933">
        <w:rPr>
          <w:rFonts w:ascii="Times New Roman" w:eastAsia="Times New Roman" w:hAnsi="Times New Roman" w:cs="Times New Roman"/>
          <w:i/>
          <w:iCs/>
          <w:szCs w:val="24"/>
        </w:rPr>
        <w:t>Nature</w:t>
      </w:r>
      <w:r w:rsidRPr="00CE2933">
        <w:rPr>
          <w:rFonts w:ascii="Times New Roman" w:eastAsia="Times New Roman" w:hAnsi="Times New Roman" w:cs="Times New Roman"/>
          <w:szCs w:val="24"/>
        </w:rPr>
        <w:t xml:space="preserve"> 320, no. 6064 (April 1986): 746–48. </w:t>
      </w:r>
      <w:hyperlink r:id="rId32" w:history="1">
        <w:r w:rsidRPr="00CE2933">
          <w:rPr>
            <w:rFonts w:ascii="Times New Roman" w:eastAsia="Times New Roman" w:hAnsi="Times New Roman" w:cs="Times New Roman"/>
            <w:szCs w:val="24"/>
          </w:rPr>
          <w:t>https://doi.org/10.1038/320746a0</w:t>
        </w:r>
      </w:hyperlink>
      <w:r w:rsidRPr="00CE2933">
        <w:rPr>
          <w:rFonts w:ascii="Times New Roman" w:eastAsia="Times New Roman" w:hAnsi="Times New Roman" w:cs="Times New Roman"/>
          <w:szCs w:val="24"/>
        </w:rPr>
        <w:t>.</w:t>
      </w:r>
    </w:p>
    <w:p w14:paraId="5BAA4160" w14:textId="09716088" w:rsidR="00CE2933" w:rsidRPr="00CE2933" w:rsidRDefault="00CE2933" w:rsidP="008E36CC">
      <w:pPr>
        <w:spacing w:after="0"/>
        <w:ind w:left="475" w:hanging="475"/>
        <w:rPr>
          <w:rFonts w:ascii="Times New Roman" w:eastAsia="Times New Roman" w:hAnsi="Times New Roman" w:cs="Times New Roman"/>
          <w:szCs w:val="24"/>
        </w:rPr>
      </w:pPr>
      <w:proofErr w:type="spellStart"/>
      <w:r w:rsidRPr="00CE2933">
        <w:rPr>
          <w:rFonts w:ascii="Times New Roman" w:eastAsia="Times New Roman" w:hAnsi="Times New Roman" w:cs="Times New Roman"/>
          <w:szCs w:val="24"/>
        </w:rPr>
        <w:t>Gochfeld</w:t>
      </w:r>
      <w:proofErr w:type="spellEnd"/>
      <w:r w:rsidRPr="00CE2933">
        <w:rPr>
          <w:rFonts w:ascii="Times New Roman" w:eastAsia="Times New Roman" w:hAnsi="Times New Roman" w:cs="Times New Roman"/>
          <w:szCs w:val="24"/>
        </w:rPr>
        <w:t xml:space="preserve">, </w:t>
      </w:r>
      <w:r w:rsidR="007E38CF">
        <w:rPr>
          <w:rFonts w:ascii="Times New Roman" w:eastAsia="Times New Roman" w:hAnsi="Times New Roman" w:cs="Times New Roman"/>
          <w:szCs w:val="24"/>
        </w:rPr>
        <w:t xml:space="preserve">Michael, </w:t>
      </w:r>
      <w:r w:rsidRPr="00CE2933">
        <w:rPr>
          <w:rFonts w:ascii="Times New Roman" w:eastAsia="Times New Roman" w:hAnsi="Times New Roman" w:cs="Times New Roman"/>
          <w:szCs w:val="24"/>
        </w:rPr>
        <w:t xml:space="preserve">Joanna Burger. “EFFECTS OF LEAD ON BIRDS (LARIDAE): A REVIEW OF LABORATORY AND FIELD STUDIES.” </w:t>
      </w:r>
      <w:r w:rsidRPr="00CE2933">
        <w:rPr>
          <w:rFonts w:ascii="Times New Roman" w:eastAsia="Times New Roman" w:hAnsi="Times New Roman" w:cs="Times New Roman"/>
          <w:i/>
          <w:iCs/>
          <w:szCs w:val="24"/>
        </w:rPr>
        <w:t>Journal of Toxicology and Environmental Health, Part B</w:t>
      </w:r>
      <w:r w:rsidRPr="00CE2933">
        <w:rPr>
          <w:rFonts w:ascii="Times New Roman" w:eastAsia="Times New Roman" w:hAnsi="Times New Roman" w:cs="Times New Roman"/>
          <w:szCs w:val="24"/>
        </w:rPr>
        <w:t xml:space="preserve"> 3, no. 2 (April 2000): 59–78. </w:t>
      </w:r>
      <w:hyperlink r:id="rId33" w:history="1">
        <w:r w:rsidRPr="00CE2933">
          <w:rPr>
            <w:rFonts w:ascii="Times New Roman" w:eastAsia="Times New Roman" w:hAnsi="Times New Roman" w:cs="Times New Roman"/>
            <w:szCs w:val="24"/>
          </w:rPr>
          <w:t>https://doi.org/10.1080/109374000281096</w:t>
        </w:r>
      </w:hyperlink>
      <w:r w:rsidRPr="00CE2933">
        <w:rPr>
          <w:rFonts w:ascii="Times New Roman" w:eastAsia="Times New Roman" w:hAnsi="Times New Roman" w:cs="Times New Roman"/>
          <w:szCs w:val="24"/>
        </w:rPr>
        <w:t>.</w:t>
      </w:r>
    </w:p>
    <w:p w14:paraId="17BDAA1C"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Golden, Nancy Heather. “MONITORING OF ORGANIC AND HEAVY METAL CONTAMINANTS IN WILDLIFE: NONLETHAL METHODS AND SPECIES SELECTION,” n.d., 234.</w:t>
      </w:r>
    </w:p>
    <w:p w14:paraId="6233BBBA" w14:textId="77777777" w:rsidR="009D5989" w:rsidRPr="009D5989" w:rsidRDefault="009D5989" w:rsidP="008E36CC">
      <w:pPr>
        <w:spacing w:after="0"/>
        <w:ind w:left="475" w:hanging="475"/>
        <w:rPr>
          <w:rFonts w:ascii="Times New Roman" w:eastAsia="Times New Roman" w:hAnsi="Times New Roman" w:cs="Times New Roman"/>
          <w:szCs w:val="24"/>
        </w:rPr>
      </w:pPr>
      <w:proofErr w:type="spellStart"/>
      <w:r w:rsidRPr="009D5989">
        <w:rPr>
          <w:rFonts w:ascii="Times New Roman" w:eastAsia="Times New Roman" w:hAnsi="Times New Roman" w:cs="Times New Roman"/>
          <w:szCs w:val="24"/>
        </w:rPr>
        <w:t>Goyer</w:t>
      </w:r>
      <w:proofErr w:type="spellEnd"/>
      <w:r w:rsidRPr="009D5989">
        <w:rPr>
          <w:rFonts w:ascii="Times New Roman" w:eastAsia="Times New Roman" w:hAnsi="Times New Roman" w:cs="Times New Roman"/>
          <w:szCs w:val="24"/>
        </w:rPr>
        <w:t xml:space="preserve">, Robert A. “TOXIC AND ESSENTIAL METAL INTERACTIONS.” </w:t>
      </w:r>
      <w:r w:rsidRPr="009D5989">
        <w:rPr>
          <w:rFonts w:ascii="Times New Roman" w:eastAsia="Times New Roman" w:hAnsi="Times New Roman" w:cs="Times New Roman"/>
          <w:i/>
          <w:iCs/>
          <w:szCs w:val="24"/>
        </w:rPr>
        <w:t>Annual Review of Nutrition</w:t>
      </w:r>
      <w:r w:rsidRPr="009D5989">
        <w:rPr>
          <w:rFonts w:ascii="Times New Roman" w:eastAsia="Times New Roman" w:hAnsi="Times New Roman" w:cs="Times New Roman"/>
          <w:szCs w:val="24"/>
        </w:rPr>
        <w:t xml:space="preserve"> 17, no. 1 (July 1997): 37–50. </w:t>
      </w:r>
      <w:hyperlink r:id="rId34" w:history="1">
        <w:r w:rsidRPr="009D5989">
          <w:rPr>
            <w:rFonts w:ascii="Times New Roman" w:eastAsia="Times New Roman" w:hAnsi="Times New Roman" w:cs="Times New Roman"/>
            <w:szCs w:val="24"/>
          </w:rPr>
          <w:t>https://doi.org/10.1146/annurev.nutr.17.1.37</w:t>
        </w:r>
      </w:hyperlink>
      <w:r w:rsidRPr="009D5989">
        <w:rPr>
          <w:rFonts w:ascii="Times New Roman" w:eastAsia="Times New Roman" w:hAnsi="Times New Roman" w:cs="Times New Roman"/>
          <w:szCs w:val="24"/>
        </w:rPr>
        <w:t>.</w:t>
      </w:r>
    </w:p>
    <w:p w14:paraId="75B5BA50"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lastRenderedPageBreak/>
        <w:t xml:space="preserve">Greenberg, Russell, and Peter P. Marra. </w:t>
      </w:r>
      <w:r w:rsidRPr="009D5989">
        <w:rPr>
          <w:rFonts w:ascii="Times New Roman" w:eastAsia="Times New Roman" w:hAnsi="Times New Roman" w:cs="Times New Roman"/>
          <w:i/>
          <w:iCs/>
          <w:szCs w:val="24"/>
        </w:rPr>
        <w:t>Birds of Two Worlds: The Ecology and Evolution of Migration</w:t>
      </w:r>
      <w:r w:rsidRPr="009D5989">
        <w:rPr>
          <w:rFonts w:ascii="Times New Roman" w:eastAsia="Times New Roman" w:hAnsi="Times New Roman" w:cs="Times New Roman"/>
          <w:szCs w:val="24"/>
        </w:rPr>
        <w:t>. JHU Press, 2005.</w:t>
      </w:r>
    </w:p>
    <w:p w14:paraId="57B996E8" w14:textId="77777777" w:rsidR="009D5989" w:rsidRPr="009D5989" w:rsidRDefault="009D5989" w:rsidP="008E36CC">
      <w:pPr>
        <w:spacing w:after="0"/>
        <w:ind w:left="475" w:hanging="475"/>
        <w:rPr>
          <w:rFonts w:ascii="Times New Roman" w:eastAsia="Times New Roman" w:hAnsi="Times New Roman" w:cs="Times New Roman"/>
          <w:szCs w:val="24"/>
        </w:rPr>
      </w:pPr>
      <w:proofErr w:type="spellStart"/>
      <w:r w:rsidRPr="009D5989">
        <w:rPr>
          <w:rFonts w:ascii="Times New Roman" w:eastAsia="Times New Roman" w:hAnsi="Times New Roman" w:cs="Times New Roman"/>
          <w:szCs w:val="24"/>
        </w:rPr>
        <w:t>Grunst</w:t>
      </w:r>
      <w:proofErr w:type="spellEnd"/>
      <w:r w:rsidRPr="009D5989">
        <w:rPr>
          <w:rFonts w:ascii="Times New Roman" w:eastAsia="Times New Roman" w:hAnsi="Times New Roman" w:cs="Times New Roman"/>
          <w:szCs w:val="24"/>
        </w:rPr>
        <w:t xml:space="preserve">, Andrea S., Melissa L. </w:t>
      </w:r>
      <w:proofErr w:type="spellStart"/>
      <w:r w:rsidRPr="009D5989">
        <w:rPr>
          <w:rFonts w:ascii="Times New Roman" w:eastAsia="Times New Roman" w:hAnsi="Times New Roman" w:cs="Times New Roman"/>
          <w:szCs w:val="24"/>
        </w:rPr>
        <w:t>Grunst</w:t>
      </w:r>
      <w:proofErr w:type="spellEnd"/>
      <w:r w:rsidRPr="009D5989">
        <w:rPr>
          <w:rFonts w:ascii="Times New Roman" w:eastAsia="Times New Roman" w:hAnsi="Times New Roman" w:cs="Times New Roman"/>
          <w:szCs w:val="24"/>
        </w:rPr>
        <w:t xml:space="preserve">, Rianne </w:t>
      </w:r>
      <w:proofErr w:type="spellStart"/>
      <w:r w:rsidRPr="009D5989">
        <w:rPr>
          <w:rFonts w:ascii="Times New Roman" w:eastAsia="Times New Roman" w:hAnsi="Times New Roman" w:cs="Times New Roman"/>
          <w:szCs w:val="24"/>
        </w:rPr>
        <w:t>Pinxten</w:t>
      </w:r>
      <w:proofErr w:type="spellEnd"/>
      <w:r w:rsidRPr="009D5989">
        <w:rPr>
          <w:rFonts w:ascii="Times New Roman" w:eastAsia="Times New Roman" w:hAnsi="Times New Roman" w:cs="Times New Roman"/>
          <w:szCs w:val="24"/>
        </w:rPr>
        <w:t xml:space="preserve">, and Marcel </w:t>
      </w:r>
      <w:proofErr w:type="spellStart"/>
      <w:r w:rsidRPr="009D5989">
        <w:rPr>
          <w:rFonts w:ascii="Times New Roman" w:eastAsia="Times New Roman" w:hAnsi="Times New Roman" w:cs="Times New Roman"/>
          <w:szCs w:val="24"/>
        </w:rPr>
        <w:t>Eens</w:t>
      </w:r>
      <w:proofErr w:type="spellEnd"/>
      <w:r w:rsidRPr="009D5989">
        <w:rPr>
          <w:rFonts w:ascii="Times New Roman" w:eastAsia="Times New Roman" w:hAnsi="Times New Roman" w:cs="Times New Roman"/>
          <w:szCs w:val="24"/>
        </w:rPr>
        <w:t xml:space="preserve">. “Personality and Plasticity in Neophobia Levels Vary with Anthropogenic Disturbance but Not Toxic Metal Exposure in Urban Great Tits: Urban Disturbance, Metal Pollution and Neophobia.” </w:t>
      </w:r>
      <w:r w:rsidRPr="009D5989">
        <w:rPr>
          <w:rFonts w:ascii="Times New Roman" w:eastAsia="Times New Roman" w:hAnsi="Times New Roman" w:cs="Times New Roman"/>
          <w:i/>
          <w:iCs/>
          <w:szCs w:val="24"/>
        </w:rPr>
        <w:t>Science of The Total Environment</w:t>
      </w:r>
      <w:r w:rsidRPr="009D5989">
        <w:rPr>
          <w:rFonts w:ascii="Times New Roman" w:eastAsia="Times New Roman" w:hAnsi="Times New Roman" w:cs="Times New Roman"/>
          <w:szCs w:val="24"/>
        </w:rPr>
        <w:t xml:space="preserve"> 656 (March 15, 2019): 997–1009. </w:t>
      </w:r>
      <w:hyperlink r:id="rId35" w:history="1">
        <w:r w:rsidRPr="009D5989">
          <w:rPr>
            <w:rFonts w:ascii="Times New Roman" w:eastAsia="Times New Roman" w:hAnsi="Times New Roman" w:cs="Times New Roman"/>
            <w:szCs w:val="24"/>
          </w:rPr>
          <w:t>https://doi.org/10.1016/j.scitotenv.2018.11.383</w:t>
        </w:r>
      </w:hyperlink>
      <w:r w:rsidRPr="009D5989">
        <w:rPr>
          <w:rFonts w:ascii="Times New Roman" w:eastAsia="Times New Roman" w:hAnsi="Times New Roman" w:cs="Times New Roman"/>
          <w:szCs w:val="24"/>
        </w:rPr>
        <w:t>.</w:t>
      </w:r>
    </w:p>
    <w:p w14:paraId="05DF2843"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Hall, Richard J., Sonia </w:t>
      </w:r>
      <w:proofErr w:type="spellStart"/>
      <w:r w:rsidRPr="009D5989">
        <w:rPr>
          <w:rFonts w:ascii="Times New Roman" w:eastAsia="Times New Roman" w:hAnsi="Times New Roman" w:cs="Times New Roman"/>
          <w:szCs w:val="24"/>
        </w:rPr>
        <w:t>Altizer</w:t>
      </w:r>
      <w:proofErr w:type="spellEnd"/>
      <w:r w:rsidRPr="009D5989">
        <w:rPr>
          <w:rFonts w:ascii="Times New Roman" w:eastAsia="Times New Roman" w:hAnsi="Times New Roman" w:cs="Times New Roman"/>
          <w:szCs w:val="24"/>
        </w:rPr>
        <w:t xml:space="preserve">, and Rebecca A. Bartel. “Greater Migratory Propensity in Hosts Lowers Pathogen Transmission and Impacts.” </w:t>
      </w:r>
      <w:r w:rsidRPr="009D5989">
        <w:rPr>
          <w:rFonts w:ascii="Times New Roman" w:eastAsia="Times New Roman" w:hAnsi="Times New Roman" w:cs="Times New Roman"/>
          <w:i/>
          <w:iCs/>
          <w:szCs w:val="24"/>
        </w:rPr>
        <w:t>Journal of Animal Ecology</w:t>
      </w:r>
      <w:r w:rsidRPr="009D5989">
        <w:rPr>
          <w:rFonts w:ascii="Times New Roman" w:eastAsia="Times New Roman" w:hAnsi="Times New Roman" w:cs="Times New Roman"/>
          <w:szCs w:val="24"/>
        </w:rPr>
        <w:t xml:space="preserve"> 83, no. 5 (September 1, 2014): 1068–77. </w:t>
      </w:r>
      <w:hyperlink r:id="rId36" w:history="1">
        <w:r w:rsidRPr="009D5989">
          <w:rPr>
            <w:rFonts w:ascii="Times New Roman" w:eastAsia="Times New Roman" w:hAnsi="Times New Roman" w:cs="Times New Roman"/>
            <w:szCs w:val="24"/>
          </w:rPr>
          <w:t>https://doi.org/10.1111/1365-2656.12204@10.1111/(ISSN)1365-2656.MovementEcology</w:t>
        </w:r>
      </w:hyperlink>
      <w:r w:rsidRPr="009D5989">
        <w:rPr>
          <w:rFonts w:ascii="Times New Roman" w:eastAsia="Times New Roman" w:hAnsi="Times New Roman" w:cs="Times New Roman"/>
          <w:szCs w:val="24"/>
        </w:rPr>
        <w:t>.</w:t>
      </w:r>
    </w:p>
    <w:p w14:paraId="5D184DFB"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Han, </w:t>
      </w:r>
      <w:proofErr w:type="spellStart"/>
      <w:r w:rsidRPr="009D5989">
        <w:rPr>
          <w:rFonts w:ascii="Times New Roman" w:eastAsia="Times New Roman" w:hAnsi="Times New Roman" w:cs="Times New Roman"/>
          <w:szCs w:val="24"/>
        </w:rPr>
        <w:t>Fengxiang</w:t>
      </w:r>
      <w:proofErr w:type="spellEnd"/>
      <w:r w:rsidRPr="009D5989">
        <w:rPr>
          <w:rFonts w:ascii="Times New Roman" w:eastAsia="Times New Roman" w:hAnsi="Times New Roman" w:cs="Times New Roman"/>
          <w:szCs w:val="24"/>
        </w:rPr>
        <w:t xml:space="preserve"> X., Amos </w:t>
      </w:r>
      <w:proofErr w:type="spellStart"/>
      <w:r w:rsidRPr="009D5989">
        <w:rPr>
          <w:rFonts w:ascii="Times New Roman" w:eastAsia="Times New Roman" w:hAnsi="Times New Roman" w:cs="Times New Roman"/>
          <w:szCs w:val="24"/>
        </w:rPr>
        <w:t>Banin</w:t>
      </w:r>
      <w:proofErr w:type="spellEnd"/>
      <w:r w:rsidRPr="009D5989">
        <w:rPr>
          <w:rFonts w:ascii="Times New Roman" w:eastAsia="Times New Roman" w:hAnsi="Times New Roman" w:cs="Times New Roman"/>
          <w:szCs w:val="24"/>
        </w:rPr>
        <w:t xml:space="preserve">, Yi </w:t>
      </w:r>
      <w:proofErr w:type="spellStart"/>
      <w:r w:rsidRPr="009D5989">
        <w:rPr>
          <w:rFonts w:ascii="Times New Roman" w:eastAsia="Times New Roman" w:hAnsi="Times New Roman" w:cs="Times New Roman"/>
          <w:szCs w:val="24"/>
        </w:rPr>
        <w:t>Su</w:t>
      </w:r>
      <w:proofErr w:type="spellEnd"/>
      <w:r w:rsidRPr="009D5989">
        <w:rPr>
          <w:rFonts w:ascii="Times New Roman" w:eastAsia="Times New Roman" w:hAnsi="Times New Roman" w:cs="Times New Roman"/>
          <w:szCs w:val="24"/>
        </w:rPr>
        <w:t xml:space="preserve">, David L. </w:t>
      </w:r>
      <w:proofErr w:type="spellStart"/>
      <w:r w:rsidRPr="009D5989">
        <w:rPr>
          <w:rFonts w:ascii="Times New Roman" w:eastAsia="Times New Roman" w:hAnsi="Times New Roman" w:cs="Times New Roman"/>
          <w:szCs w:val="24"/>
        </w:rPr>
        <w:t>Monts</w:t>
      </w:r>
      <w:proofErr w:type="spellEnd"/>
      <w:r w:rsidRPr="009D5989">
        <w:rPr>
          <w:rFonts w:ascii="Times New Roman" w:eastAsia="Times New Roman" w:hAnsi="Times New Roman" w:cs="Times New Roman"/>
          <w:szCs w:val="24"/>
        </w:rPr>
        <w:t xml:space="preserve">, John M. </w:t>
      </w:r>
      <w:proofErr w:type="spellStart"/>
      <w:r w:rsidRPr="009D5989">
        <w:rPr>
          <w:rFonts w:ascii="Times New Roman" w:eastAsia="Times New Roman" w:hAnsi="Times New Roman" w:cs="Times New Roman"/>
          <w:szCs w:val="24"/>
        </w:rPr>
        <w:t>Plodinec</w:t>
      </w:r>
      <w:proofErr w:type="spellEnd"/>
      <w:r w:rsidRPr="009D5989">
        <w:rPr>
          <w:rFonts w:ascii="Times New Roman" w:eastAsia="Times New Roman" w:hAnsi="Times New Roman" w:cs="Times New Roman"/>
          <w:szCs w:val="24"/>
        </w:rPr>
        <w:t xml:space="preserve">, William L. Kingery, and Glover E. Triplett. “Industrial Age Anthropogenic Inputs of Heavy Metals into the Pedosphere.” </w:t>
      </w:r>
      <w:proofErr w:type="spellStart"/>
      <w:r w:rsidRPr="009D5989">
        <w:rPr>
          <w:rFonts w:ascii="Times New Roman" w:eastAsia="Times New Roman" w:hAnsi="Times New Roman" w:cs="Times New Roman"/>
          <w:i/>
          <w:iCs/>
          <w:szCs w:val="24"/>
        </w:rPr>
        <w:t>Naturwissenschaften</w:t>
      </w:r>
      <w:proofErr w:type="spellEnd"/>
      <w:r w:rsidRPr="009D5989">
        <w:rPr>
          <w:rFonts w:ascii="Times New Roman" w:eastAsia="Times New Roman" w:hAnsi="Times New Roman" w:cs="Times New Roman"/>
          <w:szCs w:val="24"/>
        </w:rPr>
        <w:t xml:space="preserve"> 89, no. 11 (November 1, 2002): 497–504. </w:t>
      </w:r>
      <w:hyperlink r:id="rId37" w:history="1">
        <w:r w:rsidRPr="009D5989">
          <w:rPr>
            <w:rFonts w:ascii="Times New Roman" w:eastAsia="Times New Roman" w:hAnsi="Times New Roman" w:cs="Times New Roman"/>
            <w:szCs w:val="24"/>
          </w:rPr>
          <w:t>https://doi.org/10.1007/s00114-002-0373-4</w:t>
        </w:r>
      </w:hyperlink>
      <w:r w:rsidRPr="009D5989">
        <w:rPr>
          <w:rFonts w:ascii="Times New Roman" w:eastAsia="Times New Roman" w:hAnsi="Times New Roman" w:cs="Times New Roman"/>
          <w:szCs w:val="24"/>
        </w:rPr>
        <w:t>.</w:t>
      </w:r>
    </w:p>
    <w:p w14:paraId="08748681"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Hansen, James A, Daniel </w:t>
      </w:r>
      <w:proofErr w:type="spellStart"/>
      <w:r w:rsidRPr="009D5989">
        <w:rPr>
          <w:rFonts w:ascii="Times New Roman" w:eastAsia="Times New Roman" w:hAnsi="Times New Roman" w:cs="Times New Roman"/>
          <w:szCs w:val="24"/>
        </w:rPr>
        <w:t>Audet</w:t>
      </w:r>
      <w:proofErr w:type="spellEnd"/>
      <w:r w:rsidRPr="009D5989">
        <w:rPr>
          <w:rFonts w:ascii="Times New Roman" w:eastAsia="Times New Roman" w:hAnsi="Times New Roman" w:cs="Times New Roman"/>
          <w:szCs w:val="24"/>
        </w:rPr>
        <w:t xml:space="preserve">, Brian L Spears, Kate A Healy, Roy E </w:t>
      </w:r>
      <w:proofErr w:type="spellStart"/>
      <w:r w:rsidRPr="009D5989">
        <w:rPr>
          <w:rFonts w:ascii="Times New Roman" w:eastAsia="Times New Roman" w:hAnsi="Times New Roman" w:cs="Times New Roman"/>
          <w:szCs w:val="24"/>
        </w:rPr>
        <w:t>Brazzle</w:t>
      </w:r>
      <w:proofErr w:type="spellEnd"/>
      <w:r w:rsidRPr="009D5989">
        <w:rPr>
          <w:rFonts w:ascii="Times New Roman" w:eastAsia="Times New Roman" w:hAnsi="Times New Roman" w:cs="Times New Roman"/>
          <w:szCs w:val="24"/>
        </w:rPr>
        <w:t xml:space="preserve">, David J Hoffman, Anne Dailey, and W Nelson Beyer. “Lead Exposure and Poisoning of Songbirds Using the Coeur d’Alene River Basin, Idaho, USA.” </w:t>
      </w:r>
      <w:r w:rsidRPr="009D5989">
        <w:rPr>
          <w:rFonts w:ascii="Times New Roman" w:eastAsia="Times New Roman" w:hAnsi="Times New Roman" w:cs="Times New Roman"/>
          <w:i/>
          <w:iCs/>
          <w:szCs w:val="24"/>
        </w:rPr>
        <w:t>Integrated Environmental Assessment and Management</w:t>
      </w:r>
      <w:r w:rsidRPr="009D5989">
        <w:rPr>
          <w:rFonts w:ascii="Times New Roman" w:eastAsia="Times New Roman" w:hAnsi="Times New Roman" w:cs="Times New Roman"/>
          <w:szCs w:val="24"/>
        </w:rPr>
        <w:t xml:space="preserve"> 7, no. 4 (October 2011): 587–95. </w:t>
      </w:r>
      <w:hyperlink r:id="rId38" w:history="1">
        <w:r w:rsidRPr="009D5989">
          <w:rPr>
            <w:rFonts w:ascii="Times New Roman" w:eastAsia="Times New Roman" w:hAnsi="Times New Roman" w:cs="Times New Roman"/>
            <w:szCs w:val="24"/>
          </w:rPr>
          <w:t>https://doi.org/10.1002/ieam.201</w:t>
        </w:r>
      </w:hyperlink>
      <w:r w:rsidRPr="009D5989">
        <w:rPr>
          <w:rFonts w:ascii="Times New Roman" w:eastAsia="Times New Roman" w:hAnsi="Times New Roman" w:cs="Times New Roman"/>
          <w:szCs w:val="24"/>
        </w:rPr>
        <w:t>.</w:t>
      </w:r>
    </w:p>
    <w:p w14:paraId="7958C10D" w14:textId="019D3D6D" w:rsid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Helmke, P. A., W. P. Robarge, R. L. </w:t>
      </w:r>
      <w:proofErr w:type="spellStart"/>
      <w:r w:rsidRPr="009D5989">
        <w:rPr>
          <w:rFonts w:ascii="Times New Roman" w:eastAsia="Times New Roman" w:hAnsi="Times New Roman" w:cs="Times New Roman"/>
          <w:szCs w:val="24"/>
        </w:rPr>
        <w:t>Korotev</w:t>
      </w:r>
      <w:proofErr w:type="spellEnd"/>
      <w:r w:rsidRPr="009D5989">
        <w:rPr>
          <w:rFonts w:ascii="Times New Roman" w:eastAsia="Times New Roman" w:hAnsi="Times New Roman" w:cs="Times New Roman"/>
          <w:szCs w:val="24"/>
        </w:rPr>
        <w:t xml:space="preserve">, and P. J. </w:t>
      </w:r>
      <w:proofErr w:type="spellStart"/>
      <w:r w:rsidRPr="009D5989">
        <w:rPr>
          <w:rFonts w:ascii="Times New Roman" w:eastAsia="Times New Roman" w:hAnsi="Times New Roman" w:cs="Times New Roman"/>
          <w:szCs w:val="24"/>
        </w:rPr>
        <w:t>Schomberg</w:t>
      </w:r>
      <w:proofErr w:type="spellEnd"/>
      <w:r w:rsidRPr="009D5989">
        <w:rPr>
          <w:rFonts w:ascii="Times New Roman" w:eastAsia="Times New Roman" w:hAnsi="Times New Roman" w:cs="Times New Roman"/>
          <w:szCs w:val="24"/>
        </w:rPr>
        <w:t xml:space="preserve">. “Effects of Soil-Applied Sewage Sludge on Concentrations of Elements in Earthworms.” </w:t>
      </w:r>
      <w:r w:rsidRPr="009D5989">
        <w:rPr>
          <w:rFonts w:ascii="Times New Roman" w:eastAsia="Times New Roman" w:hAnsi="Times New Roman" w:cs="Times New Roman"/>
          <w:i/>
          <w:iCs/>
          <w:szCs w:val="24"/>
        </w:rPr>
        <w:t>Journal of Environmental Quality</w:t>
      </w:r>
      <w:r w:rsidRPr="009D5989">
        <w:rPr>
          <w:rFonts w:ascii="Times New Roman" w:eastAsia="Times New Roman" w:hAnsi="Times New Roman" w:cs="Times New Roman"/>
          <w:szCs w:val="24"/>
        </w:rPr>
        <w:t xml:space="preserve"> 8, no. 3 (1979): 322–27. </w:t>
      </w:r>
      <w:hyperlink r:id="rId39" w:history="1">
        <w:r w:rsidRPr="009D5989">
          <w:rPr>
            <w:rFonts w:ascii="Times New Roman" w:eastAsia="Times New Roman" w:hAnsi="Times New Roman" w:cs="Times New Roman"/>
            <w:szCs w:val="24"/>
          </w:rPr>
          <w:t>https://doi.org/10.2134/jeq1979.00472425000800030012x</w:t>
        </w:r>
      </w:hyperlink>
      <w:r w:rsidRPr="009D5989">
        <w:rPr>
          <w:rFonts w:ascii="Times New Roman" w:eastAsia="Times New Roman" w:hAnsi="Times New Roman" w:cs="Times New Roman"/>
          <w:szCs w:val="24"/>
        </w:rPr>
        <w:t>.</w:t>
      </w:r>
    </w:p>
    <w:p w14:paraId="084A2EDB" w14:textId="22B2F732" w:rsidR="003733EB" w:rsidRDefault="003733EB" w:rsidP="008E36CC">
      <w:pPr>
        <w:spacing w:after="0"/>
        <w:ind w:left="475" w:hanging="475"/>
        <w:rPr>
          <w:rFonts w:ascii="Times New Roman" w:eastAsia="Times New Roman" w:hAnsi="Times New Roman" w:cs="Times New Roman"/>
          <w:szCs w:val="24"/>
        </w:rPr>
      </w:pPr>
      <w:r w:rsidRPr="003733EB">
        <w:rPr>
          <w:rFonts w:ascii="Times New Roman" w:eastAsia="Times New Roman" w:hAnsi="Times New Roman" w:cs="Times New Roman"/>
          <w:szCs w:val="24"/>
        </w:rPr>
        <w:lastRenderedPageBreak/>
        <w:t>Henny, Charles J. "Effects of mining lead on birds: A case history at Coeur d’Alene Basin, Idaho." </w:t>
      </w:r>
      <w:r w:rsidRPr="003733EB">
        <w:rPr>
          <w:rFonts w:ascii="Times New Roman" w:eastAsia="Times New Roman" w:hAnsi="Times New Roman" w:cs="Times New Roman"/>
          <w:i/>
          <w:iCs/>
          <w:szCs w:val="24"/>
        </w:rPr>
        <w:t>Handbook of Ecotoxicology, second edition (DJ Hoffman, BA Rattner, GA Burton, Jr., and J. Cairns, Jr., Editors). Lewis, Boca Raton, FL, USA</w:t>
      </w:r>
      <w:r w:rsidRPr="003733EB">
        <w:rPr>
          <w:rFonts w:ascii="Times New Roman" w:eastAsia="Times New Roman" w:hAnsi="Times New Roman" w:cs="Times New Roman"/>
          <w:szCs w:val="24"/>
        </w:rPr>
        <w:t> (2003): 755-766.</w:t>
      </w:r>
    </w:p>
    <w:p w14:paraId="46C1F10F" w14:textId="2CED74A4" w:rsidR="00CF0595" w:rsidRPr="009D5989" w:rsidRDefault="00CF0595" w:rsidP="008E36CC">
      <w:pPr>
        <w:spacing w:after="0"/>
        <w:ind w:left="475" w:hanging="475"/>
        <w:rPr>
          <w:rFonts w:ascii="Times New Roman" w:eastAsia="Times New Roman" w:hAnsi="Times New Roman" w:cs="Times New Roman"/>
          <w:szCs w:val="24"/>
        </w:rPr>
      </w:pPr>
      <w:r w:rsidRPr="00CF0595">
        <w:rPr>
          <w:rFonts w:ascii="Times New Roman" w:eastAsia="Times New Roman" w:hAnsi="Times New Roman" w:cs="Times New Roman"/>
          <w:szCs w:val="24"/>
        </w:rPr>
        <w:t>Hoffman, D. J., Rattner, B. A., Burton Jr, G. A., &amp; Cairns Jr, J. (Eds.). (2002). </w:t>
      </w:r>
      <w:r w:rsidRPr="00CF0595">
        <w:rPr>
          <w:rFonts w:ascii="Times New Roman" w:eastAsia="Times New Roman" w:hAnsi="Times New Roman" w:cs="Times New Roman"/>
          <w:i/>
          <w:iCs/>
          <w:szCs w:val="24"/>
        </w:rPr>
        <w:t>Handbook of ecotoxicology</w:t>
      </w:r>
      <w:r w:rsidRPr="00CF0595">
        <w:rPr>
          <w:rFonts w:ascii="Times New Roman" w:eastAsia="Times New Roman" w:hAnsi="Times New Roman" w:cs="Times New Roman"/>
          <w:szCs w:val="24"/>
        </w:rPr>
        <w:t>. CRC press.</w:t>
      </w:r>
    </w:p>
    <w:p w14:paraId="5CF306C8"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Hu, Howard, James Shine, and Robert O. Wright. “The Challenge Posed to Children’s Health by Mixtures of Toxic Waste: The Tar Creek Superfund Site as a Case-Study.” </w:t>
      </w:r>
      <w:r w:rsidRPr="009D5989">
        <w:rPr>
          <w:rFonts w:ascii="Times New Roman" w:eastAsia="Times New Roman" w:hAnsi="Times New Roman" w:cs="Times New Roman"/>
          <w:i/>
          <w:iCs/>
          <w:szCs w:val="24"/>
        </w:rPr>
        <w:t>Pediatric Clinics of North America</w:t>
      </w:r>
      <w:r w:rsidRPr="009D5989">
        <w:rPr>
          <w:rFonts w:ascii="Times New Roman" w:eastAsia="Times New Roman" w:hAnsi="Times New Roman" w:cs="Times New Roman"/>
          <w:szCs w:val="24"/>
        </w:rPr>
        <w:t xml:space="preserve"> 54, no. 1 (February 2007): 155–75. </w:t>
      </w:r>
      <w:hyperlink r:id="rId40" w:history="1">
        <w:r w:rsidRPr="009D5989">
          <w:rPr>
            <w:rFonts w:ascii="Times New Roman" w:eastAsia="Times New Roman" w:hAnsi="Times New Roman" w:cs="Times New Roman"/>
            <w:szCs w:val="24"/>
          </w:rPr>
          <w:t>https://doi.org/10.1016/j.pcl.2006.11.009</w:t>
        </w:r>
      </w:hyperlink>
      <w:r w:rsidRPr="009D5989">
        <w:rPr>
          <w:rFonts w:ascii="Times New Roman" w:eastAsia="Times New Roman" w:hAnsi="Times New Roman" w:cs="Times New Roman"/>
          <w:szCs w:val="24"/>
        </w:rPr>
        <w:t>.</w:t>
      </w:r>
    </w:p>
    <w:p w14:paraId="7258189F"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Janssens, Ellen, Tom </w:t>
      </w:r>
      <w:proofErr w:type="spellStart"/>
      <w:r w:rsidRPr="009D5989">
        <w:rPr>
          <w:rFonts w:ascii="Times New Roman" w:eastAsia="Times New Roman" w:hAnsi="Times New Roman" w:cs="Times New Roman"/>
          <w:szCs w:val="24"/>
        </w:rPr>
        <w:t>Dauwe</w:t>
      </w:r>
      <w:proofErr w:type="spellEnd"/>
      <w:r w:rsidRPr="009D5989">
        <w:rPr>
          <w:rFonts w:ascii="Times New Roman" w:eastAsia="Times New Roman" w:hAnsi="Times New Roman" w:cs="Times New Roman"/>
          <w:szCs w:val="24"/>
        </w:rPr>
        <w:t xml:space="preserve">, Rianne </w:t>
      </w:r>
      <w:proofErr w:type="spellStart"/>
      <w:r w:rsidRPr="009D5989">
        <w:rPr>
          <w:rFonts w:ascii="Times New Roman" w:eastAsia="Times New Roman" w:hAnsi="Times New Roman" w:cs="Times New Roman"/>
          <w:szCs w:val="24"/>
        </w:rPr>
        <w:t>Pinxten</w:t>
      </w:r>
      <w:proofErr w:type="spellEnd"/>
      <w:r w:rsidRPr="009D5989">
        <w:rPr>
          <w:rFonts w:ascii="Times New Roman" w:eastAsia="Times New Roman" w:hAnsi="Times New Roman" w:cs="Times New Roman"/>
          <w:szCs w:val="24"/>
        </w:rPr>
        <w:t xml:space="preserve">, Lieven </w:t>
      </w:r>
      <w:proofErr w:type="spellStart"/>
      <w:r w:rsidRPr="009D5989">
        <w:rPr>
          <w:rFonts w:ascii="Times New Roman" w:eastAsia="Times New Roman" w:hAnsi="Times New Roman" w:cs="Times New Roman"/>
          <w:szCs w:val="24"/>
        </w:rPr>
        <w:t>Bervoets</w:t>
      </w:r>
      <w:proofErr w:type="spellEnd"/>
      <w:r w:rsidRPr="009D5989">
        <w:rPr>
          <w:rFonts w:ascii="Times New Roman" w:eastAsia="Times New Roman" w:hAnsi="Times New Roman" w:cs="Times New Roman"/>
          <w:szCs w:val="24"/>
        </w:rPr>
        <w:t xml:space="preserve">, Ronny </w:t>
      </w:r>
      <w:proofErr w:type="spellStart"/>
      <w:r w:rsidRPr="009D5989">
        <w:rPr>
          <w:rFonts w:ascii="Times New Roman" w:eastAsia="Times New Roman" w:hAnsi="Times New Roman" w:cs="Times New Roman"/>
          <w:szCs w:val="24"/>
        </w:rPr>
        <w:t>Blust</w:t>
      </w:r>
      <w:proofErr w:type="spellEnd"/>
      <w:r w:rsidRPr="009D5989">
        <w:rPr>
          <w:rFonts w:ascii="Times New Roman" w:eastAsia="Times New Roman" w:hAnsi="Times New Roman" w:cs="Times New Roman"/>
          <w:szCs w:val="24"/>
        </w:rPr>
        <w:t xml:space="preserve">, and Marcel </w:t>
      </w:r>
      <w:proofErr w:type="spellStart"/>
      <w:r w:rsidRPr="009D5989">
        <w:rPr>
          <w:rFonts w:ascii="Times New Roman" w:eastAsia="Times New Roman" w:hAnsi="Times New Roman" w:cs="Times New Roman"/>
          <w:szCs w:val="24"/>
        </w:rPr>
        <w:t>Eens</w:t>
      </w:r>
      <w:proofErr w:type="spellEnd"/>
      <w:r w:rsidRPr="009D5989">
        <w:rPr>
          <w:rFonts w:ascii="Times New Roman" w:eastAsia="Times New Roman" w:hAnsi="Times New Roman" w:cs="Times New Roman"/>
          <w:szCs w:val="24"/>
        </w:rPr>
        <w:t>. “Effects of Heavy Metal Exposure on the Condition and Health of Nestlings of the Great Tit (</w:t>
      </w:r>
      <w:proofErr w:type="spellStart"/>
      <w:r w:rsidRPr="009D5989">
        <w:rPr>
          <w:rFonts w:ascii="Times New Roman" w:eastAsia="Times New Roman" w:hAnsi="Times New Roman" w:cs="Times New Roman"/>
          <w:szCs w:val="24"/>
        </w:rPr>
        <w:t>Parus</w:t>
      </w:r>
      <w:proofErr w:type="spellEnd"/>
      <w:r w:rsidRPr="009D5989">
        <w:rPr>
          <w:rFonts w:ascii="Times New Roman" w:eastAsia="Times New Roman" w:hAnsi="Times New Roman" w:cs="Times New Roman"/>
          <w:szCs w:val="24"/>
        </w:rPr>
        <w:t xml:space="preserve"> Major), a Small Songbird Species.” </w:t>
      </w:r>
      <w:r w:rsidRPr="009D5989">
        <w:rPr>
          <w:rFonts w:ascii="Times New Roman" w:eastAsia="Times New Roman" w:hAnsi="Times New Roman" w:cs="Times New Roman"/>
          <w:i/>
          <w:iCs/>
          <w:szCs w:val="24"/>
        </w:rPr>
        <w:t>Environmental Pollution</w:t>
      </w:r>
      <w:r w:rsidRPr="009D5989">
        <w:rPr>
          <w:rFonts w:ascii="Times New Roman" w:eastAsia="Times New Roman" w:hAnsi="Times New Roman" w:cs="Times New Roman"/>
          <w:szCs w:val="24"/>
        </w:rPr>
        <w:t xml:space="preserve"> 126, no. 2 (November 2003): 267–74. </w:t>
      </w:r>
      <w:hyperlink r:id="rId41" w:history="1">
        <w:r w:rsidRPr="009D5989">
          <w:rPr>
            <w:rFonts w:ascii="Times New Roman" w:eastAsia="Times New Roman" w:hAnsi="Times New Roman" w:cs="Times New Roman"/>
            <w:szCs w:val="24"/>
          </w:rPr>
          <w:t>https://doi.org/10.1016/S0269-7491(03)00185-4</w:t>
        </w:r>
      </w:hyperlink>
      <w:r w:rsidRPr="009D5989">
        <w:rPr>
          <w:rFonts w:ascii="Times New Roman" w:eastAsia="Times New Roman" w:hAnsi="Times New Roman" w:cs="Times New Roman"/>
          <w:szCs w:val="24"/>
        </w:rPr>
        <w:t>.</w:t>
      </w:r>
    </w:p>
    <w:p w14:paraId="38B5702B"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Jaspers, </w:t>
      </w:r>
      <w:proofErr w:type="spellStart"/>
      <w:r w:rsidRPr="009D5989">
        <w:rPr>
          <w:rFonts w:ascii="Times New Roman" w:eastAsia="Times New Roman" w:hAnsi="Times New Roman" w:cs="Times New Roman"/>
          <w:szCs w:val="24"/>
        </w:rPr>
        <w:t>Veerle</w:t>
      </w:r>
      <w:proofErr w:type="spellEnd"/>
      <w:r w:rsidRPr="009D5989">
        <w:rPr>
          <w:rFonts w:ascii="Times New Roman" w:eastAsia="Times New Roman" w:hAnsi="Times New Roman" w:cs="Times New Roman"/>
          <w:szCs w:val="24"/>
        </w:rPr>
        <w:t xml:space="preserve"> L.B., Adrian </w:t>
      </w:r>
      <w:proofErr w:type="spellStart"/>
      <w:r w:rsidRPr="009D5989">
        <w:rPr>
          <w:rFonts w:ascii="Times New Roman" w:eastAsia="Times New Roman" w:hAnsi="Times New Roman" w:cs="Times New Roman"/>
          <w:szCs w:val="24"/>
        </w:rPr>
        <w:t>Covaci</w:t>
      </w:r>
      <w:proofErr w:type="spellEnd"/>
      <w:r w:rsidRPr="009D5989">
        <w:rPr>
          <w:rFonts w:ascii="Times New Roman" w:eastAsia="Times New Roman" w:hAnsi="Times New Roman" w:cs="Times New Roman"/>
          <w:szCs w:val="24"/>
        </w:rPr>
        <w:t xml:space="preserve">, </w:t>
      </w:r>
      <w:proofErr w:type="spellStart"/>
      <w:r w:rsidRPr="009D5989">
        <w:rPr>
          <w:rFonts w:ascii="Times New Roman" w:eastAsia="Times New Roman" w:hAnsi="Times New Roman" w:cs="Times New Roman"/>
          <w:szCs w:val="24"/>
        </w:rPr>
        <w:t>Dorte</w:t>
      </w:r>
      <w:proofErr w:type="spellEnd"/>
      <w:r w:rsidRPr="009D5989">
        <w:rPr>
          <w:rFonts w:ascii="Times New Roman" w:eastAsia="Times New Roman" w:hAnsi="Times New Roman" w:cs="Times New Roman"/>
          <w:szCs w:val="24"/>
        </w:rPr>
        <w:t xml:space="preserve"> </w:t>
      </w:r>
      <w:proofErr w:type="spellStart"/>
      <w:r w:rsidRPr="009D5989">
        <w:rPr>
          <w:rFonts w:ascii="Times New Roman" w:eastAsia="Times New Roman" w:hAnsi="Times New Roman" w:cs="Times New Roman"/>
          <w:szCs w:val="24"/>
        </w:rPr>
        <w:t>Herzke</w:t>
      </w:r>
      <w:proofErr w:type="spellEnd"/>
      <w:r w:rsidRPr="009D5989">
        <w:rPr>
          <w:rFonts w:ascii="Times New Roman" w:eastAsia="Times New Roman" w:hAnsi="Times New Roman" w:cs="Times New Roman"/>
          <w:szCs w:val="24"/>
        </w:rPr>
        <w:t xml:space="preserve">, Igor </w:t>
      </w:r>
      <w:proofErr w:type="spellStart"/>
      <w:r w:rsidRPr="009D5989">
        <w:rPr>
          <w:rFonts w:ascii="Times New Roman" w:eastAsia="Times New Roman" w:hAnsi="Times New Roman" w:cs="Times New Roman"/>
          <w:szCs w:val="24"/>
        </w:rPr>
        <w:t>Eulaers</w:t>
      </w:r>
      <w:proofErr w:type="spellEnd"/>
      <w:r w:rsidRPr="009D5989">
        <w:rPr>
          <w:rFonts w:ascii="Times New Roman" w:eastAsia="Times New Roman" w:hAnsi="Times New Roman" w:cs="Times New Roman"/>
          <w:szCs w:val="24"/>
        </w:rPr>
        <w:t xml:space="preserve">, and Marcel </w:t>
      </w:r>
      <w:proofErr w:type="spellStart"/>
      <w:r w:rsidRPr="009D5989">
        <w:rPr>
          <w:rFonts w:ascii="Times New Roman" w:eastAsia="Times New Roman" w:hAnsi="Times New Roman" w:cs="Times New Roman"/>
          <w:szCs w:val="24"/>
        </w:rPr>
        <w:t>Eens</w:t>
      </w:r>
      <w:proofErr w:type="spellEnd"/>
      <w:r w:rsidRPr="009D5989">
        <w:rPr>
          <w:rFonts w:ascii="Times New Roman" w:eastAsia="Times New Roman" w:hAnsi="Times New Roman" w:cs="Times New Roman"/>
          <w:szCs w:val="24"/>
        </w:rPr>
        <w:t xml:space="preserve">. “Bird Feathers as a </w:t>
      </w:r>
      <w:proofErr w:type="spellStart"/>
      <w:r w:rsidRPr="009D5989">
        <w:rPr>
          <w:rFonts w:ascii="Times New Roman" w:eastAsia="Times New Roman" w:hAnsi="Times New Roman" w:cs="Times New Roman"/>
          <w:szCs w:val="24"/>
        </w:rPr>
        <w:t>Biomonitor</w:t>
      </w:r>
      <w:proofErr w:type="spellEnd"/>
      <w:r w:rsidRPr="009D5989">
        <w:rPr>
          <w:rFonts w:ascii="Times New Roman" w:eastAsia="Times New Roman" w:hAnsi="Times New Roman" w:cs="Times New Roman"/>
          <w:szCs w:val="24"/>
        </w:rPr>
        <w:t xml:space="preserve"> for Environmental Pollutants: Prospects and Pitfalls.” </w:t>
      </w:r>
      <w:proofErr w:type="spellStart"/>
      <w:r w:rsidRPr="009D5989">
        <w:rPr>
          <w:rFonts w:ascii="Times New Roman" w:eastAsia="Times New Roman" w:hAnsi="Times New Roman" w:cs="Times New Roman"/>
          <w:i/>
          <w:iCs/>
          <w:szCs w:val="24"/>
        </w:rPr>
        <w:t>TrAC</w:t>
      </w:r>
      <w:proofErr w:type="spellEnd"/>
      <w:r w:rsidRPr="009D5989">
        <w:rPr>
          <w:rFonts w:ascii="Times New Roman" w:eastAsia="Times New Roman" w:hAnsi="Times New Roman" w:cs="Times New Roman"/>
          <w:i/>
          <w:iCs/>
          <w:szCs w:val="24"/>
        </w:rPr>
        <w:t xml:space="preserve"> Trends in Analytical Chemistry</w:t>
      </w:r>
      <w:r w:rsidRPr="009D5989">
        <w:rPr>
          <w:rFonts w:ascii="Times New Roman" w:eastAsia="Times New Roman" w:hAnsi="Times New Roman" w:cs="Times New Roman"/>
          <w:szCs w:val="24"/>
        </w:rPr>
        <w:t xml:space="preserve"> 118 (September 2019): 223–26. </w:t>
      </w:r>
      <w:hyperlink r:id="rId42" w:history="1">
        <w:r w:rsidRPr="009D5989">
          <w:rPr>
            <w:rFonts w:ascii="Times New Roman" w:eastAsia="Times New Roman" w:hAnsi="Times New Roman" w:cs="Times New Roman"/>
            <w:szCs w:val="24"/>
          </w:rPr>
          <w:t>https://doi.org/10.1016/j.trac.2019.05.019</w:t>
        </w:r>
      </w:hyperlink>
      <w:r w:rsidRPr="009D5989">
        <w:rPr>
          <w:rFonts w:ascii="Times New Roman" w:eastAsia="Times New Roman" w:hAnsi="Times New Roman" w:cs="Times New Roman"/>
          <w:szCs w:val="24"/>
        </w:rPr>
        <w:t>.</w:t>
      </w:r>
    </w:p>
    <w:p w14:paraId="239CE462"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Johns, Sophie, and Allison K. Shaw. “Theoretical Insight into Three Disease-Related Benefits of Migration.” </w:t>
      </w:r>
      <w:r w:rsidRPr="009D5989">
        <w:rPr>
          <w:rFonts w:ascii="Times New Roman" w:eastAsia="Times New Roman" w:hAnsi="Times New Roman" w:cs="Times New Roman"/>
          <w:i/>
          <w:iCs/>
          <w:szCs w:val="24"/>
        </w:rPr>
        <w:t>Population Ecology</w:t>
      </w:r>
      <w:r w:rsidRPr="009D5989">
        <w:rPr>
          <w:rFonts w:ascii="Times New Roman" w:eastAsia="Times New Roman" w:hAnsi="Times New Roman" w:cs="Times New Roman"/>
          <w:szCs w:val="24"/>
        </w:rPr>
        <w:t xml:space="preserve"> 58, no. 1 (January 1, 2016): 213–21. </w:t>
      </w:r>
      <w:hyperlink r:id="rId43" w:history="1">
        <w:r w:rsidRPr="009D5989">
          <w:rPr>
            <w:rFonts w:ascii="Times New Roman" w:eastAsia="Times New Roman" w:hAnsi="Times New Roman" w:cs="Times New Roman"/>
            <w:szCs w:val="24"/>
          </w:rPr>
          <w:t>https://doi.org/10.1007/s10144-015-0518-x</w:t>
        </w:r>
      </w:hyperlink>
      <w:r w:rsidRPr="009D5989">
        <w:rPr>
          <w:rFonts w:ascii="Times New Roman" w:eastAsia="Times New Roman" w:hAnsi="Times New Roman" w:cs="Times New Roman"/>
          <w:szCs w:val="24"/>
        </w:rPr>
        <w:t>.</w:t>
      </w:r>
    </w:p>
    <w:p w14:paraId="54F2575F" w14:textId="5535DADF" w:rsid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Johnson, Gregory D., Daniel J. </w:t>
      </w:r>
      <w:proofErr w:type="spellStart"/>
      <w:r w:rsidRPr="009D5989">
        <w:rPr>
          <w:rFonts w:ascii="Times New Roman" w:eastAsia="Times New Roman" w:hAnsi="Times New Roman" w:cs="Times New Roman"/>
          <w:szCs w:val="24"/>
        </w:rPr>
        <w:t>Audet</w:t>
      </w:r>
      <w:proofErr w:type="spellEnd"/>
      <w:r w:rsidRPr="009D5989">
        <w:rPr>
          <w:rFonts w:ascii="Times New Roman" w:eastAsia="Times New Roman" w:hAnsi="Times New Roman" w:cs="Times New Roman"/>
          <w:szCs w:val="24"/>
        </w:rPr>
        <w:t xml:space="preserve">, John W. Kern, Leonard J. </w:t>
      </w:r>
      <w:proofErr w:type="spellStart"/>
      <w:r w:rsidRPr="009D5989">
        <w:rPr>
          <w:rFonts w:ascii="Times New Roman" w:eastAsia="Times New Roman" w:hAnsi="Times New Roman" w:cs="Times New Roman"/>
          <w:szCs w:val="24"/>
        </w:rPr>
        <w:t>LeCaptain</w:t>
      </w:r>
      <w:proofErr w:type="spellEnd"/>
      <w:r w:rsidRPr="009D5989">
        <w:rPr>
          <w:rFonts w:ascii="Times New Roman" w:eastAsia="Times New Roman" w:hAnsi="Times New Roman" w:cs="Times New Roman"/>
          <w:szCs w:val="24"/>
        </w:rPr>
        <w:t xml:space="preserve">, M. Dale Strickland, David J. Hoffman, and Lyman L. McDonald. “Lead Exposure in Passerines Inhabiting Lead-Contaminated Floodplains in the Coeur D’Alene River Basin, Idaho, USA.” </w:t>
      </w:r>
      <w:r w:rsidRPr="009D5989">
        <w:rPr>
          <w:rFonts w:ascii="Times New Roman" w:eastAsia="Times New Roman" w:hAnsi="Times New Roman" w:cs="Times New Roman"/>
          <w:i/>
          <w:iCs/>
          <w:szCs w:val="24"/>
        </w:rPr>
        <w:lastRenderedPageBreak/>
        <w:t>Environmental Toxicology and Chemistry</w:t>
      </w:r>
      <w:r w:rsidRPr="009D5989">
        <w:rPr>
          <w:rFonts w:ascii="Times New Roman" w:eastAsia="Times New Roman" w:hAnsi="Times New Roman" w:cs="Times New Roman"/>
          <w:szCs w:val="24"/>
        </w:rPr>
        <w:t xml:space="preserve"> 18, no. 6 (June 1999): 1190–94. </w:t>
      </w:r>
      <w:hyperlink r:id="rId44" w:history="1">
        <w:r w:rsidRPr="009D5989">
          <w:rPr>
            <w:rFonts w:ascii="Times New Roman" w:eastAsia="Times New Roman" w:hAnsi="Times New Roman" w:cs="Times New Roman"/>
            <w:szCs w:val="24"/>
          </w:rPr>
          <w:t>https://doi.org/10.1002/etc.5620180617</w:t>
        </w:r>
      </w:hyperlink>
      <w:r w:rsidRPr="009D5989">
        <w:rPr>
          <w:rFonts w:ascii="Times New Roman" w:eastAsia="Times New Roman" w:hAnsi="Times New Roman" w:cs="Times New Roman"/>
          <w:szCs w:val="24"/>
        </w:rPr>
        <w:t>.</w:t>
      </w:r>
    </w:p>
    <w:p w14:paraId="0E1A8C0F" w14:textId="021B6D33" w:rsidR="00852365" w:rsidRPr="009D5989" w:rsidRDefault="00852365" w:rsidP="008E36CC">
      <w:pPr>
        <w:spacing w:after="0"/>
        <w:ind w:left="475" w:hanging="475"/>
        <w:rPr>
          <w:rFonts w:ascii="Times New Roman" w:eastAsia="Times New Roman" w:hAnsi="Times New Roman" w:cs="Times New Roman"/>
          <w:szCs w:val="24"/>
        </w:rPr>
      </w:pPr>
      <w:proofErr w:type="spellStart"/>
      <w:r w:rsidRPr="00852365">
        <w:rPr>
          <w:rFonts w:ascii="Times New Roman" w:eastAsia="Times New Roman" w:hAnsi="Times New Roman" w:cs="Times New Roman"/>
          <w:szCs w:val="24"/>
        </w:rPr>
        <w:t>Juracek</w:t>
      </w:r>
      <w:proofErr w:type="spellEnd"/>
      <w:r w:rsidRPr="00852365">
        <w:rPr>
          <w:rFonts w:ascii="Times New Roman" w:eastAsia="Times New Roman" w:hAnsi="Times New Roman" w:cs="Times New Roman"/>
          <w:szCs w:val="24"/>
        </w:rPr>
        <w:t>, Kyle E. </w:t>
      </w:r>
      <w:r w:rsidRPr="00852365">
        <w:rPr>
          <w:rFonts w:ascii="Times New Roman" w:eastAsia="Times New Roman" w:hAnsi="Times New Roman" w:cs="Times New Roman"/>
          <w:i/>
          <w:iCs/>
          <w:szCs w:val="24"/>
        </w:rPr>
        <w:t>Occurrence and Variability of Mining-related Lead and Zinc in the Spring River Flood Plain and Tributary Flood Plains, Cherokee County, Kansas, 2009-11</w:t>
      </w:r>
      <w:r w:rsidRPr="00852365">
        <w:rPr>
          <w:rFonts w:ascii="Times New Roman" w:eastAsia="Times New Roman" w:hAnsi="Times New Roman" w:cs="Times New Roman"/>
          <w:szCs w:val="24"/>
        </w:rPr>
        <w:t>. US Department of the Interior, US Geological Survey, 2013.</w:t>
      </w:r>
    </w:p>
    <w:p w14:paraId="4869A59D"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Kim, </w:t>
      </w:r>
      <w:proofErr w:type="spellStart"/>
      <w:r w:rsidRPr="009D5989">
        <w:rPr>
          <w:rFonts w:ascii="Times New Roman" w:eastAsia="Times New Roman" w:hAnsi="Times New Roman" w:cs="Times New Roman"/>
          <w:szCs w:val="24"/>
        </w:rPr>
        <w:t>Jungsoo</w:t>
      </w:r>
      <w:proofErr w:type="spellEnd"/>
      <w:r w:rsidRPr="009D5989">
        <w:rPr>
          <w:rFonts w:ascii="Times New Roman" w:eastAsia="Times New Roman" w:hAnsi="Times New Roman" w:cs="Times New Roman"/>
          <w:szCs w:val="24"/>
        </w:rPr>
        <w:t>, Ju-</w:t>
      </w:r>
      <w:proofErr w:type="spellStart"/>
      <w:r w:rsidRPr="009D5989">
        <w:rPr>
          <w:rFonts w:ascii="Times New Roman" w:eastAsia="Times New Roman" w:hAnsi="Times New Roman" w:cs="Times New Roman"/>
          <w:szCs w:val="24"/>
        </w:rPr>
        <w:t>Ryul</w:t>
      </w:r>
      <w:proofErr w:type="spellEnd"/>
      <w:r w:rsidRPr="009D5989">
        <w:rPr>
          <w:rFonts w:ascii="Times New Roman" w:eastAsia="Times New Roman" w:hAnsi="Times New Roman" w:cs="Times New Roman"/>
          <w:szCs w:val="24"/>
        </w:rPr>
        <w:t xml:space="preserve"> Shin, and Tae-Hoe Koo. “Heavy Metal Distribution in Some Wild Birds from Korea.” </w:t>
      </w:r>
      <w:r w:rsidRPr="009D5989">
        <w:rPr>
          <w:rFonts w:ascii="Times New Roman" w:eastAsia="Times New Roman" w:hAnsi="Times New Roman" w:cs="Times New Roman"/>
          <w:i/>
          <w:iCs/>
          <w:szCs w:val="24"/>
        </w:rPr>
        <w:t>Archives of Environmental Contamination and Toxicology</w:t>
      </w:r>
      <w:r w:rsidRPr="009D5989">
        <w:rPr>
          <w:rFonts w:ascii="Times New Roman" w:eastAsia="Times New Roman" w:hAnsi="Times New Roman" w:cs="Times New Roman"/>
          <w:szCs w:val="24"/>
        </w:rPr>
        <w:t xml:space="preserve"> 56, no. 2 (February 2009): 317–24. </w:t>
      </w:r>
      <w:hyperlink r:id="rId45" w:history="1">
        <w:r w:rsidRPr="009D5989">
          <w:rPr>
            <w:rFonts w:ascii="Times New Roman" w:eastAsia="Times New Roman" w:hAnsi="Times New Roman" w:cs="Times New Roman"/>
            <w:szCs w:val="24"/>
          </w:rPr>
          <w:t>https://doi.org/10.1007/s00244-008-9180-z</w:t>
        </w:r>
      </w:hyperlink>
      <w:r w:rsidRPr="009D5989">
        <w:rPr>
          <w:rFonts w:ascii="Times New Roman" w:eastAsia="Times New Roman" w:hAnsi="Times New Roman" w:cs="Times New Roman"/>
          <w:szCs w:val="24"/>
        </w:rPr>
        <w:t>.</w:t>
      </w:r>
    </w:p>
    <w:p w14:paraId="180365F5" w14:textId="77777777" w:rsidR="009D5989" w:rsidRPr="009D5989" w:rsidRDefault="009D5989" w:rsidP="008E36CC">
      <w:pPr>
        <w:spacing w:after="0"/>
        <w:ind w:left="475" w:hanging="475"/>
        <w:rPr>
          <w:rFonts w:ascii="Times New Roman" w:eastAsia="Times New Roman" w:hAnsi="Times New Roman" w:cs="Times New Roman"/>
          <w:szCs w:val="24"/>
        </w:rPr>
      </w:pPr>
      <w:proofErr w:type="spellStart"/>
      <w:r w:rsidRPr="009D5989">
        <w:rPr>
          <w:rFonts w:ascii="Times New Roman" w:eastAsia="Times New Roman" w:hAnsi="Times New Roman" w:cs="Times New Roman"/>
          <w:szCs w:val="24"/>
        </w:rPr>
        <w:t>Koivula</w:t>
      </w:r>
      <w:proofErr w:type="spellEnd"/>
      <w:r w:rsidRPr="009D5989">
        <w:rPr>
          <w:rFonts w:ascii="Times New Roman" w:eastAsia="Times New Roman" w:hAnsi="Times New Roman" w:cs="Times New Roman"/>
          <w:szCs w:val="24"/>
        </w:rPr>
        <w:t xml:space="preserve">, Miia J., and </w:t>
      </w:r>
      <w:proofErr w:type="spellStart"/>
      <w:r w:rsidRPr="009D5989">
        <w:rPr>
          <w:rFonts w:ascii="Times New Roman" w:eastAsia="Times New Roman" w:hAnsi="Times New Roman" w:cs="Times New Roman"/>
          <w:szCs w:val="24"/>
        </w:rPr>
        <w:t>Tapio</w:t>
      </w:r>
      <w:proofErr w:type="spellEnd"/>
      <w:r w:rsidRPr="009D5989">
        <w:rPr>
          <w:rFonts w:ascii="Times New Roman" w:eastAsia="Times New Roman" w:hAnsi="Times New Roman" w:cs="Times New Roman"/>
          <w:szCs w:val="24"/>
        </w:rPr>
        <w:t xml:space="preserve"> </w:t>
      </w:r>
      <w:proofErr w:type="spellStart"/>
      <w:r w:rsidRPr="009D5989">
        <w:rPr>
          <w:rFonts w:ascii="Times New Roman" w:eastAsia="Times New Roman" w:hAnsi="Times New Roman" w:cs="Times New Roman"/>
          <w:szCs w:val="24"/>
        </w:rPr>
        <w:t>Eeva</w:t>
      </w:r>
      <w:proofErr w:type="spellEnd"/>
      <w:r w:rsidRPr="009D5989">
        <w:rPr>
          <w:rFonts w:ascii="Times New Roman" w:eastAsia="Times New Roman" w:hAnsi="Times New Roman" w:cs="Times New Roman"/>
          <w:szCs w:val="24"/>
        </w:rPr>
        <w:t xml:space="preserve">. “Metal-Related Oxidative Stress in Birds.” </w:t>
      </w:r>
      <w:r w:rsidRPr="009D5989">
        <w:rPr>
          <w:rFonts w:ascii="Times New Roman" w:eastAsia="Times New Roman" w:hAnsi="Times New Roman" w:cs="Times New Roman"/>
          <w:i/>
          <w:iCs/>
          <w:szCs w:val="24"/>
        </w:rPr>
        <w:t>Environmental Pollution</w:t>
      </w:r>
      <w:r w:rsidRPr="009D5989">
        <w:rPr>
          <w:rFonts w:ascii="Times New Roman" w:eastAsia="Times New Roman" w:hAnsi="Times New Roman" w:cs="Times New Roman"/>
          <w:szCs w:val="24"/>
        </w:rPr>
        <w:t xml:space="preserve"> 158, no. 7 (July 2010): 2359–70. </w:t>
      </w:r>
      <w:hyperlink r:id="rId46" w:history="1">
        <w:r w:rsidRPr="009D5989">
          <w:rPr>
            <w:rFonts w:ascii="Times New Roman" w:eastAsia="Times New Roman" w:hAnsi="Times New Roman" w:cs="Times New Roman"/>
            <w:szCs w:val="24"/>
          </w:rPr>
          <w:t>https://doi.org/10.1016/j.envpol.2010.03.013</w:t>
        </w:r>
      </w:hyperlink>
      <w:r w:rsidRPr="009D5989">
        <w:rPr>
          <w:rFonts w:ascii="Times New Roman" w:eastAsia="Times New Roman" w:hAnsi="Times New Roman" w:cs="Times New Roman"/>
          <w:szCs w:val="24"/>
        </w:rPr>
        <w:t>.</w:t>
      </w:r>
    </w:p>
    <w:p w14:paraId="0BB91073" w14:textId="61150C8D" w:rsid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Kushwaha, Sonika. “Heavy Metal Concentrations in Feathers of Critically Endangered Long-Billed Vultures (Gyps Indicus) in Bundelkhand Region, India.” </w:t>
      </w:r>
      <w:r w:rsidRPr="009D5989">
        <w:rPr>
          <w:rFonts w:ascii="Times New Roman" w:eastAsia="Times New Roman" w:hAnsi="Times New Roman" w:cs="Times New Roman"/>
          <w:i/>
          <w:iCs/>
          <w:szCs w:val="24"/>
        </w:rPr>
        <w:t>International Journal of Life-Sciences Scientific Research</w:t>
      </w:r>
      <w:r w:rsidRPr="009D5989">
        <w:rPr>
          <w:rFonts w:ascii="Times New Roman" w:eastAsia="Times New Roman" w:hAnsi="Times New Roman" w:cs="Times New Roman"/>
          <w:szCs w:val="24"/>
        </w:rPr>
        <w:t xml:space="preserve"> 2, no. 4 (July 8, 2016). </w:t>
      </w:r>
      <w:hyperlink r:id="rId47" w:history="1">
        <w:r w:rsidRPr="009D5989">
          <w:rPr>
            <w:rFonts w:ascii="Times New Roman" w:eastAsia="Times New Roman" w:hAnsi="Times New Roman" w:cs="Times New Roman"/>
            <w:szCs w:val="24"/>
          </w:rPr>
          <w:t>https://doi.org/10.21276/ijlssr.2016.2.4.9</w:t>
        </w:r>
      </w:hyperlink>
      <w:r w:rsidRPr="009D5989">
        <w:rPr>
          <w:rFonts w:ascii="Times New Roman" w:eastAsia="Times New Roman" w:hAnsi="Times New Roman" w:cs="Times New Roman"/>
          <w:szCs w:val="24"/>
        </w:rPr>
        <w:t>.</w:t>
      </w:r>
    </w:p>
    <w:p w14:paraId="7F8F79C0" w14:textId="4E90424C" w:rsidR="00153F4B" w:rsidRPr="009D5989" w:rsidRDefault="00153F4B" w:rsidP="008E36CC">
      <w:pPr>
        <w:spacing w:after="0"/>
        <w:ind w:left="475" w:hanging="475"/>
        <w:rPr>
          <w:rFonts w:ascii="Times New Roman" w:eastAsia="Times New Roman" w:hAnsi="Times New Roman" w:cs="Times New Roman"/>
          <w:szCs w:val="24"/>
        </w:rPr>
      </w:pPr>
      <w:r w:rsidRPr="00153F4B">
        <w:rPr>
          <w:rFonts w:ascii="Times New Roman" w:eastAsia="Times New Roman" w:hAnsi="Times New Roman" w:cs="Times New Roman"/>
          <w:szCs w:val="24"/>
        </w:rPr>
        <w:t xml:space="preserve">Kuznetsova, Alexandra, Per B. </w:t>
      </w:r>
      <w:proofErr w:type="spellStart"/>
      <w:r w:rsidRPr="00153F4B">
        <w:rPr>
          <w:rFonts w:ascii="Times New Roman" w:eastAsia="Times New Roman" w:hAnsi="Times New Roman" w:cs="Times New Roman"/>
          <w:szCs w:val="24"/>
        </w:rPr>
        <w:t>Brockhoff</w:t>
      </w:r>
      <w:proofErr w:type="spellEnd"/>
      <w:r w:rsidRPr="00153F4B">
        <w:rPr>
          <w:rFonts w:ascii="Times New Roman" w:eastAsia="Times New Roman" w:hAnsi="Times New Roman" w:cs="Times New Roman"/>
          <w:szCs w:val="24"/>
        </w:rPr>
        <w:t xml:space="preserve">, and Rune </w:t>
      </w:r>
      <w:proofErr w:type="spellStart"/>
      <w:r w:rsidRPr="00153F4B">
        <w:rPr>
          <w:rFonts w:ascii="Times New Roman" w:eastAsia="Times New Roman" w:hAnsi="Times New Roman" w:cs="Times New Roman"/>
          <w:szCs w:val="24"/>
        </w:rPr>
        <w:t>Haubo</w:t>
      </w:r>
      <w:proofErr w:type="spellEnd"/>
      <w:r w:rsidRPr="00153F4B">
        <w:rPr>
          <w:rFonts w:ascii="Times New Roman" w:eastAsia="Times New Roman" w:hAnsi="Times New Roman" w:cs="Times New Roman"/>
          <w:szCs w:val="24"/>
        </w:rPr>
        <w:t xml:space="preserve"> </w:t>
      </w:r>
      <w:proofErr w:type="spellStart"/>
      <w:r w:rsidRPr="00153F4B">
        <w:rPr>
          <w:rFonts w:ascii="Times New Roman" w:eastAsia="Times New Roman" w:hAnsi="Times New Roman" w:cs="Times New Roman"/>
          <w:szCs w:val="24"/>
        </w:rPr>
        <w:t>Bojesen</w:t>
      </w:r>
      <w:proofErr w:type="spellEnd"/>
      <w:r w:rsidRPr="00153F4B">
        <w:rPr>
          <w:rFonts w:ascii="Times New Roman" w:eastAsia="Times New Roman" w:hAnsi="Times New Roman" w:cs="Times New Roman"/>
          <w:szCs w:val="24"/>
        </w:rPr>
        <w:t xml:space="preserve"> Christensen. "</w:t>
      </w:r>
      <w:proofErr w:type="spellStart"/>
      <w:r w:rsidRPr="00153F4B">
        <w:rPr>
          <w:rFonts w:ascii="Times New Roman" w:eastAsia="Times New Roman" w:hAnsi="Times New Roman" w:cs="Times New Roman"/>
          <w:szCs w:val="24"/>
        </w:rPr>
        <w:t>lmerTest</w:t>
      </w:r>
      <w:proofErr w:type="spellEnd"/>
      <w:r w:rsidRPr="00153F4B">
        <w:rPr>
          <w:rFonts w:ascii="Times New Roman" w:eastAsia="Times New Roman" w:hAnsi="Times New Roman" w:cs="Times New Roman"/>
          <w:szCs w:val="24"/>
        </w:rPr>
        <w:t xml:space="preserve"> package: tests in linear mixed effects models." </w:t>
      </w:r>
      <w:r w:rsidRPr="00153F4B">
        <w:rPr>
          <w:rFonts w:ascii="Times New Roman" w:eastAsia="Times New Roman" w:hAnsi="Times New Roman" w:cs="Times New Roman"/>
          <w:i/>
          <w:iCs/>
          <w:szCs w:val="24"/>
        </w:rPr>
        <w:t>Journal of statistical software</w:t>
      </w:r>
      <w:r w:rsidRPr="00153F4B">
        <w:rPr>
          <w:rFonts w:ascii="Times New Roman" w:eastAsia="Times New Roman" w:hAnsi="Times New Roman" w:cs="Times New Roman"/>
          <w:szCs w:val="24"/>
        </w:rPr>
        <w:t> 82.13 (2017).</w:t>
      </w:r>
    </w:p>
    <w:p w14:paraId="55B8CB51"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Lester, Michael B., and Charles van Riper. “The Distribution and Extent of Heavy Metal Accumulation in Song Sparrows along Arizona’s Upper Santa Cruz River.” </w:t>
      </w:r>
      <w:r w:rsidRPr="009D5989">
        <w:rPr>
          <w:rFonts w:ascii="Times New Roman" w:eastAsia="Times New Roman" w:hAnsi="Times New Roman" w:cs="Times New Roman"/>
          <w:i/>
          <w:iCs/>
          <w:szCs w:val="24"/>
        </w:rPr>
        <w:t>Environmental Monitoring and Assessment</w:t>
      </w:r>
      <w:r w:rsidRPr="009D5989">
        <w:rPr>
          <w:rFonts w:ascii="Times New Roman" w:eastAsia="Times New Roman" w:hAnsi="Times New Roman" w:cs="Times New Roman"/>
          <w:szCs w:val="24"/>
        </w:rPr>
        <w:t xml:space="preserve"> 186, no. 8 (August 1, 2014): 4779–91. </w:t>
      </w:r>
      <w:hyperlink r:id="rId48" w:history="1">
        <w:r w:rsidRPr="009D5989">
          <w:rPr>
            <w:rFonts w:ascii="Times New Roman" w:eastAsia="Times New Roman" w:hAnsi="Times New Roman" w:cs="Times New Roman"/>
            <w:szCs w:val="24"/>
          </w:rPr>
          <w:t>https://doi.org/10.1007/s10661-014-3737-2</w:t>
        </w:r>
      </w:hyperlink>
      <w:r w:rsidRPr="009D5989">
        <w:rPr>
          <w:rFonts w:ascii="Times New Roman" w:eastAsia="Times New Roman" w:hAnsi="Times New Roman" w:cs="Times New Roman"/>
          <w:szCs w:val="24"/>
        </w:rPr>
        <w:t>.</w:t>
      </w:r>
    </w:p>
    <w:p w14:paraId="2D5CBD77"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Loehle, Craig. “Social Barriers to Pathogen Transmission in Wild Animal Populations.” </w:t>
      </w:r>
      <w:r w:rsidRPr="009D5989">
        <w:rPr>
          <w:rFonts w:ascii="Times New Roman" w:eastAsia="Times New Roman" w:hAnsi="Times New Roman" w:cs="Times New Roman"/>
          <w:i/>
          <w:iCs/>
          <w:szCs w:val="24"/>
        </w:rPr>
        <w:t>Ecology</w:t>
      </w:r>
      <w:r w:rsidRPr="009D5989">
        <w:rPr>
          <w:rFonts w:ascii="Times New Roman" w:eastAsia="Times New Roman" w:hAnsi="Times New Roman" w:cs="Times New Roman"/>
          <w:szCs w:val="24"/>
        </w:rPr>
        <w:t xml:space="preserve"> 76, no. 2 (1995): 326–35. </w:t>
      </w:r>
      <w:hyperlink r:id="rId49" w:history="1">
        <w:r w:rsidRPr="009D5989">
          <w:rPr>
            <w:rFonts w:ascii="Times New Roman" w:eastAsia="Times New Roman" w:hAnsi="Times New Roman" w:cs="Times New Roman"/>
            <w:szCs w:val="24"/>
          </w:rPr>
          <w:t>https://doi.org/10.2307/1941192</w:t>
        </w:r>
      </w:hyperlink>
      <w:r w:rsidRPr="009D5989">
        <w:rPr>
          <w:rFonts w:ascii="Times New Roman" w:eastAsia="Times New Roman" w:hAnsi="Times New Roman" w:cs="Times New Roman"/>
          <w:szCs w:val="24"/>
        </w:rPr>
        <w:t>.</w:t>
      </w:r>
    </w:p>
    <w:p w14:paraId="59DD4C4E" w14:textId="77777777" w:rsidR="009D5989" w:rsidRPr="009D5989" w:rsidRDefault="009D5989" w:rsidP="008E36CC">
      <w:pPr>
        <w:spacing w:after="0"/>
        <w:ind w:left="475" w:hanging="475"/>
        <w:rPr>
          <w:rFonts w:ascii="Times New Roman" w:eastAsia="Times New Roman" w:hAnsi="Times New Roman" w:cs="Times New Roman"/>
          <w:szCs w:val="24"/>
        </w:rPr>
      </w:pPr>
      <w:proofErr w:type="spellStart"/>
      <w:r w:rsidRPr="009D5989">
        <w:rPr>
          <w:rFonts w:ascii="Times New Roman" w:eastAsia="Times New Roman" w:hAnsi="Times New Roman" w:cs="Times New Roman"/>
          <w:szCs w:val="24"/>
        </w:rPr>
        <w:lastRenderedPageBreak/>
        <w:t>Markowski</w:t>
      </w:r>
      <w:proofErr w:type="spellEnd"/>
      <w:r w:rsidRPr="009D5989">
        <w:rPr>
          <w:rFonts w:ascii="Times New Roman" w:eastAsia="Times New Roman" w:hAnsi="Times New Roman" w:cs="Times New Roman"/>
          <w:szCs w:val="24"/>
        </w:rPr>
        <w:t xml:space="preserve">, Marcin, Adam </w:t>
      </w:r>
      <w:proofErr w:type="spellStart"/>
      <w:r w:rsidRPr="009D5989">
        <w:rPr>
          <w:rFonts w:ascii="Times New Roman" w:eastAsia="Times New Roman" w:hAnsi="Times New Roman" w:cs="Times New Roman"/>
          <w:szCs w:val="24"/>
        </w:rPr>
        <w:t>Kaliński</w:t>
      </w:r>
      <w:proofErr w:type="spellEnd"/>
      <w:r w:rsidRPr="009D5989">
        <w:rPr>
          <w:rFonts w:ascii="Times New Roman" w:eastAsia="Times New Roman" w:hAnsi="Times New Roman" w:cs="Times New Roman"/>
          <w:szCs w:val="24"/>
        </w:rPr>
        <w:t xml:space="preserve">, Joanna </w:t>
      </w:r>
      <w:proofErr w:type="spellStart"/>
      <w:r w:rsidRPr="009D5989">
        <w:rPr>
          <w:rFonts w:ascii="Times New Roman" w:eastAsia="Times New Roman" w:hAnsi="Times New Roman" w:cs="Times New Roman"/>
          <w:szCs w:val="24"/>
        </w:rPr>
        <w:t>Skwarska</w:t>
      </w:r>
      <w:proofErr w:type="spellEnd"/>
      <w:r w:rsidRPr="009D5989">
        <w:rPr>
          <w:rFonts w:ascii="Times New Roman" w:eastAsia="Times New Roman" w:hAnsi="Times New Roman" w:cs="Times New Roman"/>
          <w:szCs w:val="24"/>
        </w:rPr>
        <w:t xml:space="preserve">, </w:t>
      </w:r>
      <w:proofErr w:type="spellStart"/>
      <w:r w:rsidRPr="009D5989">
        <w:rPr>
          <w:rFonts w:ascii="Times New Roman" w:eastAsia="Times New Roman" w:hAnsi="Times New Roman" w:cs="Times New Roman"/>
          <w:szCs w:val="24"/>
        </w:rPr>
        <w:t>Jarosław</w:t>
      </w:r>
      <w:proofErr w:type="spellEnd"/>
      <w:r w:rsidRPr="009D5989">
        <w:rPr>
          <w:rFonts w:ascii="Times New Roman" w:eastAsia="Times New Roman" w:hAnsi="Times New Roman" w:cs="Times New Roman"/>
          <w:szCs w:val="24"/>
        </w:rPr>
        <w:t xml:space="preserve"> </w:t>
      </w:r>
      <w:proofErr w:type="spellStart"/>
      <w:r w:rsidRPr="009D5989">
        <w:rPr>
          <w:rFonts w:ascii="Times New Roman" w:eastAsia="Times New Roman" w:hAnsi="Times New Roman" w:cs="Times New Roman"/>
          <w:szCs w:val="24"/>
        </w:rPr>
        <w:t>Wawrzyniak</w:t>
      </w:r>
      <w:proofErr w:type="spellEnd"/>
      <w:r w:rsidRPr="009D5989">
        <w:rPr>
          <w:rFonts w:ascii="Times New Roman" w:eastAsia="Times New Roman" w:hAnsi="Times New Roman" w:cs="Times New Roman"/>
          <w:szCs w:val="24"/>
        </w:rPr>
        <w:t xml:space="preserve">, </w:t>
      </w:r>
      <w:proofErr w:type="spellStart"/>
      <w:r w:rsidRPr="009D5989">
        <w:rPr>
          <w:rFonts w:ascii="Times New Roman" w:eastAsia="Times New Roman" w:hAnsi="Times New Roman" w:cs="Times New Roman"/>
          <w:szCs w:val="24"/>
        </w:rPr>
        <w:t>Mirosława</w:t>
      </w:r>
      <w:proofErr w:type="spellEnd"/>
      <w:r w:rsidRPr="009D5989">
        <w:rPr>
          <w:rFonts w:ascii="Times New Roman" w:eastAsia="Times New Roman" w:hAnsi="Times New Roman" w:cs="Times New Roman"/>
          <w:szCs w:val="24"/>
        </w:rPr>
        <w:t xml:space="preserve"> </w:t>
      </w:r>
      <w:proofErr w:type="spellStart"/>
      <w:r w:rsidRPr="009D5989">
        <w:rPr>
          <w:rFonts w:ascii="Times New Roman" w:eastAsia="Times New Roman" w:hAnsi="Times New Roman" w:cs="Times New Roman"/>
          <w:szCs w:val="24"/>
        </w:rPr>
        <w:t>Bańbura</w:t>
      </w:r>
      <w:proofErr w:type="spellEnd"/>
      <w:r w:rsidRPr="009D5989">
        <w:rPr>
          <w:rFonts w:ascii="Times New Roman" w:eastAsia="Times New Roman" w:hAnsi="Times New Roman" w:cs="Times New Roman"/>
          <w:szCs w:val="24"/>
        </w:rPr>
        <w:t xml:space="preserve">, </w:t>
      </w:r>
      <w:proofErr w:type="spellStart"/>
      <w:r w:rsidRPr="009D5989">
        <w:rPr>
          <w:rFonts w:ascii="Times New Roman" w:eastAsia="Times New Roman" w:hAnsi="Times New Roman" w:cs="Times New Roman"/>
          <w:szCs w:val="24"/>
        </w:rPr>
        <w:t>Janusz</w:t>
      </w:r>
      <w:proofErr w:type="spellEnd"/>
      <w:r w:rsidRPr="009D5989">
        <w:rPr>
          <w:rFonts w:ascii="Times New Roman" w:eastAsia="Times New Roman" w:hAnsi="Times New Roman" w:cs="Times New Roman"/>
          <w:szCs w:val="24"/>
        </w:rPr>
        <w:t xml:space="preserve"> </w:t>
      </w:r>
      <w:proofErr w:type="spellStart"/>
      <w:r w:rsidRPr="009D5989">
        <w:rPr>
          <w:rFonts w:ascii="Times New Roman" w:eastAsia="Times New Roman" w:hAnsi="Times New Roman" w:cs="Times New Roman"/>
          <w:szCs w:val="24"/>
        </w:rPr>
        <w:t>Markowski</w:t>
      </w:r>
      <w:proofErr w:type="spellEnd"/>
      <w:r w:rsidRPr="009D5989">
        <w:rPr>
          <w:rFonts w:ascii="Times New Roman" w:eastAsia="Times New Roman" w:hAnsi="Times New Roman" w:cs="Times New Roman"/>
          <w:szCs w:val="24"/>
        </w:rPr>
        <w:t xml:space="preserve">, Piotr </w:t>
      </w:r>
      <w:proofErr w:type="spellStart"/>
      <w:r w:rsidRPr="009D5989">
        <w:rPr>
          <w:rFonts w:ascii="Times New Roman" w:eastAsia="Times New Roman" w:hAnsi="Times New Roman" w:cs="Times New Roman"/>
          <w:szCs w:val="24"/>
        </w:rPr>
        <w:t>Zieliński</w:t>
      </w:r>
      <w:proofErr w:type="spellEnd"/>
      <w:r w:rsidRPr="009D5989">
        <w:rPr>
          <w:rFonts w:ascii="Times New Roman" w:eastAsia="Times New Roman" w:hAnsi="Times New Roman" w:cs="Times New Roman"/>
          <w:szCs w:val="24"/>
        </w:rPr>
        <w:t xml:space="preserve">, and Jerzy </w:t>
      </w:r>
      <w:proofErr w:type="spellStart"/>
      <w:r w:rsidRPr="009D5989">
        <w:rPr>
          <w:rFonts w:ascii="Times New Roman" w:eastAsia="Times New Roman" w:hAnsi="Times New Roman" w:cs="Times New Roman"/>
          <w:szCs w:val="24"/>
        </w:rPr>
        <w:t>Bańbura</w:t>
      </w:r>
      <w:proofErr w:type="spellEnd"/>
      <w:r w:rsidRPr="009D5989">
        <w:rPr>
          <w:rFonts w:ascii="Times New Roman" w:eastAsia="Times New Roman" w:hAnsi="Times New Roman" w:cs="Times New Roman"/>
          <w:szCs w:val="24"/>
        </w:rPr>
        <w:t xml:space="preserve">. “Avian Feathers as Bioindicators of the Exposure to Heavy Metal Contamination of Food.” </w:t>
      </w:r>
      <w:r w:rsidRPr="009D5989">
        <w:rPr>
          <w:rFonts w:ascii="Times New Roman" w:eastAsia="Times New Roman" w:hAnsi="Times New Roman" w:cs="Times New Roman"/>
          <w:i/>
          <w:iCs/>
          <w:szCs w:val="24"/>
        </w:rPr>
        <w:t>Bulletin of Environmental Contamination and Toxicology</w:t>
      </w:r>
      <w:r w:rsidRPr="009D5989">
        <w:rPr>
          <w:rFonts w:ascii="Times New Roman" w:eastAsia="Times New Roman" w:hAnsi="Times New Roman" w:cs="Times New Roman"/>
          <w:szCs w:val="24"/>
        </w:rPr>
        <w:t xml:space="preserve"> 91, no. 3 (September 2013): 302–5. </w:t>
      </w:r>
      <w:hyperlink r:id="rId50" w:history="1">
        <w:r w:rsidRPr="009D5989">
          <w:rPr>
            <w:rFonts w:ascii="Times New Roman" w:eastAsia="Times New Roman" w:hAnsi="Times New Roman" w:cs="Times New Roman"/>
            <w:szCs w:val="24"/>
          </w:rPr>
          <w:t>https://doi.org/10.1007/s00128-013-1065-9</w:t>
        </w:r>
      </w:hyperlink>
      <w:r w:rsidRPr="009D5989">
        <w:rPr>
          <w:rFonts w:ascii="Times New Roman" w:eastAsia="Times New Roman" w:hAnsi="Times New Roman" w:cs="Times New Roman"/>
          <w:szCs w:val="24"/>
        </w:rPr>
        <w:t>.</w:t>
      </w:r>
    </w:p>
    <w:p w14:paraId="3CE30C2C"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Noonan, Curtis W., Steven J. </w:t>
      </w:r>
      <w:proofErr w:type="spellStart"/>
      <w:r w:rsidRPr="009D5989">
        <w:rPr>
          <w:rFonts w:ascii="Times New Roman" w:eastAsia="Times New Roman" w:hAnsi="Times New Roman" w:cs="Times New Roman"/>
          <w:szCs w:val="24"/>
        </w:rPr>
        <w:t>Kathman</w:t>
      </w:r>
      <w:proofErr w:type="spellEnd"/>
      <w:r w:rsidRPr="009D5989">
        <w:rPr>
          <w:rFonts w:ascii="Times New Roman" w:eastAsia="Times New Roman" w:hAnsi="Times New Roman" w:cs="Times New Roman"/>
          <w:szCs w:val="24"/>
        </w:rPr>
        <w:t xml:space="preserve">, Sara M. </w:t>
      </w:r>
      <w:proofErr w:type="spellStart"/>
      <w:r w:rsidRPr="009D5989">
        <w:rPr>
          <w:rFonts w:ascii="Times New Roman" w:eastAsia="Times New Roman" w:hAnsi="Times New Roman" w:cs="Times New Roman"/>
          <w:szCs w:val="24"/>
        </w:rPr>
        <w:t>Sarasua</w:t>
      </w:r>
      <w:proofErr w:type="spellEnd"/>
      <w:r w:rsidRPr="009D5989">
        <w:rPr>
          <w:rFonts w:ascii="Times New Roman" w:eastAsia="Times New Roman" w:hAnsi="Times New Roman" w:cs="Times New Roman"/>
          <w:szCs w:val="24"/>
        </w:rPr>
        <w:t xml:space="preserve">, and Mary C. White. “Influence of Environmental Zinc on the Association between Environmental and Biological Measures of Lead in Children.” </w:t>
      </w:r>
      <w:r w:rsidRPr="009D5989">
        <w:rPr>
          <w:rFonts w:ascii="Times New Roman" w:eastAsia="Times New Roman" w:hAnsi="Times New Roman" w:cs="Times New Roman"/>
          <w:i/>
          <w:iCs/>
          <w:szCs w:val="24"/>
        </w:rPr>
        <w:t>Journal of Exposure Science &amp; Environmental Epidemiology</w:t>
      </w:r>
      <w:r w:rsidRPr="009D5989">
        <w:rPr>
          <w:rFonts w:ascii="Times New Roman" w:eastAsia="Times New Roman" w:hAnsi="Times New Roman" w:cs="Times New Roman"/>
          <w:szCs w:val="24"/>
        </w:rPr>
        <w:t xml:space="preserve"> 13, no. 4 (July 2003): 318–23. </w:t>
      </w:r>
      <w:hyperlink r:id="rId51" w:history="1">
        <w:r w:rsidRPr="009D5989">
          <w:rPr>
            <w:rFonts w:ascii="Times New Roman" w:eastAsia="Times New Roman" w:hAnsi="Times New Roman" w:cs="Times New Roman"/>
            <w:szCs w:val="24"/>
          </w:rPr>
          <w:t>https://doi.org/10.1038/sj.jea.7500286</w:t>
        </w:r>
      </w:hyperlink>
      <w:r w:rsidRPr="009D5989">
        <w:rPr>
          <w:rFonts w:ascii="Times New Roman" w:eastAsia="Times New Roman" w:hAnsi="Times New Roman" w:cs="Times New Roman"/>
          <w:szCs w:val="24"/>
        </w:rPr>
        <w:t>.</w:t>
      </w:r>
    </w:p>
    <w:p w14:paraId="6D56D41D" w14:textId="77777777" w:rsidR="009D5989" w:rsidRPr="009D5989" w:rsidRDefault="009D5989" w:rsidP="008E36CC">
      <w:pPr>
        <w:spacing w:after="0"/>
        <w:ind w:left="475" w:hanging="475"/>
        <w:rPr>
          <w:rFonts w:ascii="Times New Roman" w:eastAsia="Times New Roman" w:hAnsi="Times New Roman" w:cs="Times New Roman"/>
          <w:szCs w:val="24"/>
        </w:rPr>
      </w:pPr>
      <w:r w:rsidRPr="009D5989">
        <w:rPr>
          <w:rFonts w:ascii="Times New Roman" w:eastAsia="Times New Roman" w:hAnsi="Times New Roman" w:cs="Times New Roman"/>
          <w:szCs w:val="24"/>
        </w:rPr>
        <w:t xml:space="preserve">Pain, Deborah. “A Global Update of Lead Poisoning in Terrestrial Birds from Ammunition Sources.” In </w:t>
      </w:r>
      <w:r w:rsidRPr="009D5989">
        <w:rPr>
          <w:rFonts w:ascii="Times New Roman" w:eastAsia="Times New Roman" w:hAnsi="Times New Roman" w:cs="Times New Roman"/>
          <w:i/>
          <w:iCs/>
          <w:szCs w:val="24"/>
        </w:rPr>
        <w:t>Ingestion of Lead from Spent Ammunition: Implications for Wildlife and Humans</w:t>
      </w:r>
      <w:r w:rsidRPr="009D5989">
        <w:rPr>
          <w:rFonts w:ascii="Times New Roman" w:eastAsia="Times New Roman" w:hAnsi="Times New Roman" w:cs="Times New Roman"/>
          <w:szCs w:val="24"/>
        </w:rPr>
        <w:t xml:space="preserve">. The Peregrine Fund, 2009. </w:t>
      </w:r>
      <w:hyperlink r:id="rId52" w:history="1">
        <w:r w:rsidRPr="009D5989">
          <w:rPr>
            <w:rFonts w:ascii="Times New Roman" w:eastAsia="Times New Roman" w:hAnsi="Times New Roman" w:cs="Times New Roman"/>
            <w:szCs w:val="24"/>
          </w:rPr>
          <w:t>https://doi.org/10.4080/ilsa.2009.0108</w:t>
        </w:r>
      </w:hyperlink>
      <w:r w:rsidRPr="009D5989">
        <w:rPr>
          <w:rFonts w:ascii="Times New Roman" w:eastAsia="Times New Roman" w:hAnsi="Times New Roman" w:cs="Times New Roman"/>
          <w:szCs w:val="24"/>
        </w:rPr>
        <w:t>.</w:t>
      </w:r>
    </w:p>
    <w:p w14:paraId="09273981" w14:textId="1AD5FF95" w:rsidR="00F611A1" w:rsidRDefault="00F611A1" w:rsidP="008E36CC">
      <w:pPr>
        <w:spacing w:after="0"/>
        <w:ind w:left="475" w:hanging="475"/>
        <w:rPr>
          <w:rFonts w:ascii="Times New Roman" w:eastAsia="Times New Roman" w:hAnsi="Times New Roman" w:cs="Times New Roman"/>
          <w:szCs w:val="24"/>
        </w:rPr>
      </w:pPr>
      <w:r w:rsidRPr="00F611A1">
        <w:rPr>
          <w:rFonts w:ascii="Times New Roman" w:eastAsia="Times New Roman" w:hAnsi="Times New Roman" w:cs="Times New Roman"/>
          <w:szCs w:val="24"/>
        </w:rPr>
        <w:t xml:space="preserve">Paris, Josephine R., R. Andrew King, and Jamie R. Stevens. “Human Mining Activity across the Ages Determines the Genetic Structure of Modern Brown Trout (Salmo </w:t>
      </w:r>
      <w:proofErr w:type="spellStart"/>
      <w:r w:rsidRPr="00F611A1">
        <w:rPr>
          <w:rFonts w:ascii="Times New Roman" w:eastAsia="Times New Roman" w:hAnsi="Times New Roman" w:cs="Times New Roman"/>
          <w:szCs w:val="24"/>
        </w:rPr>
        <w:t>Trutta</w:t>
      </w:r>
      <w:proofErr w:type="spellEnd"/>
      <w:r w:rsidRPr="00F611A1">
        <w:rPr>
          <w:rFonts w:ascii="Times New Roman" w:eastAsia="Times New Roman" w:hAnsi="Times New Roman" w:cs="Times New Roman"/>
          <w:szCs w:val="24"/>
        </w:rPr>
        <w:t xml:space="preserve"> L.) Populations.” </w:t>
      </w:r>
      <w:r w:rsidRPr="00F611A1">
        <w:rPr>
          <w:rFonts w:ascii="Times New Roman" w:eastAsia="Times New Roman" w:hAnsi="Times New Roman" w:cs="Times New Roman"/>
          <w:i/>
          <w:iCs/>
          <w:szCs w:val="24"/>
        </w:rPr>
        <w:t>Evolutionary Applications</w:t>
      </w:r>
      <w:r w:rsidRPr="00F611A1">
        <w:rPr>
          <w:rFonts w:ascii="Times New Roman" w:eastAsia="Times New Roman" w:hAnsi="Times New Roman" w:cs="Times New Roman"/>
          <w:szCs w:val="24"/>
        </w:rPr>
        <w:t xml:space="preserve"> 8, no. 6 (2015): 573–85. </w:t>
      </w:r>
      <w:hyperlink r:id="rId53" w:history="1">
        <w:r w:rsidRPr="00F611A1">
          <w:rPr>
            <w:rFonts w:ascii="Times New Roman" w:eastAsia="Times New Roman" w:hAnsi="Times New Roman" w:cs="Times New Roman"/>
            <w:szCs w:val="24"/>
          </w:rPr>
          <w:t>https://doi.org/10.1111/eva.12266</w:t>
        </w:r>
      </w:hyperlink>
      <w:r w:rsidRPr="00F611A1">
        <w:rPr>
          <w:rFonts w:ascii="Times New Roman" w:eastAsia="Times New Roman" w:hAnsi="Times New Roman" w:cs="Times New Roman"/>
          <w:szCs w:val="24"/>
        </w:rPr>
        <w:t>.</w:t>
      </w:r>
    </w:p>
    <w:p w14:paraId="1EBAC1FC" w14:textId="2DF20147" w:rsidR="005D0B20" w:rsidRDefault="005D0B20" w:rsidP="008E36CC">
      <w:pPr>
        <w:spacing w:after="0"/>
        <w:ind w:left="475" w:hanging="475"/>
        <w:rPr>
          <w:rFonts w:ascii="Times New Roman" w:eastAsia="Times New Roman" w:hAnsi="Times New Roman" w:cs="Times New Roman"/>
          <w:szCs w:val="24"/>
        </w:rPr>
      </w:pPr>
      <w:proofErr w:type="spellStart"/>
      <w:r w:rsidRPr="005D0B20">
        <w:rPr>
          <w:rFonts w:ascii="Times New Roman" w:eastAsia="Times New Roman" w:hAnsi="Times New Roman" w:cs="Times New Roman"/>
          <w:szCs w:val="24"/>
        </w:rPr>
        <w:t>Pattee</w:t>
      </w:r>
      <w:proofErr w:type="spellEnd"/>
      <w:r w:rsidRPr="005D0B20">
        <w:rPr>
          <w:rFonts w:ascii="Times New Roman" w:eastAsia="Times New Roman" w:hAnsi="Times New Roman" w:cs="Times New Roman"/>
          <w:szCs w:val="24"/>
        </w:rPr>
        <w:t>, Oliver H., and Deborah J. Pain. "Lead in the environment." </w:t>
      </w:r>
      <w:r w:rsidRPr="005D0B20">
        <w:rPr>
          <w:rFonts w:ascii="Times New Roman" w:eastAsia="Times New Roman" w:hAnsi="Times New Roman" w:cs="Times New Roman"/>
          <w:i/>
          <w:iCs/>
          <w:szCs w:val="24"/>
        </w:rPr>
        <w:t>Handbook of ecotoxicology</w:t>
      </w:r>
      <w:r w:rsidRPr="005D0B20">
        <w:rPr>
          <w:rFonts w:ascii="Times New Roman" w:eastAsia="Times New Roman" w:hAnsi="Times New Roman" w:cs="Times New Roman"/>
          <w:szCs w:val="24"/>
        </w:rPr>
        <w:t> 2 (2003): 373-399.</w:t>
      </w:r>
    </w:p>
    <w:p w14:paraId="3827DADC" w14:textId="21924997" w:rsidR="00CD4423" w:rsidRPr="00F611A1" w:rsidRDefault="00CD4423" w:rsidP="008E36CC">
      <w:pPr>
        <w:spacing w:after="0"/>
        <w:ind w:left="475" w:hanging="475"/>
        <w:rPr>
          <w:rFonts w:ascii="Times New Roman" w:eastAsia="Times New Roman" w:hAnsi="Times New Roman" w:cs="Times New Roman"/>
          <w:szCs w:val="24"/>
        </w:rPr>
      </w:pPr>
      <w:proofErr w:type="spellStart"/>
      <w:r w:rsidRPr="00CD4423">
        <w:rPr>
          <w:rFonts w:ascii="Times New Roman" w:eastAsia="Times New Roman" w:hAnsi="Times New Roman" w:cs="Times New Roman"/>
          <w:szCs w:val="24"/>
        </w:rPr>
        <w:t>Pennisi</w:t>
      </w:r>
      <w:proofErr w:type="spellEnd"/>
      <w:r w:rsidRPr="00CD4423">
        <w:rPr>
          <w:rFonts w:ascii="Times New Roman" w:eastAsia="Times New Roman" w:hAnsi="Times New Roman" w:cs="Times New Roman"/>
          <w:szCs w:val="24"/>
        </w:rPr>
        <w:t>, Elizabeth. "Billions of North American birds have vanished." (2019): 1228-1229.</w:t>
      </w:r>
    </w:p>
    <w:p w14:paraId="40D5C3EF" w14:textId="77777777" w:rsidR="00F611A1" w:rsidRPr="00F611A1" w:rsidRDefault="00F611A1" w:rsidP="008E36CC">
      <w:pPr>
        <w:spacing w:after="0"/>
        <w:ind w:left="475" w:hanging="475"/>
        <w:rPr>
          <w:rFonts w:ascii="Times New Roman" w:eastAsia="Times New Roman" w:hAnsi="Times New Roman" w:cs="Times New Roman"/>
          <w:szCs w:val="24"/>
        </w:rPr>
      </w:pPr>
      <w:r w:rsidRPr="00F611A1">
        <w:rPr>
          <w:rFonts w:ascii="Times New Roman" w:eastAsia="Times New Roman" w:hAnsi="Times New Roman" w:cs="Times New Roman"/>
          <w:szCs w:val="24"/>
        </w:rPr>
        <w:t>Phelps, Kendra Lyn. “ECOLOGICAL CHARACTERISTICS OF SMALL MAMMAL COMMUNITIES INHABITING TAR CREEK SUPERFUND SITE, OKLAHOMA,” n.d., 89.</w:t>
      </w:r>
    </w:p>
    <w:p w14:paraId="63CA78E5" w14:textId="77777777" w:rsidR="00F611A1" w:rsidRPr="00F611A1" w:rsidRDefault="00F611A1" w:rsidP="008E36CC">
      <w:pPr>
        <w:spacing w:after="0"/>
        <w:ind w:left="475" w:hanging="475"/>
        <w:rPr>
          <w:rFonts w:ascii="Times New Roman" w:eastAsia="Times New Roman" w:hAnsi="Times New Roman" w:cs="Times New Roman"/>
          <w:szCs w:val="24"/>
        </w:rPr>
      </w:pPr>
      <w:r w:rsidRPr="00F611A1">
        <w:rPr>
          <w:rFonts w:ascii="Times New Roman" w:eastAsia="Times New Roman" w:hAnsi="Times New Roman" w:cs="Times New Roman"/>
          <w:szCs w:val="24"/>
        </w:rPr>
        <w:lastRenderedPageBreak/>
        <w:t xml:space="preserve">Poulin, Robert, Gerard P. </w:t>
      </w:r>
      <w:proofErr w:type="spellStart"/>
      <w:r w:rsidRPr="00F611A1">
        <w:rPr>
          <w:rFonts w:ascii="Times New Roman" w:eastAsia="Times New Roman" w:hAnsi="Times New Roman" w:cs="Times New Roman"/>
          <w:szCs w:val="24"/>
        </w:rPr>
        <w:t>Closs</w:t>
      </w:r>
      <w:proofErr w:type="spellEnd"/>
      <w:r w:rsidRPr="00F611A1">
        <w:rPr>
          <w:rFonts w:ascii="Times New Roman" w:eastAsia="Times New Roman" w:hAnsi="Times New Roman" w:cs="Times New Roman"/>
          <w:szCs w:val="24"/>
        </w:rPr>
        <w:t xml:space="preserve">, Adrian W. T. </w:t>
      </w:r>
      <w:proofErr w:type="spellStart"/>
      <w:r w:rsidRPr="00F611A1">
        <w:rPr>
          <w:rFonts w:ascii="Times New Roman" w:eastAsia="Times New Roman" w:hAnsi="Times New Roman" w:cs="Times New Roman"/>
          <w:szCs w:val="24"/>
        </w:rPr>
        <w:t>Lill</w:t>
      </w:r>
      <w:proofErr w:type="spellEnd"/>
      <w:r w:rsidRPr="00F611A1">
        <w:rPr>
          <w:rFonts w:ascii="Times New Roman" w:eastAsia="Times New Roman" w:hAnsi="Times New Roman" w:cs="Times New Roman"/>
          <w:szCs w:val="24"/>
        </w:rPr>
        <w:t xml:space="preserve">, Andy S. Hicks, Kristin K. Herrmann, and David W. Kelly. “Migration as an Escape from Parasitism in New Zealand Galaxiid Fishes.” </w:t>
      </w:r>
      <w:proofErr w:type="spellStart"/>
      <w:r w:rsidRPr="00F611A1">
        <w:rPr>
          <w:rFonts w:ascii="Times New Roman" w:eastAsia="Times New Roman" w:hAnsi="Times New Roman" w:cs="Times New Roman"/>
          <w:i/>
          <w:iCs/>
          <w:szCs w:val="24"/>
        </w:rPr>
        <w:t>Oecologia</w:t>
      </w:r>
      <w:proofErr w:type="spellEnd"/>
      <w:r w:rsidRPr="00F611A1">
        <w:rPr>
          <w:rFonts w:ascii="Times New Roman" w:eastAsia="Times New Roman" w:hAnsi="Times New Roman" w:cs="Times New Roman"/>
          <w:szCs w:val="24"/>
        </w:rPr>
        <w:t xml:space="preserve"> 169, no. 4 (August 1, 2012): 955–63. </w:t>
      </w:r>
      <w:hyperlink r:id="rId54" w:history="1">
        <w:r w:rsidRPr="00F611A1">
          <w:rPr>
            <w:rFonts w:ascii="Times New Roman" w:eastAsia="Times New Roman" w:hAnsi="Times New Roman" w:cs="Times New Roman"/>
            <w:szCs w:val="24"/>
          </w:rPr>
          <w:t>https://doi.org/10.1007/s00442-012-2251-x</w:t>
        </w:r>
      </w:hyperlink>
      <w:r w:rsidRPr="00F611A1">
        <w:rPr>
          <w:rFonts w:ascii="Times New Roman" w:eastAsia="Times New Roman" w:hAnsi="Times New Roman" w:cs="Times New Roman"/>
          <w:szCs w:val="24"/>
        </w:rPr>
        <w:t>.</w:t>
      </w:r>
    </w:p>
    <w:p w14:paraId="698CD78F" w14:textId="77777777" w:rsidR="00F611A1" w:rsidRPr="00F611A1" w:rsidRDefault="00F611A1" w:rsidP="008E36CC">
      <w:pPr>
        <w:spacing w:after="0"/>
        <w:ind w:left="475" w:hanging="475"/>
        <w:rPr>
          <w:rFonts w:ascii="Times New Roman" w:eastAsia="Times New Roman" w:hAnsi="Times New Roman" w:cs="Times New Roman"/>
          <w:szCs w:val="24"/>
        </w:rPr>
      </w:pPr>
      <w:r w:rsidRPr="00F611A1">
        <w:rPr>
          <w:rFonts w:ascii="Times New Roman" w:eastAsia="Times New Roman" w:hAnsi="Times New Roman" w:cs="Times New Roman"/>
          <w:szCs w:val="24"/>
        </w:rPr>
        <w:t xml:space="preserve">Saxena, D. K., R. C. Murthy, C. Singh, and S. V. Chandra. “Zinc Protects Testicular Injury Induced by Concurrent Exposure to Cadmium and Lead in Rats.” </w:t>
      </w:r>
      <w:r w:rsidRPr="00F611A1">
        <w:rPr>
          <w:rFonts w:ascii="Times New Roman" w:eastAsia="Times New Roman" w:hAnsi="Times New Roman" w:cs="Times New Roman"/>
          <w:i/>
          <w:iCs/>
          <w:szCs w:val="24"/>
        </w:rPr>
        <w:t>Research Communications in Chemical Pathology and Pharmacology</w:t>
      </w:r>
      <w:r w:rsidRPr="00F611A1">
        <w:rPr>
          <w:rFonts w:ascii="Times New Roman" w:eastAsia="Times New Roman" w:hAnsi="Times New Roman" w:cs="Times New Roman"/>
          <w:szCs w:val="24"/>
        </w:rPr>
        <w:t xml:space="preserve"> 64, no. 2 (May 1989): 317–29.</w:t>
      </w:r>
    </w:p>
    <w:p w14:paraId="5B367824" w14:textId="77777777" w:rsidR="00F611A1" w:rsidRPr="00F611A1" w:rsidRDefault="00F611A1" w:rsidP="008E36CC">
      <w:pPr>
        <w:spacing w:after="0"/>
        <w:ind w:left="475" w:hanging="475"/>
        <w:rPr>
          <w:rFonts w:ascii="Times New Roman" w:eastAsia="Times New Roman" w:hAnsi="Times New Roman" w:cs="Times New Roman"/>
          <w:szCs w:val="24"/>
        </w:rPr>
      </w:pPr>
      <w:r w:rsidRPr="00F611A1">
        <w:rPr>
          <w:rFonts w:ascii="Times New Roman" w:eastAsia="Times New Roman" w:hAnsi="Times New Roman" w:cs="Times New Roman"/>
          <w:szCs w:val="24"/>
        </w:rPr>
        <w:t xml:space="preserve">Shaw, Allison K., and Sandra A. Binning. “Recovery from Infection Is More Likely to </w:t>
      </w:r>
      <w:proofErr w:type="spellStart"/>
      <w:r w:rsidRPr="00F611A1">
        <w:rPr>
          <w:rFonts w:ascii="Times New Roman" w:eastAsia="Times New Roman" w:hAnsi="Times New Roman" w:cs="Times New Roman"/>
          <w:szCs w:val="24"/>
        </w:rPr>
        <w:t>Favour</w:t>
      </w:r>
      <w:proofErr w:type="spellEnd"/>
      <w:r w:rsidRPr="00F611A1">
        <w:rPr>
          <w:rFonts w:ascii="Times New Roman" w:eastAsia="Times New Roman" w:hAnsi="Times New Roman" w:cs="Times New Roman"/>
          <w:szCs w:val="24"/>
        </w:rPr>
        <w:t xml:space="preserve"> the Evolution of Migration than Social Escape from Infection.” </w:t>
      </w:r>
      <w:r w:rsidRPr="00F611A1">
        <w:rPr>
          <w:rFonts w:ascii="Times New Roman" w:eastAsia="Times New Roman" w:hAnsi="Times New Roman" w:cs="Times New Roman"/>
          <w:i/>
          <w:iCs/>
          <w:szCs w:val="24"/>
        </w:rPr>
        <w:t>Journal of Animal Ecology</w:t>
      </w:r>
      <w:r w:rsidRPr="00F611A1">
        <w:rPr>
          <w:rFonts w:ascii="Times New Roman" w:eastAsia="Times New Roman" w:hAnsi="Times New Roman" w:cs="Times New Roman"/>
          <w:szCs w:val="24"/>
        </w:rPr>
        <w:t xml:space="preserve"> n/a, no. n/a. Accessed March 30, 2020. </w:t>
      </w:r>
      <w:hyperlink r:id="rId55" w:history="1">
        <w:r w:rsidRPr="00F611A1">
          <w:rPr>
            <w:rFonts w:ascii="Times New Roman" w:eastAsia="Times New Roman" w:hAnsi="Times New Roman" w:cs="Times New Roman"/>
            <w:szCs w:val="24"/>
          </w:rPr>
          <w:t>https://doi.org/10.1111/1365-2656.13195</w:t>
        </w:r>
      </w:hyperlink>
      <w:r w:rsidRPr="00F611A1">
        <w:rPr>
          <w:rFonts w:ascii="Times New Roman" w:eastAsia="Times New Roman" w:hAnsi="Times New Roman" w:cs="Times New Roman"/>
          <w:szCs w:val="24"/>
        </w:rPr>
        <w:t>.</w:t>
      </w:r>
    </w:p>
    <w:p w14:paraId="5EECB1FE" w14:textId="77777777" w:rsidR="001724F0" w:rsidRPr="00F611A1" w:rsidRDefault="001724F0" w:rsidP="001724F0">
      <w:pPr>
        <w:spacing w:after="0"/>
        <w:ind w:left="475" w:hanging="475"/>
        <w:rPr>
          <w:rFonts w:ascii="Times New Roman" w:eastAsia="Times New Roman" w:hAnsi="Times New Roman" w:cs="Times New Roman"/>
          <w:szCs w:val="24"/>
        </w:rPr>
      </w:pPr>
      <w:proofErr w:type="spellStart"/>
      <w:r w:rsidRPr="00F611A1">
        <w:rPr>
          <w:rFonts w:ascii="Times New Roman" w:eastAsia="Times New Roman" w:hAnsi="Times New Roman" w:cs="Times New Roman"/>
          <w:szCs w:val="24"/>
        </w:rPr>
        <w:t>Slabe</w:t>
      </w:r>
      <w:proofErr w:type="spellEnd"/>
      <w:r w:rsidRPr="00F611A1">
        <w:rPr>
          <w:rFonts w:ascii="Times New Roman" w:eastAsia="Times New Roman" w:hAnsi="Times New Roman" w:cs="Times New Roman"/>
          <w:szCs w:val="24"/>
        </w:rPr>
        <w:t xml:space="preserve">, Vincent A., James T. Anderson, Jeff Cooper, Patricia Ortiz, Anna Wrona, Meghan K. Jensen, John </w:t>
      </w:r>
      <w:proofErr w:type="spellStart"/>
      <w:r w:rsidRPr="00F611A1">
        <w:rPr>
          <w:rFonts w:ascii="Times New Roman" w:eastAsia="Times New Roman" w:hAnsi="Times New Roman" w:cs="Times New Roman"/>
          <w:szCs w:val="24"/>
        </w:rPr>
        <w:t>Buchweitz</w:t>
      </w:r>
      <w:proofErr w:type="spellEnd"/>
      <w:r w:rsidRPr="00F611A1">
        <w:rPr>
          <w:rFonts w:ascii="Times New Roman" w:eastAsia="Times New Roman" w:hAnsi="Times New Roman" w:cs="Times New Roman"/>
          <w:szCs w:val="24"/>
        </w:rPr>
        <w:t xml:space="preserve">, and Todd </w:t>
      </w:r>
      <w:proofErr w:type="spellStart"/>
      <w:r w:rsidRPr="00F611A1">
        <w:rPr>
          <w:rFonts w:ascii="Times New Roman" w:eastAsia="Times New Roman" w:hAnsi="Times New Roman" w:cs="Times New Roman"/>
          <w:szCs w:val="24"/>
        </w:rPr>
        <w:t>Katzner</w:t>
      </w:r>
      <w:proofErr w:type="spellEnd"/>
      <w:r w:rsidRPr="00F611A1">
        <w:rPr>
          <w:rFonts w:ascii="Times New Roman" w:eastAsia="Times New Roman" w:hAnsi="Times New Roman" w:cs="Times New Roman"/>
          <w:szCs w:val="24"/>
        </w:rPr>
        <w:t xml:space="preserve">. “Lead Exposure of Red-Shouldered Hawks During the Breeding Season in the Central Appalachians, USA.” </w:t>
      </w:r>
      <w:r w:rsidRPr="00F611A1">
        <w:rPr>
          <w:rFonts w:ascii="Times New Roman" w:eastAsia="Times New Roman" w:hAnsi="Times New Roman" w:cs="Times New Roman"/>
          <w:i/>
          <w:iCs/>
          <w:szCs w:val="24"/>
        </w:rPr>
        <w:t>Bulletin of Environmental Contamination and Toxicology</w:t>
      </w:r>
      <w:r w:rsidRPr="00F611A1">
        <w:rPr>
          <w:rFonts w:ascii="Times New Roman" w:eastAsia="Times New Roman" w:hAnsi="Times New Roman" w:cs="Times New Roman"/>
          <w:szCs w:val="24"/>
        </w:rPr>
        <w:t xml:space="preserve"> 103, no. 6 (December 1, 2019): 783–88. </w:t>
      </w:r>
      <w:hyperlink r:id="rId56" w:history="1">
        <w:r w:rsidRPr="00F611A1">
          <w:rPr>
            <w:rFonts w:ascii="Times New Roman" w:eastAsia="Times New Roman" w:hAnsi="Times New Roman" w:cs="Times New Roman"/>
            <w:szCs w:val="24"/>
          </w:rPr>
          <w:t>https://doi.org/10.1007/s00128-019-02732-9</w:t>
        </w:r>
      </w:hyperlink>
      <w:r w:rsidRPr="00F611A1">
        <w:rPr>
          <w:rFonts w:ascii="Times New Roman" w:eastAsia="Times New Roman" w:hAnsi="Times New Roman" w:cs="Times New Roman"/>
          <w:szCs w:val="24"/>
        </w:rPr>
        <w:t>.</w:t>
      </w:r>
    </w:p>
    <w:p w14:paraId="53ABEC32" w14:textId="77777777" w:rsidR="00F611A1" w:rsidRPr="00F611A1" w:rsidRDefault="00F611A1" w:rsidP="008E36CC">
      <w:pPr>
        <w:spacing w:after="0"/>
        <w:ind w:left="475" w:hanging="475"/>
        <w:rPr>
          <w:rFonts w:ascii="Times New Roman" w:eastAsia="Times New Roman" w:hAnsi="Times New Roman" w:cs="Times New Roman"/>
          <w:szCs w:val="24"/>
        </w:rPr>
      </w:pPr>
      <w:proofErr w:type="spellStart"/>
      <w:r w:rsidRPr="00F611A1">
        <w:rPr>
          <w:rFonts w:ascii="Times New Roman" w:eastAsia="Times New Roman" w:hAnsi="Times New Roman" w:cs="Times New Roman"/>
          <w:szCs w:val="24"/>
        </w:rPr>
        <w:t>Slabe</w:t>
      </w:r>
      <w:proofErr w:type="spellEnd"/>
      <w:r w:rsidRPr="00F611A1">
        <w:rPr>
          <w:rFonts w:ascii="Times New Roman" w:eastAsia="Times New Roman" w:hAnsi="Times New Roman" w:cs="Times New Roman"/>
          <w:szCs w:val="24"/>
        </w:rPr>
        <w:t xml:space="preserve">, Vincent A., James T. Anderson, Jeff Cooper, Tricia A. Miller, Bracken Brown, Anna Wrona, Patricia Ortiz, et al. “Feeding Ecology Drives Lead Exposure of Facultative and Obligate Avian Scavengers in the Eastern United States.” </w:t>
      </w:r>
      <w:r w:rsidRPr="00F611A1">
        <w:rPr>
          <w:rFonts w:ascii="Times New Roman" w:eastAsia="Times New Roman" w:hAnsi="Times New Roman" w:cs="Times New Roman"/>
          <w:i/>
          <w:iCs/>
          <w:szCs w:val="24"/>
        </w:rPr>
        <w:t>Environmental Toxicology and Chemistry</w:t>
      </w:r>
      <w:r w:rsidRPr="00F611A1">
        <w:rPr>
          <w:rFonts w:ascii="Times New Roman" w:eastAsia="Times New Roman" w:hAnsi="Times New Roman" w:cs="Times New Roman"/>
          <w:szCs w:val="24"/>
        </w:rPr>
        <w:t xml:space="preserve"> 39, no. 4 (2020): 882–92. </w:t>
      </w:r>
      <w:hyperlink r:id="rId57" w:history="1">
        <w:r w:rsidRPr="00F611A1">
          <w:rPr>
            <w:rFonts w:ascii="Times New Roman" w:eastAsia="Times New Roman" w:hAnsi="Times New Roman" w:cs="Times New Roman"/>
            <w:szCs w:val="24"/>
          </w:rPr>
          <w:t>https://doi.org/10.1002/etc.4680</w:t>
        </w:r>
      </w:hyperlink>
      <w:r w:rsidRPr="00F611A1">
        <w:rPr>
          <w:rFonts w:ascii="Times New Roman" w:eastAsia="Times New Roman" w:hAnsi="Times New Roman" w:cs="Times New Roman"/>
          <w:szCs w:val="24"/>
        </w:rPr>
        <w:t>.</w:t>
      </w:r>
    </w:p>
    <w:p w14:paraId="2BDE4356" w14:textId="77777777" w:rsidR="00F611A1" w:rsidRPr="00F611A1" w:rsidRDefault="00F611A1" w:rsidP="008E36CC">
      <w:pPr>
        <w:spacing w:after="0"/>
        <w:ind w:left="475" w:hanging="475"/>
        <w:rPr>
          <w:rFonts w:ascii="Times New Roman" w:eastAsia="Times New Roman" w:hAnsi="Times New Roman" w:cs="Times New Roman"/>
          <w:szCs w:val="24"/>
        </w:rPr>
      </w:pPr>
      <w:proofErr w:type="spellStart"/>
      <w:r w:rsidRPr="00F611A1">
        <w:rPr>
          <w:rFonts w:ascii="Times New Roman" w:eastAsia="Times New Roman" w:hAnsi="Times New Roman" w:cs="Times New Roman"/>
          <w:szCs w:val="24"/>
        </w:rPr>
        <w:t>Slowinski</w:t>
      </w:r>
      <w:proofErr w:type="spellEnd"/>
      <w:r w:rsidRPr="00F611A1">
        <w:rPr>
          <w:rFonts w:ascii="Times New Roman" w:eastAsia="Times New Roman" w:hAnsi="Times New Roman" w:cs="Times New Roman"/>
          <w:szCs w:val="24"/>
        </w:rPr>
        <w:t xml:space="preserve">, Samuel P., Adam M. </w:t>
      </w:r>
      <w:proofErr w:type="spellStart"/>
      <w:r w:rsidRPr="00F611A1">
        <w:rPr>
          <w:rFonts w:ascii="Times New Roman" w:eastAsia="Times New Roman" w:hAnsi="Times New Roman" w:cs="Times New Roman"/>
          <w:szCs w:val="24"/>
        </w:rPr>
        <w:t>Fudickar</w:t>
      </w:r>
      <w:proofErr w:type="spellEnd"/>
      <w:r w:rsidRPr="00F611A1">
        <w:rPr>
          <w:rFonts w:ascii="Times New Roman" w:eastAsia="Times New Roman" w:hAnsi="Times New Roman" w:cs="Times New Roman"/>
          <w:szCs w:val="24"/>
        </w:rPr>
        <w:t xml:space="preserve">, Alex M. Hughes, Raeann D. Mettler, Oxana V. </w:t>
      </w:r>
      <w:proofErr w:type="spellStart"/>
      <w:r w:rsidRPr="00F611A1">
        <w:rPr>
          <w:rFonts w:ascii="Times New Roman" w:eastAsia="Times New Roman" w:hAnsi="Times New Roman" w:cs="Times New Roman"/>
          <w:szCs w:val="24"/>
        </w:rPr>
        <w:t>Gorbatenko</w:t>
      </w:r>
      <w:proofErr w:type="spellEnd"/>
      <w:r w:rsidRPr="00F611A1">
        <w:rPr>
          <w:rFonts w:ascii="Times New Roman" w:eastAsia="Times New Roman" w:hAnsi="Times New Roman" w:cs="Times New Roman"/>
          <w:szCs w:val="24"/>
        </w:rPr>
        <w:t xml:space="preserve">, Garth M. Spellman, Ellen D. </w:t>
      </w:r>
      <w:proofErr w:type="spellStart"/>
      <w:r w:rsidRPr="00F611A1">
        <w:rPr>
          <w:rFonts w:ascii="Times New Roman" w:eastAsia="Times New Roman" w:hAnsi="Times New Roman" w:cs="Times New Roman"/>
          <w:szCs w:val="24"/>
        </w:rPr>
        <w:t>Ketterson</w:t>
      </w:r>
      <w:proofErr w:type="spellEnd"/>
      <w:r w:rsidRPr="00F611A1">
        <w:rPr>
          <w:rFonts w:ascii="Times New Roman" w:eastAsia="Times New Roman" w:hAnsi="Times New Roman" w:cs="Times New Roman"/>
          <w:szCs w:val="24"/>
        </w:rPr>
        <w:t xml:space="preserve">, and Jonathan W. Atwell. “Sedentary Songbirds Maintain Higher Prevalence of </w:t>
      </w:r>
      <w:proofErr w:type="spellStart"/>
      <w:r w:rsidRPr="00F611A1">
        <w:rPr>
          <w:rFonts w:ascii="Times New Roman" w:eastAsia="Times New Roman" w:hAnsi="Times New Roman" w:cs="Times New Roman"/>
          <w:szCs w:val="24"/>
        </w:rPr>
        <w:t>Haemosporidian</w:t>
      </w:r>
      <w:proofErr w:type="spellEnd"/>
      <w:r w:rsidRPr="00F611A1">
        <w:rPr>
          <w:rFonts w:ascii="Times New Roman" w:eastAsia="Times New Roman" w:hAnsi="Times New Roman" w:cs="Times New Roman"/>
          <w:szCs w:val="24"/>
        </w:rPr>
        <w:t xml:space="preserve"> Parasite Infections than </w:t>
      </w:r>
      <w:r w:rsidRPr="00F611A1">
        <w:rPr>
          <w:rFonts w:ascii="Times New Roman" w:eastAsia="Times New Roman" w:hAnsi="Times New Roman" w:cs="Times New Roman"/>
          <w:szCs w:val="24"/>
        </w:rPr>
        <w:lastRenderedPageBreak/>
        <w:t xml:space="preserve">Migratory Conspecifics during Seasonal Sympatry.” Edited by </w:t>
      </w:r>
      <w:proofErr w:type="spellStart"/>
      <w:r w:rsidRPr="00F611A1">
        <w:rPr>
          <w:rFonts w:ascii="Times New Roman" w:eastAsia="Times New Roman" w:hAnsi="Times New Roman" w:cs="Times New Roman"/>
          <w:szCs w:val="24"/>
        </w:rPr>
        <w:t>Érika</w:t>
      </w:r>
      <w:proofErr w:type="spellEnd"/>
      <w:r w:rsidRPr="00F611A1">
        <w:rPr>
          <w:rFonts w:ascii="Times New Roman" w:eastAsia="Times New Roman" w:hAnsi="Times New Roman" w:cs="Times New Roman"/>
          <w:szCs w:val="24"/>
        </w:rPr>
        <w:t xml:space="preserve"> Martins Braga. </w:t>
      </w:r>
      <w:r w:rsidRPr="00F611A1">
        <w:rPr>
          <w:rFonts w:ascii="Times New Roman" w:eastAsia="Times New Roman" w:hAnsi="Times New Roman" w:cs="Times New Roman"/>
          <w:i/>
          <w:iCs/>
          <w:szCs w:val="24"/>
        </w:rPr>
        <w:t>PLOS ONE</w:t>
      </w:r>
      <w:r w:rsidRPr="00F611A1">
        <w:rPr>
          <w:rFonts w:ascii="Times New Roman" w:eastAsia="Times New Roman" w:hAnsi="Times New Roman" w:cs="Times New Roman"/>
          <w:szCs w:val="24"/>
        </w:rPr>
        <w:t xml:space="preserve"> 13, no. 8 (August 22, 2018): e0201563. </w:t>
      </w:r>
      <w:hyperlink r:id="rId58" w:history="1">
        <w:r w:rsidRPr="00F611A1">
          <w:rPr>
            <w:rFonts w:ascii="Times New Roman" w:eastAsia="Times New Roman" w:hAnsi="Times New Roman" w:cs="Times New Roman"/>
            <w:szCs w:val="24"/>
          </w:rPr>
          <w:t>https://doi.org/10.1371/journal.pone.0201563</w:t>
        </w:r>
      </w:hyperlink>
      <w:r w:rsidRPr="00F611A1">
        <w:rPr>
          <w:rFonts w:ascii="Times New Roman" w:eastAsia="Times New Roman" w:hAnsi="Times New Roman" w:cs="Times New Roman"/>
          <w:szCs w:val="24"/>
        </w:rPr>
        <w:t>.</w:t>
      </w:r>
    </w:p>
    <w:p w14:paraId="08C9FFC8" w14:textId="77777777" w:rsidR="00F611A1" w:rsidRPr="00F611A1" w:rsidRDefault="00F611A1" w:rsidP="008E36CC">
      <w:pPr>
        <w:spacing w:after="0"/>
        <w:ind w:left="475" w:hanging="475"/>
        <w:rPr>
          <w:rFonts w:ascii="Times New Roman" w:eastAsia="Times New Roman" w:hAnsi="Times New Roman" w:cs="Times New Roman"/>
          <w:szCs w:val="24"/>
        </w:rPr>
      </w:pPr>
      <w:proofErr w:type="spellStart"/>
      <w:r w:rsidRPr="00F611A1">
        <w:rPr>
          <w:rFonts w:ascii="Times New Roman" w:eastAsia="Times New Roman" w:hAnsi="Times New Roman" w:cs="Times New Roman"/>
          <w:szCs w:val="24"/>
        </w:rPr>
        <w:t>Solonen</w:t>
      </w:r>
      <w:proofErr w:type="spellEnd"/>
      <w:r w:rsidRPr="00F611A1">
        <w:rPr>
          <w:rFonts w:ascii="Times New Roman" w:eastAsia="Times New Roman" w:hAnsi="Times New Roman" w:cs="Times New Roman"/>
          <w:szCs w:val="24"/>
        </w:rPr>
        <w:t xml:space="preserve">, </w:t>
      </w:r>
      <w:proofErr w:type="spellStart"/>
      <w:r w:rsidRPr="00F611A1">
        <w:rPr>
          <w:rFonts w:ascii="Times New Roman" w:eastAsia="Times New Roman" w:hAnsi="Times New Roman" w:cs="Times New Roman"/>
          <w:szCs w:val="24"/>
        </w:rPr>
        <w:t>Tapio</w:t>
      </w:r>
      <w:proofErr w:type="spellEnd"/>
      <w:r w:rsidRPr="00F611A1">
        <w:rPr>
          <w:rFonts w:ascii="Times New Roman" w:eastAsia="Times New Roman" w:hAnsi="Times New Roman" w:cs="Times New Roman"/>
          <w:szCs w:val="24"/>
        </w:rPr>
        <w:t xml:space="preserve">, Martin </w:t>
      </w:r>
      <w:proofErr w:type="spellStart"/>
      <w:r w:rsidRPr="00F611A1">
        <w:rPr>
          <w:rFonts w:ascii="Times New Roman" w:eastAsia="Times New Roman" w:hAnsi="Times New Roman" w:cs="Times New Roman"/>
          <w:szCs w:val="24"/>
        </w:rPr>
        <w:t>Lodenius</w:t>
      </w:r>
      <w:proofErr w:type="spellEnd"/>
      <w:r w:rsidRPr="00F611A1">
        <w:rPr>
          <w:rFonts w:ascii="Times New Roman" w:eastAsia="Times New Roman" w:hAnsi="Times New Roman" w:cs="Times New Roman"/>
          <w:szCs w:val="24"/>
        </w:rPr>
        <w:t xml:space="preserve">, and </w:t>
      </w:r>
      <w:proofErr w:type="spellStart"/>
      <w:r w:rsidRPr="00F611A1">
        <w:rPr>
          <w:rFonts w:ascii="Times New Roman" w:eastAsia="Times New Roman" w:hAnsi="Times New Roman" w:cs="Times New Roman"/>
          <w:szCs w:val="24"/>
        </w:rPr>
        <w:t>Esa</w:t>
      </w:r>
      <w:proofErr w:type="spellEnd"/>
      <w:r w:rsidRPr="00F611A1">
        <w:rPr>
          <w:rFonts w:ascii="Times New Roman" w:eastAsia="Times New Roman" w:hAnsi="Times New Roman" w:cs="Times New Roman"/>
          <w:szCs w:val="24"/>
        </w:rPr>
        <w:t xml:space="preserve"> </w:t>
      </w:r>
      <w:proofErr w:type="spellStart"/>
      <w:r w:rsidRPr="00F611A1">
        <w:rPr>
          <w:rFonts w:ascii="Times New Roman" w:eastAsia="Times New Roman" w:hAnsi="Times New Roman" w:cs="Times New Roman"/>
          <w:szCs w:val="24"/>
        </w:rPr>
        <w:t>Tulisalo</w:t>
      </w:r>
      <w:proofErr w:type="spellEnd"/>
      <w:r w:rsidRPr="00F611A1">
        <w:rPr>
          <w:rFonts w:ascii="Times New Roman" w:eastAsia="Times New Roman" w:hAnsi="Times New Roman" w:cs="Times New Roman"/>
          <w:szCs w:val="24"/>
        </w:rPr>
        <w:t>. “Metal Levels of Feathers in Birds of Various Food Chains in Southern Finland” 76 (1999): 9.</w:t>
      </w:r>
    </w:p>
    <w:p w14:paraId="48663E59" w14:textId="4D73CE2A" w:rsidR="00F611A1" w:rsidRDefault="00F611A1" w:rsidP="008E36CC">
      <w:pPr>
        <w:spacing w:after="0"/>
        <w:ind w:left="475" w:hanging="475"/>
        <w:rPr>
          <w:rFonts w:ascii="Times New Roman" w:eastAsia="Times New Roman" w:hAnsi="Times New Roman" w:cs="Times New Roman"/>
          <w:szCs w:val="24"/>
        </w:rPr>
      </w:pPr>
      <w:r w:rsidRPr="00F611A1">
        <w:rPr>
          <w:rFonts w:ascii="Times New Roman" w:eastAsia="Times New Roman" w:hAnsi="Times New Roman" w:cs="Times New Roman"/>
          <w:szCs w:val="24"/>
        </w:rPr>
        <w:t xml:space="preserve">Stansfield, Kirstie H., J. Richard Pilsner, Quan Lu, Robert O. Wright, and Tomás R. </w:t>
      </w:r>
      <w:proofErr w:type="spellStart"/>
      <w:r w:rsidRPr="00F611A1">
        <w:rPr>
          <w:rFonts w:ascii="Times New Roman" w:eastAsia="Times New Roman" w:hAnsi="Times New Roman" w:cs="Times New Roman"/>
          <w:szCs w:val="24"/>
        </w:rPr>
        <w:t>Guilarte</w:t>
      </w:r>
      <w:proofErr w:type="spellEnd"/>
      <w:r w:rsidRPr="00F611A1">
        <w:rPr>
          <w:rFonts w:ascii="Times New Roman" w:eastAsia="Times New Roman" w:hAnsi="Times New Roman" w:cs="Times New Roman"/>
          <w:szCs w:val="24"/>
        </w:rPr>
        <w:t>. “Dysregulation of BDNF-</w:t>
      </w:r>
      <w:proofErr w:type="spellStart"/>
      <w:r w:rsidRPr="00F611A1">
        <w:rPr>
          <w:rFonts w:ascii="Times New Roman" w:eastAsia="Times New Roman" w:hAnsi="Times New Roman" w:cs="Times New Roman"/>
          <w:szCs w:val="24"/>
        </w:rPr>
        <w:t>TrkB</w:t>
      </w:r>
      <w:proofErr w:type="spellEnd"/>
      <w:r w:rsidRPr="00F611A1">
        <w:rPr>
          <w:rFonts w:ascii="Times New Roman" w:eastAsia="Times New Roman" w:hAnsi="Times New Roman" w:cs="Times New Roman"/>
          <w:szCs w:val="24"/>
        </w:rPr>
        <w:t xml:space="preserve"> Signaling in Developing Hippocampal Neurons by Pb2+: Implications for an Environmental Basis of Neurodevelopmental Disorders.” </w:t>
      </w:r>
      <w:r w:rsidRPr="00F611A1">
        <w:rPr>
          <w:rFonts w:ascii="Times New Roman" w:eastAsia="Times New Roman" w:hAnsi="Times New Roman" w:cs="Times New Roman"/>
          <w:i/>
          <w:iCs/>
          <w:szCs w:val="24"/>
        </w:rPr>
        <w:t>Toxicological Sciences</w:t>
      </w:r>
      <w:r w:rsidRPr="00F611A1">
        <w:rPr>
          <w:rFonts w:ascii="Times New Roman" w:eastAsia="Times New Roman" w:hAnsi="Times New Roman" w:cs="Times New Roman"/>
          <w:szCs w:val="24"/>
        </w:rPr>
        <w:t xml:space="preserve"> 127, no. 1 (May 2012): 277–95. </w:t>
      </w:r>
      <w:hyperlink r:id="rId59" w:history="1">
        <w:r w:rsidRPr="00F611A1">
          <w:rPr>
            <w:rFonts w:ascii="Times New Roman" w:eastAsia="Times New Roman" w:hAnsi="Times New Roman" w:cs="Times New Roman"/>
            <w:szCs w:val="24"/>
          </w:rPr>
          <w:t>https://doi.org/10.1093/toxsci/kfs090</w:t>
        </w:r>
      </w:hyperlink>
      <w:r w:rsidRPr="00F611A1">
        <w:rPr>
          <w:rFonts w:ascii="Times New Roman" w:eastAsia="Times New Roman" w:hAnsi="Times New Roman" w:cs="Times New Roman"/>
          <w:szCs w:val="24"/>
        </w:rPr>
        <w:t>.</w:t>
      </w:r>
    </w:p>
    <w:p w14:paraId="6EB90FED" w14:textId="342CCB6F" w:rsidR="00F94081" w:rsidRPr="00F611A1" w:rsidRDefault="00F94081" w:rsidP="008E36CC">
      <w:pPr>
        <w:spacing w:after="0"/>
        <w:ind w:left="475" w:hanging="475"/>
        <w:rPr>
          <w:rFonts w:ascii="Times New Roman" w:eastAsia="Times New Roman" w:hAnsi="Times New Roman" w:cs="Times New Roman"/>
          <w:szCs w:val="24"/>
        </w:rPr>
      </w:pPr>
      <w:r w:rsidRPr="00F94081">
        <w:rPr>
          <w:rFonts w:ascii="Times New Roman" w:eastAsia="Times New Roman" w:hAnsi="Times New Roman" w:cs="Times New Roman"/>
          <w:szCs w:val="24"/>
        </w:rPr>
        <w:t>Team, R. Core. "R: a language and environment for statistical computing, version 3.0. 2. Vienna, Austria: R Foundation for Statistical Computing; 2013." (2019).</w:t>
      </w:r>
    </w:p>
    <w:p w14:paraId="1572B9FF" w14:textId="6B2065F4" w:rsidR="00F611A1" w:rsidRDefault="00F611A1" w:rsidP="008E36CC">
      <w:pPr>
        <w:spacing w:after="0"/>
        <w:ind w:left="475" w:hanging="475"/>
        <w:rPr>
          <w:rFonts w:ascii="Times New Roman" w:eastAsia="Times New Roman" w:hAnsi="Times New Roman" w:cs="Times New Roman"/>
          <w:szCs w:val="24"/>
        </w:rPr>
      </w:pPr>
      <w:proofErr w:type="spellStart"/>
      <w:r w:rsidRPr="00F611A1">
        <w:rPr>
          <w:rFonts w:ascii="Times New Roman" w:eastAsia="Times New Roman" w:hAnsi="Times New Roman" w:cs="Times New Roman"/>
          <w:szCs w:val="24"/>
        </w:rPr>
        <w:t>Tsipoura</w:t>
      </w:r>
      <w:proofErr w:type="spellEnd"/>
      <w:r w:rsidRPr="00F611A1">
        <w:rPr>
          <w:rFonts w:ascii="Times New Roman" w:eastAsia="Times New Roman" w:hAnsi="Times New Roman" w:cs="Times New Roman"/>
          <w:szCs w:val="24"/>
        </w:rPr>
        <w:t xml:space="preserve">, Nellie, Joanna Burger, Ross </w:t>
      </w:r>
      <w:proofErr w:type="spellStart"/>
      <w:r w:rsidRPr="00F611A1">
        <w:rPr>
          <w:rFonts w:ascii="Times New Roman" w:eastAsia="Times New Roman" w:hAnsi="Times New Roman" w:cs="Times New Roman"/>
          <w:szCs w:val="24"/>
        </w:rPr>
        <w:t>Feltes</w:t>
      </w:r>
      <w:proofErr w:type="spellEnd"/>
      <w:r w:rsidRPr="00F611A1">
        <w:rPr>
          <w:rFonts w:ascii="Times New Roman" w:eastAsia="Times New Roman" w:hAnsi="Times New Roman" w:cs="Times New Roman"/>
          <w:szCs w:val="24"/>
        </w:rPr>
        <w:t xml:space="preserve">, Janet </w:t>
      </w:r>
      <w:proofErr w:type="spellStart"/>
      <w:r w:rsidRPr="00F611A1">
        <w:rPr>
          <w:rFonts w:ascii="Times New Roman" w:eastAsia="Times New Roman" w:hAnsi="Times New Roman" w:cs="Times New Roman"/>
          <w:szCs w:val="24"/>
        </w:rPr>
        <w:t>Yacabucci</w:t>
      </w:r>
      <w:proofErr w:type="spellEnd"/>
      <w:r w:rsidRPr="00F611A1">
        <w:rPr>
          <w:rFonts w:ascii="Times New Roman" w:eastAsia="Times New Roman" w:hAnsi="Times New Roman" w:cs="Times New Roman"/>
          <w:szCs w:val="24"/>
        </w:rPr>
        <w:t xml:space="preserve">, David Mizrahi, Christian </w:t>
      </w:r>
      <w:proofErr w:type="spellStart"/>
      <w:r w:rsidRPr="00F611A1">
        <w:rPr>
          <w:rFonts w:ascii="Times New Roman" w:eastAsia="Times New Roman" w:hAnsi="Times New Roman" w:cs="Times New Roman"/>
          <w:szCs w:val="24"/>
        </w:rPr>
        <w:t>Jeitner</w:t>
      </w:r>
      <w:proofErr w:type="spellEnd"/>
      <w:r w:rsidRPr="00F611A1">
        <w:rPr>
          <w:rFonts w:ascii="Times New Roman" w:eastAsia="Times New Roman" w:hAnsi="Times New Roman" w:cs="Times New Roman"/>
          <w:szCs w:val="24"/>
        </w:rPr>
        <w:t xml:space="preserve">, and Michael </w:t>
      </w:r>
      <w:proofErr w:type="spellStart"/>
      <w:r w:rsidRPr="00F611A1">
        <w:rPr>
          <w:rFonts w:ascii="Times New Roman" w:eastAsia="Times New Roman" w:hAnsi="Times New Roman" w:cs="Times New Roman"/>
          <w:szCs w:val="24"/>
        </w:rPr>
        <w:t>Gochfeld</w:t>
      </w:r>
      <w:proofErr w:type="spellEnd"/>
      <w:r w:rsidRPr="00F611A1">
        <w:rPr>
          <w:rFonts w:ascii="Times New Roman" w:eastAsia="Times New Roman" w:hAnsi="Times New Roman" w:cs="Times New Roman"/>
          <w:szCs w:val="24"/>
        </w:rPr>
        <w:t xml:space="preserve">. “Metal Concentrations in Three Species of Passerine Birds Breeding in the Hackensack Meadowlands of New Jersey.” </w:t>
      </w:r>
      <w:r w:rsidRPr="00F611A1">
        <w:rPr>
          <w:rFonts w:ascii="Times New Roman" w:eastAsia="Times New Roman" w:hAnsi="Times New Roman" w:cs="Times New Roman"/>
          <w:i/>
          <w:iCs/>
          <w:szCs w:val="24"/>
        </w:rPr>
        <w:t>Environmental Research</w:t>
      </w:r>
      <w:r w:rsidRPr="00F611A1">
        <w:rPr>
          <w:rFonts w:ascii="Times New Roman" w:eastAsia="Times New Roman" w:hAnsi="Times New Roman" w:cs="Times New Roman"/>
          <w:szCs w:val="24"/>
        </w:rPr>
        <w:t xml:space="preserve"> 107, no. 2 (June 2008): 218–28. </w:t>
      </w:r>
      <w:hyperlink r:id="rId60" w:history="1">
        <w:r w:rsidRPr="00F611A1">
          <w:rPr>
            <w:rFonts w:ascii="Times New Roman" w:eastAsia="Times New Roman" w:hAnsi="Times New Roman" w:cs="Times New Roman"/>
            <w:szCs w:val="24"/>
          </w:rPr>
          <w:t>https://doi.org/10.1016/j.envres.2007.11.003</w:t>
        </w:r>
      </w:hyperlink>
      <w:r w:rsidRPr="00F611A1">
        <w:rPr>
          <w:rFonts w:ascii="Times New Roman" w:eastAsia="Times New Roman" w:hAnsi="Times New Roman" w:cs="Times New Roman"/>
          <w:szCs w:val="24"/>
        </w:rPr>
        <w:t>.</w:t>
      </w:r>
    </w:p>
    <w:p w14:paraId="25573641" w14:textId="77777777" w:rsidR="00A757A4" w:rsidRPr="00A757A4" w:rsidRDefault="00A757A4" w:rsidP="00A757A4">
      <w:pPr>
        <w:spacing w:after="0"/>
        <w:ind w:left="475" w:hanging="475"/>
        <w:rPr>
          <w:rFonts w:ascii="Times New Roman" w:eastAsia="Times New Roman" w:hAnsi="Times New Roman" w:cs="Times New Roman"/>
          <w:szCs w:val="24"/>
        </w:rPr>
      </w:pPr>
      <w:r w:rsidRPr="00A757A4">
        <w:rPr>
          <w:rFonts w:ascii="Times New Roman" w:eastAsia="Times New Roman" w:hAnsi="Times New Roman" w:cs="Times New Roman"/>
          <w:szCs w:val="24"/>
        </w:rPr>
        <w:t>[USACE] United States Army Corps of Engineers. 2005. Tar Creek is nation’s largest</w:t>
      </w:r>
    </w:p>
    <w:p w14:paraId="54F44404" w14:textId="1DC922B9" w:rsidR="00A757A4" w:rsidRPr="00F611A1" w:rsidRDefault="00A757A4" w:rsidP="00A757A4">
      <w:pPr>
        <w:spacing w:after="0"/>
        <w:ind w:left="475"/>
        <w:rPr>
          <w:rFonts w:ascii="Times New Roman" w:eastAsia="Times New Roman" w:hAnsi="Times New Roman" w:cs="Times New Roman"/>
          <w:szCs w:val="24"/>
        </w:rPr>
      </w:pPr>
      <w:r w:rsidRPr="00A757A4">
        <w:rPr>
          <w:rFonts w:ascii="Times New Roman" w:eastAsia="Times New Roman" w:hAnsi="Times New Roman" w:cs="Times New Roman"/>
          <w:szCs w:val="24"/>
        </w:rPr>
        <w:t>superfund. Engineer Update 29.</w:t>
      </w:r>
    </w:p>
    <w:p w14:paraId="6D56210F" w14:textId="0C873EDD" w:rsidR="00F611A1" w:rsidRDefault="00F611A1" w:rsidP="008E36CC">
      <w:pPr>
        <w:spacing w:after="0"/>
        <w:ind w:left="475" w:hanging="475"/>
        <w:rPr>
          <w:rFonts w:ascii="Times New Roman" w:eastAsia="Times New Roman" w:hAnsi="Times New Roman" w:cs="Times New Roman"/>
          <w:szCs w:val="24"/>
        </w:rPr>
      </w:pPr>
      <w:proofErr w:type="spellStart"/>
      <w:r w:rsidRPr="00F611A1">
        <w:rPr>
          <w:rFonts w:ascii="Times New Roman" w:eastAsia="Times New Roman" w:hAnsi="Times New Roman" w:cs="Times New Roman"/>
          <w:szCs w:val="24"/>
        </w:rPr>
        <w:t>Wauer</w:t>
      </w:r>
      <w:proofErr w:type="spellEnd"/>
      <w:r w:rsidRPr="00F611A1">
        <w:rPr>
          <w:rFonts w:ascii="Times New Roman" w:eastAsia="Times New Roman" w:hAnsi="Times New Roman" w:cs="Times New Roman"/>
          <w:szCs w:val="24"/>
        </w:rPr>
        <w:t xml:space="preserve">, Roland H. </w:t>
      </w:r>
      <w:r w:rsidRPr="00F611A1">
        <w:rPr>
          <w:rFonts w:ascii="Times New Roman" w:eastAsia="Times New Roman" w:hAnsi="Times New Roman" w:cs="Times New Roman"/>
          <w:i/>
          <w:iCs/>
          <w:szCs w:val="24"/>
        </w:rPr>
        <w:t>The American Robin</w:t>
      </w:r>
      <w:r w:rsidRPr="00F611A1">
        <w:rPr>
          <w:rFonts w:ascii="Times New Roman" w:eastAsia="Times New Roman" w:hAnsi="Times New Roman" w:cs="Times New Roman"/>
          <w:szCs w:val="24"/>
        </w:rPr>
        <w:t>. University of Texas Press, 1999.</w:t>
      </w:r>
    </w:p>
    <w:p w14:paraId="3B835F1B" w14:textId="39E458D7" w:rsidR="00A63053" w:rsidRDefault="00A63053" w:rsidP="008E36CC">
      <w:pPr>
        <w:spacing w:after="0"/>
        <w:ind w:left="475" w:hanging="475"/>
        <w:rPr>
          <w:rFonts w:ascii="Times New Roman" w:eastAsia="Times New Roman" w:hAnsi="Times New Roman" w:cs="Times New Roman"/>
          <w:szCs w:val="24"/>
        </w:rPr>
      </w:pPr>
    </w:p>
    <w:p w14:paraId="0830F545" w14:textId="593DFE47" w:rsidR="00A63053" w:rsidRDefault="00A63053" w:rsidP="008E36CC">
      <w:pPr>
        <w:spacing w:after="0"/>
        <w:ind w:left="475" w:hanging="475"/>
        <w:rPr>
          <w:rFonts w:ascii="Times New Roman" w:eastAsia="Times New Roman" w:hAnsi="Times New Roman" w:cs="Times New Roman"/>
          <w:szCs w:val="24"/>
        </w:rPr>
      </w:pPr>
    </w:p>
    <w:p w14:paraId="3A50DC0F" w14:textId="4B17055D" w:rsidR="00A63053" w:rsidRDefault="00A63053" w:rsidP="008E36CC">
      <w:pPr>
        <w:spacing w:after="0"/>
        <w:ind w:left="475" w:hanging="475"/>
        <w:rPr>
          <w:rFonts w:ascii="Times New Roman" w:eastAsia="Times New Roman" w:hAnsi="Times New Roman" w:cs="Times New Roman"/>
          <w:szCs w:val="24"/>
        </w:rPr>
      </w:pPr>
    </w:p>
    <w:p w14:paraId="4D35996D" w14:textId="683D9475" w:rsidR="00A63053" w:rsidRDefault="00A63053" w:rsidP="008E36CC">
      <w:pPr>
        <w:spacing w:after="0"/>
        <w:ind w:left="475" w:hanging="475"/>
        <w:rPr>
          <w:rFonts w:ascii="Times New Roman" w:eastAsia="Times New Roman" w:hAnsi="Times New Roman" w:cs="Times New Roman"/>
          <w:szCs w:val="24"/>
        </w:rPr>
      </w:pPr>
    </w:p>
    <w:p w14:paraId="1D754B36" w14:textId="37D31003" w:rsidR="009776BC" w:rsidRDefault="009776BC" w:rsidP="008E36CC">
      <w:pPr>
        <w:spacing w:after="0"/>
        <w:ind w:left="475" w:hanging="475"/>
        <w:rPr>
          <w:rFonts w:ascii="Times New Roman" w:eastAsia="Times New Roman" w:hAnsi="Times New Roman" w:cs="Times New Roman"/>
          <w:szCs w:val="24"/>
        </w:rPr>
      </w:pPr>
    </w:p>
    <w:p w14:paraId="371A222D" w14:textId="009DDF16" w:rsidR="009776BC" w:rsidRDefault="009776BC" w:rsidP="008E36CC">
      <w:pPr>
        <w:spacing w:after="0"/>
        <w:ind w:left="475" w:hanging="475"/>
        <w:rPr>
          <w:rFonts w:ascii="Times New Roman" w:eastAsia="Times New Roman" w:hAnsi="Times New Roman" w:cs="Times New Roman"/>
          <w:szCs w:val="24"/>
        </w:rPr>
      </w:pPr>
    </w:p>
    <w:p w14:paraId="13679067" w14:textId="77777777" w:rsidR="00A63053" w:rsidRPr="007D1120" w:rsidRDefault="00A63053" w:rsidP="00A63053">
      <w:pPr>
        <w:pStyle w:val="NormalWeb"/>
        <w:spacing w:line="480" w:lineRule="auto"/>
      </w:pPr>
      <w:r w:rsidRPr="007D1120">
        <w:rPr>
          <w:noProof/>
        </w:rPr>
        <w:lastRenderedPageBreak/>
        <w:drawing>
          <wp:inline distT="0" distB="0" distL="0" distR="0" wp14:anchorId="452FF48D" wp14:editId="5BC5971E">
            <wp:extent cx="5943600" cy="33185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1.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3318510"/>
                    </a:xfrm>
                    <a:prstGeom prst="rect">
                      <a:avLst/>
                    </a:prstGeom>
                  </pic:spPr>
                </pic:pic>
              </a:graphicData>
            </a:graphic>
          </wp:inline>
        </w:drawing>
      </w:r>
      <w:r w:rsidRPr="007D1120">
        <w:t xml:space="preserve"> </w:t>
      </w:r>
    </w:p>
    <w:p w14:paraId="53049E4C" w14:textId="77777777" w:rsidR="009776BC" w:rsidRDefault="009776BC" w:rsidP="00A63053">
      <w:pPr>
        <w:pStyle w:val="NormalWeb"/>
        <w:spacing w:before="240" w:beforeAutospacing="0" w:after="240" w:afterAutospacing="0" w:line="480" w:lineRule="auto"/>
        <w:rPr>
          <w:color w:val="000000"/>
        </w:rPr>
      </w:pPr>
    </w:p>
    <w:p w14:paraId="071B80FC" w14:textId="3751AA72" w:rsidR="00A63053" w:rsidRDefault="00A63053" w:rsidP="009776BC">
      <w:pPr>
        <w:pStyle w:val="NormalWeb"/>
        <w:spacing w:before="240" w:beforeAutospacing="0" w:after="240" w:afterAutospacing="0" w:line="480" w:lineRule="auto"/>
        <w:ind w:left="720"/>
        <w:rPr>
          <w:color w:val="000000"/>
        </w:rPr>
      </w:pPr>
      <w:r w:rsidRPr="007D1120">
        <w:rPr>
          <w:color w:val="000000"/>
        </w:rPr>
        <w:t>Figure 1: Map of the Tri-State Mining District zooming in on The Tar Creek Superfund Site</w:t>
      </w:r>
      <w:r>
        <w:rPr>
          <w:color w:val="000000"/>
        </w:rPr>
        <w:t xml:space="preserve"> boundary</w:t>
      </w:r>
      <w:r w:rsidRPr="007D1120">
        <w:rPr>
          <w:color w:val="000000"/>
        </w:rPr>
        <w:t>. Yellow areas represent chat piles in and around</w:t>
      </w:r>
      <w:r>
        <w:rPr>
          <w:color w:val="000000"/>
        </w:rPr>
        <w:t xml:space="preserve"> the towns of</w:t>
      </w:r>
      <w:r w:rsidRPr="007D1120">
        <w:rPr>
          <w:color w:val="000000"/>
        </w:rPr>
        <w:t xml:space="preserve"> Picher and Cardin</w:t>
      </w:r>
      <w:r>
        <w:rPr>
          <w:color w:val="000000"/>
        </w:rPr>
        <w:t xml:space="preserve"> in Oklahoma</w:t>
      </w:r>
      <w:r w:rsidRPr="007D1120">
        <w:rPr>
          <w:color w:val="000000"/>
        </w:rPr>
        <w:t xml:space="preserve">. Red piles indicate chat piles where </w:t>
      </w:r>
      <w:r>
        <w:rPr>
          <w:color w:val="000000"/>
        </w:rPr>
        <w:t>passerine</w:t>
      </w:r>
      <w:r w:rsidRPr="007D1120">
        <w:rPr>
          <w:color w:val="000000"/>
        </w:rPr>
        <w:t>s were sampled. </w:t>
      </w:r>
    </w:p>
    <w:p w14:paraId="35638D90" w14:textId="473A959E" w:rsidR="00A63053" w:rsidRDefault="00A63053" w:rsidP="00A63053">
      <w:pPr>
        <w:pStyle w:val="NormalWeb"/>
        <w:spacing w:before="240" w:beforeAutospacing="0" w:after="240" w:afterAutospacing="0" w:line="480" w:lineRule="auto"/>
        <w:rPr>
          <w:color w:val="000000"/>
        </w:rPr>
      </w:pPr>
    </w:p>
    <w:p w14:paraId="2D8AB31A" w14:textId="3D05CB15" w:rsidR="00A63053" w:rsidRDefault="00A63053" w:rsidP="00A63053">
      <w:pPr>
        <w:pStyle w:val="NormalWeb"/>
        <w:spacing w:before="240" w:beforeAutospacing="0" w:after="240" w:afterAutospacing="0" w:line="480" w:lineRule="auto"/>
        <w:rPr>
          <w:color w:val="000000"/>
        </w:rPr>
      </w:pPr>
    </w:p>
    <w:p w14:paraId="224CA7EB" w14:textId="71D29A31" w:rsidR="00A63053" w:rsidRDefault="00A63053" w:rsidP="00A63053">
      <w:pPr>
        <w:pStyle w:val="NormalWeb"/>
        <w:spacing w:before="240" w:beforeAutospacing="0" w:after="240" w:afterAutospacing="0" w:line="480" w:lineRule="auto"/>
        <w:rPr>
          <w:color w:val="000000"/>
        </w:rPr>
      </w:pPr>
    </w:p>
    <w:p w14:paraId="37723001" w14:textId="32A866EA" w:rsidR="00A63053" w:rsidRDefault="00A63053" w:rsidP="00A63053">
      <w:pPr>
        <w:pStyle w:val="NormalWeb"/>
        <w:spacing w:before="240" w:beforeAutospacing="0" w:after="240" w:afterAutospacing="0" w:line="480" w:lineRule="auto"/>
        <w:rPr>
          <w:color w:val="000000"/>
        </w:rPr>
      </w:pPr>
    </w:p>
    <w:p w14:paraId="0180DC9A" w14:textId="479BBF42" w:rsidR="00A63053" w:rsidRDefault="00A63053" w:rsidP="00A63053">
      <w:pPr>
        <w:pStyle w:val="NormalWeb"/>
        <w:spacing w:before="240" w:beforeAutospacing="0" w:after="240" w:afterAutospacing="0" w:line="480" w:lineRule="auto"/>
        <w:rPr>
          <w:color w:val="000000"/>
        </w:rPr>
      </w:pPr>
    </w:p>
    <w:p w14:paraId="5D3968F5" w14:textId="7E7C7370" w:rsidR="00A63053" w:rsidRDefault="00A63053" w:rsidP="00A63053">
      <w:pPr>
        <w:pStyle w:val="NormalWeb"/>
        <w:spacing w:before="240" w:beforeAutospacing="0" w:after="240" w:afterAutospacing="0" w:line="480" w:lineRule="auto"/>
        <w:rPr>
          <w:color w:val="000000"/>
        </w:rPr>
      </w:pPr>
    </w:p>
    <w:p w14:paraId="5FDA9DBA" w14:textId="77777777" w:rsidR="00A63053" w:rsidRPr="007D1120" w:rsidRDefault="00A63053" w:rsidP="00A63053">
      <w:pPr>
        <w:pStyle w:val="NormalWeb"/>
        <w:spacing w:line="480" w:lineRule="auto"/>
      </w:pPr>
      <w:r w:rsidRPr="007D1120">
        <w:rPr>
          <w:noProof/>
        </w:rPr>
        <w:lastRenderedPageBreak/>
        <w:drawing>
          <wp:inline distT="0" distB="0" distL="0" distR="0" wp14:anchorId="51E8D0ED" wp14:editId="6BA3ECF6">
            <wp:extent cx="5943600" cy="33597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2.jpg"/>
                    <pic:cNvPicPr/>
                  </pic:nvPicPr>
                  <pic:blipFill>
                    <a:blip r:embed="rId62">
                      <a:extLst>
                        <a:ext uri="{28A0092B-C50C-407E-A947-70E740481C1C}">
                          <a14:useLocalDpi xmlns:a14="http://schemas.microsoft.com/office/drawing/2010/main" val="0"/>
                        </a:ext>
                      </a:extLst>
                    </a:blip>
                    <a:stretch>
                      <a:fillRect/>
                    </a:stretch>
                  </pic:blipFill>
                  <pic:spPr>
                    <a:xfrm>
                      <a:off x="0" y="0"/>
                      <a:ext cx="5943600" cy="3359785"/>
                    </a:xfrm>
                    <a:prstGeom prst="rect">
                      <a:avLst/>
                    </a:prstGeom>
                  </pic:spPr>
                </pic:pic>
              </a:graphicData>
            </a:graphic>
          </wp:inline>
        </w:drawing>
      </w:r>
    </w:p>
    <w:p w14:paraId="60E1CFAC" w14:textId="77777777" w:rsidR="00A63053" w:rsidRPr="007D1120" w:rsidRDefault="00A63053" w:rsidP="00A63053">
      <w:pPr>
        <w:pStyle w:val="NormalWeb"/>
        <w:spacing w:line="480" w:lineRule="auto"/>
        <w:ind w:left="720"/>
      </w:pPr>
      <w:r w:rsidRPr="007D1120">
        <w:rPr>
          <w:color w:val="000000"/>
        </w:rPr>
        <w:t xml:space="preserve">Figure 2: A section of </w:t>
      </w:r>
      <w:r>
        <w:rPr>
          <w:color w:val="000000"/>
        </w:rPr>
        <w:t xml:space="preserve">Northern Rough-winged </w:t>
      </w:r>
      <w:r w:rsidRPr="007D1120">
        <w:rPr>
          <w:color w:val="000000"/>
        </w:rPr>
        <w:t xml:space="preserve">swallow </w:t>
      </w:r>
      <w:r>
        <w:rPr>
          <w:color w:val="000000"/>
        </w:rPr>
        <w:t xml:space="preserve">and Bank Swallow colony </w:t>
      </w:r>
      <w:r w:rsidRPr="007D1120">
        <w:rPr>
          <w:color w:val="000000"/>
        </w:rPr>
        <w:t>nest cavities in a chat pile at the Tar Creek Superfund Site.</w:t>
      </w:r>
    </w:p>
    <w:p w14:paraId="07659A3C" w14:textId="77777777" w:rsidR="00A63053" w:rsidRPr="00834B5C" w:rsidRDefault="00A63053" w:rsidP="00A63053">
      <w:pPr>
        <w:pStyle w:val="NormalWeb"/>
        <w:spacing w:before="240" w:beforeAutospacing="0" w:after="240" w:afterAutospacing="0" w:line="480" w:lineRule="auto"/>
        <w:rPr>
          <w:color w:val="000000"/>
        </w:rPr>
      </w:pPr>
    </w:p>
    <w:p w14:paraId="54F45469" w14:textId="7104D892" w:rsidR="00A63053" w:rsidRDefault="00A63053" w:rsidP="008E36CC">
      <w:pPr>
        <w:spacing w:after="0"/>
        <w:ind w:left="475" w:hanging="475"/>
        <w:rPr>
          <w:rFonts w:ascii="Times New Roman" w:eastAsia="Times New Roman" w:hAnsi="Times New Roman" w:cs="Times New Roman"/>
          <w:szCs w:val="24"/>
        </w:rPr>
      </w:pPr>
    </w:p>
    <w:p w14:paraId="61F53FB0" w14:textId="18993D73" w:rsidR="00C62CBA" w:rsidRDefault="00C62CBA" w:rsidP="008E36CC">
      <w:pPr>
        <w:spacing w:after="0"/>
        <w:ind w:left="475" w:hanging="475"/>
        <w:rPr>
          <w:rFonts w:ascii="Times New Roman" w:eastAsia="Times New Roman" w:hAnsi="Times New Roman" w:cs="Times New Roman"/>
          <w:szCs w:val="24"/>
        </w:rPr>
      </w:pPr>
    </w:p>
    <w:p w14:paraId="49D71794" w14:textId="5BB06873" w:rsidR="00C62CBA" w:rsidRDefault="00C62CBA" w:rsidP="008E36CC">
      <w:pPr>
        <w:spacing w:after="0"/>
        <w:ind w:left="475" w:hanging="475"/>
        <w:rPr>
          <w:rFonts w:ascii="Times New Roman" w:eastAsia="Times New Roman" w:hAnsi="Times New Roman" w:cs="Times New Roman"/>
          <w:szCs w:val="24"/>
        </w:rPr>
      </w:pPr>
    </w:p>
    <w:p w14:paraId="19A3DBE5" w14:textId="3E37AB0C" w:rsidR="00C62CBA" w:rsidRDefault="00C62CBA" w:rsidP="008E36CC">
      <w:pPr>
        <w:spacing w:after="0"/>
        <w:ind w:left="475" w:hanging="475"/>
        <w:rPr>
          <w:rFonts w:ascii="Times New Roman" w:eastAsia="Times New Roman" w:hAnsi="Times New Roman" w:cs="Times New Roman"/>
          <w:szCs w:val="24"/>
        </w:rPr>
      </w:pPr>
    </w:p>
    <w:p w14:paraId="78A9B071" w14:textId="20E2CB06" w:rsidR="00C62CBA" w:rsidRDefault="00C62CBA" w:rsidP="008E36CC">
      <w:pPr>
        <w:spacing w:after="0"/>
        <w:ind w:left="475" w:hanging="475"/>
        <w:rPr>
          <w:rFonts w:ascii="Times New Roman" w:eastAsia="Times New Roman" w:hAnsi="Times New Roman" w:cs="Times New Roman"/>
          <w:szCs w:val="24"/>
        </w:rPr>
      </w:pPr>
    </w:p>
    <w:p w14:paraId="37937547" w14:textId="2F07054D" w:rsidR="00C62CBA" w:rsidRDefault="00C62CBA" w:rsidP="008E36CC">
      <w:pPr>
        <w:spacing w:after="0"/>
        <w:ind w:left="475" w:hanging="475"/>
        <w:rPr>
          <w:rFonts w:ascii="Times New Roman" w:eastAsia="Times New Roman" w:hAnsi="Times New Roman" w:cs="Times New Roman"/>
          <w:szCs w:val="24"/>
        </w:rPr>
      </w:pPr>
    </w:p>
    <w:p w14:paraId="3B633304" w14:textId="67A8E456" w:rsidR="00C62CBA" w:rsidRDefault="00C62CBA" w:rsidP="008E36CC">
      <w:pPr>
        <w:spacing w:after="0"/>
        <w:ind w:left="475" w:hanging="475"/>
        <w:rPr>
          <w:rFonts w:ascii="Times New Roman" w:eastAsia="Times New Roman" w:hAnsi="Times New Roman" w:cs="Times New Roman"/>
          <w:szCs w:val="24"/>
        </w:rPr>
      </w:pPr>
    </w:p>
    <w:p w14:paraId="3A26CB31" w14:textId="7D4DDAFB" w:rsidR="007C0FA1" w:rsidRDefault="007C0FA1" w:rsidP="008E36CC">
      <w:pPr>
        <w:spacing w:after="0"/>
        <w:ind w:left="475" w:hanging="475"/>
        <w:rPr>
          <w:rFonts w:ascii="Times New Roman" w:eastAsia="Times New Roman" w:hAnsi="Times New Roman" w:cs="Times New Roman"/>
          <w:szCs w:val="24"/>
        </w:rPr>
      </w:pPr>
    </w:p>
    <w:p w14:paraId="7ABB6412" w14:textId="4F7712A0" w:rsidR="007C0FA1" w:rsidRDefault="0041336E" w:rsidP="008E36CC">
      <w:pPr>
        <w:spacing w:after="0"/>
        <w:ind w:left="475" w:hanging="475"/>
        <w:rPr>
          <w:rFonts w:ascii="Times New Roman" w:eastAsia="Times New Roman" w:hAnsi="Times New Roman" w:cs="Times New Roman"/>
          <w:szCs w:val="24"/>
        </w:rPr>
      </w:pPr>
      <w:r>
        <w:rPr>
          <w:rFonts w:ascii="Times New Roman" w:eastAsia="Times New Roman" w:hAnsi="Times New Roman" w:cs="Times New Roman"/>
          <w:noProof/>
          <w:szCs w:val="24"/>
        </w:rPr>
        <w:lastRenderedPageBreak/>
        <w:drawing>
          <wp:inline distT="0" distB="0" distL="0" distR="0" wp14:anchorId="5F222786" wp14:editId="6E9E718D">
            <wp:extent cx="5939790" cy="428561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39790" cy="4285615"/>
                    </a:xfrm>
                    <a:prstGeom prst="rect">
                      <a:avLst/>
                    </a:prstGeom>
                    <a:noFill/>
                    <a:ln>
                      <a:noFill/>
                    </a:ln>
                  </pic:spPr>
                </pic:pic>
              </a:graphicData>
            </a:graphic>
          </wp:inline>
        </w:drawing>
      </w:r>
    </w:p>
    <w:p w14:paraId="168EF527" w14:textId="055F92DE" w:rsidR="007C0FA1" w:rsidRDefault="007C0FA1" w:rsidP="008E36CC">
      <w:pPr>
        <w:spacing w:after="0"/>
        <w:ind w:left="475" w:hanging="475"/>
        <w:rPr>
          <w:rFonts w:ascii="Times New Roman" w:eastAsia="Times New Roman" w:hAnsi="Times New Roman" w:cs="Times New Roman"/>
          <w:szCs w:val="24"/>
        </w:rPr>
      </w:pPr>
    </w:p>
    <w:p w14:paraId="2BF60405" w14:textId="1556F2CB" w:rsidR="0041336E" w:rsidRPr="006C18CE" w:rsidRDefault="0041336E" w:rsidP="0041336E">
      <w:pPr>
        <w:pStyle w:val="NormalWeb"/>
        <w:spacing w:line="480" w:lineRule="auto"/>
        <w:ind w:left="720"/>
        <w:rPr>
          <w:color w:val="000000"/>
        </w:rPr>
      </w:pPr>
      <w:r w:rsidRPr="00435DA1">
        <w:rPr>
          <w:color w:val="000000"/>
        </w:rPr>
        <w:t xml:space="preserve">Figure </w:t>
      </w:r>
      <w:r>
        <w:rPr>
          <w:color w:val="000000"/>
        </w:rPr>
        <w:t>3</w:t>
      </w:r>
      <w:r w:rsidRPr="00435DA1">
        <w:rPr>
          <w:color w:val="000000"/>
        </w:rPr>
        <w:t xml:space="preserve">: </w:t>
      </w:r>
      <w:r>
        <w:rPr>
          <w:color w:val="000000"/>
        </w:rPr>
        <w:t>F</w:t>
      </w:r>
      <w:r w:rsidRPr="006C18CE">
        <w:rPr>
          <w:color w:val="000000"/>
        </w:rPr>
        <w:t>ive generalized linear mixed models (GLMM) with the results from each of the heavy metal analyses (Pb-blood, Pb-feathers, Cd-blood, Cd-feathers, Zn-feathers) used as the dependent variable. The groups (Reference Site</w:t>
      </w:r>
      <w:r>
        <w:rPr>
          <w:color w:val="000000"/>
        </w:rPr>
        <w:t xml:space="preserve"> birds</w:t>
      </w:r>
      <w:r w:rsidRPr="006C18CE">
        <w:rPr>
          <w:color w:val="000000"/>
        </w:rPr>
        <w:t xml:space="preserve">, </w:t>
      </w:r>
      <w:r>
        <w:rPr>
          <w:color w:val="000000"/>
        </w:rPr>
        <w:t>Tar Creek (TC)</w:t>
      </w:r>
      <w:r w:rsidRPr="006C18CE">
        <w:rPr>
          <w:color w:val="000000"/>
        </w:rPr>
        <w:t xml:space="preserve"> Resident</w:t>
      </w:r>
      <w:r>
        <w:rPr>
          <w:color w:val="000000"/>
        </w:rPr>
        <w:t xml:space="preserve"> birds</w:t>
      </w:r>
      <w:r w:rsidRPr="006C18CE">
        <w:rPr>
          <w:color w:val="000000"/>
        </w:rPr>
        <w:t xml:space="preserve">, and </w:t>
      </w:r>
      <w:r>
        <w:rPr>
          <w:color w:val="000000"/>
        </w:rPr>
        <w:t>Tar Creek (TC)</w:t>
      </w:r>
      <w:r w:rsidRPr="006C18CE">
        <w:rPr>
          <w:color w:val="000000"/>
        </w:rPr>
        <w:t xml:space="preserve"> Migrant</w:t>
      </w:r>
      <w:r>
        <w:rPr>
          <w:color w:val="000000"/>
        </w:rPr>
        <w:t xml:space="preserve"> birds</w:t>
      </w:r>
      <w:r w:rsidRPr="006C18CE">
        <w:rPr>
          <w:color w:val="000000"/>
        </w:rPr>
        <w:t xml:space="preserve">) were included as a factor, and species was included as a random factor. </w:t>
      </w:r>
    </w:p>
    <w:p w14:paraId="3E9213E2" w14:textId="051198A7" w:rsidR="007C0FA1" w:rsidRDefault="007C0FA1" w:rsidP="008E36CC">
      <w:pPr>
        <w:spacing w:after="0"/>
        <w:ind w:left="475" w:hanging="475"/>
        <w:rPr>
          <w:rFonts w:ascii="Times New Roman" w:eastAsia="Times New Roman" w:hAnsi="Times New Roman" w:cs="Times New Roman"/>
          <w:szCs w:val="24"/>
        </w:rPr>
      </w:pPr>
    </w:p>
    <w:p w14:paraId="1FC161FA" w14:textId="2647D530" w:rsidR="00C62CBA" w:rsidRDefault="00435DA1" w:rsidP="00C62CBA">
      <w:pPr>
        <w:pStyle w:val="NormalWeb"/>
        <w:spacing w:line="480" w:lineRule="auto"/>
        <w:rPr>
          <w:color w:val="000000"/>
          <w:highlight w:val="yellow"/>
        </w:rPr>
      </w:pPr>
      <w:r w:rsidRPr="00435DA1">
        <w:rPr>
          <w:noProof/>
          <w:color w:val="000000"/>
        </w:rPr>
        <w:lastRenderedPageBreak/>
        <w:drawing>
          <wp:inline distT="0" distB="0" distL="0" distR="0" wp14:anchorId="52F60EB9" wp14:editId="2DDEA27E">
            <wp:extent cx="5939790" cy="405511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9790" cy="4055110"/>
                    </a:xfrm>
                    <a:prstGeom prst="rect">
                      <a:avLst/>
                    </a:prstGeom>
                    <a:noFill/>
                    <a:ln>
                      <a:noFill/>
                    </a:ln>
                  </pic:spPr>
                </pic:pic>
              </a:graphicData>
            </a:graphic>
          </wp:inline>
        </w:drawing>
      </w:r>
    </w:p>
    <w:p w14:paraId="6F4AC0E0" w14:textId="33AC0AC0" w:rsidR="006C18CE" w:rsidRDefault="00C62CBA" w:rsidP="000F0B7D">
      <w:pPr>
        <w:pStyle w:val="NormalWeb"/>
        <w:spacing w:line="480" w:lineRule="auto"/>
        <w:ind w:left="720"/>
        <w:rPr>
          <w:color w:val="000000"/>
        </w:rPr>
      </w:pPr>
      <w:r w:rsidRPr="00435DA1">
        <w:rPr>
          <w:color w:val="000000"/>
        </w:rPr>
        <w:t xml:space="preserve">Figure </w:t>
      </w:r>
      <w:r w:rsidR="00204704">
        <w:rPr>
          <w:color w:val="000000"/>
        </w:rPr>
        <w:t>4</w:t>
      </w:r>
      <w:r w:rsidRPr="00435DA1">
        <w:rPr>
          <w:color w:val="000000"/>
        </w:rPr>
        <w:t xml:space="preserve">: </w:t>
      </w:r>
      <w:r w:rsidR="006C18CE">
        <w:rPr>
          <w:color w:val="000000"/>
        </w:rPr>
        <w:t>F</w:t>
      </w:r>
      <w:r w:rsidR="006C18CE" w:rsidRPr="006C18CE">
        <w:rPr>
          <w:color w:val="000000"/>
        </w:rPr>
        <w:t>ive generalized linear mixed models (GLMM) with the results from each of the heavy metal analyses (Pb-blood, Pb-feathers, Cd-blood, Cd-feathers, Zn-feathers) used as the dependent variable. The groups (Reference Site</w:t>
      </w:r>
      <w:r w:rsidR="005F44A3">
        <w:rPr>
          <w:color w:val="000000"/>
        </w:rPr>
        <w:t xml:space="preserve"> birds</w:t>
      </w:r>
      <w:r w:rsidR="006C18CE" w:rsidRPr="006C18CE">
        <w:rPr>
          <w:color w:val="000000"/>
        </w:rPr>
        <w:t xml:space="preserve">, </w:t>
      </w:r>
      <w:r w:rsidR="0004682F">
        <w:rPr>
          <w:color w:val="000000"/>
        </w:rPr>
        <w:t xml:space="preserve">Tar Creek (TC) Resident birds, </w:t>
      </w:r>
      <w:r w:rsidR="005F44A3">
        <w:rPr>
          <w:color w:val="000000"/>
        </w:rPr>
        <w:t>Tar Creek (TC)</w:t>
      </w:r>
      <w:r w:rsidR="006C18CE" w:rsidRPr="006C18CE">
        <w:rPr>
          <w:color w:val="000000"/>
        </w:rPr>
        <w:t xml:space="preserve"> </w:t>
      </w:r>
      <w:r w:rsidR="0041336E">
        <w:rPr>
          <w:color w:val="000000"/>
        </w:rPr>
        <w:t>Swallows</w:t>
      </w:r>
      <w:r w:rsidR="006C18CE" w:rsidRPr="006C18CE">
        <w:rPr>
          <w:color w:val="000000"/>
        </w:rPr>
        <w:t xml:space="preserve">, and </w:t>
      </w:r>
      <w:r w:rsidR="005F44A3">
        <w:rPr>
          <w:color w:val="000000"/>
        </w:rPr>
        <w:t>Tar Creek (TC)</w:t>
      </w:r>
      <w:r w:rsidR="006C18CE" w:rsidRPr="006C18CE">
        <w:rPr>
          <w:color w:val="000000"/>
        </w:rPr>
        <w:t xml:space="preserve"> </w:t>
      </w:r>
      <w:r w:rsidR="0041336E">
        <w:rPr>
          <w:color w:val="000000"/>
        </w:rPr>
        <w:t xml:space="preserve">non-Swallow </w:t>
      </w:r>
      <w:r w:rsidR="006C18CE" w:rsidRPr="006C18CE">
        <w:rPr>
          <w:color w:val="000000"/>
        </w:rPr>
        <w:t>Migrant</w:t>
      </w:r>
      <w:r w:rsidR="005F44A3">
        <w:rPr>
          <w:color w:val="000000"/>
        </w:rPr>
        <w:t xml:space="preserve"> birds</w:t>
      </w:r>
      <w:r w:rsidR="006C18CE" w:rsidRPr="006C18CE">
        <w:rPr>
          <w:color w:val="000000"/>
        </w:rPr>
        <w:t xml:space="preserve">) were included as a factor, and species was included as a random factor. </w:t>
      </w:r>
    </w:p>
    <w:p w14:paraId="6A253440" w14:textId="3052668C" w:rsidR="00B20B0D" w:rsidRDefault="00B20B0D" w:rsidP="000F0B7D">
      <w:pPr>
        <w:pStyle w:val="NormalWeb"/>
        <w:spacing w:line="480" w:lineRule="auto"/>
        <w:ind w:left="720"/>
        <w:rPr>
          <w:color w:val="000000"/>
        </w:rPr>
      </w:pPr>
    </w:p>
    <w:p w14:paraId="6434E6E4" w14:textId="5C8AB775" w:rsidR="00B20B0D" w:rsidRDefault="00B20B0D" w:rsidP="000F0B7D">
      <w:pPr>
        <w:pStyle w:val="NormalWeb"/>
        <w:spacing w:line="480" w:lineRule="auto"/>
        <w:ind w:left="720"/>
        <w:rPr>
          <w:color w:val="000000"/>
        </w:rPr>
      </w:pPr>
    </w:p>
    <w:p w14:paraId="50ACDC4B" w14:textId="128C0C74" w:rsidR="00B20B0D" w:rsidRDefault="00B20B0D" w:rsidP="000F0B7D">
      <w:pPr>
        <w:pStyle w:val="NormalWeb"/>
        <w:spacing w:line="480" w:lineRule="auto"/>
        <w:ind w:left="720"/>
        <w:rPr>
          <w:color w:val="000000"/>
        </w:rPr>
      </w:pPr>
    </w:p>
    <w:p w14:paraId="44B7A460" w14:textId="76085C39" w:rsidR="00B20B0D" w:rsidRDefault="000A0371" w:rsidP="000F0B7D">
      <w:pPr>
        <w:pStyle w:val="NormalWeb"/>
        <w:spacing w:line="480" w:lineRule="auto"/>
        <w:ind w:left="720"/>
        <w:rPr>
          <w:color w:val="000000"/>
        </w:rPr>
      </w:pPr>
      <w:r>
        <w:rPr>
          <w:noProof/>
          <w:color w:val="000000"/>
        </w:rPr>
        <w:lastRenderedPageBreak/>
        <w:drawing>
          <wp:inline distT="0" distB="0" distL="0" distR="0" wp14:anchorId="47AE85AB" wp14:editId="5BF58BFD">
            <wp:extent cx="5939790" cy="49377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39790" cy="4937760"/>
                    </a:xfrm>
                    <a:prstGeom prst="rect">
                      <a:avLst/>
                    </a:prstGeom>
                    <a:noFill/>
                    <a:ln>
                      <a:noFill/>
                    </a:ln>
                  </pic:spPr>
                </pic:pic>
              </a:graphicData>
            </a:graphic>
          </wp:inline>
        </w:drawing>
      </w:r>
    </w:p>
    <w:p w14:paraId="6421A3AD" w14:textId="0A9614EC" w:rsidR="00B20B0D" w:rsidRDefault="00B20B0D" w:rsidP="000F0B7D">
      <w:pPr>
        <w:pStyle w:val="NormalWeb"/>
        <w:spacing w:line="480" w:lineRule="auto"/>
        <w:ind w:left="720"/>
        <w:rPr>
          <w:color w:val="000000"/>
        </w:rPr>
      </w:pPr>
    </w:p>
    <w:p w14:paraId="386CFEC1" w14:textId="29E6C80C" w:rsidR="000A0371" w:rsidRDefault="00783BBB" w:rsidP="000A0371">
      <w:pPr>
        <w:pStyle w:val="NormalWeb"/>
        <w:spacing w:before="240" w:after="240" w:line="480" w:lineRule="auto"/>
        <w:ind w:left="720"/>
        <w:rPr>
          <w:color w:val="000000"/>
        </w:rPr>
      </w:pPr>
      <w:r w:rsidRPr="007D1120">
        <w:rPr>
          <w:color w:val="000000"/>
        </w:rPr>
        <w:t xml:space="preserve">Figure 5: </w:t>
      </w:r>
      <w:r w:rsidR="000A0371">
        <w:rPr>
          <w:color w:val="000000"/>
        </w:rPr>
        <w:t>F</w:t>
      </w:r>
      <w:r w:rsidR="000A0371" w:rsidRPr="000A0371">
        <w:rPr>
          <w:color w:val="000000"/>
        </w:rPr>
        <w:t>ive one-way ANOVAs with each of the heavy metal detection tests (Pb-blood, Pb-feathers, Cd-blood, Cd-feathers, Zn-feathers) used as the dependent variable.</w:t>
      </w:r>
      <w:r w:rsidR="000A0371">
        <w:rPr>
          <w:color w:val="000000"/>
        </w:rPr>
        <w:t xml:space="preserve"> </w:t>
      </w:r>
      <w:r w:rsidR="000A0371" w:rsidRPr="006C18CE">
        <w:rPr>
          <w:color w:val="000000"/>
        </w:rPr>
        <w:t>The groups (</w:t>
      </w:r>
      <w:r w:rsidR="000A0371">
        <w:rPr>
          <w:color w:val="000000"/>
        </w:rPr>
        <w:t>Nestling Swallows and Adult Swallows</w:t>
      </w:r>
      <w:r w:rsidR="000A0371" w:rsidRPr="006C18CE">
        <w:rPr>
          <w:color w:val="000000"/>
        </w:rPr>
        <w:t>) were included as a factor</w:t>
      </w:r>
      <w:r w:rsidR="000A0371">
        <w:rPr>
          <w:color w:val="000000"/>
        </w:rPr>
        <w:t>.</w:t>
      </w:r>
      <w:r w:rsidR="003E4179">
        <w:rPr>
          <w:color w:val="000000"/>
        </w:rPr>
        <w:t xml:space="preserve"> The two species sampled were Northern Rough-winged Swallows (</w:t>
      </w:r>
      <w:r w:rsidR="00533748" w:rsidRPr="00533748">
        <w:rPr>
          <w:i/>
          <w:iCs/>
          <w:color w:val="000000"/>
        </w:rPr>
        <w:t>Stelgidopteryx serripennis</w:t>
      </w:r>
      <w:r w:rsidR="003E4179">
        <w:rPr>
          <w:color w:val="000000"/>
        </w:rPr>
        <w:t>) and Bank Swallows (</w:t>
      </w:r>
      <w:r w:rsidR="003E4179">
        <w:rPr>
          <w:i/>
          <w:iCs/>
          <w:color w:val="000000"/>
        </w:rPr>
        <w:t>Riperia riperia</w:t>
      </w:r>
      <w:r w:rsidR="003E4179">
        <w:rPr>
          <w:color w:val="000000"/>
        </w:rPr>
        <w:t>).</w:t>
      </w:r>
      <w:r w:rsidR="000A0371" w:rsidRPr="000A0371">
        <w:rPr>
          <w:color w:val="000000"/>
        </w:rPr>
        <w:t xml:space="preserve">      </w:t>
      </w:r>
    </w:p>
    <w:p w14:paraId="15953387" w14:textId="17E67A3E" w:rsidR="000A0371" w:rsidRDefault="000A0371" w:rsidP="000A0371">
      <w:pPr>
        <w:pStyle w:val="NormalWeb"/>
        <w:spacing w:before="240" w:after="240" w:line="480" w:lineRule="auto"/>
        <w:ind w:left="720"/>
        <w:rPr>
          <w:color w:val="000000"/>
        </w:rPr>
      </w:pPr>
    </w:p>
    <w:p w14:paraId="7FEC58D6" w14:textId="107EF3DD" w:rsidR="000A0371" w:rsidRDefault="00DE336D" w:rsidP="000A0371">
      <w:pPr>
        <w:pStyle w:val="NormalWeb"/>
        <w:spacing w:before="240" w:after="240" w:line="480" w:lineRule="auto"/>
        <w:ind w:left="720"/>
        <w:rPr>
          <w:color w:val="000000"/>
        </w:rPr>
      </w:pPr>
      <w:r>
        <w:rPr>
          <w:noProof/>
          <w:color w:val="000000"/>
        </w:rPr>
        <w:lastRenderedPageBreak/>
        <w:drawing>
          <wp:inline distT="0" distB="0" distL="0" distR="0" wp14:anchorId="6CB490A2" wp14:editId="68B55CF4">
            <wp:extent cx="5481697" cy="691515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b="33267"/>
                    <a:stretch/>
                  </pic:blipFill>
                  <pic:spPr bwMode="auto">
                    <a:xfrm>
                      <a:off x="0" y="0"/>
                      <a:ext cx="5487401" cy="6922346"/>
                    </a:xfrm>
                    <a:prstGeom prst="rect">
                      <a:avLst/>
                    </a:prstGeom>
                    <a:noFill/>
                    <a:ln>
                      <a:noFill/>
                    </a:ln>
                    <a:extLst>
                      <a:ext uri="{53640926-AAD7-44D8-BBD7-CCE9431645EC}">
                        <a14:shadowObscured xmlns:a14="http://schemas.microsoft.com/office/drawing/2010/main"/>
                      </a:ext>
                    </a:extLst>
                  </pic:spPr>
                </pic:pic>
              </a:graphicData>
            </a:graphic>
          </wp:inline>
        </w:drawing>
      </w:r>
    </w:p>
    <w:p w14:paraId="3294E43E" w14:textId="27423D70" w:rsidR="000A0371" w:rsidRDefault="0070778F" w:rsidP="000A0371">
      <w:pPr>
        <w:pStyle w:val="NormalWeb"/>
        <w:spacing w:before="240" w:after="240" w:line="480" w:lineRule="auto"/>
        <w:ind w:left="720"/>
        <w:rPr>
          <w:color w:val="000000"/>
        </w:rPr>
      </w:pPr>
      <w:r>
        <w:rPr>
          <w:noProof/>
          <w:color w:val="000000"/>
        </w:rPr>
        <w:lastRenderedPageBreak/>
        <w:drawing>
          <wp:inline distT="0" distB="0" distL="0" distR="0" wp14:anchorId="333BBE6A" wp14:editId="06ABF9C5">
            <wp:extent cx="5240956" cy="3276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66927"/>
                    <a:stretch/>
                  </pic:blipFill>
                  <pic:spPr bwMode="auto">
                    <a:xfrm>
                      <a:off x="0" y="0"/>
                      <a:ext cx="5247796" cy="3280877"/>
                    </a:xfrm>
                    <a:prstGeom prst="rect">
                      <a:avLst/>
                    </a:prstGeom>
                    <a:noFill/>
                    <a:ln>
                      <a:noFill/>
                    </a:ln>
                    <a:extLst>
                      <a:ext uri="{53640926-AAD7-44D8-BBD7-CCE9431645EC}">
                        <a14:shadowObscured xmlns:a14="http://schemas.microsoft.com/office/drawing/2010/main"/>
                      </a:ext>
                    </a:extLst>
                  </pic:spPr>
                </pic:pic>
              </a:graphicData>
            </a:graphic>
          </wp:inline>
        </w:drawing>
      </w:r>
    </w:p>
    <w:p w14:paraId="4FFB00B8" w14:textId="2E33DA20" w:rsidR="000A0371" w:rsidRDefault="000A0371" w:rsidP="000A0371">
      <w:pPr>
        <w:pStyle w:val="NormalWeb"/>
        <w:spacing w:before="240" w:after="240" w:line="480" w:lineRule="auto"/>
        <w:ind w:left="720"/>
        <w:rPr>
          <w:color w:val="000000"/>
        </w:rPr>
      </w:pPr>
    </w:p>
    <w:p w14:paraId="364BFF45" w14:textId="1643C5EF" w:rsidR="00787751" w:rsidRDefault="00787751" w:rsidP="00787751">
      <w:pPr>
        <w:pStyle w:val="NormalWeb"/>
        <w:spacing w:before="240" w:after="240" w:line="480" w:lineRule="auto"/>
        <w:ind w:left="720"/>
        <w:rPr>
          <w:color w:val="000000"/>
        </w:rPr>
      </w:pPr>
      <w:r w:rsidRPr="007D1120">
        <w:rPr>
          <w:color w:val="000000"/>
        </w:rPr>
        <w:t xml:space="preserve">Figure </w:t>
      </w:r>
      <w:r>
        <w:rPr>
          <w:color w:val="000000"/>
        </w:rPr>
        <w:t>6</w:t>
      </w:r>
      <w:r w:rsidRPr="007D1120">
        <w:rPr>
          <w:color w:val="000000"/>
        </w:rPr>
        <w:t xml:space="preserve">: </w:t>
      </w:r>
      <w:r w:rsidR="008243BF">
        <w:rPr>
          <w:color w:val="000000"/>
        </w:rPr>
        <w:t xml:space="preserve">Correlation Matrices </w:t>
      </w:r>
      <w:r w:rsidR="00A55D06">
        <w:rPr>
          <w:color w:val="000000"/>
        </w:rPr>
        <w:t xml:space="preserve">and </w:t>
      </w:r>
      <w:r w:rsidR="00EA09B2">
        <w:rPr>
          <w:color w:val="000000"/>
        </w:rPr>
        <w:t xml:space="preserve">table </w:t>
      </w:r>
      <w:r w:rsidR="007663D3">
        <w:rPr>
          <w:color w:val="000000"/>
        </w:rPr>
        <w:t>showing Pearson correlation coeff</w:t>
      </w:r>
      <w:r w:rsidR="00575898">
        <w:rPr>
          <w:color w:val="000000"/>
        </w:rPr>
        <w:t>icients between five variables</w:t>
      </w:r>
      <w:r w:rsidR="000A0371" w:rsidRPr="000A0371">
        <w:rPr>
          <w:color w:val="000000"/>
        </w:rPr>
        <w:t xml:space="preserve"> (Pb-blood, Pb-feathers, Cd-blood, Cd-feathers, Zn-feathers)</w:t>
      </w:r>
      <w:r w:rsidR="00575898">
        <w:rPr>
          <w:color w:val="000000"/>
        </w:rPr>
        <w:t xml:space="preserve"> and three</w:t>
      </w:r>
      <w:r w:rsidR="003F3AFF">
        <w:rPr>
          <w:color w:val="000000"/>
        </w:rPr>
        <w:t xml:space="preserve"> groups (Adult Resident birds, Adult Migrant birds, and Nestling Swallows</w:t>
      </w:r>
      <w:r w:rsidRPr="006C18CE">
        <w:rPr>
          <w:color w:val="000000"/>
        </w:rPr>
        <w:t>)</w:t>
      </w:r>
      <w:r>
        <w:rPr>
          <w:color w:val="000000"/>
        </w:rPr>
        <w:t>. The</w:t>
      </w:r>
      <w:r w:rsidR="00253EE7">
        <w:rPr>
          <w:color w:val="000000"/>
        </w:rPr>
        <w:t xml:space="preserve"> Nestling Swallows group consists of</w:t>
      </w:r>
      <w:r>
        <w:rPr>
          <w:color w:val="000000"/>
        </w:rPr>
        <w:t xml:space="preserve"> two</w:t>
      </w:r>
      <w:r w:rsidR="00253EE7">
        <w:rPr>
          <w:color w:val="000000"/>
        </w:rPr>
        <w:t xml:space="preserve"> </w:t>
      </w:r>
      <w:r>
        <w:rPr>
          <w:color w:val="000000"/>
        </w:rPr>
        <w:t>species</w:t>
      </w:r>
      <w:r w:rsidR="00253EE7">
        <w:rPr>
          <w:color w:val="000000"/>
        </w:rPr>
        <w:t xml:space="preserve">: </w:t>
      </w:r>
      <w:r>
        <w:rPr>
          <w:color w:val="000000"/>
        </w:rPr>
        <w:t>Northern Rough-winged Swallows (</w:t>
      </w:r>
      <w:r w:rsidRPr="00533748">
        <w:rPr>
          <w:i/>
          <w:iCs/>
          <w:color w:val="000000"/>
        </w:rPr>
        <w:t>Stelgidopteryx serripennis</w:t>
      </w:r>
      <w:r>
        <w:rPr>
          <w:color w:val="000000"/>
        </w:rPr>
        <w:t>) and Bank Swallows (</w:t>
      </w:r>
      <w:r>
        <w:rPr>
          <w:i/>
          <w:iCs/>
          <w:color w:val="000000"/>
        </w:rPr>
        <w:t>Riperia riperia</w:t>
      </w:r>
      <w:r>
        <w:rPr>
          <w:color w:val="000000"/>
        </w:rPr>
        <w:t>).</w:t>
      </w:r>
      <w:r w:rsidR="000A0371" w:rsidRPr="000A0371">
        <w:rPr>
          <w:color w:val="000000"/>
        </w:rPr>
        <w:t xml:space="preserve">      </w:t>
      </w:r>
    </w:p>
    <w:p w14:paraId="410D202A" w14:textId="5CC33B81" w:rsidR="0045278A" w:rsidRDefault="0045278A" w:rsidP="00787751">
      <w:pPr>
        <w:pStyle w:val="NormalWeb"/>
        <w:spacing w:before="240" w:after="240" w:line="480" w:lineRule="auto"/>
        <w:ind w:left="720"/>
        <w:rPr>
          <w:color w:val="000000"/>
        </w:rPr>
      </w:pPr>
    </w:p>
    <w:p w14:paraId="48CEAA24" w14:textId="3B61FE98" w:rsidR="0045278A" w:rsidRDefault="0045278A" w:rsidP="00787751">
      <w:pPr>
        <w:pStyle w:val="NormalWeb"/>
        <w:spacing w:before="240" w:after="240" w:line="480" w:lineRule="auto"/>
        <w:ind w:left="720"/>
        <w:rPr>
          <w:color w:val="000000"/>
        </w:rPr>
      </w:pPr>
    </w:p>
    <w:p w14:paraId="3970ED0E" w14:textId="3C42F1C7" w:rsidR="0045278A" w:rsidRDefault="0045278A" w:rsidP="00787751">
      <w:pPr>
        <w:pStyle w:val="NormalWeb"/>
        <w:spacing w:before="240" w:after="240" w:line="480" w:lineRule="auto"/>
        <w:ind w:left="720"/>
        <w:rPr>
          <w:color w:val="000000"/>
        </w:rPr>
      </w:pPr>
    </w:p>
    <w:p w14:paraId="6F4221E7" w14:textId="571B871D" w:rsidR="0045278A" w:rsidRDefault="0045278A" w:rsidP="00787751">
      <w:pPr>
        <w:pStyle w:val="NormalWeb"/>
        <w:spacing w:before="240" w:after="240" w:line="480" w:lineRule="auto"/>
        <w:ind w:left="720"/>
        <w:rPr>
          <w:color w:val="000000"/>
        </w:rPr>
      </w:pPr>
    </w:p>
    <w:p w14:paraId="561B4876" w14:textId="6FB7CA67" w:rsidR="0045278A" w:rsidRDefault="0045278A" w:rsidP="00787751">
      <w:pPr>
        <w:pStyle w:val="NormalWeb"/>
        <w:spacing w:before="240" w:after="240" w:line="480" w:lineRule="auto"/>
        <w:ind w:left="720"/>
        <w:rPr>
          <w:color w:val="000000"/>
        </w:rPr>
      </w:pPr>
    </w:p>
    <w:p w14:paraId="78DCD510" w14:textId="4AE6CC8F" w:rsidR="0045278A" w:rsidRDefault="0045278A" w:rsidP="00787751">
      <w:pPr>
        <w:pStyle w:val="NormalWeb"/>
        <w:spacing w:before="240" w:after="240" w:line="480" w:lineRule="auto"/>
        <w:ind w:left="720"/>
        <w:rPr>
          <w:color w:val="000000"/>
        </w:rPr>
      </w:pPr>
      <w:r w:rsidRPr="0070778F">
        <w:rPr>
          <w:noProof/>
        </w:rPr>
        <w:drawing>
          <wp:inline distT="0" distB="0" distL="0" distR="0" wp14:anchorId="13426CA2" wp14:editId="764E3ECB">
            <wp:extent cx="4723130" cy="3117215"/>
            <wp:effectExtent l="0" t="0" r="127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723130" cy="3117215"/>
                    </a:xfrm>
                    <a:prstGeom prst="rect">
                      <a:avLst/>
                    </a:prstGeom>
                    <a:noFill/>
                    <a:ln>
                      <a:noFill/>
                    </a:ln>
                  </pic:spPr>
                </pic:pic>
              </a:graphicData>
            </a:graphic>
          </wp:inline>
        </w:drawing>
      </w:r>
    </w:p>
    <w:p w14:paraId="4963F55C" w14:textId="5B3175B4" w:rsidR="00B10228" w:rsidRDefault="00B10228" w:rsidP="00C81104">
      <w:pPr>
        <w:pStyle w:val="NormalWeb"/>
        <w:spacing w:before="240" w:after="240" w:line="480" w:lineRule="auto"/>
        <w:ind w:left="1440"/>
        <w:rPr>
          <w:color w:val="000000"/>
        </w:rPr>
      </w:pPr>
      <w:r>
        <w:rPr>
          <w:color w:val="000000"/>
        </w:rPr>
        <w:t>Table 1</w:t>
      </w:r>
      <w:r w:rsidRPr="007D1120">
        <w:rPr>
          <w:color w:val="000000"/>
        </w:rPr>
        <w:t xml:space="preserve">: </w:t>
      </w:r>
      <w:r>
        <w:rPr>
          <w:color w:val="000000"/>
        </w:rPr>
        <w:t>Table of Pearson corr</w:t>
      </w:r>
      <w:r>
        <w:rPr>
          <w:color w:val="000000"/>
        </w:rPr>
        <w:t xml:space="preserve">elation coefficients </w:t>
      </w:r>
      <w:r>
        <w:rPr>
          <w:color w:val="000000"/>
        </w:rPr>
        <w:t xml:space="preserve">and p-values </w:t>
      </w:r>
      <w:r>
        <w:rPr>
          <w:color w:val="000000"/>
        </w:rPr>
        <w:t>between five variables</w:t>
      </w:r>
      <w:r w:rsidRPr="000A0371">
        <w:rPr>
          <w:color w:val="000000"/>
        </w:rPr>
        <w:t xml:space="preserve"> (Pb-blood, Pb-feathers, Cd-blood, Cd-feathers, Zn-feathers)</w:t>
      </w:r>
      <w:r>
        <w:rPr>
          <w:color w:val="000000"/>
        </w:rPr>
        <w:t xml:space="preserve"> and three groups (Adult Resident birds, Adult Migrant birds, and Nestling Swallows</w:t>
      </w:r>
      <w:r w:rsidRPr="006C18CE">
        <w:rPr>
          <w:color w:val="000000"/>
        </w:rPr>
        <w:t>)</w:t>
      </w:r>
      <w:r>
        <w:rPr>
          <w:color w:val="000000"/>
        </w:rPr>
        <w:t>. The Nestling Swallows group consists of two species: Northern Rough-winged Swallows (</w:t>
      </w:r>
      <w:r w:rsidRPr="00533748">
        <w:rPr>
          <w:i/>
          <w:iCs/>
          <w:color w:val="000000"/>
        </w:rPr>
        <w:t>Stelgidopteryx serripennis</w:t>
      </w:r>
      <w:r>
        <w:rPr>
          <w:color w:val="000000"/>
        </w:rPr>
        <w:t>) and Bank Swallows (</w:t>
      </w:r>
      <w:r>
        <w:rPr>
          <w:i/>
          <w:iCs/>
          <w:color w:val="000000"/>
        </w:rPr>
        <w:t>Riperia riperia</w:t>
      </w:r>
      <w:r>
        <w:rPr>
          <w:color w:val="000000"/>
        </w:rPr>
        <w:t>).</w:t>
      </w:r>
      <w:r w:rsidRPr="000A0371">
        <w:rPr>
          <w:color w:val="000000"/>
        </w:rPr>
        <w:t xml:space="preserve">      </w:t>
      </w:r>
    </w:p>
    <w:p w14:paraId="12B7F558" w14:textId="77777777" w:rsidR="000A0371" w:rsidRPr="000A0371" w:rsidRDefault="000A0371" w:rsidP="000A0371">
      <w:pPr>
        <w:pStyle w:val="NormalWeb"/>
        <w:spacing w:before="240" w:after="240" w:line="480" w:lineRule="auto"/>
        <w:ind w:left="720"/>
        <w:rPr>
          <w:color w:val="000000"/>
        </w:rPr>
      </w:pPr>
    </w:p>
    <w:p w14:paraId="6BA2C25F" w14:textId="48761039" w:rsidR="00783BBB" w:rsidRPr="007D1120" w:rsidRDefault="00783BBB" w:rsidP="00783BBB">
      <w:pPr>
        <w:pStyle w:val="NormalWeb"/>
        <w:spacing w:before="240" w:beforeAutospacing="0" w:after="240" w:afterAutospacing="0" w:line="480" w:lineRule="auto"/>
        <w:ind w:left="720"/>
      </w:pPr>
    </w:p>
    <w:p w14:paraId="6B4FB369" w14:textId="77777777" w:rsidR="00783BBB" w:rsidRPr="006C18CE" w:rsidRDefault="00783BBB" w:rsidP="000F0B7D">
      <w:pPr>
        <w:pStyle w:val="NormalWeb"/>
        <w:spacing w:line="480" w:lineRule="auto"/>
        <w:ind w:left="720"/>
        <w:rPr>
          <w:color w:val="000000"/>
        </w:rPr>
      </w:pPr>
    </w:p>
    <w:p w14:paraId="398D0CB9" w14:textId="77777777" w:rsidR="00C62CBA" w:rsidRPr="00F611A1" w:rsidRDefault="00C62CBA" w:rsidP="008E36CC">
      <w:pPr>
        <w:spacing w:after="0"/>
        <w:ind w:left="475" w:hanging="475"/>
        <w:rPr>
          <w:rFonts w:ascii="Times New Roman" w:eastAsia="Times New Roman" w:hAnsi="Times New Roman" w:cs="Times New Roman"/>
          <w:szCs w:val="24"/>
        </w:rPr>
      </w:pPr>
    </w:p>
    <w:sectPr w:rsidR="00C62CBA" w:rsidRPr="00F611A1" w:rsidSect="00E66C9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17291" w14:textId="77777777" w:rsidR="00BA6A9F" w:rsidRDefault="00BA6A9F" w:rsidP="00B7504F">
      <w:pPr>
        <w:spacing w:after="0" w:line="240" w:lineRule="auto"/>
      </w:pPr>
      <w:r>
        <w:separator/>
      </w:r>
    </w:p>
  </w:endnote>
  <w:endnote w:type="continuationSeparator" w:id="0">
    <w:p w14:paraId="005DCBDC" w14:textId="77777777" w:rsidR="00BA6A9F" w:rsidRDefault="00BA6A9F" w:rsidP="00B75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186995"/>
      <w:docPartObj>
        <w:docPartGallery w:val="Page Numbers (Bottom of Page)"/>
        <w:docPartUnique/>
      </w:docPartObj>
    </w:sdtPr>
    <w:sdtEndPr>
      <w:rPr>
        <w:noProof/>
      </w:rPr>
    </w:sdtEndPr>
    <w:sdtContent>
      <w:p w14:paraId="6EE75139" w14:textId="79C27F06" w:rsidR="008863FA" w:rsidRDefault="00BA6A9F">
        <w:pPr>
          <w:pStyle w:val="Footer"/>
          <w:jc w:val="center"/>
        </w:pPr>
      </w:p>
    </w:sdtContent>
  </w:sdt>
  <w:p w14:paraId="2AB015D7" w14:textId="77777777" w:rsidR="008863FA" w:rsidRDefault="00886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962902"/>
      <w:docPartObj>
        <w:docPartGallery w:val="Page Numbers (Bottom of Page)"/>
        <w:docPartUnique/>
      </w:docPartObj>
    </w:sdtPr>
    <w:sdtEndPr>
      <w:rPr>
        <w:rFonts w:ascii="Times New Roman" w:hAnsi="Times New Roman" w:cs="Times New Roman"/>
        <w:noProof/>
      </w:rPr>
    </w:sdtEndPr>
    <w:sdtContent>
      <w:p w14:paraId="3FF68694" w14:textId="77777777" w:rsidR="008863FA" w:rsidRPr="00460765" w:rsidRDefault="008863FA">
        <w:pPr>
          <w:pStyle w:val="Footer"/>
          <w:jc w:val="center"/>
          <w:rPr>
            <w:rFonts w:ascii="Times New Roman" w:hAnsi="Times New Roman" w:cs="Times New Roman"/>
          </w:rPr>
        </w:pPr>
        <w:r w:rsidRPr="00460765">
          <w:rPr>
            <w:rFonts w:ascii="Times New Roman" w:hAnsi="Times New Roman" w:cs="Times New Roman"/>
          </w:rPr>
          <w:fldChar w:fldCharType="begin"/>
        </w:r>
        <w:r w:rsidRPr="00460765">
          <w:rPr>
            <w:rFonts w:ascii="Times New Roman" w:hAnsi="Times New Roman" w:cs="Times New Roman"/>
          </w:rPr>
          <w:instrText xml:space="preserve"> PAGE   \* MERGEFORMAT </w:instrText>
        </w:r>
        <w:r w:rsidRPr="00460765">
          <w:rPr>
            <w:rFonts w:ascii="Times New Roman" w:hAnsi="Times New Roman" w:cs="Times New Roman"/>
          </w:rPr>
          <w:fldChar w:fldCharType="separate"/>
        </w:r>
        <w:r>
          <w:rPr>
            <w:rFonts w:ascii="Times New Roman" w:hAnsi="Times New Roman" w:cs="Times New Roman"/>
            <w:noProof/>
          </w:rPr>
          <w:t>14</w:t>
        </w:r>
        <w:r w:rsidRPr="00460765">
          <w:rPr>
            <w:rFonts w:ascii="Times New Roman" w:hAnsi="Times New Roman" w:cs="Times New Roman"/>
            <w:noProof/>
          </w:rPr>
          <w:fldChar w:fldCharType="end"/>
        </w:r>
      </w:p>
    </w:sdtContent>
  </w:sdt>
  <w:p w14:paraId="6F95B3CE" w14:textId="77777777" w:rsidR="008863FA" w:rsidRDefault="008863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AA681" w14:textId="77777777" w:rsidR="008863FA" w:rsidRDefault="008863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312212"/>
      <w:docPartObj>
        <w:docPartGallery w:val="Page Numbers (Bottom of Page)"/>
        <w:docPartUnique/>
      </w:docPartObj>
    </w:sdtPr>
    <w:sdtEndPr>
      <w:rPr>
        <w:rFonts w:ascii="Times New Roman" w:hAnsi="Times New Roman" w:cs="Times New Roman"/>
        <w:noProof/>
      </w:rPr>
    </w:sdtEndPr>
    <w:sdtContent>
      <w:p w14:paraId="76E0DD77" w14:textId="77777777" w:rsidR="00740696" w:rsidRPr="00460765" w:rsidRDefault="00740696">
        <w:pPr>
          <w:pStyle w:val="Footer"/>
          <w:jc w:val="center"/>
          <w:rPr>
            <w:rFonts w:ascii="Times New Roman" w:hAnsi="Times New Roman" w:cs="Times New Roman"/>
          </w:rPr>
        </w:pPr>
        <w:r w:rsidRPr="00460765">
          <w:rPr>
            <w:rFonts w:ascii="Times New Roman" w:hAnsi="Times New Roman" w:cs="Times New Roman"/>
          </w:rPr>
          <w:fldChar w:fldCharType="begin"/>
        </w:r>
        <w:r w:rsidRPr="00460765">
          <w:rPr>
            <w:rFonts w:ascii="Times New Roman" w:hAnsi="Times New Roman" w:cs="Times New Roman"/>
          </w:rPr>
          <w:instrText xml:space="preserve"> PAGE   \* MERGEFORMAT </w:instrText>
        </w:r>
        <w:r w:rsidRPr="00460765">
          <w:rPr>
            <w:rFonts w:ascii="Times New Roman" w:hAnsi="Times New Roman" w:cs="Times New Roman"/>
          </w:rPr>
          <w:fldChar w:fldCharType="separate"/>
        </w:r>
        <w:r>
          <w:rPr>
            <w:rFonts w:ascii="Times New Roman" w:hAnsi="Times New Roman" w:cs="Times New Roman"/>
            <w:noProof/>
          </w:rPr>
          <w:t>14</w:t>
        </w:r>
        <w:r w:rsidRPr="00460765">
          <w:rPr>
            <w:rFonts w:ascii="Times New Roman" w:hAnsi="Times New Roman" w:cs="Times New Roman"/>
            <w:noProof/>
          </w:rPr>
          <w:fldChar w:fldCharType="end"/>
        </w:r>
      </w:p>
    </w:sdtContent>
  </w:sdt>
  <w:p w14:paraId="2B9D1BA9" w14:textId="77777777" w:rsidR="00740696" w:rsidRDefault="00740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07C2C" w14:textId="77777777" w:rsidR="00BA6A9F" w:rsidRDefault="00BA6A9F" w:rsidP="00B7504F">
      <w:pPr>
        <w:spacing w:after="0" w:line="240" w:lineRule="auto"/>
      </w:pPr>
      <w:r>
        <w:separator/>
      </w:r>
    </w:p>
  </w:footnote>
  <w:footnote w:type="continuationSeparator" w:id="0">
    <w:p w14:paraId="1479674B" w14:textId="77777777" w:rsidR="00BA6A9F" w:rsidRDefault="00BA6A9F" w:rsidP="00B750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247DBA"/>
    <w:multiLevelType w:val="hybridMultilevel"/>
    <w:tmpl w:val="2D7674AE"/>
    <w:lvl w:ilvl="0" w:tplc="D3ACFCF4">
      <w:start w:val="1"/>
      <w:numFmt w:val="bullet"/>
      <w:lvlText w:val="●"/>
      <w:lvlJc w:val="left"/>
      <w:pPr>
        <w:tabs>
          <w:tab w:val="num" w:pos="720"/>
        </w:tabs>
        <w:ind w:left="720" w:hanging="360"/>
      </w:pPr>
      <w:rPr>
        <w:rFonts w:ascii="Arial" w:hAnsi="Arial" w:hint="default"/>
      </w:rPr>
    </w:lvl>
    <w:lvl w:ilvl="1" w:tplc="B19EA8CC" w:tentative="1">
      <w:start w:val="1"/>
      <w:numFmt w:val="bullet"/>
      <w:lvlText w:val="●"/>
      <w:lvlJc w:val="left"/>
      <w:pPr>
        <w:tabs>
          <w:tab w:val="num" w:pos="1440"/>
        </w:tabs>
        <w:ind w:left="1440" w:hanging="360"/>
      </w:pPr>
      <w:rPr>
        <w:rFonts w:ascii="Arial" w:hAnsi="Arial" w:hint="default"/>
      </w:rPr>
    </w:lvl>
    <w:lvl w:ilvl="2" w:tplc="0D2A7CC6" w:tentative="1">
      <w:start w:val="1"/>
      <w:numFmt w:val="bullet"/>
      <w:lvlText w:val="●"/>
      <w:lvlJc w:val="left"/>
      <w:pPr>
        <w:tabs>
          <w:tab w:val="num" w:pos="2160"/>
        </w:tabs>
        <w:ind w:left="2160" w:hanging="360"/>
      </w:pPr>
      <w:rPr>
        <w:rFonts w:ascii="Arial" w:hAnsi="Arial" w:hint="default"/>
      </w:rPr>
    </w:lvl>
    <w:lvl w:ilvl="3" w:tplc="3CEC7EAC" w:tentative="1">
      <w:start w:val="1"/>
      <w:numFmt w:val="bullet"/>
      <w:lvlText w:val="●"/>
      <w:lvlJc w:val="left"/>
      <w:pPr>
        <w:tabs>
          <w:tab w:val="num" w:pos="2880"/>
        </w:tabs>
        <w:ind w:left="2880" w:hanging="360"/>
      </w:pPr>
      <w:rPr>
        <w:rFonts w:ascii="Arial" w:hAnsi="Arial" w:hint="default"/>
      </w:rPr>
    </w:lvl>
    <w:lvl w:ilvl="4" w:tplc="F7C62FC6" w:tentative="1">
      <w:start w:val="1"/>
      <w:numFmt w:val="bullet"/>
      <w:lvlText w:val="●"/>
      <w:lvlJc w:val="left"/>
      <w:pPr>
        <w:tabs>
          <w:tab w:val="num" w:pos="3600"/>
        </w:tabs>
        <w:ind w:left="3600" w:hanging="360"/>
      </w:pPr>
      <w:rPr>
        <w:rFonts w:ascii="Arial" w:hAnsi="Arial" w:hint="default"/>
      </w:rPr>
    </w:lvl>
    <w:lvl w:ilvl="5" w:tplc="10B41BEC" w:tentative="1">
      <w:start w:val="1"/>
      <w:numFmt w:val="bullet"/>
      <w:lvlText w:val="●"/>
      <w:lvlJc w:val="left"/>
      <w:pPr>
        <w:tabs>
          <w:tab w:val="num" w:pos="4320"/>
        </w:tabs>
        <w:ind w:left="4320" w:hanging="360"/>
      </w:pPr>
      <w:rPr>
        <w:rFonts w:ascii="Arial" w:hAnsi="Arial" w:hint="default"/>
      </w:rPr>
    </w:lvl>
    <w:lvl w:ilvl="6" w:tplc="9C3410C0" w:tentative="1">
      <w:start w:val="1"/>
      <w:numFmt w:val="bullet"/>
      <w:lvlText w:val="●"/>
      <w:lvlJc w:val="left"/>
      <w:pPr>
        <w:tabs>
          <w:tab w:val="num" w:pos="5040"/>
        </w:tabs>
        <w:ind w:left="5040" w:hanging="360"/>
      </w:pPr>
      <w:rPr>
        <w:rFonts w:ascii="Arial" w:hAnsi="Arial" w:hint="default"/>
      </w:rPr>
    </w:lvl>
    <w:lvl w:ilvl="7" w:tplc="E9643E28" w:tentative="1">
      <w:start w:val="1"/>
      <w:numFmt w:val="bullet"/>
      <w:lvlText w:val="●"/>
      <w:lvlJc w:val="left"/>
      <w:pPr>
        <w:tabs>
          <w:tab w:val="num" w:pos="5760"/>
        </w:tabs>
        <w:ind w:left="5760" w:hanging="360"/>
      </w:pPr>
      <w:rPr>
        <w:rFonts w:ascii="Arial" w:hAnsi="Arial" w:hint="default"/>
      </w:rPr>
    </w:lvl>
    <w:lvl w:ilvl="8" w:tplc="0C3A92F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04F"/>
    <w:rsid w:val="00006F6E"/>
    <w:rsid w:val="000178EA"/>
    <w:rsid w:val="0002638B"/>
    <w:rsid w:val="00032804"/>
    <w:rsid w:val="00033E04"/>
    <w:rsid w:val="0004482B"/>
    <w:rsid w:val="0004682F"/>
    <w:rsid w:val="00067157"/>
    <w:rsid w:val="00070775"/>
    <w:rsid w:val="00083E09"/>
    <w:rsid w:val="000876EC"/>
    <w:rsid w:val="000932F1"/>
    <w:rsid w:val="00097C2B"/>
    <w:rsid w:val="000A0371"/>
    <w:rsid w:val="000B7121"/>
    <w:rsid w:val="000D7D07"/>
    <w:rsid w:val="000F0B7D"/>
    <w:rsid w:val="000F508A"/>
    <w:rsid w:val="00103CE7"/>
    <w:rsid w:val="00112463"/>
    <w:rsid w:val="001219EC"/>
    <w:rsid w:val="0012748D"/>
    <w:rsid w:val="00130AF7"/>
    <w:rsid w:val="0013108A"/>
    <w:rsid w:val="001332C7"/>
    <w:rsid w:val="001468C2"/>
    <w:rsid w:val="00153F4B"/>
    <w:rsid w:val="001624CF"/>
    <w:rsid w:val="001724F0"/>
    <w:rsid w:val="00184CD8"/>
    <w:rsid w:val="00195211"/>
    <w:rsid w:val="00196601"/>
    <w:rsid w:val="001A1FB4"/>
    <w:rsid w:val="001C41B8"/>
    <w:rsid w:val="001C7EA2"/>
    <w:rsid w:val="001E32AA"/>
    <w:rsid w:val="001E3A8E"/>
    <w:rsid w:val="001F4DDA"/>
    <w:rsid w:val="00204704"/>
    <w:rsid w:val="0021345F"/>
    <w:rsid w:val="00246601"/>
    <w:rsid w:val="00253EE7"/>
    <w:rsid w:val="00264DF1"/>
    <w:rsid w:val="0027269E"/>
    <w:rsid w:val="00283D26"/>
    <w:rsid w:val="002C73D8"/>
    <w:rsid w:val="002E69CA"/>
    <w:rsid w:val="002F3698"/>
    <w:rsid w:val="003054ED"/>
    <w:rsid w:val="00317D75"/>
    <w:rsid w:val="0033795E"/>
    <w:rsid w:val="003402C0"/>
    <w:rsid w:val="003412C4"/>
    <w:rsid w:val="0034593F"/>
    <w:rsid w:val="00353F4F"/>
    <w:rsid w:val="00371F18"/>
    <w:rsid w:val="003733EB"/>
    <w:rsid w:val="00384E4B"/>
    <w:rsid w:val="00386293"/>
    <w:rsid w:val="00390EF7"/>
    <w:rsid w:val="003B5E9B"/>
    <w:rsid w:val="003B7637"/>
    <w:rsid w:val="003E12CD"/>
    <w:rsid w:val="003E4179"/>
    <w:rsid w:val="003F3AFF"/>
    <w:rsid w:val="00404A51"/>
    <w:rsid w:val="00411749"/>
    <w:rsid w:val="0041336E"/>
    <w:rsid w:val="00422E0D"/>
    <w:rsid w:val="00433543"/>
    <w:rsid w:val="00435DA1"/>
    <w:rsid w:val="00444CAB"/>
    <w:rsid w:val="0045278A"/>
    <w:rsid w:val="00460765"/>
    <w:rsid w:val="004B0BB3"/>
    <w:rsid w:val="004E5C3A"/>
    <w:rsid w:val="00504CC8"/>
    <w:rsid w:val="00505AC9"/>
    <w:rsid w:val="00533748"/>
    <w:rsid w:val="0056421D"/>
    <w:rsid w:val="005653BB"/>
    <w:rsid w:val="00572747"/>
    <w:rsid w:val="00575898"/>
    <w:rsid w:val="005759E7"/>
    <w:rsid w:val="005825E1"/>
    <w:rsid w:val="0059504C"/>
    <w:rsid w:val="00596377"/>
    <w:rsid w:val="005A30C2"/>
    <w:rsid w:val="005A4629"/>
    <w:rsid w:val="005B7C07"/>
    <w:rsid w:val="005D0B20"/>
    <w:rsid w:val="005E4B07"/>
    <w:rsid w:val="005F2A63"/>
    <w:rsid w:val="005F44A3"/>
    <w:rsid w:val="005F45AA"/>
    <w:rsid w:val="00614FC7"/>
    <w:rsid w:val="00646821"/>
    <w:rsid w:val="00647C35"/>
    <w:rsid w:val="0065055C"/>
    <w:rsid w:val="00661E02"/>
    <w:rsid w:val="00666D0F"/>
    <w:rsid w:val="00675B2C"/>
    <w:rsid w:val="006A7741"/>
    <w:rsid w:val="006B793D"/>
    <w:rsid w:val="006C18CE"/>
    <w:rsid w:val="006C63AC"/>
    <w:rsid w:val="006E4AFD"/>
    <w:rsid w:val="0070778F"/>
    <w:rsid w:val="00710630"/>
    <w:rsid w:val="00714844"/>
    <w:rsid w:val="00722399"/>
    <w:rsid w:val="0072443E"/>
    <w:rsid w:val="00733058"/>
    <w:rsid w:val="007345E2"/>
    <w:rsid w:val="00740696"/>
    <w:rsid w:val="00752F3F"/>
    <w:rsid w:val="00762026"/>
    <w:rsid w:val="007663D3"/>
    <w:rsid w:val="00780EDD"/>
    <w:rsid w:val="00782DE3"/>
    <w:rsid w:val="00783BBB"/>
    <w:rsid w:val="00787751"/>
    <w:rsid w:val="007C0FA1"/>
    <w:rsid w:val="007D1120"/>
    <w:rsid w:val="007E38CF"/>
    <w:rsid w:val="007E7E6D"/>
    <w:rsid w:val="007F4EE9"/>
    <w:rsid w:val="00800ACF"/>
    <w:rsid w:val="008034C7"/>
    <w:rsid w:val="00804A81"/>
    <w:rsid w:val="00804F89"/>
    <w:rsid w:val="00814AE4"/>
    <w:rsid w:val="008212C0"/>
    <w:rsid w:val="008243BF"/>
    <w:rsid w:val="00825CEB"/>
    <w:rsid w:val="00834B5C"/>
    <w:rsid w:val="00852365"/>
    <w:rsid w:val="008562CC"/>
    <w:rsid w:val="0085792F"/>
    <w:rsid w:val="008816C5"/>
    <w:rsid w:val="00882702"/>
    <w:rsid w:val="0088494F"/>
    <w:rsid w:val="00884D9E"/>
    <w:rsid w:val="008863FA"/>
    <w:rsid w:val="00887C8B"/>
    <w:rsid w:val="00892852"/>
    <w:rsid w:val="00892C37"/>
    <w:rsid w:val="00893480"/>
    <w:rsid w:val="008B6CA9"/>
    <w:rsid w:val="008E36CC"/>
    <w:rsid w:val="008E3FC1"/>
    <w:rsid w:val="008E7D08"/>
    <w:rsid w:val="009330AF"/>
    <w:rsid w:val="00942AFB"/>
    <w:rsid w:val="0094638A"/>
    <w:rsid w:val="00952DAE"/>
    <w:rsid w:val="009776BC"/>
    <w:rsid w:val="00990600"/>
    <w:rsid w:val="00991550"/>
    <w:rsid w:val="009C3361"/>
    <w:rsid w:val="009C3B94"/>
    <w:rsid w:val="009D5989"/>
    <w:rsid w:val="00A37F9D"/>
    <w:rsid w:val="00A55D06"/>
    <w:rsid w:val="00A63053"/>
    <w:rsid w:val="00A757A4"/>
    <w:rsid w:val="00AB13B6"/>
    <w:rsid w:val="00AC5055"/>
    <w:rsid w:val="00B07797"/>
    <w:rsid w:val="00B10228"/>
    <w:rsid w:val="00B13184"/>
    <w:rsid w:val="00B20B0D"/>
    <w:rsid w:val="00B21AFD"/>
    <w:rsid w:val="00B40184"/>
    <w:rsid w:val="00B4399D"/>
    <w:rsid w:val="00B52055"/>
    <w:rsid w:val="00B6209B"/>
    <w:rsid w:val="00B71689"/>
    <w:rsid w:val="00B74485"/>
    <w:rsid w:val="00B7504F"/>
    <w:rsid w:val="00B820D9"/>
    <w:rsid w:val="00BA6A9F"/>
    <w:rsid w:val="00C07C24"/>
    <w:rsid w:val="00C11575"/>
    <w:rsid w:val="00C1741E"/>
    <w:rsid w:val="00C50040"/>
    <w:rsid w:val="00C5598C"/>
    <w:rsid w:val="00C60C97"/>
    <w:rsid w:val="00C62A4B"/>
    <w:rsid w:val="00C62CBA"/>
    <w:rsid w:val="00C70FBD"/>
    <w:rsid w:val="00C71A51"/>
    <w:rsid w:val="00C81104"/>
    <w:rsid w:val="00C86C38"/>
    <w:rsid w:val="00C910F3"/>
    <w:rsid w:val="00C9166E"/>
    <w:rsid w:val="00CA63A6"/>
    <w:rsid w:val="00CB20CE"/>
    <w:rsid w:val="00CB40E7"/>
    <w:rsid w:val="00CD4423"/>
    <w:rsid w:val="00CD5D64"/>
    <w:rsid w:val="00CE2933"/>
    <w:rsid w:val="00CF0595"/>
    <w:rsid w:val="00D00779"/>
    <w:rsid w:val="00D02B99"/>
    <w:rsid w:val="00D24F51"/>
    <w:rsid w:val="00D3178A"/>
    <w:rsid w:val="00D46B9B"/>
    <w:rsid w:val="00D53F1B"/>
    <w:rsid w:val="00D55EFE"/>
    <w:rsid w:val="00D57AD0"/>
    <w:rsid w:val="00D63F3E"/>
    <w:rsid w:val="00D84661"/>
    <w:rsid w:val="00D90C6C"/>
    <w:rsid w:val="00DA27EE"/>
    <w:rsid w:val="00DA4E66"/>
    <w:rsid w:val="00DB3D5D"/>
    <w:rsid w:val="00DE336D"/>
    <w:rsid w:val="00DF3B4C"/>
    <w:rsid w:val="00E27052"/>
    <w:rsid w:val="00E30D07"/>
    <w:rsid w:val="00E4405D"/>
    <w:rsid w:val="00E46DC0"/>
    <w:rsid w:val="00E6054A"/>
    <w:rsid w:val="00E66C91"/>
    <w:rsid w:val="00E93ECA"/>
    <w:rsid w:val="00EA09B2"/>
    <w:rsid w:val="00EA6DCA"/>
    <w:rsid w:val="00EA6E5E"/>
    <w:rsid w:val="00EB3B16"/>
    <w:rsid w:val="00EB4BAE"/>
    <w:rsid w:val="00EC6160"/>
    <w:rsid w:val="00EE7A45"/>
    <w:rsid w:val="00EF2F95"/>
    <w:rsid w:val="00EF4BD1"/>
    <w:rsid w:val="00F0171A"/>
    <w:rsid w:val="00F10135"/>
    <w:rsid w:val="00F611A1"/>
    <w:rsid w:val="00F63F2D"/>
    <w:rsid w:val="00F73B0E"/>
    <w:rsid w:val="00F80F62"/>
    <w:rsid w:val="00F8140B"/>
    <w:rsid w:val="00F94081"/>
    <w:rsid w:val="00F942F2"/>
    <w:rsid w:val="00F94D81"/>
    <w:rsid w:val="00F95883"/>
    <w:rsid w:val="00FA7937"/>
    <w:rsid w:val="00FD5BDF"/>
    <w:rsid w:val="00FF4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DEB3C"/>
  <w15:chartTrackingRefBased/>
  <w15:docId w15:val="{3780F02A-53C3-47A5-9289-97460BD9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heme="minorHAnsi" w:hAnsi="Georgia" w:cstheme="minorBidi"/>
        <w:sz w:val="24"/>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04F"/>
  </w:style>
  <w:style w:type="paragraph" w:styleId="Footer">
    <w:name w:val="footer"/>
    <w:basedOn w:val="Normal"/>
    <w:link w:val="FooterChar"/>
    <w:uiPriority w:val="99"/>
    <w:unhideWhenUsed/>
    <w:rsid w:val="00B75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04F"/>
  </w:style>
  <w:style w:type="paragraph" w:styleId="NormalWeb">
    <w:name w:val="Normal (Web)"/>
    <w:basedOn w:val="Normal"/>
    <w:uiPriority w:val="99"/>
    <w:semiHidden/>
    <w:unhideWhenUsed/>
    <w:rsid w:val="00CB20CE"/>
    <w:pPr>
      <w:spacing w:before="100" w:beforeAutospacing="1" w:after="100" w:afterAutospacing="1" w:line="240" w:lineRule="auto"/>
    </w:pPr>
    <w:rPr>
      <w:rFonts w:ascii="Times New Roman" w:eastAsia="Times New Roman" w:hAnsi="Times New Roman" w:cs="Times New Roman"/>
      <w:szCs w:val="24"/>
    </w:rPr>
  </w:style>
  <w:style w:type="character" w:customStyle="1" w:styleId="apple-tab-span">
    <w:name w:val="apple-tab-span"/>
    <w:basedOn w:val="DefaultParagraphFont"/>
    <w:rsid w:val="0012748D"/>
  </w:style>
  <w:style w:type="paragraph" w:styleId="BalloonText">
    <w:name w:val="Balloon Text"/>
    <w:basedOn w:val="Normal"/>
    <w:link w:val="BalloonTextChar"/>
    <w:uiPriority w:val="99"/>
    <w:semiHidden/>
    <w:unhideWhenUsed/>
    <w:rsid w:val="00353F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F4F"/>
    <w:rPr>
      <w:rFonts w:ascii="Segoe UI" w:hAnsi="Segoe UI" w:cs="Segoe UI"/>
      <w:sz w:val="18"/>
      <w:szCs w:val="18"/>
    </w:rPr>
  </w:style>
  <w:style w:type="character" w:styleId="Hyperlink">
    <w:name w:val="Hyperlink"/>
    <w:basedOn w:val="DefaultParagraphFont"/>
    <w:uiPriority w:val="99"/>
    <w:unhideWhenUsed/>
    <w:rsid w:val="00C07C24"/>
    <w:rPr>
      <w:color w:val="0000FF"/>
      <w:u w:val="single"/>
    </w:rPr>
  </w:style>
  <w:style w:type="character" w:styleId="UnresolvedMention">
    <w:name w:val="Unresolved Mention"/>
    <w:basedOn w:val="DefaultParagraphFont"/>
    <w:uiPriority w:val="99"/>
    <w:semiHidden/>
    <w:unhideWhenUsed/>
    <w:rsid w:val="00814AE4"/>
    <w:rPr>
      <w:color w:val="605E5C"/>
      <w:shd w:val="clear" w:color="auto" w:fill="E1DFDD"/>
    </w:rPr>
  </w:style>
  <w:style w:type="paragraph" w:styleId="ListParagraph">
    <w:name w:val="List Paragraph"/>
    <w:basedOn w:val="Normal"/>
    <w:uiPriority w:val="34"/>
    <w:qFormat/>
    <w:rsid w:val="000A0371"/>
    <w:pPr>
      <w:spacing w:after="0" w:line="240" w:lineRule="auto"/>
      <w:ind w:left="720"/>
      <w:contextualSpacing/>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91384">
      <w:bodyDiv w:val="1"/>
      <w:marLeft w:val="0"/>
      <w:marRight w:val="0"/>
      <w:marTop w:val="0"/>
      <w:marBottom w:val="0"/>
      <w:divBdr>
        <w:top w:val="none" w:sz="0" w:space="0" w:color="auto"/>
        <w:left w:val="none" w:sz="0" w:space="0" w:color="auto"/>
        <w:bottom w:val="none" w:sz="0" w:space="0" w:color="auto"/>
        <w:right w:val="none" w:sz="0" w:space="0" w:color="auto"/>
      </w:divBdr>
    </w:div>
    <w:div w:id="39139245">
      <w:bodyDiv w:val="1"/>
      <w:marLeft w:val="0"/>
      <w:marRight w:val="0"/>
      <w:marTop w:val="0"/>
      <w:marBottom w:val="0"/>
      <w:divBdr>
        <w:top w:val="none" w:sz="0" w:space="0" w:color="auto"/>
        <w:left w:val="none" w:sz="0" w:space="0" w:color="auto"/>
        <w:bottom w:val="none" w:sz="0" w:space="0" w:color="auto"/>
        <w:right w:val="none" w:sz="0" w:space="0" w:color="auto"/>
      </w:divBdr>
    </w:div>
    <w:div w:id="90127324">
      <w:bodyDiv w:val="1"/>
      <w:marLeft w:val="0"/>
      <w:marRight w:val="0"/>
      <w:marTop w:val="0"/>
      <w:marBottom w:val="0"/>
      <w:divBdr>
        <w:top w:val="none" w:sz="0" w:space="0" w:color="auto"/>
        <w:left w:val="none" w:sz="0" w:space="0" w:color="auto"/>
        <w:bottom w:val="none" w:sz="0" w:space="0" w:color="auto"/>
        <w:right w:val="none" w:sz="0" w:space="0" w:color="auto"/>
      </w:divBdr>
    </w:div>
    <w:div w:id="92210976">
      <w:bodyDiv w:val="1"/>
      <w:marLeft w:val="0"/>
      <w:marRight w:val="0"/>
      <w:marTop w:val="0"/>
      <w:marBottom w:val="0"/>
      <w:divBdr>
        <w:top w:val="none" w:sz="0" w:space="0" w:color="auto"/>
        <w:left w:val="none" w:sz="0" w:space="0" w:color="auto"/>
        <w:bottom w:val="none" w:sz="0" w:space="0" w:color="auto"/>
        <w:right w:val="none" w:sz="0" w:space="0" w:color="auto"/>
      </w:divBdr>
    </w:div>
    <w:div w:id="136654887">
      <w:bodyDiv w:val="1"/>
      <w:marLeft w:val="0"/>
      <w:marRight w:val="0"/>
      <w:marTop w:val="0"/>
      <w:marBottom w:val="0"/>
      <w:divBdr>
        <w:top w:val="none" w:sz="0" w:space="0" w:color="auto"/>
        <w:left w:val="none" w:sz="0" w:space="0" w:color="auto"/>
        <w:bottom w:val="none" w:sz="0" w:space="0" w:color="auto"/>
        <w:right w:val="none" w:sz="0" w:space="0" w:color="auto"/>
      </w:divBdr>
      <w:divsChild>
        <w:div w:id="1035689724">
          <w:marLeft w:val="480"/>
          <w:marRight w:val="0"/>
          <w:marTop w:val="0"/>
          <w:marBottom w:val="0"/>
          <w:divBdr>
            <w:top w:val="none" w:sz="0" w:space="0" w:color="auto"/>
            <w:left w:val="none" w:sz="0" w:space="0" w:color="auto"/>
            <w:bottom w:val="none" w:sz="0" w:space="0" w:color="auto"/>
            <w:right w:val="none" w:sz="0" w:space="0" w:color="auto"/>
          </w:divBdr>
          <w:divsChild>
            <w:div w:id="14875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1454">
      <w:bodyDiv w:val="1"/>
      <w:marLeft w:val="0"/>
      <w:marRight w:val="0"/>
      <w:marTop w:val="0"/>
      <w:marBottom w:val="0"/>
      <w:divBdr>
        <w:top w:val="none" w:sz="0" w:space="0" w:color="auto"/>
        <w:left w:val="none" w:sz="0" w:space="0" w:color="auto"/>
        <w:bottom w:val="none" w:sz="0" w:space="0" w:color="auto"/>
        <w:right w:val="none" w:sz="0" w:space="0" w:color="auto"/>
      </w:divBdr>
    </w:div>
    <w:div w:id="190923485">
      <w:bodyDiv w:val="1"/>
      <w:marLeft w:val="0"/>
      <w:marRight w:val="0"/>
      <w:marTop w:val="0"/>
      <w:marBottom w:val="0"/>
      <w:divBdr>
        <w:top w:val="none" w:sz="0" w:space="0" w:color="auto"/>
        <w:left w:val="none" w:sz="0" w:space="0" w:color="auto"/>
        <w:bottom w:val="none" w:sz="0" w:space="0" w:color="auto"/>
        <w:right w:val="none" w:sz="0" w:space="0" w:color="auto"/>
      </w:divBdr>
      <w:divsChild>
        <w:div w:id="2039814836">
          <w:marLeft w:val="480"/>
          <w:marRight w:val="0"/>
          <w:marTop w:val="0"/>
          <w:marBottom w:val="0"/>
          <w:divBdr>
            <w:top w:val="none" w:sz="0" w:space="0" w:color="auto"/>
            <w:left w:val="none" w:sz="0" w:space="0" w:color="auto"/>
            <w:bottom w:val="none" w:sz="0" w:space="0" w:color="auto"/>
            <w:right w:val="none" w:sz="0" w:space="0" w:color="auto"/>
          </w:divBdr>
          <w:divsChild>
            <w:div w:id="830297556">
              <w:marLeft w:val="0"/>
              <w:marRight w:val="0"/>
              <w:marTop w:val="0"/>
              <w:marBottom w:val="0"/>
              <w:divBdr>
                <w:top w:val="none" w:sz="0" w:space="0" w:color="auto"/>
                <w:left w:val="none" w:sz="0" w:space="0" w:color="auto"/>
                <w:bottom w:val="none" w:sz="0" w:space="0" w:color="auto"/>
                <w:right w:val="none" w:sz="0" w:space="0" w:color="auto"/>
              </w:divBdr>
            </w:div>
            <w:div w:id="1097210028">
              <w:marLeft w:val="0"/>
              <w:marRight w:val="0"/>
              <w:marTop w:val="0"/>
              <w:marBottom w:val="0"/>
              <w:divBdr>
                <w:top w:val="none" w:sz="0" w:space="0" w:color="auto"/>
                <w:left w:val="none" w:sz="0" w:space="0" w:color="auto"/>
                <w:bottom w:val="none" w:sz="0" w:space="0" w:color="auto"/>
                <w:right w:val="none" w:sz="0" w:space="0" w:color="auto"/>
              </w:divBdr>
            </w:div>
            <w:div w:id="86076291">
              <w:marLeft w:val="0"/>
              <w:marRight w:val="0"/>
              <w:marTop w:val="0"/>
              <w:marBottom w:val="0"/>
              <w:divBdr>
                <w:top w:val="none" w:sz="0" w:space="0" w:color="auto"/>
                <w:left w:val="none" w:sz="0" w:space="0" w:color="auto"/>
                <w:bottom w:val="none" w:sz="0" w:space="0" w:color="auto"/>
                <w:right w:val="none" w:sz="0" w:space="0" w:color="auto"/>
              </w:divBdr>
            </w:div>
            <w:div w:id="451637753">
              <w:marLeft w:val="0"/>
              <w:marRight w:val="0"/>
              <w:marTop w:val="0"/>
              <w:marBottom w:val="0"/>
              <w:divBdr>
                <w:top w:val="none" w:sz="0" w:space="0" w:color="auto"/>
                <w:left w:val="none" w:sz="0" w:space="0" w:color="auto"/>
                <w:bottom w:val="none" w:sz="0" w:space="0" w:color="auto"/>
                <w:right w:val="none" w:sz="0" w:space="0" w:color="auto"/>
              </w:divBdr>
            </w:div>
            <w:div w:id="2020547030">
              <w:marLeft w:val="0"/>
              <w:marRight w:val="0"/>
              <w:marTop w:val="0"/>
              <w:marBottom w:val="0"/>
              <w:divBdr>
                <w:top w:val="none" w:sz="0" w:space="0" w:color="auto"/>
                <w:left w:val="none" w:sz="0" w:space="0" w:color="auto"/>
                <w:bottom w:val="none" w:sz="0" w:space="0" w:color="auto"/>
                <w:right w:val="none" w:sz="0" w:space="0" w:color="auto"/>
              </w:divBdr>
            </w:div>
            <w:div w:id="1073048275">
              <w:marLeft w:val="0"/>
              <w:marRight w:val="0"/>
              <w:marTop w:val="0"/>
              <w:marBottom w:val="0"/>
              <w:divBdr>
                <w:top w:val="none" w:sz="0" w:space="0" w:color="auto"/>
                <w:left w:val="none" w:sz="0" w:space="0" w:color="auto"/>
                <w:bottom w:val="none" w:sz="0" w:space="0" w:color="auto"/>
                <w:right w:val="none" w:sz="0" w:space="0" w:color="auto"/>
              </w:divBdr>
            </w:div>
            <w:div w:id="1266425144">
              <w:marLeft w:val="0"/>
              <w:marRight w:val="0"/>
              <w:marTop w:val="0"/>
              <w:marBottom w:val="0"/>
              <w:divBdr>
                <w:top w:val="none" w:sz="0" w:space="0" w:color="auto"/>
                <w:left w:val="none" w:sz="0" w:space="0" w:color="auto"/>
                <w:bottom w:val="none" w:sz="0" w:space="0" w:color="auto"/>
                <w:right w:val="none" w:sz="0" w:space="0" w:color="auto"/>
              </w:divBdr>
            </w:div>
            <w:div w:id="1816603841">
              <w:marLeft w:val="0"/>
              <w:marRight w:val="0"/>
              <w:marTop w:val="0"/>
              <w:marBottom w:val="0"/>
              <w:divBdr>
                <w:top w:val="none" w:sz="0" w:space="0" w:color="auto"/>
                <w:left w:val="none" w:sz="0" w:space="0" w:color="auto"/>
                <w:bottom w:val="none" w:sz="0" w:space="0" w:color="auto"/>
                <w:right w:val="none" w:sz="0" w:space="0" w:color="auto"/>
              </w:divBdr>
            </w:div>
            <w:div w:id="25182035">
              <w:marLeft w:val="0"/>
              <w:marRight w:val="0"/>
              <w:marTop w:val="0"/>
              <w:marBottom w:val="0"/>
              <w:divBdr>
                <w:top w:val="none" w:sz="0" w:space="0" w:color="auto"/>
                <w:left w:val="none" w:sz="0" w:space="0" w:color="auto"/>
                <w:bottom w:val="none" w:sz="0" w:space="0" w:color="auto"/>
                <w:right w:val="none" w:sz="0" w:space="0" w:color="auto"/>
              </w:divBdr>
            </w:div>
            <w:div w:id="202408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4542">
      <w:bodyDiv w:val="1"/>
      <w:marLeft w:val="0"/>
      <w:marRight w:val="0"/>
      <w:marTop w:val="0"/>
      <w:marBottom w:val="0"/>
      <w:divBdr>
        <w:top w:val="none" w:sz="0" w:space="0" w:color="auto"/>
        <w:left w:val="none" w:sz="0" w:space="0" w:color="auto"/>
        <w:bottom w:val="none" w:sz="0" w:space="0" w:color="auto"/>
        <w:right w:val="none" w:sz="0" w:space="0" w:color="auto"/>
      </w:divBdr>
      <w:divsChild>
        <w:div w:id="485782143">
          <w:marLeft w:val="480"/>
          <w:marRight w:val="0"/>
          <w:marTop w:val="0"/>
          <w:marBottom w:val="0"/>
          <w:divBdr>
            <w:top w:val="none" w:sz="0" w:space="0" w:color="auto"/>
            <w:left w:val="none" w:sz="0" w:space="0" w:color="auto"/>
            <w:bottom w:val="none" w:sz="0" w:space="0" w:color="auto"/>
            <w:right w:val="none" w:sz="0" w:space="0" w:color="auto"/>
          </w:divBdr>
          <w:divsChild>
            <w:div w:id="1924411038">
              <w:marLeft w:val="0"/>
              <w:marRight w:val="0"/>
              <w:marTop w:val="0"/>
              <w:marBottom w:val="0"/>
              <w:divBdr>
                <w:top w:val="none" w:sz="0" w:space="0" w:color="auto"/>
                <w:left w:val="none" w:sz="0" w:space="0" w:color="auto"/>
                <w:bottom w:val="none" w:sz="0" w:space="0" w:color="auto"/>
                <w:right w:val="none" w:sz="0" w:space="0" w:color="auto"/>
              </w:divBdr>
            </w:div>
            <w:div w:id="2135824773">
              <w:marLeft w:val="0"/>
              <w:marRight w:val="0"/>
              <w:marTop w:val="0"/>
              <w:marBottom w:val="0"/>
              <w:divBdr>
                <w:top w:val="none" w:sz="0" w:space="0" w:color="auto"/>
                <w:left w:val="none" w:sz="0" w:space="0" w:color="auto"/>
                <w:bottom w:val="none" w:sz="0" w:space="0" w:color="auto"/>
                <w:right w:val="none" w:sz="0" w:space="0" w:color="auto"/>
              </w:divBdr>
            </w:div>
            <w:div w:id="142237643">
              <w:marLeft w:val="0"/>
              <w:marRight w:val="0"/>
              <w:marTop w:val="0"/>
              <w:marBottom w:val="0"/>
              <w:divBdr>
                <w:top w:val="none" w:sz="0" w:space="0" w:color="auto"/>
                <w:left w:val="none" w:sz="0" w:space="0" w:color="auto"/>
                <w:bottom w:val="none" w:sz="0" w:space="0" w:color="auto"/>
                <w:right w:val="none" w:sz="0" w:space="0" w:color="auto"/>
              </w:divBdr>
            </w:div>
            <w:div w:id="596643739">
              <w:marLeft w:val="0"/>
              <w:marRight w:val="0"/>
              <w:marTop w:val="0"/>
              <w:marBottom w:val="0"/>
              <w:divBdr>
                <w:top w:val="none" w:sz="0" w:space="0" w:color="auto"/>
                <w:left w:val="none" w:sz="0" w:space="0" w:color="auto"/>
                <w:bottom w:val="none" w:sz="0" w:space="0" w:color="auto"/>
                <w:right w:val="none" w:sz="0" w:space="0" w:color="auto"/>
              </w:divBdr>
            </w:div>
            <w:div w:id="790705585">
              <w:marLeft w:val="0"/>
              <w:marRight w:val="0"/>
              <w:marTop w:val="0"/>
              <w:marBottom w:val="0"/>
              <w:divBdr>
                <w:top w:val="none" w:sz="0" w:space="0" w:color="auto"/>
                <w:left w:val="none" w:sz="0" w:space="0" w:color="auto"/>
                <w:bottom w:val="none" w:sz="0" w:space="0" w:color="auto"/>
                <w:right w:val="none" w:sz="0" w:space="0" w:color="auto"/>
              </w:divBdr>
            </w:div>
            <w:div w:id="1548642800">
              <w:marLeft w:val="0"/>
              <w:marRight w:val="0"/>
              <w:marTop w:val="0"/>
              <w:marBottom w:val="0"/>
              <w:divBdr>
                <w:top w:val="none" w:sz="0" w:space="0" w:color="auto"/>
                <w:left w:val="none" w:sz="0" w:space="0" w:color="auto"/>
                <w:bottom w:val="none" w:sz="0" w:space="0" w:color="auto"/>
                <w:right w:val="none" w:sz="0" w:space="0" w:color="auto"/>
              </w:divBdr>
            </w:div>
            <w:div w:id="881211972">
              <w:marLeft w:val="0"/>
              <w:marRight w:val="0"/>
              <w:marTop w:val="0"/>
              <w:marBottom w:val="0"/>
              <w:divBdr>
                <w:top w:val="none" w:sz="0" w:space="0" w:color="auto"/>
                <w:left w:val="none" w:sz="0" w:space="0" w:color="auto"/>
                <w:bottom w:val="none" w:sz="0" w:space="0" w:color="auto"/>
                <w:right w:val="none" w:sz="0" w:space="0" w:color="auto"/>
              </w:divBdr>
            </w:div>
            <w:div w:id="1538078962">
              <w:marLeft w:val="0"/>
              <w:marRight w:val="0"/>
              <w:marTop w:val="0"/>
              <w:marBottom w:val="0"/>
              <w:divBdr>
                <w:top w:val="none" w:sz="0" w:space="0" w:color="auto"/>
                <w:left w:val="none" w:sz="0" w:space="0" w:color="auto"/>
                <w:bottom w:val="none" w:sz="0" w:space="0" w:color="auto"/>
                <w:right w:val="none" w:sz="0" w:space="0" w:color="auto"/>
              </w:divBdr>
            </w:div>
            <w:div w:id="63938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5526">
      <w:bodyDiv w:val="1"/>
      <w:marLeft w:val="0"/>
      <w:marRight w:val="0"/>
      <w:marTop w:val="0"/>
      <w:marBottom w:val="0"/>
      <w:divBdr>
        <w:top w:val="none" w:sz="0" w:space="0" w:color="auto"/>
        <w:left w:val="none" w:sz="0" w:space="0" w:color="auto"/>
        <w:bottom w:val="none" w:sz="0" w:space="0" w:color="auto"/>
        <w:right w:val="none" w:sz="0" w:space="0" w:color="auto"/>
      </w:divBdr>
    </w:div>
    <w:div w:id="340086100">
      <w:bodyDiv w:val="1"/>
      <w:marLeft w:val="0"/>
      <w:marRight w:val="0"/>
      <w:marTop w:val="0"/>
      <w:marBottom w:val="0"/>
      <w:divBdr>
        <w:top w:val="none" w:sz="0" w:space="0" w:color="auto"/>
        <w:left w:val="none" w:sz="0" w:space="0" w:color="auto"/>
        <w:bottom w:val="none" w:sz="0" w:space="0" w:color="auto"/>
        <w:right w:val="none" w:sz="0" w:space="0" w:color="auto"/>
      </w:divBdr>
      <w:divsChild>
        <w:div w:id="654646291">
          <w:marLeft w:val="720"/>
          <w:marRight w:val="0"/>
          <w:marTop w:val="0"/>
          <w:marBottom w:val="0"/>
          <w:divBdr>
            <w:top w:val="none" w:sz="0" w:space="0" w:color="auto"/>
            <w:left w:val="none" w:sz="0" w:space="0" w:color="auto"/>
            <w:bottom w:val="none" w:sz="0" w:space="0" w:color="auto"/>
            <w:right w:val="none" w:sz="0" w:space="0" w:color="auto"/>
          </w:divBdr>
        </w:div>
      </w:divsChild>
    </w:div>
    <w:div w:id="358511918">
      <w:bodyDiv w:val="1"/>
      <w:marLeft w:val="0"/>
      <w:marRight w:val="0"/>
      <w:marTop w:val="0"/>
      <w:marBottom w:val="0"/>
      <w:divBdr>
        <w:top w:val="none" w:sz="0" w:space="0" w:color="auto"/>
        <w:left w:val="none" w:sz="0" w:space="0" w:color="auto"/>
        <w:bottom w:val="none" w:sz="0" w:space="0" w:color="auto"/>
        <w:right w:val="none" w:sz="0" w:space="0" w:color="auto"/>
      </w:divBdr>
    </w:div>
    <w:div w:id="417605420">
      <w:bodyDiv w:val="1"/>
      <w:marLeft w:val="0"/>
      <w:marRight w:val="0"/>
      <w:marTop w:val="0"/>
      <w:marBottom w:val="0"/>
      <w:divBdr>
        <w:top w:val="none" w:sz="0" w:space="0" w:color="auto"/>
        <w:left w:val="none" w:sz="0" w:space="0" w:color="auto"/>
        <w:bottom w:val="none" w:sz="0" w:space="0" w:color="auto"/>
        <w:right w:val="none" w:sz="0" w:space="0" w:color="auto"/>
      </w:divBdr>
    </w:div>
    <w:div w:id="454174504">
      <w:bodyDiv w:val="1"/>
      <w:marLeft w:val="0"/>
      <w:marRight w:val="0"/>
      <w:marTop w:val="0"/>
      <w:marBottom w:val="0"/>
      <w:divBdr>
        <w:top w:val="none" w:sz="0" w:space="0" w:color="auto"/>
        <w:left w:val="none" w:sz="0" w:space="0" w:color="auto"/>
        <w:bottom w:val="none" w:sz="0" w:space="0" w:color="auto"/>
        <w:right w:val="none" w:sz="0" w:space="0" w:color="auto"/>
      </w:divBdr>
    </w:div>
    <w:div w:id="507644526">
      <w:bodyDiv w:val="1"/>
      <w:marLeft w:val="0"/>
      <w:marRight w:val="0"/>
      <w:marTop w:val="0"/>
      <w:marBottom w:val="0"/>
      <w:divBdr>
        <w:top w:val="none" w:sz="0" w:space="0" w:color="auto"/>
        <w:left w:val="none" w:sz="0" w:space="0" w:color="auto"/>
        <w:bottom w:val="none" w:sz="0" w:space="0" w:color="auto"/>
        <w:right w:val="none" w:sz="0" w:space="0" w:color="auto"/>
      </w:divBdr>
    </w:div>
    <w:div w:id="577058832">
      <w:bodyDiv w:val="1"/>
      <w:marLeft w:val="0"/>
      <w:marRight w:val="0"/>
      <w:marTop w:val="0"/>
      <w:marBottom w:val="0"/>
      <w:divBdr>
        <w:top w:val="none" w:sz="0" w:space="0" w:color="auto"/>
        <w:left w:val="none" w:sz="0" w:space="0" w:color="auto"/>
        <w:bottom w:val="none" w:sz="0" w:space="0" w:color="auto"/>
        <w:right w:val="none" w:sz="0" w:space="0" w:color="auto"/>
      </w:divBdr>
      <w:divsChild>
        <w:div w:id="220871838">
          <w:marLeft w:val="480"/>
          <w:marRight w:val="0"/>
          <w:marTop w:val="0"/>
          <w:marBottom w:val="0"/>
          <w:divBdr>
            <w:top w:val="none" w:sz="0" w:space="0" w:color="auto"/>
            <w:left w:val="none" w:sz="0" w:space="0" w:color="auto"/>
            <w:bottom w:val="none" w:sz="0" w:space="0" w:color="auto"/>
            <w:right w:val="none" w:sz="0" w:space="0" w:color="auto"/>
          </w:divBdr>
          <w:divsChild>
            <w:div w:id="19730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7853">
      <w:bodyDiv w:val="1"/>
      <w:marLeft w:val="0"/>
      <w:marRight w:val="0"/>
      <w:marTop w:val="0"/>
      <w:marBottom w:val="0"/>
      <w:divBdr>
        <w:top w:val="none" w:sz="0" w:space="0" w:color="auto"/>
        <w:left w:val="none" w:sz="0" w:space="0" w:color="auto"/>
        <w:bottom w:val="none" w:sz="0" w:space="0" w:color="auto"/>
        <w:right w:val="none" w:sz="0" w:space="0" w:color="auto"/>
      </w:divBdr>
    </w:div>
    <w:div w:id="899754685">
      <w:bodyDiv w:val="1"/>
      <w:marLeft w:val="0"/>
      <w:marRight w:val="0"/>
      <w:marTop w:val="0"/>
      <w:marBottom w:val="0"/>
      <w:divBdr>
        <w:top w:val="none" w:sz="0" w:space="0" w:color="auto"/>
        <w:left w:val="none" w:sz="0" w:space="0" w:color="auto"/>
        <w:bottom w:val="none" w:sz="0" w:space="0" w:color="auto"/>
        <w:right w:val="none" w:sz="0" w:space="0" w:color="auto"/>
      </w:divBdr>
    </w:div>
    <w:div w:id="909315539">
      <w:bodyDiv w:val="1"/>
      <w:marLeft w:val="0"/>
      <w:marRight w:val="0"/>
      <w:marTop w:val="0"/>
      <w:marBottom w:val="0"/>
      <w:divBdr>
        <w:top w:val="none" w:sz="0" w:space="0" w:color="auto"/>
        <w:left w:val="none" w:sz="0" w:space="0" w:color="auto"/>
        <w:bottom w:val="none" w:sz="0" w:space="0" w:color="auto"/>
        <w:right w:val="none" w:sz="0" w:space="0" w:color="auto"/>
      </w:divBdr>
      <w:divsChild>
        <w:div w:id="1076173797">
          <w:marLeft w:val="480"/>
          <w:marRight w:val="0"/>
          <w:marTop w:val="0"/>
          <w:marBottom w:val="0"/>
          <w:divBdr>
            <w:top w:val="none" w:sz="0" w:space="0" w:color="auto"/>
            <w:left w:val="none" w:sz="0" w:space="0" w:color="auto"/>
            <w:bottom w:val="none" w:sz="0" w:space="0" w:color="auto"/>
            <w:right w:val="none" w:sz="0" w:space="0" w:color="auto"/>
          </w:divBdr>
          <w:divsChild>
            <w:div w:id="951134457">
              <w:marLeft w:val="0"/>
              <w:marRight w:val="0"/>
              <w:marTop w:val="0"/>
              <w:marBottom w:val="0"/>
              <w:divBdr>
                <w:top w:val="none" w:sz="0" w:space="0" w:color="auto"/>
                <w:left w:val="none" w:sz="0" w:space="0" w:color="auto"/>
                <w:bottom w:val="none" w:sz="0" w:space="0" w:color="auto"/>
                <w:right w:val="none" w:sz="0" w:space="0" w:color="auto"/>
              </w:divBdr>
            </w:div>
            <w:div w:id="2029331438">
              <w:marLeft w:val="0"/>
              <w:marRight w:val="0"/>
              <w:marTop w:val="0"/>
              <w:marBottom w:val="0"/>
              <w:divBdr>
                <w:top w:val="none" w:sz="0" w:space="0" w:color="auto"/>
                <w:left w:val="none" w:sz="0" w:space="0" w:color="auto"/>
                <w:bottom w:val="none" w:sz="0" w:space="0" w:color="auto"/>
                <w:right w:val="none" w:sz="0" w:space="0" w:color="auto"/>
              </w:divBdr>
            </w:div>
            <w:div w:id="1844738871">
              <w:marLeft w:val="0"/>
              <w:marRight w:val="0"/>
              <w:marTop w:val="0"/>
              <w:marBottom w:val="0"/>
              <w:divBdr>
                <w:top w:val="none" w:sz="0" w:space="0" w:color="auto"/>
                <w:left w:val="none" w:sz="0" w:space="0" w:color="auto"/>
                <w:bottom w:val="none" w:sz="0" w:space="0" w:color="auto"/>
                <w:right w:val="none" w:sz="0" w:space="0" w:color="auto"/>
              </w:divBdr>
            </w:div>
            <w:div w:id="742415113">
              <w:marLeft w:val="0"/>
              <w:marRight w:val="0"/>
              <w:marTop w:val="0"/>
              <w:marBottom w:val="0"/>
              <w:divBdr>
                <w:top w:val="none" w:sz="0" w:space="0" w:color="auto"/>
                <w:left w:val="none" w:sz="0" w:space="0" w:color="auto"/>
                <w:bottom w:val="none" w:sz="0" w:space="0" w:color="auto"/>
                <w:right w:val="none" w:sz="0" w:space="0" w:color="auto"/>
              </w:divBdr>
            </w:div>
            <w:div w:id="48813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1933">
      <w:bodyDiv w:val="1"/>
      <w:marLeft w:val="0"/>
      <w:marRight w:val="0"/>
      <w:marTop w:val="0"/>
      <w:marBottom w:val="0"/>
      <w:divBdr>
        <w:top w:val="none" w:sz="0" w:space="0" w:color="auto"/>
        <w:left w:val="none" w:sz="0" w:space="0" w:color="auto"/>
        <w:bottom w:val="none" w:sz="0" w:space="0" w:color="auto"/>
        <w:right w:val="none" w:sz="0" w:space="0" w:color="auto"/>
      </w:divBdr>
      <w:divsChild>
        <w:div w:id="1773747689">
          <w:marLeft w:val="480"/>
          <w:marRight w:val="0"/>
          <w:marTop w:val="0"/>
          <w:marBottom w:val="0"/>
          <w:divBdr>
            <w:top w:val="none" w:sz="0" w:space="0" w:color="auto"/>
            <w:left w:val="none" w:sz="0" w:space="0" w:color="auto"/>
            <w:bottom w:val="none" w:sz="0" w:space="0" w:color="auto"/>
            <w:right w:val="none" w:sz="0" w:space="0" w:color="auto"/>
          </w:divBdr>
          <w:divsChild>
            <w:div w:id="418019302">
              <w:marLeft w:val="0"/>
              <w:marRight w:val="0"/>
              <w:marTop w:val="0"/>
              <w:marBottom w:val="0"/>
              <w:divBdr>
                <w:top w:val="none" w:sz="0" w:space="0" w:color="auto"/>
                <w:left w:val="none" w:sz="0" w:space="0" w:color="auto"/>
                <w:bottom w:val="none" w:sz="0" w:space="0" w:color="auto"/>
                <w:right w:val="none" w:sz="0" w:space="0" w:color="auto"/>
              </w:divBdr>
            </w:div>
            <w:div w:id="1740592301">
              <w:marLeft w:val="0"/>
              <w:marRight w:val="0"/>
              <w:marTop w:val="0"/>
              <w:marBottom w:val="0"/>
              <w:divBdr>
                <w:top w:val="none" w:sz="0" w:space="0" w:color="auto"/>
                <w:left w:val="none" w:sz="0" w:space="0" w:color="auto"/>
                <w:bottom w:val="none" w:sz="0" w:space="0" w:color="auto"/>
                <w:right w:val="none" w:sz="0" w:space="0" w:color="auto"/>
              </w:divBdr>
            </w:div>
            <w:div w:id="442379472">
              <w:marLeft w:val="0"/>
              <w:marRight w:val="0"/>
              <w:marTop w:val="0"/>
              <w:marBottom w:val="0"/>
              <w:divBdr>
                <w:top w:val="none" w:sz="0" w:space="0" w:color="auto"/>
                <w:left w:val="none" w:sz="0" w:space="0" w:color="auto"/>
                <w:bottom w:val="none" w:sz="0" w:space="0" w:color="auto"/>
                <w:right w:val="none" w:sz="0" w:space="0" w:color="auto"/>
              </w:divBdr>
            </w:div>
            <w:div w:id="775642233">
              <w:marLeft w:val="0"/>
              <w:marRight w:val="0"/>
              <w:marTop w:val="0"/>
              <w:marBottom w:val="0"/>
              <w:divBdr>
                <w:top w:val="none" w:sz="0" w:space="0" w:color="auto"/>
                <w:left w:val="none" w:sz="0" w:space="0" w:color="auto"/>
                <w:bottom w:val="none" w:sz="0" w:space="0" w:color="auto"/>
                <w:right w:val="none" w:sz="0" w:space="0" w:color="auto"/>
              </w:divBdr>
            </w:div>
            <w:div w:id="1101343454">
              <w:marLeft w:val="0"/>
              <w:marRight w:val="0"/>
              <w:marTop w:val="0"/>
              <w:marBottom w:val="0"/>
              <w:divBdr>
                <w:top w:val="none" w:sz="0" w:space="0" w:color="auto"/>
                <w:left w:val="none" w:sz="0" w:space="0" w:color="auto"/>
                <w:bottom w:val="none" w:sz="0" w:space="0" w:color="auto"/>
                <w:right w:val="none" w:sz="0" w:space="0" w:color="auto"/>
              </w:divBdr>
            </w:div>
            <w:div w:id="614603736">
              <w:marLeft w:val="0"/>
              <w:marRight w:val="0"/>
              <w:marTop w:val="0"/>
              <w:marBottom w:val="0"/>
              <w:divBdr>
                <w:top w:val="none" w:sz="0" w:space="0" w:color="auto"/>
                <w:left w:val="none" w:sz="0" w:space="0" w:color="auto"/>
                <w:bottom w:val="none" w:sz="0" w:space="0" w:color="auto"/>
                <w:right w:val="none" w:sz="0" w:space="0" w:color="auto"/>
              </w:divBdr>
            </w:div>
            <w:div w:id="771556081">
              <w:marLeft w:val="0"/>
              <w:marRight w:val="0"/>
              <w:marTop w:val="0"/>
              <w:marBottom w:val="0"/>
              <w:divBdr>
                <w:top w:val="none" w:sz="0" w:space="0" w:color="auto"/>
                <w:left w:val="none" w:sz="0" w:space="0" w:color="auto"/>
                <w:bottom w:val="none" w:sz="0" w:space="0" w:color="auto"/>
                <w:right w:val="none" w:sz="0" w:space="0" w:color="auto"/>
              </w:divBdr>
            </w:div>
            <w:div w:id="14620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926425">
      <w:bodyDiv w:val="1"/>
      <w:marLeft w:val="0"/>
      <w:marRight w:val="0"/>
      <w:marTop w:val="0"/>
      <w:marBottom w:val="0"/>
      <w:divBdr>
        <w:top w:val="none" w:sz="0" w:space="0" w:color="auto"/>
        <w:left w:val="none" w:sz="0" w:space="0" w:color="auto"/>
        <w:bottom w:val="none" w:sz="0" w:space="0" w:color="auto"/>
        <w:right w:val="none" w:sz="0" w:space="0" w:color="auto"/>
      </w:divBdr>
    </w:div>
    <w:div w:id="983433958">
      <w:bodyDiv w:val="1"/>
      <w:marLeft w:val="0"/>
      <w:marRight w:val="0"/>
      <w:marTop w:val="0"/>
      <w:marBottom w:val="0"/>
      <w:divBdr>
        <w:top w:val="none" w:sz="0" w:space="0" w:color="auto"/>
        <w:left w:val="none" w:sz="0" w:space="0" w:color="auto"/>
        <w:bottom w:val="none" w:sz="0" w:space="0" w:color="auto"/>
        <w:right w:val="none" w:sz="0" w:space="0" w:color="auto"/>
      </w:divBdr>
      <w:divsChild>
        <w:div w:id="601455529">
          <w:marLeft w:val="480"/>
          <w:marRight w:val="0"/>
          <w:marTop w:val="0"/>
          <w:marBottom w:val="0"/>
          <w:divBdr>
            <w:top w:val="none" w:sz="0" w:space="0" w:color="auto"/>
            <w:left w:val="none" w:sz="0" w:space="0" w:color="auto"/>
            <w:bottom w:val="none" w:sz="0" w:space="0" w:color="auto"/>
            <w:right w:val="none" w:sz="0" w:space="0" w:color="auto"/>
          </w:divBdr>
          <w:divsChild>
            <w:div w:id="1381785155">
              <w:marLeft w:val="0"/>
              <w:marRight w:val="0"/>
              <w:marTop w:val="0"/>
              <w:marBottom w:val="0"/>
              <w:divBdr>
                <w:top w:val="none" w:sz="0" w:space="0" w:color="auto"/>
                <w:left w:val="none" w:sz="0" w:space="0" w:color="auto"/>
                <w:bottom w:val="none" w:sz="0" w:space="0" w:color="auto"/>
                <w:right w:val="none" w:sz="0" w:space="0" w:color="auto"/>
              </w:divBdr>
            </w:div>
            <w:div w:id="1613316254">
              <w:marLeft w:val="0"/>
              <w:marRight w:val="0"/>
              <w:marTop w:val="0"/>
              <w:marBottom w:val="0"/>
              <w:divBdr>
                <w:top w:val="none" w:sz="0" w:space="0" w:color="auto"/>
                <w:left w:val="none" w:sz="0" w:space="0" w:color="auto"/>
                <w:bottom w:val="none" w:sz="0" w:space="0" w:color="auto"/>
                <w:right w:val="none" w:sz="0" w:space="0" w:color="auto"/>
              </w:divBdr>
            </w:div>
            <w:div w:id="2064482188">
              <w:marLeft w:val="0"/>
              <w:marRight w:val="0"/>
              <w:marTop w:val="0"/>
              <w:marBottom w:val="0"/>
              <w:divBdr>
                <w:top w:val="none" w:sz="0" w:space="0" w:color="auto"/>
                <w:left w:val="none" w:sz="0" w:space="0" w:color="auto"/>
                <w:bottom w:val="none" w:sz="0" w:space="0" w:color="auto"/>
                <w:right w:val="none" w:sz="0" w:space="0" w:color="auto"/>
              </w:divBdr>
            </w:div>
            <w:div w:id="1049763004">
              <w:marLeft w:val="0"/>
              <w:marRight w:val="0"/>
              <w:marTop w:val="0"/>
              <w:marBottom w:val="0"/>
              <w:divBdr>
                <w:top w:val="none" w:sz="0" w:space="0" w:color="auto"/>
                <w:left w:val="none" w:sz="0" w:space="0" w:color="auto"/>
                <w:bottom w:val="none" w:sz="0" w:space="0" w:color="auto"/>
                <w:right w:val="none" w:sz="0" w:space="0" w:color="auto"/>
              </w:divBdr>
            </w:div>
            <w:div w:id="1579437700">
              <w:marLeft w:val="0"/>
              <w:marRight w:val="0"/>
              <w:marTop w:val="0"/>
              <w:marBottom w:val="0"/>
              <w:divBdr>
                <w:top w:val="none" w:sz="0" w:space="0" w:color="auto"/>
                <w:left w:val="none" w:sz="0" w:space="0" w:color="auto"/>
                <w:bottom w:val="none" w:sz="0" w:space="0" w:color="auto"/>
                <w:right w:val="none" w:sz="0" w:space="0" w:color="auto"/>
              </w:divBdr>
            </w:div>
            <w:div w:id="1181165129">
              <w:marLeft w:val="0"/>
              <w:marRight w:val="0"/>
              <w:marTop w:val="0"/>
              <w:marBottom w:val="0"/>
              <w:divBdr>
                <w:top w:val="none" w:sz="0" w:space="0" w:color="auto"/>
                <w:left w:val="none" w:sz="0" w:space="0" w:color="auto"/>
                <w:bottom w:val="none" w:sz="0" w:space="0" w:color="auto"/>
                <w:right w:val="none" w:sz="0" w:space="0" w:color="auto"/>
              </w:divBdr>
            </w:div>
            <w:div w:id="1671711355">
              <w:marLeft w:val="0"/>
              <w:marRight w:val="0"/>
              <w:marTop w:val="0"/>
              <w:marBottom w:val="0"/>
              <w:divBdr>
                <w:top w:val="none" w:sz="0" w:space="0" w:color="auto"/>
                <w:left w:val="none" w:sz="0" w:space="0" w:color="auto"/>
                <w:bottom w:val="none" w:sz="0" w:space="0" w:color="auto"/>
                <w:right w:val="none" w:sz="0" w:space="0" w:color="auto"/>
              </w:divBdr>
            </w:div>
            <w:div w:id="1784227975">
              <w:marLeft w:val="0"/>
              <w:marRight w:val="0"/>
              <w:marTop w:val="0"/>
              <w:marBottom w:val="0"/>
              <w:divBdr>
                <w:top w:val="none" w:sz="0" w:space="0" w:color="auto"/>
                <w:left w:val="none" w:sz="0" w:space="0" w:color="auto"/>
                <w:bottom w:val="none" w:sz="0" w:space="0" w:color="auto"/>
                <w:right w:val="none" w:sz="0" w:space="0" w:color="auto"/>
              </w:divBdr>
            </w:div>
            <w:div w:id="1144351470">
              <w:marLeft w:val="0"/>
              <w:marRight w:val="0"/>
              <w:marTop w:val="0"/>
              <w:marBottom w:val="0"/>
              <w:divBdr>
                <w:top w:val="none" w:sz="0" w:space="0" w:color="auto"/>
                <w:left w:val="none" w:sz="0" w:space="0" w:color="auto"/>
                <w:bottom w:val="none" w:sz="0" w:space="0" w:color="auto"/>
                <w:right w:val="none" w:sz="0" w:space="0" w:color="auto"/>
              </w:divBdr>
            </w:div>
            <w:div w:id="1194030855">
              <w:marLeft w:val="0"/>
              <w:marRight w:val="0"/>
              <w:marTop w:val="0"/>
              <w:marBottom w:val="0"/>
              <w:divBdr>
                <w:top w:val="none" w:sz="0" w:space="0" w:color="auto"/>
                <w:left w:val="none" w:sz="0" w:space="0" w:color="auto"/>
                <w:bottom w:val="none" w:sz="0" w:space="0" w:color="auto"/>
                <w:right w:val="none" w:sz="0" w:space="0" w:color="auto"/>
              </w:divBdr>
            </w:div>
            <w:div w:id="1631397572">
              <w:marLeft w:val="0"/>
              <w:marRight w:val="0"/>
              <w:marTop w:val="0"/>
              <w:marBottom w:val="0"/>
              <w:divBdr>
                <w:top w:val="none" w:sz="0" w:space="0" w:color="auto"/>
                <w:left w:val="none" w:sz="0" w:space="0" w:color="auto"/>
                <w:bottom w:val="none" w:sz="0" w:space="0" w:color="auto"/>
                <w:right w:val="none" w:sz="0" w:space="0" w:color="auto"/>
              </w:divBdr>
            </w:div>
            <w:div w:id="136940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5022">
      <w:bodyDiv w:val="1"/>
      <w:marLeft w:val="0"/>
      <w:marRight w:val="0"/>
      <w:marTop w:val="0"/>
      <w:marBottom w:val="0"/>
      <w:divBdr>
        <w:top w:val="none" w:sz="0" w:space="0" w:color="auto"/>
        <w:left w:val="none" w:sz="0" w:space="0" w:color="auto"/>
        <w:bottom w:val="none" w:sz="0" w:space="0" w:color="auto"/>
        <w:right w:val="none" w:sz="0" w:space="0" w:color="auto"/>
      </w:divBdr>
      <w:divsChild>
        <w:div w:id="1716195644">
          <w:marLeft w:val="480"/>
          <w:marRight w:val="0"/>
          <w:marTop w:val="0"/>
          <w:marBottom w:val="0"/>
          <w:divBdr>
            <w:top w:val="none" w:sz="0" w:space="0" w:color="auto"/>
            <w:left w:val="none" w:sz="0" w:space="0" w:color="auto"/>
            <w:bottom w:val="none" w:sz="0" w:space="0" w:color="auto"/>
            <w:right w:val="none" w:sz="0" w:space="0" w:color="auto"/>
          </w:divBdr>
          <w:divsChild>
            <w:div w:id="500121135">
              <w:marLeft w:val="0"/>
              <w:marRight w:val="0"/>
              <w:marTop w:val="0"/>
              <w:marBottom w:val="0"/>
              <w:divBdr>
                <w:top w:val="none" w:sz="0" w:space="0" w:color="auto"/>
                <w:left w:val="none" w:sz="0" w:space="0" w:color="auto"/>
                <w:bottom w:val="none" w:sz="0" w:space="0" w:color="auto"/>
                <w:right w:val="none" w:sz="0" w:space="0" w:color="auto"/>
              </w:divBdr>
            </w:div>
            <w:div w:id="894973389">
              <w:marLeft w:val="0"/>
              <w:marRight w:val="0"/>
              <w:marTop w:val="0"/>
              <w:marBottom w:val="0"/>
              <w:divBdr>
                <w:top w:val="none" w:sz="0" w:space="0" w:color="auto"/>
                <w:left w:val="none" w:sz="0" w:space="0" w:color="auto"/>
                <w:bottom w:val="none" w:sz="0" w:space="0" w:color="auto"/>
                <w:right w:val="none" w:sz="0" w:space="0" w:color="auto"/>
              </w:divBdr>
            </w:div>
            <w:div w:id="28456580">
              <w:marLeft w:val="0"/>
              <w:marRight w:val="0"/>
              <w:marTop w:val="0"/>
              <w:marBottom w:val="0"/>
              <w:divBdr>
                <w:top w:val="none" w:sz="0" w:space="0" w:color="auto"/>
                <w:left w:val="none" w:sz="0" w:space="0" w:color="auto"/>
                <w:bottom w:val="none" w:sz="0" w:space="0" w:color="auto"/>
                <w:right w:val="none" w:sz="0" w:space="0" w:color="auto"/>
              </w:divBdr>
            </w:div>
            <w:div w:id="6830986">
              <w:marLeft w:val="0"/>
              <w:marRight w:val="0"/>
              <w:marTop w:val="0"/>
              <w:marBottom w:val="0"/>
              <w:divBdr>
                <w:top w:val="none" w:sz="0" w:space="0" w:color="auto"/>
                <w:left w:val="none" w:sz="0" w:space="0" w:color="auto"/>
                <w:bottom w:val="none" w:sz="0" w:space="0" w:color="auto"/>
                <w:right w:val="none" w:sz="0" w:space="0" w:color="auto"/>
              </w:divBdr>
            </w:div>
            <w:div w:id="893201660">
              <w:marLeft w:val="0"/>
              <w:marRight w:val="0"/>
              <w:marTop w:val="0"/>
              <w:marBottom w:val="0"/>
              <w:divBdr>
                <w:top w:val="none" w:sz="0" w:space="0" w:color="auto"/>
                <w:left w:val="none" w:sz="0" w:space="0" w:color="auto"/>
                <w:bottom w:val="none" w:sz="0" w:space="0" w:color="auto"/>
                <w:right w:val="none" w:sz="0" w:space="0" w:color="auto"/>
              </w:divBdr>
            </w:div>
            <w:div w:id="123366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6201">
      <w:bodyDiv w:val="1"/>
      <w:marLeft w:val="0"/>
      <w:marRight w:val="0"/>
      <w:marTop w:val="0"/>
      <w:marBottom w:val="0"/>
      <w:divBdr>
        <w:top w:val="none" w:sz="0" w:space="0" w:color="auto"/>
        <w:left w:val="none" w:sz="0" w:space="0" w:color="auto"/>
        <w:bottom w:val="none" w:sz="0" w:space="0" w:color="auto"/>
        <w:right w:val="none" w:sz="0" w:space="0" w:color="auto"/>
      </w:divBdr>
      <w:divsChild>
        <w:div w:id="476457571">
          <w:marLeft w:val="480"/>
          <w:marRight w:val="0"/>
          <w:marTop w:val="0"/>
          <w:marBottom w:val="0"/>
          <w:divBdr>
            <w:top w:val="none" w:sz="0" w:space="0" w:color="auto"/>
            <w:left w:val="none" w:sz="0" w:space="0" w:color="auto"/>
            <w:bottom w:val="none" w:sz="0" w:space="0" w:color="auto"/>
            <w:right w:val="none" w:sz="0" w:space="0" w:color="auto"/>
          </w:divBdr>
          <w:divsChild>
            <w:div w:id="837428337">
              <w:marLeft w:val="0"/>
              <w:marRight w:val="0"/>
              <w:marTop w:val="0"/>
              <w:marBottom w:val="0"/>
              <w:divBdr>
                <w:top w:val="none" w:sz="0" w:space="0" w:color="auto"/>
                <w:left w:val="none" w:sz="0" w:space="0" w:color="auto"/>
                <w:bottom w:val="none" w:sz="0" w:space="0" w:color="auto"/>
                <w:right w:val="none" w:sz="0" w:space="0" w:color="auto"/>
              </w:divBdr>
            </w:div>
            <w:div w:id="635184373">
              <w:marLeft w:val="0"/>
              <w:marRight w:val="0"/>
              <w:marTop w:val="0"/>
              <w:marBottom w:val="0"/>
              <w:divBdr>
                <w:top w:val="none" w:sz="0" w:space="0" w:color="auto"/>
                <w:left w:val="none" w:sz="0" w:space="0" w:color="auto"/>
                <w:bottom w:val="none" w:sz="0" w:space="0" w:color="auto"/>
                <w:right w:val="none" w:sz="0" w:space="0" w:color="auto"/>
              </w:divBdr>
            </w:div>
            <w:div w:id="1343514025">
              <w:marLeft w:val="0"/>
              <w:marRight w:val="0"/>
              <w:marTop w:val="0"/>
              <w:marBottom w:val="0"/>
              <w:divBdr>
                <w:top w:val="none" w:sz="0" w:space="0" w:color="auto"/>
                <w:left w:val="none" w:sz="0" w:space="0" w:color="auto"/>
                <w:bottom w:val="none" w:sz="0" w:space="0" w:color="auto"/>
                <w:right w:val="none" w:sz="0" w:space="0" w:color="auto"/>
              </w:divBdr>
            </w:div>
            <w:div w:id="699744168">
              <w:marLeft w:val="0"/>
              <w:marRight w:val="0"/>
              <w:marTop w:val="0"/>
              <w:marBottom w:val="0"/>
              <w:divBdr>
                <w:top w:val="none" w:sz="0" w:space="0" w:color="auto"/>
                <w:left w:val="none" w:sz="0" w:space="0" w:color="auto"/>
                <w:bottom w:val="none" w:sz="0" w:space="0" w:color="auto"/>
                <w:right w:val="none" w:sz="0" w:space="0" w:color="auto"/>
              </w:divBdr>
            </w:div>
            <w:div w:id="475142876">
              <w:marLeft w:val="0"/>
              <w:marRight w:val="0"/>
              <w:marTop w:val="0"/>
              <w:marBottom w:val="0"/>
              <w:divBdr>
                <w:top w:val="none" w:sz="0" w:space="0" w:color="auto"/>
                <w:left w:val="none" w:sz="0" w:space="0" w:color="auto"/>
                <w:bottom w:val="none" w:sz="0" w:space="0" w:color="auto"/>
                <w:right w:val="none" w:sz="0" w:space="0" w:color="auto"/>
              </w:divBdr>
            </w:div>
            <w:div w:id="130638867">
              <w:marLeft w:val="0"/>
              <w:marRight w:val="0"/>
              <w:marTop w:val="0"/>
              <w:marBottom w:val="0"/>
              <w:divBdr>
                <w:top w:val="none" w:sz="0" w:space="0" w:color="auto"/>
                <w:left w:val="none" w:sz="0" w:space="0" w:color="auto"/>
                <w:bottom w:val="none" w:sz="0" w:space="0" w:color="auto"/>
                <w:right w:val="none" w:sz="0" w:space="0" w:color="auto"/>
              </w:divBdr>
            </w:div>
            <w:div w:id="1610164799">
              <w:marLeft w:val="0"/>
              <w:marRight w:val="0"/>
              <w:marTop w:val="0"/>
              <w:marBottom w:val="0"/>
              <w:divBdr>
                <w:top w:val="none" w:sz="0" w:space="0" w:color="auto"/>
                <w:left w:val="none" w:sz="0" w:space="0" w:color="auto"/>
                <w:bottom w:val="none" w:sz="0" w:space="0" w:color="auto"/>
                <w:right w:val="none" w:sz="0" w:space="0" w:color="auto"/>
              </w:divBdr>
            </w:div>
            <w:div w:id="1085565439">
              <w:marLeft w:val="0"/>
              <w:marRight w:val="0"/>
              <w:marTop w:val="0"/>
              <w:marBottom w:val="0"/>
              <w:divBdr>
                <w:top w:val="none" w:sz="0" w:space="0" w:color="auto"/>
                <w:left w:val="none" w:sz="0" w:space="0" w:color="auto"/>
                <w:bottom w:val="none" w:sz="0" w:space="0" w:color="auto"/>
                <w:right w:val="none" w:sz="0" w:space="0" w:color="auto"/>
              </w:divBdr>
            </w:div>
            <w:div w:id="1952739840">
              <w:marLeft w:val="0"/>
              <w:marRight w:val="0"/>
              <w:marTop w:val="0"/>
              <w:marBottom w:val="0"/>
              <w:divBdr>
                <w:top w:val="none" w:sz="0" w:space="0" w:color="auto"/>
                <w:left w:val="none" w:sz="0" w:space="0" w:color="auto"/>
                <w:bottom w:val="none" w:sz="0" w:space="0" w:color="auto"/>
                <w:right w:val="none" w:sz="0" w:space="0" w:color="auto"/>
              </w:divBdr>
            </w:div>
            <w:div w:id="352194085">
              <w:marLeft w:val="0"/>
              <w:marRight w:val="0"/>
              <w:marTop w:val="0"/>
              <w:marBottom w:val="0"/>
              <w:divBdr>
                <w:top w:val="none" w:sz="0" w:space="0" w:color="auto"/>
                <w:left w:val="none" w:sz="0" w:space="0" w:color="auto"/>
                <w:bottom w:val="none" w:sz="0" w:space="0" w:color="auto"/>
                <w:right w:val="none" w:sz="0" w:space="0" w:color="auto"/>
              </w:divBdr>
            </w:div>
            <w:div w:id="654263593">
              <w:marLeft w:val="0"/>
              <w:marRight w:val="0"/>
              <w:marTop w:val="0"/>
              <w:marBottom w:val="0"/>
              <w:divBdr>
                <w:top w:val="none" w:sz="0" w:space="0" w:color="auto"/>
                <w:left w:val="none" w:sz="0" w:space="0" w:color="auto"/>
                <w:bottom w:val="none" w:sz="0" w:space="0" w:color="auto"/>
                <w:right w:val="none" w:sz="0" w:space="0" w:color="auto"/>
              </w:divBdr>
            </w:div>
            <w:div w:id="1489397447">
              <w:marLeft w:val="0"/>
              <w:marRight w:val="0"/>
              <w:marTop w:val="0"/>
              <w:marBottom w:val="0"/>
              <w:divBdr>
                <w:top w:val="none" w:sz="0" w:space="0" w:color="auto"/>
                <w:left w:val="none" w:sz="0" w:space="0" w:color="auto"/>
                <w:bottom w:val="none" w:sz="0" w:space="0" w:color="auto"/>
                <w:right w:val="none" w:sz="0" w:space="0" w:color="auto"/>
              </w:divBdr>
            </w:div>
            <w:div w:id="4384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364">
      <w:bodyDiv w:val="1"/>
      <w:marLeft w:val="0"/>
      <w:marRight w:val="0"/>
      <w:marTop w:val="0"/>
      <w:marBottom w:val="0"/>
      <w:divBdr>
        <w:top w:val="none" w:sz="0" w:space="0" w:color="auto"/>
        <w:left w:val="none" w:sz="0" w:space="0" w:color="auto"/>
        <w:bottom w:val="none" w:sz="0" w:space="0" w:color="auto"/>
        <w:right w:val="none" w:sz="0" w:space="0" w:color="auto"/>
      </w:divBdr>
    </w:div>
    <w:div w:id="1024790810">
      <w:bodyDiv w:val="1"/>
      <w:marLeft w:val="0"/>
      <w:marRight w:val="0"/>
      <w:marTop w:val="0"/>
      <w:marBottom w:val="0"/>
      <w:divBdr>
        <w:top w:val="none" w:sz="0" w:space="0" w:color="auto"/>
        <w:left w:val="none" w:sz="0" w:space="0" w:color="auto"/>
        <w:bottom w:val="none" w:sz="0" w:space="0" w:color="auto"/>
        <w:right w:val="none" w:sz="0" w:space="0" w:color="auto"/>
      </w:divBdr>
    </w:div>
    <w:div w:id="1054157656">
      <w:bodyDiv w:val="1"/>
      <w:marLeft w:val="0"/>
      <w:marRight w:val="0"/>
      <w:marTop w:val="0"/>
      <w:marBottom w:val="0"/>
      <w:divBdr>
        <w:top w:val="none" w:sz="0" w:space="0" w:color="auto"/>
        <w:left w:val="none" w:sz="0" w:space="0" w:color="auto"/>
        <w:bottom w:val="none" w:sz="0" w:space="0" w:color="auto"/>
        <w:right w:val="none" w:sz="0" w:space="0" w:color="auto"/>
      </w:divBdr>
    </w:div>
    <w:div w:id="1161194101">
      <w:bodyDiv w:val="1"/>
      <w:marLeft w:val="0"/>
      <w:marRight w:val="0"/>
      <w:marTop w:val="0"/>
      <w:marBottom w:val="0"/>
      <w:divBdr>
        <w:top w:val="none" w:sz="0" w:space="0" w:color="auto"/>
        <w:left w:val="none" w:sz="0" w:space="0" w:color="auto"/>
        <w:bottom w:val="none" w:sz="0" w:space="0" w:color="auto"/>
        <w:right w:val="none" w:sz="0" w:space="0" w:color="auto"/>
      </w:divBdr>
    </w:div>
    <w:div w:id="1250970843">
      <w:bodyDiv w:val="1"/>
      <w:marLeft w:val="0"/>
      <w:marRight w:val="0"/>
      <w:marTop w:val="0"/>
      <w:marBottom w:val="0"/>
      <w:divBdr>
        <w:top w:val="none" w:sz="0" w:space="0" w:color="auto"/>
        <w:left w:val="none" w:sz="0" w:space="0" w:color="auto"/>
        <w:bottom w:val="none" w:sz="0" w:space="0" w:color="auto"/>
        <w:right w:val="none" w:sz="0" w:space="0" w:color="auto"/>
      </w:divBdr>
    </w:div>
    <w:div w:id="1253049414">
      <w:bodyDiv w:val="1"/>
      <w:marLeft w:val="0"/>
      <w:marRight w:val="0"/>
      <w:marTop w:val="0"/>
      <w:marBottom w:val="0"/>
      <w:divBdr>
        <w:top w:val="none" w:sz="0" w:space="0" w:color="auto"/>
        <w:left w:val="none" w:sz="0" w:space="0" w:color="auto"/>
        <w:bottom w:val="none" w:sz="0" w:space="0" w:color="auto"/>
        <w:right w:val="none" w:sz="0" w:space="0" w:color="auto"/>
      </w:divBdr>
    </w:div>
    <w:div w:id="1262910997">
      <w:bodyDiv w:val="1"/>
      <w:marLeft w:val="0"/>
      <w:marRight w:val="0"/>
      <w:marTop w:val="0"/>
      <w:marBottom w:val="0"/>
      <w:divBdr>
        <w:top w:val="none" w:sz="0" w:space="0" w:color="auto"/>
        <w:left w:val="none" w:sz="0" w:space="0" w:color="auto"/>
        <w:bottom w:val="none" w:sz="0" w:space="0" w:color="auto"/>
        <w:right w:val="none" w:sz="0" w:space="0" w:color="auto"/>
      </w:divBdr>
    </w:div>
    <w:div w:id="1300919844">
      <w:bodyDiv w:val="1"/>
      <w:marLeft w:val="0"/>
      <w:marRight w:val="0"/>
      <w:marTop w:val="0"/>
      <w:marBottom w:val="0"/>
      <w:divBdr>
        <w:top w:val="none" w:sz="0" w:space="0" w:color="auto"/>
        <w:left w:val="none" w:sz="0" w:space="0" w:color="auto"/>
        <w:bottom w:val="none" w:sz="0" w:space="0" w:color="auto"/>
        <w:right w:val="none" w:sz="0" w:space="0" w:color="auto"/>
      </w:divBdr>
    </w:div>
    <w:div w:id="1503665534">
      <w:bodyDiv w:val="1"/>
      <w:marLeft w:val="0"/>
      <w:marRight w:val="0"/>
      <w:marTop w:val="0"/>
      <w:marBottom w:val="0"/>
      <w:divBdr>
        <w:top w:val="none" w:sz="0" w:space="0" w:color="auto"/>
        <w:left w:val="none" w:sz="0" w:space="0" w:color="auto"/>
        <w:bottom w:val="none" w:sz="0" w:space="0" w:color="auto"/>
        <w:right w:val="none" w:sz="0" w:space="0" w:color="auto"/>
      </w:divBdr>
    </w:div>
    <w:div w:id="1504273068">
      <w:bodyDiv w:val="1"/>
      <w:marLeft w:val="0"/>
      <w:marRight w:val="0"/>
      <w:marTop w:val="0"/>
      <w:marBottom w:val="0"/>
      <w:divBdr>
        <w:top w:val="none" w:sz="0" w:space="0" w:color="auto"/>
        <w:left w:val="none" w:sz="0" w:space="0" w:color="auto"/>
        <w:bottom w:val="none" w:sz="0" w:space="0" w:color="auto"/>
        <w:right w:val="none" w:sz="0" w:space="0" w:color="auto"/>
      </w:divBdr>
      <w:divsChild>
        <w:div w:id="1511987474">
          <w:marLeft w:val="480"/>
          <w:marRight w:val="0"/>
          <w:marTop w:val="0"/>
          <w:marBottom w:val="0"/>
          <w:divBdr>
            <w:top w:val="none" w:sz="0" w:space="0" w:color="auto"/>
            <w:left w:val="none" w:sz="0" w:space="0" w:color="auto"/>
            <w:bottom w:val="none" w:sz="0" w:space="0" w:color="auto"/>
            <w:right w:val="none" w:sz="0" w:space="0" w:color="auto"/>
          </w:divBdr>
          <w:divsChild>
            <w:div w:id="1934972015">
              <w:marLeft w:val="0"/>
              <w:marRight w:val="0"/>
              <w:marTop w:val="0"/>
              <w:marBottom w:val="0"/>
              <w:divBdr>
                <w:top w:val="none" w:sz="0" w:space="0" w:color="auto"/>
                <w:left w:val="none" w:sz="0" w:space="0" w:color="auto"/>
                <w:bottom w:val="none" w:sz="0" w:space="0" w:color="auto"/>
                <w:right w:val="none" w:sz="0" w:space="0" w:color="auto"/>
              </w:divBdr>
            </w:div>
            <w:div w:id="142109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04323">
      <w:bodyDiv w:val="1"/>
      <w:marLeft w:val="0"/>
      <w:marRight w:val="0"/>
      <w:marTop w:val="0"/>
      <w:marBottom w:val="0"/>
      <w:divBdr>
        <w:top w:val="none" w:sz="0" w:space="0" w:color="auto"/>
        <w:left w:val="none" w:sz="0" w:space="0" w:color="auto"/>
        <w:bottom w:val="none" w:sz="0" w:space="0" w:color="auto"/>
        <w:right w:val="none" w:sz="0" w:space="0" w:color="auto"/>
      </w:divBdr>
    </w:div>
    <w:div w:id="1882470611">
      <w:bodyDiv w:val="1"/>
      <w:marLeft w:val="0"/>
      <w:marRight w:val="0"/>
      <w:marTop w:val="0"/>
      <w:marBottom w:val="0"/>
      <w:divBdr>
        <w:top w:val="none" w:sz="0" w:space="0" w:color="auto"/>
        <w:left w:val="none" w:sz="0" w:space="0" w:color="auto"/>
        <w:bottom w:val="none" w:sz="0" w:space="0" w:color="auto"/>
        <w:right w:val="none" w:sz="0" w:space="0" w:color="auto"/>
      </w:divBdr>
    </w:div>
    <w:div w:id="1894385969">
      <w:bodyDiv w:val="1"/>
      <w:marLeft w:val="0"/>
      <w:marRight w:val="0"/>
      <w:marTop w:val="0"/>
      <w:marBottom w:val="0"/>
      <w:divBdr>
        <w:top w:val="none" w:sz="0" w:space="0" w:color="auto"/>
        <w:left w:val="none" w:sz="0" w:space="0" w:color="auto"/>
        <w:bottom w:val="none" w:sz="0" w:space="0" w:color="auto"/>
        <w:right w:val="none" w:sz="0" w:space="0" w:color="auto"/>
      </w:divBdr>
    </w:div>
    <w:div w:id="195351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39/cjz-2013-0076" TargetMode="External"/><Relationship Id="rId18" Type="http://schemas.openxmlformats.org/officeDocument/2006/relationships/hyperlink" Target="https://doi.org/10.1007/s00244-004-0010-7" TargetMode="External"/><Relationship Id="rId26" Type="http://schemas.openxmlformats.org/officeDocument/2006/relationships/hyperlink" Target="https://doi.org/10.1016/j.jglr.2010.06.006" TargetMode="External"/><Relationship Id="rId39" Type="http://schemas.openxmlformats.org/officeDocument/2006/relationships/hyperlink" Target="https://doi.org/10.2134/jeq1979.00472425000800030012x" TargetMode="External"/><Relationship Id="rId21" Type="http://schemas.openxmlformats.org/officeDocument/2006/relationships/hyperlink" Target="https://doi.org/10.1111/2041-210X.12644" TargetMode="External"/><Relationship Id="rId34" Type="http://schemas.openxmlformats.org/officeDocument/2006/relationships/hyperlink" Target="https://doi.org/10.1146/annurev.nutr.17.1.37" TargetMode="External"/><Relationship Id="rId42" Type="http://schemas.openxmlformats.org/officeDocument/2006/relationships/hyperlink" Target="https://doi.org/10.1016/j.trac.2019.05.019" TargetMode="External"/><Relationship Id="rId47" Type="http://schemas.openxmlformats.org/officeDocument/2006/relationships/hyperlink" Target="https://doi.org/10.21276/ijlssr.2016.2.4.9" TargetMode="External"/><Relationship Id="rId50" Type="http://schemas.openxmlformats.org/officeDocument/2006/relationships/hyperlink" Target="https://doi.org/10.1007/s00128-013-1065-9" TargetMode="External"/><Relationship Id="rId55" Type="http://schemas.openxmlformats.org/officeDocument/2006/relationships/hyperlink" Target="https://doi.org/10.1111/1365-2656.13195" TargetMode="External"/><Relationship Id="rId63" Type="http://schemas.openxmlformats.org/officeDocument/2006/relationships/image" Target="media/image3.png"/><Relationship Id="rId68" Type="http://schemas.openxmlformats.org/officeDocument/2006/relationships/image" Target="media/image8.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890/10-0489.1" TargetMode="External"/><Relationship Id="rId29" Type="http://schemas.openxmlformats.org/officeDocument/2006/relationships/hyperlink" Target="https://doi.org/10.1007/s10393-008-0184-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doi.org/10.1007/s10661-008-0306-6" TargetMode="External"/><Relationship Id="rId32" Type="http://schemas.openxmlformats.org/officeDocument/2006/relationships/hyperlink" Target="https://doi.org/10.1038/320746a0" TargetMode="External"/><Relationship Id="rId37" Type="http://schemas.openxmlformats.org/officeDocument/2006/relationships/hyperlink" Target="https://doi.org/10.1007/s00114-002-0373-4" TargetMode="External"/><Relationship Id="rId40" Type="http://schemas.openxmlformats.org/officeDocument/2006/relationships/hyperlink" Target="https://doi.org/10.1016/j.pcl.2006.11.009" TargetMode="External"/><Relationship Id="rId45" Type="http://schemas.openxmlformats.org/officeDocument/2006/relationships/hyperlink" Target="https://doi.org/10.1007/s00244-008-9180-z" TargetMode="External"/><Relationship Id="rId53" Type="http://schemas.openxmlformats.org/officeDocument/2006/relationships/hyperlink" Target="https://doi.org/10.1111/eva.12266" TargetMode="External"/><Relationship Id="rId58" Type="http://schemas.openxmlformats.org/officeDocument/2006/relationships/hyperlink" Target="https://doi.org/10.1371/journal.pone.0201563" TargetMode="External"/><Relationship Id="rId66"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doi.org/10.2307/3796459" TargetMode="External"/><Relationship Id="rId23" Type="http://schemas.openxmlformats.org/officeDocument/2006/relationships/hyperlink" Target="https://doi.org/10.1080/15287399509532003" TargetMode="External"/><Relationship Id="rId28" Type="http://schemas.openxmlformats.org/officeDocument/2006/relationships/hyperlink" Target="https://doi.org/10.1111/j.0908-8857.2005.03449.x" TargetMode="External"/><Relationship Id="rId36" Type="http://schemas.openxmlformats.org/officeDocument/2006/relationships/hyperlink" Target="https://doi.org/10.1111/1365-2656.12204@10.1111/(ISSN)1365-2656.MovementEcology" TargetMode="External"/><Relationship Id="rId49" Type="http://schemas.openxmlformats.org/officeDocument/2006/relationships/hyperlink" Target="https://doi.org/10.2307/1941192" TargetMode="External"/><Relationship Id="rId57" Type="http://schemas.openxmlformats.org/officeDocument/2006/relationships/hyperlink" Target="https://doi.org/10.1002/etc.4680" TargetMode="External"/><Relationship Id="rId61" Type="http://schemas.openxmlformats.org/officeDocument/2006/relationships/image" Target="media/image1.png"/><Relationship Id="rId10" Type="http://schemas.openxmlformats.org/officeDocument/2006/relationships/footer" Target="footer3.xml"/><Relationship Id="rId19" Type="http://schemas.openxmlformats.org/officeDocument/2006/relationships/hyperlink" Target="https://doi.org/10.1007/s00244-013-9923-3" TargetMode="External"/><Relationship Id="rId31" Type="http://schemas.openxmlformats.org/officeDocument/2006/relationships/hyperlink" Target="https://doi.org/10.1016/j.envpol.2012.04.003" TargetMode="External"/><Relationship Id="rId44" Type="http://schemas.openxmlformats.org/officeDocument/2006/relationships/hyperlink" Target="https://doi.org/10.1002/etc.5620180617" TargetMode="External"/><Relationship Id="rId52" Type="http://schemas.openxmlformats.org/officeDocument/2006/relationships/hyperlink" Target="https://doi.org/10.4080/ilsa.2009.0108" TargetMode="External"/><Relationship Id="rId60" Type="http://schemas.openxmlformats.org/officeDocument/2006/relationships/hyperlink" Target="https://doi.org/10.1016/j.envres.2007.11.003" TargetMode="External"/><Relationship Id="rId65"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2307/3801796" TargetMode="External"/><Relationship Id="rId22" Type="http://schemas.openxmlformats.org/officeDocument/2006/relationships/hyperlink" Target="https://doi.org/10.1016/s0278-6915(01)00048-5" TargetMode="External"/><Relationship Id="rId27" Type="http://schemas.openxmlformats.org/officeDocument/2006/relationships/hyperlink" Target="https://doi.org/10.1021/acs.est.6b06024" TargetMode="External"/><Relationship Id="rId30" Type="http://schemas.openxmlformats.org/officeDocument/2006/relationships/hyperlink" Target="https://doi.org/10.1139/z91-340" TargetMode="External"/><Relationship Id="rId35" Type="http://schemas.openxmlformats.org/officeDocument/2006/relationships/hyperlink" Target="https://doi.org/10.1016/j.scitotenv.2018.11.383" TargetMode="External"/><Relationship Id="rId43" Type="http://schemas.openxmlformats.org/officeDocument/2006/relationships/hyperlink" Target="https://doi.org/10.1007/s10144-015-0518-x" TargetMode="External"/><Relationship Id="rId48" Type="http://schemas.openxmlformats.org/officeDocument/2006/relationships/hyperlink" Target="https://doi.org/10.1007/s10661-014-3737-2" TargetMode="External"/><Relationship Id="rId56" Type="http://schemas.openxmlformats.org/officeDocument/2006/relationships/hyperlink" Target="https://doi.org/10.1007/s00128-019-02732-9" TargetMode="External"/><Relationship Id="rId64" Type="http://schemas.openxmlformats.org/officeDocument/2006/relationships/image" Target="media/image4.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doi.org/10.1038/sj.jea.7500286" TargetMode="External"/><Relationship Id="rId3" Type="http://schemas.openxmlformats.org/officeDocument/2006/relationships/styles" Target="styles.xml"/><Relationship Id="rId12" Type="http://schemas.openxmlformats.org/officeDocument/2006/relationships/hyperlink" Target="https://doi.org/10.3390/toxics6040065" TargetMode="External"/><Relationship Id="rId17" Type="http://schemas.openxmlformats.org/officeDocument/2006/relationships/hyperlink" Target="https://doi.org/10.2307/2401459" TargetMode="External"/><Relationship Id="rId25" Type="http://schemas.openxmlformats.org/officeDocument/2006/relationships/hyperlink" Target="https://doi.org/10.1002/etc.5620120719" TargetMode="External"/><Relationship Id="rId33" Type="http://schemas.openxmlformats.org/officeDocument/2006/relationships/hyperlink" Target="https://doi.org/10.1080/109374000281096" TargetMode="External"/><Relationship Id="rId38" Type="http://schemas.openxmlformats.org/officeDocument/2006/relationships/hyperlink" Target="https://doi.org/10.1002/ieam.201" TargetMode="External"/><Relationship Id="rId46" Type="http://schemas.openxmlformats.org/officeDocument/2006/relationships/hyperlink" Target="https://doi.org/10.1016/j.envpol.2010.03.013" TargetMode="External"/><Relationship Id="rId59" Type="http://schemas.openxmlformats.org/officeDocument/2006/relationships/hyperlink" Target="https://doi.org/10.1093/toxsci/kfs090" TargetMode="External"/><Relationship Id="rId67" Type="http://schemas.openxmlformats.org/officeDocument/2006/relationships/image" Target="media/image7.png"/><Relationship Id="rId20" Type="http://schemas.openxmlformats.org/officeDocument/2006/relationships/hyperlink" Target="https://doi.org/10.1002/ieam.1792" TargetMode="External"/><Relationship Id="rId41" Type="http://schemas.openxmlformats.org/officeDocument/2006/relationships/hyperlink" Target="https://doi.org/10.1016/S0269-7491(03)00185-4" TargetMode="External"/><Relationship Id="rId54" Type="http://schemas.openxmlformats.org/officeDocument/2006/relationships/hyperlink" Target="https://doi.org/10.1007/s00442-012-2251-x" TargetMode="External"/><Relationship Id="rId62" Type="http://schemas.openxmlformats.org/officeDocument/2006/relationships/image" Target="media/image2.jp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5482B-42F7-408D-9671-04A31C70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9637</Words>
  <Characters>54935</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heatherklepage@gmail.com</dc:creator>
  <cp:keywords/>
  <dc:description/>
  <cp:lastModifiedBy>heatherklepage@gmail.com</cp:lastModifiedBy>
  <cp:revision>4</cp:revision>
  <dcterms:created xsi:type="dcterms:W3CDTF">2020-05-07T20:22:00Z</dcterms:created>
  <dcterms:modified xsi:type="dcterms:W3CDTF">2020-05-07T20:25:00Z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id="XXJTPMAw"/&gt;&lt;style id="http://www.zotero.org/styles/nature" hasBibliography="1" bibliographyStyleHasBeenSet="0"/&gt;&lt;prefs&gt;&lt;pref name="fieldType" value="Field"/&gt;&lt;pref name="delayCitationUpdates" valu</vt:lpwstr>
  </property>
  <property fmtid="{D5CDD505-2E9C-101B-9397-08002B2CF9AE}" pid="3" name="ZOTERO_PREF_2">
    <vt:lpwstr>e="true"/&gt;&lt;/prefs&gt;&lt;/data&gt;</vt:lpwstr>
  </property>
</Properties>
</file>