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C5E18" w14:textId="0EBB9584" w:rsidR="009275F3" w:rsidRPr="009275F3" w:rsidRDefault="009275F3" w:rsidP="009275F3">
      <w:pPr>
        <w:jc w:val="center"/>
        <w:rPr>
          <w:rFonts w:ascii="Times New Roman" w:hAnsi="Times New Roman" w:cs="Times New Roman"/>
          <w:sz w:val="24"/>
          <w:szCs w:val="24"/>
        </w:rPr>
      </w:pPr>
      <w:r w:rsidRPr="009275F3">
        <w:rPr>
          <w:rFonts w:ascii="Times New Roman" w:hAnsi="Times New Roman" w:cs="Times New Roman"/>
          <w:sz w:val="24"/>
          <w:szCs w:val="24"/>
        </w:rPr>
        <w:t>UNIVERSITY OF OKLAHOMA</w:t>
      </w:r>
    </w:p>
    <w:p w14:paraId="0426DA99" w14:textId="7953B2D7" w:rsidR="009275F3" w:rsidRPr="009275F3" w:rsidRDefault="009275F3" w:rsidP="009275F3">
      <w:pPr>
        <w:jc w:val="center"/>
        <w:rPr>
          <w:rFonts w:ascii="Times New Roman" w:hAnsi="Times New Roman" w:cs="Times New Roman"/>
          <w:sz w:val="24"/>
          <w:szCs w:val="24"/>
        </w:rPr>
      </w:pPr>
      <w:r w:rsidRPr="009275F3">
        <w:rPr>
          <w:rFonts w:ascii="Times New Roman" w:hAnsi="Times New Roman" w:cs="Times New Roman"/>
          <w:sz w:val="24"/>
          <w:szCs w:val="24"/>
        </w:rPr>
        <w:t>GRADUATE COLLEGE</w:t>
      </w:r>
    </w:p>
    <w:p w14:paraId="10663033" w14:textId="77777777" w:rsidR="009275F3" w:rsidRDefault="009275F3" w:rsidP="009275F3">
      <w:pPr>
        <w:jc w:val="center"/>
        <w:rPr>
          <w:rFonts w:ascii="Times New Roman" w:hAnsi="Times New Roman" w:cs="Times New Roman"/>
          <w:sz w:val="24"/>
          <w:szCs w:val="24"/>
        </w:rPr>
      </w:pPr>
    </w:p>
    <w:p w14:paraId="165AF4FD" w14:textId="77777777" w:rsidR="009275F3" w:rsidRDefault="009275F3" w:rsidP="009275F3">
      <w:pPr>
        <w:jc w:val="center"/>
        <w:rPr>
          <w:rFonts w:ascii="Times New Roman" w:hAnsi="Times New Roman" w:cs="Times New Roman"/>
          <w:sz w:val="24"/>
          <w:szCs w:val="24"/>
        </w:rPr>
      </w:pPr>
    </w:p>
    <w:p w14:paraId="41992AC6" w14:textId="77777777" w:rsidR="009275F3" w:rsidRDefault="009275F3" w:rsidP="009275F3">
      <w:pPr>
        <w:jc w:val="center"/>
        <w:rPr>
          <w:rFonts w:ascii="Times New Roman" w:hAnsi="Times New Roman" w:cs="Times New Roman"/>
          <w:sz w:val="24"/>
          <w:szCs w:val="24"/>
        </w:rPr>
      </w:pPr>
    </w:p>
    <w:p w14:paraId="43ECB87C" w14:textId="22D43EF9" w:rsidR="009275F3" w:rsidRDefault="26514E8B" w:rsidP="26514E8B">
      <w:pPr>
        <w:jc w:val="center"/>
        <w:rPr>
          <w:rFonts w:ascii="Garamond" w:eastAsia="Garamond" w:hAnsi="Garamond" w:cs="Garamond"/>
          <w:color w:val="000000" w:themeColor="text1"/>
          <w:sz w:val="24"/>
          <w:szCs w:val="24"/>
        </w:rPr>
      </w:pPr>
      <w:r w:rsidRPr="26514E8B">
        <w:rPr>
          <w:rFonts w:ascii="Times New Roman" w:eastAsia="Times New Roman" w:hAnsi="Times New Roman" w:cs="Times New Roman"/>
          <w:color w:val="000000" w:themeColor="text1"/>
          <w:sz w:val="24"/>
          <w:szCs w:val="24"/>
        </w:rPr>
        <w:t xml:space="preserve">AN INTEGRATIVE ECOLOGICAL AND EVOLUTIONARY GENOMIC STUDY OF LAKE </w:t>
      </w:r>
      <w:r w:rsidRPr="26514E8B">
        <w:rPr>
          <w:rFonts w:ascii="Times New Roman" w:eastAsia="Times New Roman" w:hAnsi="Times New Roman" w:cs="Times New Roman"/>
          <w:i/>
          <w:iCs/>
          <w:color w:val="000000" w:themeColor="text1"/>
          <w:sz w:val="24"/>
          <w:szCs w:val="24"/>
        </w:rPr>
        <w:t>DAPHNIA</w:t>
      </w:r>
      <w:r w:rsidRPr="26514E8B">
        <w:rPr>
          <w:rFonts w:ascii="Times New Roman" w:eastAsia="Times New Roman" w:hAnsi="Times New Roman" w:cs="Times New Roman"/>
          <w:color w:val="000000" w:themeColor="text1"/>
          <w:sz w:val="24"/>
          <w:szCs w:val="24"/>
        </w:rPr>
        <w:t xml:space="preserve"> ACROSS TIME</w:t>
      </w:r>
    </w:p>
    <w:p w14:paraId="01E9F566" w14:textId="77777777" w:rsidR="009275F3" w:rsidRDefault="009275F3" w:rsidP="008F0082">
      <w:pPr>
        <w:jc w:val="center"/>
      </w:pPr>
    </w:p>
    <w:p w14:paraId="6191E00F" w14:textId="77777777" w:rsidR="009275F3" w:rsidRDefault="009275F3" w:rsidP="009275F3">
      <w:pPr>
        <w:jc w:val="center"/>
        <w:rPr>
          <w:rFonts w:ascii="Times New Roman" w:hAnsi="Times New Roman" w:cs="Times New Roman"/>
          <w:sz w:val="24"/>
          <w:szCs w:val="24"/>
        </w:rPr>
      </w:pPr>
    </w:p>
    <w:p w14:paraId="1EF0127E" w14:textId="77777777" w:rsidR="009275F3" w:rsidRDefault="009275F3" w:rsidP="009275F3">
      <w:pPr>
        <w:jc w:val="center"/>
        <w:rPr>
          <w:rFonts w:ascii="Times New Roman" w:hAnsi="Times New Roman" w:cs="Times New Roman"/>
          <w:sz w:val="24"/>
          <w:szCs w:val="24"/>
        </w:rPr>
      </w:pPr>
    </w:p>
    <w:p w14:paraId="598A6A69" w14:textId="344D923E" w:rsidR="009275F3" w:rsidRPr="009275F3" w:rsidRDefault="009275F3" w:rsidP="009275F3">
      <w:pPr>
        <w:jc w:val="center"/>
        <w:rPr>
          <w:rFonts w:ascii="Times New Roman" w:hAnsi="Times New Roman" w:cs="Times New Roman"/>
          <w:sz w:val="24"/>
          <w:szCs w:val="24"/>
        </w:rPr>
      </w:pPr>
      <w:r w:rsidRPr="009275F3">
        <w:rPr>
          <w:rFonts w:ascii="Times New Roman" w:hAnsi="Times New Roman" w:cs="Times New Roman"/>
          <w:sz w:val="24"/>
          <w:szCs w:val="24"/>
        </w:rPr>
        <w:t>A DISSERTATION</w:t>
      </w:r>
    </w:p>
    <w:p w14:paraId="1D390DCA" w14:textId="31C48317" w:rsidR="009275F3" w:rsidRPr="009275F3" w:rsidRDefault="009275F3" w:rsidP="009275F3">
      <w:pPr>
        <w:jc w:val="center"/>
        <w:rPr>
          <w:rFonts w:ascii="Times New Roman" w:hAnsi="Times New Roman" w:cs="Times New Roman"/>
          <w:sz w:val="24"/>
          <w:szCs w:val="24"/>
        </w:rPr>
      </w:pPr>
      <w:r w:rsidRPr="009275F3">
        <w:rPr>
          <w:rFonts w:ascii="Times New Roman" w:hAnsi="Times New Roman" w:cs="Times New Roman"/>
          <w:sz w:val="24"/>
          <w:szCs w:val="24"/>
        </w:rPr>
        <w:t>SUBMITTED TO THE GRADUATE FACULTY</w:t>
      </w:r>
    </w:p>
    <w:p w14:paraId="0EB74E9B" w14:textId="77777777" w:rsidR="009275F3" w:rsidRDefault="009275F3" w:rsidP="009275F3">
      <w:pPr>
        <w:jc w:val="center"/>
        <w:rPr>
          <w:rFonts w:ascii="Times New Roman" w:hAnsi="Times New Roman" w:cs="Times New Roman"/>
          <w:sz w:val="24"/>
          <w:szCs w:val="24"/>
        </w:rPr>
      </w:pPr>
      <w:r w:rsidRPr="009275F3">
        <w:rPr>
          <w:rFonts w:ascii="Times New Roman" w:hAnsi="Times New Roman" w:cs="Times New Roman"/>
          <w:sz w:val="24"/>
          <w:szCs w:val="24"/>
        </w:rPr>
        <w:t xml:space="preserve">in partial fulfillment of the requirements for the </w:t>
      </w:r>
    </w:p>
    <w:p w14:paraId="406AC919" w14:textId="75999F43" w:rsidR="009275F3" w:rsidRDefault="009275F3" w:rsidP="009275F3">
      <w:pPr>
        <w:jc w:val="center"/>
        <w:rPr>
          <w:rFonts w:ascii="Times New Roman" w:hAnsi="Times New Roman" w:cs="Times New Roman"/>
          <w:sz w:val="24"/>
          <w:szCs w:val="24"/>
        </w:rPr>
      </w:pPr>
      <w:r w:rsidRPr="009275F3">
        <w:rPr>
          <w:rFonts w:ascii="Times New Roman" w:hAnsi="Times New Roman" w:cs="Times New Roman"/>
          <w:sz w:val="24"/>
          <w:szCs w:val="24"/>
        </w:rPr>
        <w:t>Degree of</w:t>
      </w:r>
    </w:p>
    <w:p w14:paraId="4820F71D" w14:textId="5FFFD601" w:rsidR="009275F3" w:rsidRDefault="005F1539" w:rsidP="009275F3">
      <w:pPr>
        <w:jc w:val="center"/>
        <w:rPr>
          <w:rFonts w:ascii="Times New Roman" w:hAnsi="Times New Roman" w:cs="Times New Roman"/>
          <w:sz w:val="24"/>
          <w:szCs w:val="24"/>
        </w:rPr>
      </w:pPr>
      <w:r>
        <w:rPr>
          <w:rFonts w:ascii="Times New Roman" w:hAnsi="Times New Roman" w:cs="Times New Roman"/>
          <w:sz w:val="24"/>
          <w:szCs w:val="24"/>
        </w:rPr>
        <w:t xml:space="preserve">DOCTOR OF PHILOSOPHY </w:t>
      </w:r>
    </w:p>
    <w:p w14:paraId="5892DBB7" w14:textId="77777777" w:rsidR="009275F3" w:rsidRDefault="009275F3" w:rsidP="009275F3">
      <w:pPr>
        <w:jc w:val="center"/>
        <w:rPr>
          <w:rFonts w:ascii="Times New Roman" w:hAnsi="Times New Roman" w:cs="Times New Roman"/>
          <w:sz w:val="24"/>
          <w:szCs w:val="24"/>
        </w:rPr>
      </w:pPr>
    </w:p>
    <w:p w14:paraId="50660D96" w14:textId="77777777" w:rsidR="009275F3" w:rsidRDefault="009275F3" w:rsidP="009275F3">
      <w:pPr>
        <w:jc w:val="center"/>
        <w:rPr>
          <w:rFonts w:ascii="Times New Roman" w:hAnsi="Times New Roman" w:cs="Times New Roman"/>
          <w:sz w:val="24"/>
          <w:szCs w:val="24"/>
        </w:rPr>
      </w:pPr>
    </w:p>
    <w:p w14:paraId="5FD2EC9E" w14:textId="77777777" w:rsidR="009275F3" w:rsidRDefault="009275F3" w:rsidP="009275F3">
      <w:pPr>
        <w:jc w:val="center"/>
        <w:rPr>
          <w:rFonts w:ascii="Times New Roman" w:hAnsi="Times New Roman" w:cs="Times New Roman"/>
          <w:sz w:val="24"/>
          <w:szCs w:val="24"/>
        </w:rPr>
      </w:pPr>
    </w:p>
    <w:p w14:paraId="6F94E64A" w14:textId="77777777" w:rsidR="009275F3" w:rsidRDefault="009275F3" w:rsidP="009275F3">
      <w:pPr>
        <w:jc w:val="center"/>
        <w:rPr>
          <w:rFonts w:ascii="Times New Roman" w:hAnsi="Times New Roman" w:cs="Times New Roman"/>
          <w:sz w:val="24"/>
          <w:szCs w:val="24"/>
        </w:rPr>
      </w:pPr>
    </w:p>
    <w:p w14:paraId="29CE904B" w14:textId="77777777" w:rsidR="009275F3" w:rsidRDefault="009275F3" w:rsidP="009275F3">
      <w:pPr>
        <w:jc w:val="center"/>
        <w:rPr>
          <w:rFonts w:ascii="Times New Roman" w:hAnsi="Times New Roman" w:cs="Times New Roman"/>
          <w:sz w:val="24"/>
          <w:szCs w:val="24"/>
        </w:rPr>
      </w:pPr>
    </w:p>
    <w:p w14:paraId="469D4C7D" w14:textId="77777777" w:rsidR="009275F3" w:rsidRDefault="009275F3" w:rsidP="009275F3">
      <w:pPr>
        <w:jc w:val="center"/>
        <w:rPr>
          <w:rFonts w:ascii="Times New Roman" w:hAnsi="Times New Roman" w:cs="Times New Roman"/>
          <w:sz w:val="24"/>
          <w:szCs w:val="24"/>
        </w:rPr>
      </w:pPr>
    </w:p>
    <w:p w14:paraId="6AD486BB" w14:textId="0386A087" w:rsidR="009275F3" w:rsidRDefault="009275F3" w:rsidP="009275F3">
      <w:pPr>
        <w:jc w:val="center"/>
        <w:rPr>
          <w:rFonts w:ascii="Times New Roman" w:hAnsi="Times New Roman" w:cs="Times New Roman"/>
          <w:sz w:val="24"/>
          <w:szCs w:val="24"/>
        </w:rPr>
      </w:pPr>
    </w:p>
    <w:p w14:paraId="5EC901EE" w14:textId="79222AE4" w:rsidR="00860861" w:rsidRDefault="00860861" w:rsidP="009275F3">
      <w:pPr>
        <w:jc w:val="center"/>
        <w:rPr>
          <w:rFonts w:ascii="Times New Roman" w:hAnsi="Times New Roman" w:cs="Times New Roman"/>
          <w:sz w:val="24"/>
          <w:szCs w:val="24"/>
        </w:rPr>
      </w:pPr>
    </w:p>
    <w:p w14:paraId="2ED45F06" w14:textId="77777777" w:rsidR="00F56C7D" w:rsidRDefault="00F56C7D" w:rsidP="009275F3">
      <w:pPr>
        <w:jc w:val="center"/>
        <w:rPr>
          <w:rFonts w:ascii="Times New Roman" w:hAnsi="Times New Roman" w:cs="Times New Roman"/>
          <w:sz w:val="24"/>
          <w:szCs w:val="24"/>
        </w:rPr>
      </w:pPr>
    </w:p>
    <w:p w14:paraId="51637791" w14:textId="77777777" w:rsidR="009275F3" w:rsidRDefault="009275F3" w:rsidP="009275F3">
      <w:pPr>
        <w:jc w:val="center"/>
        <w:rPr>
          <w:rFonts w:ascii="Times New Roman" w:hAnsi="Times New Roman" w:cs="Times New Roman"/>
          <w:sz w:val="24"/>
          <w:szCs w:val="24"/>
        </w:rPr>
      </w:pPr>
    </w:p>
    <w:p w14:paraId="2420E7B1" w14:textId="6FEEC5EC" w:rsidR="009275F3" w:rsidRDefault="009275F3" w:rsidP="009275F3">
      <w:pPr>
        <w:jc w:val="center"/>
        <w:rPr>
          <w:rFonts w:ascii="Times New Roman" w:hAnsi="Times New Roman" w:cs="Times New Roman"/>
          <w:sz w:val="24"/>
          <w:szCs w:val="24"/>
        </w:rPr>
      </w:pPr>
      <w:r w:rsidRPr="009275F3">
        <w:rPr>
          <w:rFonts w:ascii="Times New Roman" w:hAnsi="Times New Roman" w:cs="Times New Roman"/>
          <w:sz w:val="24"/>
          <w:szCs w:val="24"/>
        </w:rPr>
        <w:t>By</w:t>
      </w:r>
    </w:p>
    <w:p w14:paraId="5A2D5730" w14:textId="1D994D18" w:rsidR="009275F3" w:rsidRDefault="001E4F5C" w:rsidP="009275F3">
      <w:pPr>
        <w:jc w:val="center"/>
        <w:rPr>
          <w:rFonts w:ascii="Times New Roman" w:hAnsi="Times New Roman" w:cs="Times New Roman"/>
          <w:sz w:val="24"/>
          <w:szCs w:val="24"/>
        </w:rPr>
      </w:pPr>
      <w:r>
        <w:rPr>
          <w:rFonts w:ascii="Times New Roman" w:hAnsi="Times New Roman" w:cs="Times New Roman"/>
          <w:sz w:val="24"/>
          <w:szCs w:val="24"/>
        </w:rPr>
        <w:t>MATTHEW JOSEPH WERSEBE</w:t>
      </w:r>
    </w:p>
    <w:p w14:paraId="70B758D1" w14:textId="77777777" w:rsidR="009275F3" w:rsidRDefault="009275F3" w:rsidP="009275F3">
      <w:pPr>
        <w:jc w:val="center"/>
        <w:rPr>
          <w:rFonts w:ascii="Times New Roman" w:hAnsi="Times New Roman" w:cs="Times New Roman"/>
          <w:sz w:val="24"/>
          <w:szCs w:val="24"/>
        </w:rPr>
      </w:pPr>
      <w:r w:rsidRPr="009275F3">
        <w:rPr>
          <w:rFonts w:ascii="Times New Roman" w:hAnsi="Times New Roman" w:cs="Times New Roman"/>
          <w:sz w:val="24"/>
          <w:szCs w:val="24"/>
        </w:rPr>
        <w:t xml:space="preserve">Norman, Oklahoma </w:t>
      </w:r>
    </w:p>
    <w:p w14:paraId="66349F1E" w14:textId="720FB0D0" w:rsidR="006A4105" w:rsidRDefault="009275F3" w:rsidP="00F56C7D">
      <w:pPr>
        <w:jc w:val="center"/>
        <w:rPr>
          <w:rFonts w:ascii="Times New Roman" w:hAnsi="Times New Roman" w:cs="Times New Roman"/>
          <w:sz w:val="24"/>
          <w:szCs w:val="24"/>
        </w:rPr>
      </w:pPr>
      <w:r>
        <w:rPr>
          <w:rFonts w:ascii="Times New Roman" w:hAnsi="Times New Roman" w:cs="Times New Roman"/>
          <w:sz w:val="24"/>
          <w:szCs w:val="24"/>
        </w:rPr>
        <w:t>202</w:t>
      </w:r>
      <w:r w:rsidR="00DC5456">
        <w:rPr>
          <w:rFonts w:ascii="Times New Roman" w:hAnsi="Times New Roman" w:cs="Times New Roman"/>
          <w:sz w:val="24"/>
          <w:szCs w:val="24"/>
        </w:rPr>
        <w:t>3</w:t>
      </w:r>
    </w:p>
    <w:p w14:paraId="67A764CA" w14:textId="22D43EF9" w:rsidR="006A4105" w:rsidRDefault="26514E8B" w:rsidP="008F73E2">
      <w:pPr>
        <w:spacing w:line="480" w:lineRule="auto"/>
        <w:jc w:val="center"/>
        <w:rPr>
          <w:rFonts w:ascii="Garamond" w:eastAsia="Garamond" w:hAnsi="Garamond" w:cs="Garamond"/>
          <w:color w:val="000000" w:themeColor="text1"/>
          <w:sz w:val="24"/>
          <w:szCs w:val="24"/>
        </w:rPr>
      </w:pPr>
      <w:r w:rsidRPr="26514E8B">
        <w:rPr>
          <w:rFonts w:ascii="Times New Roman" w:eastAsia="Times New Roman" w:hAnsi="Times New Roman" w:cs="Times New Roman"/>
          <w:color w:val="000000" w:themeColor="text1"/>
          <w:sz w:val="24"/>
          <w:szCs w:val="24"/>
        </w:rPr>
        <w:lastRenderedPageBreak/>
        <w:t xml:space="preserve">AN INTEGRATIVE ECOLOGICAL AND EVOLUTIONARY GENOMIC STUDY OF LAKE </w:t>
      </w:r>
      <w:r w:rsidRPr="26514E8B">
        <w:rPr>
          <w:rFonts w:ascii="Times New Roman" w:eastAsia="Times New Roman" w:hAnsi="Times New Roman" w:cs="Times New Roman"/>
          <w:i/>
          <w:iCs/>
          <w:color w:val="000000" w:themeColor="text1"/>
          <w:sz w:val="24"/>
          <w:szCs w:val="24"/>
        </w:rPr>
        <w:t>DAPHNIA</w:t>
      </w:r>
      <w:r w:rsidRPr="26514E8B">
        <w:rPr>
          <w:rFonts w:ascii="Times New Roman" w:eastAsia="Times New Roman" w:hAnsi="Times New Roman" w:cs="Times New Roman"/>
          <w:color w:val="000000" w:themeColor="text1"/>
          <w:sz w:val="24"/>
          <w:szCs w:val="24"/>
        </w:rPr>
        <w:t xml:space="preserve"> ACROSS TIME</w:t>
      </w:r>
    </w:p>
    <w:p w14:paraId="1E1C98EE" w14:textId="4A23B45B" w:rsidR="006A4105" w:rsidRDefault="006A4105" w:rsidP="001F4761">
      <w:pPr>
        <w:spacing w:line="480" w:lineRule="auto"/>
        <w:jc w:val="center"/>
        <w:rPr>
          <w:rFonts w:ascii="Times New Roman" w:hAnsi="Times New Roman" w:cs="Times New Roman"/>
          <w:sz w:val="24"/>
          <w:szCs w:val="24"/>
        </w:rPr>
      </w:pPr>
    </w:p>
    <w:p w14:paraId="56CAF55A" w14:textId="6BBA53E3" w:rsidR="006A4105" w:rsidRDefault="006A4105" w:rsidP="008F73E2">
      <w:pPr>
        <w:spacing w:line="480" w:lineRule="auto"/>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66311D47" w14:textId="058BE2B6" w:rsidR="004C7934" w:rsidRDefault="004C7934" w:rsidP="008F73E2">
      <w:pPr>
        <w:spacing w:line="480" w:lineRule="auto"/>
        <w:jc w:val="center"/>
        <w:rPr>
          <w:rFonts w:ascii="Times New Roman" w:hAnsi="Times New Roman" w:cs="Times New Roman"/>
          <w:sz w:val="24"/>
          <w:szCs w:val="24"/>
        </w:rPr>
      </w:pPr>
      <w:r>
        <w:rPr>
          <w:rFonts w:ascii="Times New Roman" w:hAnsi="Times New Roman" w:cs="Times New Roman"/>
          <w:sz w:val="24"/>
          <w:szCs w:val="24"/>
        </w:rPr>
        <w:t>DEPARTMENT OF BIOLOGY</w:t>
      </w:r>
    </w:p>
    <w:p w14:paraId="3450EDD2" w14:textId="58E44D88" w:rsidR="006A4105" w:rsidRDefault="006A4105" w:rsidP="009275F3">
      <w:pPr>
        <w:jc w:val="center"/>
        <w:rPr>
          <w:rFonts w:ascii="Times New Roman" w:hAnsi="Times New Roman" w:cs="Times New Roman"/>
          <w:sz w:val="24"/>
          <w:szCs w:val="24"/>
        </w:rPr>
      </w:pPr>
    </w:p>
    <w:p w14:paraId="497F373E" w14:textId="77777777" w:rsidR="002A70B6" w:rsidRDefault="002A70B6" w:rsidP="009275F3">
      <w:pPr>
        <w:jc w:val="center"/>
        <w:rPr>
          <w:rFonts w:ascii="Times New Roman" w:hAnsi="Times New Roman" w:cs="Times New Roman"/>
          <w:sz w:val="24"/>
          <w:szCs w:val="24"/>
        </w:rPr>
      </w:pPr>
    </w:p>
    <w:p w14:paraId="31CC9A54" w14:textId="114954CC" w:rsidR="006A4105" w:rsidRDefault="006A4105" w:rsidP="009275F3">
      <w:pPr>
        <w:jc w:val="center"/>
        <w:rPr>
          <w:rFonts w:ascii="Times New Roman" w:hAnsi="Times New Roman" w:cs="Times New Roman"/>
          <w:sz w:val="24"/>
          <w:szCs w:val="24"/>
        </w:rPr>
      </w:pPr>
    </w:p>
    <w:p w14:paraId="07138931" w14:textId="1382C2AE" w:rsidR="006A4105" w:rsidRDefault="006A4105" w:rsidP="008F0082">
      <w:pPr>
        <w:jc w:val="center"/>
        <w:rPr>
          <w:rFonts w:ascii="Times New Roman" w:hAnsi="Times New Roman" w:cs="Times New Roman"/>
          <w:sz w:val="24"/>
          <w:szCs w:val="24"/>
        </w:rPr>
      </w:pPr>
    </w:p>
    <w:p w14:paraId="1A734CF1" w14:textId="17AACCCC" w:rsidR="006A4105" w:rsidRDefault="006A4105" w:rsidP="009275F3">
      <w:pPr>
        <w:jc w:val="center"/>
        <w:rPr>
          <w:rFonts w:ascii="Times New Roman" w:hAnsi="Times New Roman" w:cs="Times New Roman"/>
          <w:sz w:val="24"/>
          <w:szCs w:val="24"/>
        </w:rPr>
      </w:pPr>
      <w:r>
        <w:rPr>
          <w:rFonts w:ascii="Times New Roman" w:hAnsi="Times New Roman" w:cs="Times New Roman"/>
          <w:sz w:val="24"/>
          <w:szCs w:val="24"/>
        </w:rPr>
        <w:t xml:space="preserve">BY THE COMMITTEE CONSISTING OF </w:t>
      </w:r>
    </w:p>
    <w:p w14:paraId="73DD3AEC" w14:textId="430DA1AE" w:rsidR="006A4105" w:rsidRDefault="006A4105" w:rsidP="008F0082">
      <w:pPr>
        <w:jc w:val="center"/>
        <w:rPr>
          <w:rFonts w:ascii="Times New Roman" w:hAnsi="Times New Roman" w:cs="Times New Roman"/>
          <w:sz w:val="24"/>
          <w:szCs w:val="24"/>
        </w:rPr>
      </w:pPr>
    </w:p>
    <w:p w14:paraId="7D006C38" w14:textId="1444A2A6" w:rsidR="00D12A48" w:rsidRDefault="00D12A48" w:rsidP="008F0082">
      <w:pPr>
        <w:jc w:val="center"/>
        <w:rPr>
          <w:rFonts w:ascii="Times New Roman" w:hAnsi="Times New Roman" w:cs="Times New Roman"/>
          <w:sz w:val="24"/>
          <w:szCs w:val="24"/>
        </w:rPr>
      </w:pPr>
    </w:p>
    <w:p w14:paraId="282068FD" w14:textId="7E686B9A" w:rsidR="00D12A48" w:rsidRDefault="00D12A48" w:rsidP="008F0082">
      <w:pPr>
        <w:jc w:val="center"/>
        <w:rPr>
          <w:rFonts w:ascii="Times New Roman" w:hAnsi="Times New Roman" w:cs="Times New Roman"/>
          <w:sz w:val="24"/>
          <w:szCs w:val="24"/>
        </w:rPr>
      </w:pPr>
    </w:p>
    <w:p w14:paraId="06F4EDE8" w14:textId="7D57939A" w:rsidR="00D12A48" w:rsidRDefault="00D12A48" w:rsidP="008F0082">
      <w:pPr>
        <w:jc w:val="center"/>
        <w:rPr>
          <w:rFonts w:ascii="Times New Roman" w:hAnsi="Times New Roman" w:cs="Times New Roman"/>
          <w:sz w:val="24"/>
          <w:szCs w:val="24"/>
        </w:rPr>
      </w:pPr>
    </w:p>
    <w:p w14:paraId="17348719" w14:textId="77777777" w:rsidR="00D12A48" w:rsidRDefault="00D12A48" w:rsidP="008F0082">
      <w:pPr>
        <w:jc w:val="center"/>
        <w:rPr>
          <w:rFonts w:ascii="Times New Roman" w:hAnsi="Times New Roman" w:cs="Times New Roman"/>
          <w:sz w:val="24"/>
          <w:szCs w:val="24"/>
        </w:rPr>
      </w:pPr>
    </w:p>
    <w:p w14:paraId="09EF12C6" w14:textId="433EB388" w:rsidR="00EB0938" w:rsidRDefault="00EB0938" w:rsidP="008F0082">
      <w:pPr>
        <w:jc w:val="center"/>
        <w:rPr>
          <w:rFonts w:ascii="Times New Roman" w:hAnsi="Times New Roman" w:cs="Times New Roman"/>
          <w:sz w:val="24"/>
          <w:szCs w:val="24"/>
        </w:rPr>
      </w:pPr>
    </w:p>
    <w:p w14:paraId="577A2F23" w14:textId="77777777" w:rsidR="00D12A48" w:rsidRDefault="00D12A48" w:rsidP="008F0082">
      <w:pPr>
        <w:jc w:val="center"/>
        <w:rPr>
          <w:rFonts w:ascii="Times New Roman" w:hAnsi="Times New Roman" w:cs="Times New Roman"/>
          <w:sz w:val="24"/>
          <w:szCs w:val="24"/>
        </w:rPr>
      </w:pPr>
    </w:p>
    <w:p w14:paraId="00C4D37F" w14:textId="77777777" w:rsidR="00EB0938" w:rsidRDefault="00EB0938" w:rsidP="008F0082">
      <w:pPr>
        <w:jc w:val="center"/>
        <w:rPr>
          <w:rFonts w:ascii="Times New Roman" w:hAnsi="Times New Roman" w:cs="Times New Roman"/>
          <w:sz w:val="24"/>
          <w:szCs w:val="24"/>
        </w:rPr>
      </w:pPr>
    </w:p>
    <w:p w14:paraId="1952D6C6" w14:textId="0A211762" w:rsidR="006A4105" w:rsidRDefault="006A4105" w:rsidP="00D12A48">
      <w:pPr>
        <w:spacing w:line="480" w:lineRule="auto"/>
        <w:jc w:val="right"/>
        <w:rPr>
          <w:rFonts w:ascii="Times New Roman" w:hAnsi="Times New Roman" w:cs="Times New Roman"/>
          <w:sz w:val="24"/>
          <w:szCs w:val="24"/>
        </w:rPr>
      </w:pPr>
      <w:r>
        <w:rPr>
          <w:rFonts w:ascii="Times New Roman" w:hAnsi="Times New Roman" w:cs="Times New Roman"/>
          <w:sz w:val="24"/>
          <w:szCs w:val="24"/>
        </w:rPr>
        <w:t>Dr. Lawrence J. Weider, Chair</w:t>
      </w:r>
    </w:p>
    <w:p w14:paraId="328AAF78" w14:textId="216135D2" w:rsidR="00EB0938" w:rsidRDefault="00EB0938" w:rsidP="00D12A48">
      <w:pPr>
        <w:spacing w:line="480" w:lineRule="auto"/>
        <w:jc w:val="right"/>
        <w:rPr>
          <w:rFonts w:ascii="Times New Roman" w:hAnsi="Times New Roman" w:cs="Times New Roman"/>
          <w:sz w:val="24"/>
          <w:szCs w:val="24"/>
        </w:rPr>
      </w:pPr>
      <w:r w:rsidRPr="00EB0938">
        <w:rPr>
          <w:rFonts w:ascii="Times New Roman" w:hAnsi="Times New Roman" w:cs="Times New Roman"/>
          <w:sz w:val="24"/>
          <w:szCs w:val="24"/>
        </w:rPr>
        <w:t>Dr. Ha</w:t>
      </w:r>
      <w:r w:rsidR="00961BEE">
        <w:rPr>
          <w:rFonts w:ascii="Times New Roman" w:hAnsi="Times New Roman" w:cs="Times New Roman"/>
          <w:sz w:val="24"/>
          <w:szCs w:val="24"/>
        </w:rPr>
        <w:t>y</w:t>
      </w:r>
      <w:r w:rsidRPr="00EB0938">
        <w:rPr>
          <w:rFonts w:ascii="Times New Roman" w:hAnsi="Times New Roman" w:cs="Times New Roman"/>
          <w:sz w:val="24"/>
          <w:szCs w:val="24"/>
        </w:rPr>
        <w:t>ley Lanier</w:t>
      </w:r>
    </w:p>
    <w:p w14:paraId="4D3B77A1" w14:textId="66EB5814" w:rsidR="006A4105" w:rsidRDefault="006A4105" w:rsidP="00D12A48">
      <w:pPr>
        <w:spacing w:line="480" w:lineRule="auto"/>
        <w:jc w:val="right"/>
        <w:rPr>
          <w:rFonts w:ascii="Times New Roman" w:hAnsi="Times New Roman" w:cs="Times New Roman"/>
          <w:sz w:val="24"/>
          <w:szCs w:val="24"/>
        </w:rPr>
      </w:pPr>
      <w:r>
        <w:rPr>
          <w:rFonts w:ascii="Times New Roman" w:hAnsi="Times New Roman" w:cs="Times New Roman"/>
          <w:sz w:val="24"/>
          <w:szCs w:val="24"/>
        </w:rPr>
        <w:t>Dr. Robert Na</w:t>
      </w:r>
      <w:r w:rsidR="00337113">
        <w:rPr>
          <w:rFonts w:ascii="Times New Roman" w:hAnsi="Times New Roman" w:cs="Times New Roman"/>
          <w:sz w:val="24"/>
          <w:szCs w:val="24"/>
        </w:rPr>
        <w:t>irn</w:t>
      </w:r>
    </w:p>
    <w:p w14:paraId="3423BDDF" w14:textId="5E54F513" w:rsidR="00EB0938" w:rsidRDefault="00EB0938" w:rsidP="00D12A48">
      <w:pPr>
        <w:spacing w:line="480" w:lineRule="auto"/>
        <w:jc w:val="right"/>
        <w:rPr>
          <w:rFonts w:ascii="Times New Roman" w:hAnsi="Times New Roman" w:cs="Times New Roman"/>
          <w:sz w:val="24"/>
          <w:szCs w:val="24"/>
        </w:rPr>
      </w:pPr>
      <w:r w:rsidRPr="00EB0938">
        <w:rPr>
          <w:rFonts w:ascii="Times New Roman" w:hAnsi="Times New Roman" w:cs="Times New Roman"/>
          <w:sz w:val="24"/>
          <w:szCs w:val="24"/>
        </w:rPr>
        <w:t>Dr. Laura Stein</w:t>
      </w:r>
    </w:p>
    <w:p w14:paraId="5DBC2DD2" w14:textId="6109390A" w:rsidR="006A4105" w:rsidRDefault="006A4105" w:rsidP="00D12A48">
      <w:pPr>
        <w:spacing w:line="480" w:lineRule="auto"/>
        <w:jc w:val="right"/>
        <w:rPr>
          <w:rFonts w:ascii="Times New Roman" w:hAnsi="Times New Roman" w:cs="Times New Roman"/>
          <w:sz w:val="24"/>
          <w:szCs w:val="24"/>
        </w:rPr>
      </w:pPr>
      <w:r>
        <w:rPr>
          <w:rFonts w:ascii="Times New Roman" w:hAnsi="Times New Roman" w:cs="Times New Roman"/>
          <w:sz w:val="24"/>
          <w:szCs w:val="24"/>
        </w:rPr>
        <w:t>Dr. Caryn Vaugh</w:t>
      </w:r>
      <w:r w:rsidR="00EB0938">
        <w:rPr>
          <w:rFonts w:ascii="Times New Roman" w:hAnsi="Times New Roman" w:cs="Times New Roman"/>
          <w:sz w:val="24"/>
          <w:szCs w:val="24"/>
        </w:rPr>
        <w:t>n</w:t>
      </w:r>
    </w:p>
    <w:p w14:paraId="2A88DD8C" w14:textId="5FA7FD67" w:rsidR="006A4105" w:rsidRDefault="006A4105" w:rsidP="008F0082">
      <w:pPr>
        <w:jc w:val="center"/>
        <w:rPr>
          <w:rFonts w:ascii="Times New Roman" w:hAnsi="Times New Roman" w:cs="Times New Roman"/>
          <w:sz w:val="24"/>
          <w:szCs w:val="24"/>
        </w:rPr>
      </w:pPr>
    </w:p>
    <w:p w14:paraId="4AB14570" w14:textId="0DC1BE8B" w:rsidR="006A4105" w:rsidRDefault="006A4105" w:rsidP="006A4105">
      <w:pPr>
        <w:jc w:val="center"/>
        <w:rPr>
          <w:rFonts w:ascii="Times New Roman" w:hAnsi="Times New Roman" w:cs="Times New Roman"/>
          <w:sz w:val="24"/>
          <w:szCs w:val="24"/>
        </w:rPr>
      </w:pPr>
    </w:p>
    <w:p w14:paraId="5CB7A0B4" w14:textId="0B9CFACD" w:rsidR="006A4105" w:rsidRDefault="006A4105" w:rsidP="006A4105">
      <w:pPr>
        <w:jc w:val="center"/>
        <w:rPr>
          <w:rFonts w:ascii="Times New Roman" w:hAnsi="Times New Roman" w:cs="Times New Roman"/>
          <w:sz w:val="24"/>
          <w:szCs w:val="24"/>
        </w:rPr>
      </w:pPr>
    </w:p>
    <w:p w14:paraId="204E430C" w14:textId="756EDC27" w:rsidR="006A4105" w:rsidRDefault="006A4105" w:rsidP="006A4105">
      <w:pPr>
        <w:jc w:val="center"/>
        <w:rPr>
          <w:rFonts w:ascii="Times New Roman" w:hAnsi="Times New Roman" w:cs="Times New Roman"/>
          <w:sz w:val="24"/>
          <w:szCs w:val="24"/>
        </w:rPr>
      </w:pPr>
    </w:p>
    <w:p w14:paraId="3900B83C" w14:textId="6BA89735" w:rsidR="006A4105" w:rsidRDefault="006A4105" w:rsidP="006A4105">
      <w:pPr>
        <w:jc w:val="center"/>
        <w:rPr>
          <w:rFonts w:ascii="Times New Roman" w:hAnsi="Times New Roman" w:cs="Times New Roman"/>
          <w:sz w:val="24"/>
          <w:szCs w:val="24"/>
        </w:rPr>
      </w:pPr>
    </w:p>
    <w:p w14:paraId="3DBDBC0C" w14:textId="32E3F280" w:rsidR="006A4105" w:rsidRDefault="006A4105" w:rsidP="006A4105">
      <w:pPr>
        <w:jc w:val="center"/>
        <w:rPr>
          <w:rFonts w:ascii="Times New Roman" w:hAnsi="Times New Roman" w:cs="Times New Roman"/>
          <w:sz w:val="24"/>
          <w:szCs w:val="24"/>
        </w:rPr>
      </w:pPr>
    </w:p>
    <w:p w14:paraId="6DDADFAE" w14:textId="00C4057C" w:rsidR="006A4105" w:rsidRDefault="006A4105" w:rsidP="006A4105">
      <w:pPr>
        <w:jc w:val="center"/>
        <w:rPr>
          <w:rFonts w:ascii="Times New Roman" w:hAnsi="Times New Roman" w:cs="Times New Roman"/>
          <w:sz w:val="24"/>
          <w:szCs w:val="24"/>
        </w:rPr>
      </w:pPr>
    </w:p>
    <w:p w14:paraId="7B130F7B" w14:textId="2545CCAF" w:rsidR="006A4105" w:rsidRDefault="006A4105" w:rsidP="006A4105">
      <w:pPr>
        <w:jc w:val="center"/>
        <w:rPr>
          <w:rFonts w:ascii="Times New Roman" w:hAnsi="Times New Roman" w:cs="Times New Roman"/>
          <w:sz w:val="24"/>
          <w:szCs w:val="24"/>
        </w:rPr>
      </w:pPr>
    </w:p>
    <w:p w14:paraId="01CA2347" w14:textId="42B81C21" w:rsidR="006A4105" w:rsidRDefault="006A4105" w:rsidP="006A4105">
      <w:pPr>
        <w:jc w:val="center"/>
        <w:rPr>
          <w:rFonts w:ascii="Times New Roman" w:hAnsi="Times New Roman" w:cs="Times New Roman"/>
          <w:sz w:val="24"/>
          <w:szCs w:val="24"/>
        </w:rPr>
      </w:pPr>
    </w:p>
    <w:p w14:paraId="2C1C06D1" w14:textId="4A3E4ED3" w:rsidR="006A4105" w:rsidRDefault="006A4105" w:rsidP="006A4105">
      <w:pPr>
        <w:jc w:val="center"/>
        <w:rPr>
          <w:rFonts w:ascii="Times New Roman" w:hAnsi="Times New Roman" w:cs="Times New Roman"/>
          <w:sz w:val="24"/>
          <w:szCs w:val="24"/>
        </w:rPr>
      </w:pPr>
    </w:p>
    <w:p w14:paraId="5362D8C1" w14:textId="122257BB" w:rsidR="006A4105" w:rsidRDefault="006A4105" w:rsidP="006A4105">
      <w:pPr>
        <w:jc w:val="center"/>
        <w:rPr>
          <w:rFonts w:ascii="Times New Roman" w:hAnsi="Times New Roman" w:cs="Times New Roman"/>
          <w:sz w:val="24"/>
          <w:szCs w:val="24"/>
        </w:rPr>
      </w:pPr>
    </w:p>
    <w:p w14:paraId="4A8C5ED3" w14:textId="061E9FD8" w:rsidR="006A4105" w:rsidRDefault="006A4105" w:rsidP="006A4105">
      <w:pPr>
        <w:jc w:val="center"/>
        <w:rPr>
          <w:rFonts w:ascii="Times New Roman" w:hAnsi="Times New Roman" w:cs="Times New Roman"/>
          <w:sz w:val="24"/>
          <w:szCs w:val="24"/>
        </w:rPr>
      </w:pPr>
    </w:p>
    <w:p w14:paraId="5FE6D71E" w14:textId="35D775D6" w:rsidR="006A4105" w:rsidRDefault="006A4105" w:rsidP="006A4105">
      <w:pPr>
        <w:jc w:val="center"/>
        <w:rPr>
          <w:rFonts w:ascii="Times New Roman" w:hAnsi="Times New Roman" w:cs="Times New Roman"/>
          <w:sz w:val="24"/>
          <w:szCs w:val="24"/>
        </w:rPr>
      </w:pPr>
    </w:p>
    <w:p w14:paraId="25D067B6" w14:textId="47278A35" w:rsidR="006A4105" w:rsidRDefault="006A4105" w:rsidP="006A4105">
      <w:pPr>
        <w:jc w:val="center"/>
        <w:rPr>
          <w:rFonts w:ascii="Times New Roman" w:hAnsi="Times New Roman" w:cs="Times New Roman"/>
          <w:sz w:val="24"/>
          <w:szCs w:val="24"/>
        </w:rPr>
      </w:pPr>
    </w:p>
    <w:p w14:paraId="52EDEBF8" w14:textId="0C826555" w:rsidR="006A4105" w:rsidRDefault="006A4105" w:rsidP="006A4105">
      <w:pPr>
        <w:jc w:val="center"/>
        <w:rPr>
          <w:rFonts w:ascii="Times New Roman" w:hAnsi="Times New Roman" w:cs="Times New Roman"/>
          <w:sz w:val="24"/>
          <w:szCs w:val="24"/>
        </w:rPr>
      </w:pPr>
    </w:p>
    <w:p w14:paraId="0176385D" w14:textId="2F5CEA07" w:rsidR="006A4105" w:rsidRDefault="006A4105" w:rsidP="006A4105">
      <w:pPr>
        <w:jc w:val="center"/>
        <w:rPr>
          <w:rFonts w:ascii="Times New Roman" w:hAnsi="Times New Roman" w:cs="Times New Roman"/>
          <w:sz w:val="24"/>
          <w:szCs w:val="24"/>
        </w:rPr>
      </w:pPr>
    </w:p>
    <w:p w14:paraId="1A8AE8C3" w14:textId="5E103420" w:rsidR="006A4105" w:rsidRDefault="006A4105" w:rsidP="006A4105">
      <w:pPr>
        <w:jc w:val="center"/>
        <w:rPr>
          <w:rFonts w:ascii="Times New Roman" w:hAnsi="Times New Roman" w:cs="Times New Roman"/>
          <w:sz w:val="24"/>
          <w:szCs w:val="24"/>
        </w:rPr>
      </w:pPr>
    </w:p>
    <w:p w14:paraId="2EACA96C" w14:textId="30EC64B5" w:rsidR="006A4105" w:rsidRDefault="006A4105" w:rsidP="006A4105">
      <w:pPr>
        <w:jc w:val="center"/>
        <w:rPr>
          <w:rFonts w:ascii="Times New Roman" w:hAnsi="Times New Roman" w:cs="Times New Roman"/>
          <w:sz w:val="24"/>
          <w:szCs w:val="24"/>
        </w:rPr>
      </w:pPr>
    </w:p>
    <w:p w14:paraId="77E050BD" w14:textId="73864C75" w:rsidR="006A4105" w:rsidRDefault="006A4105" w:rsidP="006A4105">
      <w:pPr>
        <w:jc w:val="center"/>
        <w:rPr>
          <w:rFonts w:ascii="Times New Roman" w:hAnsi="Times New Roman" w:cs="Times New Roman"/>
          <w:sz w:val="24"/>
          <w:szCs w:val="24"/>
        </w:rPr>
      </w:pPr>
    </w:p>
    <w:p w14:paraId="023010A1" w14:textId="08FAA82A" w:rsidR="006A4105" w:rsidRDefault="006A4105" w:rsidP="006A4105">
      <w:pPr>
        <w:jc w:val="center"/>
        <w:rPr>
          <w:rFonts w:ascii="Times New Roman" w:hAnsi="Times New Roman" w:cs="Times New Roman"/>
          <w:sz w:val="24"/>
          <w:szCs w:val="24"/>
        </w:rPr>
      </w:pPr>
    </w:p>
    <w:p w14:paraId="1312052A" w14:textId="355CE5AE" w:rsidR="006A4105" w:rsidRDefault="006A4105" w:rsidP="006A4105">
      <w:pPr>
        <w:jc w:val="center"/>
        <w:rPr>
          <w:rFonts w:ascii="Times New Roman" w:hAnsi="Times New Roman" w:cs="Times New Roman"/>
          <w:sz w:val="24"/>
          <w:szCs w:val="24"/>
        </w:rPr>
      </w:pPr>
    </w:p>
    <w:p w14:paraId="47E40F1A" w14:textId="13243433" w:rsidR="006A4105" w:rsidRDefault="006A4105" w:rsidP="006A4105">
      <w:pPr>
        <w:jc w:val="center"/>
        <w:rPr>
          <w:rFonts w:ascii="Times New Roman" w:hAnsi="Times New Roman" w:cs="Times New Roman"/>
          <w:sz w:val="24"/>
          <w:szCs w:val="24"/>
        </w:rPr>
      </w:pPr>
    </w:p>
    <w:p w14:paraId="6EF338EE" w14:textId="03DBE957" w:rsidR="006A4105" w:rsidRDefault="006A4105" w:rsidP="006A4105">
      <w:pPr>
        <w:jc w:val="center"/>
        <w:rPr>
          <w:rFonts w:ascii="Times New Roman" w:hAnsi="Times New Roman" w:cs="Times New Roman"/>
          <w:sz w:val="24"/>
          <w:szCs w:val="24"/>
        </w:rPr>
      </w:pPr>
    </w:p>
    <w:p w14:paraId="26937138" w14:textId="016B372E" w:rsidR="006A4105" w:rsidRDefault="006A4105" w:rsidP="006A4105">
      <w:pPr>
        <w:jc w:val="center"/>
        <w:rPr>
          <w:rFonts w:ascii="Times New Roman" w:hAnsi="Times New Roman" w:cs="Times New Roman"/>
          <w:sz w:val="24"/>
          <w:szCs w:val="24"/>
        </w:rPr>
      </w:pPr>
    </w:p>
    <w:p w14:paraId="6B27D0E1" w14:textId="718535B1" w:rsidR="006A4105" w:rsidRDefault="006A4105" w:rsidP="008F0082">
      <w:pPr>
        <w:jc w:val="center"/>
        <w:rPr>
          <w:rFonts w:ascii="Times New Roman" w:hAnsi="Times New Roman" w:cs="Times New Roman"/>
          <w:sz w:val="24"/>
          <w:szCs w:val="24"/>
        </w:rPr>
      </w:pPr>
    </w:p>
    <w:p w14:paraId="3BB2897F" w14:textId="77777777" w:rsidR="008F73E2" w:rsidRDefault="008F73E2" w:rsidP="008F73E2">
      <w:pPr>
        <w:spacing w:after="0"/>
        <w:jc w:val="center"/>
        <w:rPr>
          <w:rFonts w:ascii="Times New Roman" w:hAnsi="Times New Roman" w:cs="Times New Roman"/>
          <w:sz w:val="24"/>
          <w:szCs w:val="24"/>
        </w:rPr>
      </w:pPr>
    </w:p>
    <w:p w14:paraId="16461915" w14:textId="77777777" w:rsidR="008F73E2" w:rsidRDefault="008F73E2" w:rsidP="008F73E2">
      <w:pPr>
        <w:spacing w:after="0"/>
        <w:jc w:val="center"/>
        <w:rPr>
          <w:rFonts w:ascii="Times New Roman" w:hAnsi="Times New Roman" w:cs="Times New Roman"/>
          <w:sz w:val="24"/>
          <w:szCs w:val="24"/>
        </w:rPr>
      </w:pPr>
    </w:p>
    <w:p w14:paraId="3D1A1B62" w14:textId="1F664A31" w:rsidR="006A4105" w:rsidRDefault="006A4105" w:rsidP="001E2C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Copyright by </w:t>
      </w:r>
      <w:r w:rsidR="001E4F5C">
        <w:rPr>
          <w:rFonts w:ascii="Times New Roman" w:hAnsi="Times New Roman" w:cs="Times New Roman"/>
          <w:sz w:val="24"/>
          <w:szCs w:val="24"/>
        </w:rPr>
        <w:t xml:space="preserve">MATTHEW JOSEPH WERSEBE </w:t>
      </w:r>
      <w:r>
        <w:rPr>
          <w:rFonts w:ascii="Times New Roman" w:hAnsi="Times New Roman" w:cs="Times New Roman"/>
          <w:sz w:val="24"/>
          <w:szCs w:val="24"/>
        </w:rPr>
        <w:t>202</w:t>
      </w:r>
      <w:r w:rsidR="00860861">
        <w:rPr>
          <w:rFonts w:ascii="Times New Roman" w:hAnsi="Times New Roman" w:cs="Times New Roman"/>
          <w:sz w:val="24"/>
          <w:szCs w:val="24"/>
        </w:rPr>
        <w:t>3</w:t>
      </w:r>
    </w:p>
    <w:p w14:paraId="632E4937" w14:textId="77777777" w:rsidR="001F4761" w:rsidRDefault="006A4105" w:rsidP="00A436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r w:rsidR="008F0082">
        <w:rPr>
          <w:rFonts w:ascii="Times New Roman" w:hAnsi="Times New Roman" w:cs="Times New Roman"/>
          <w:sz w:val="24"/>
          <w:szCs w:val="24"/>
        </w:rPr>
        <w:t>.</w:t>
      </w:r>
    </w:p>
    <w:p w14:paraId="71B4AD78" w14:textId="01BBC0B7" w:rsidR="00A43637" w:rsidRDefault="00A43637" w:rsidP="001F4761">
      <w:pPr>
        <w:spacing w:after="0" w:line="240" w:lineRule="auto"/>
        <w:rPr>
          <w:rFonts w:ascii="Times New Roman" w:hAnsi="Times New Roman" w:cs="Times New Roman"/>
          <w:b/>
          <w:bCs/>
          <w:sz w:val="24"/>
          <w:szCs w:val="24"/>
        </w:rPr>
      </w:pPr>
    </w:p>
    <w:p w14:paraId="316C8FF1" w14:textId="77777777" w:rsidR="001F4761" w:rsidRDefault="001F4761" w:rsidP="00A43637">
      <w:pPr>
        <w:spacing w:after="0" w:line="240" w:lineRule="auto"/>
        <w:rPr>
          <w:rFonts w:ascii="Times New Roman" w:hAnsi="Times New Roman" w:cs="Times New Roman"/>
          <w:b/>
          <w:bCs/>
          <w:sz w:val="24"/>
          <w:szCs w:val="24"/>
        </w:rPr>
        <w:sectPr w:rsidR="001F4761" w:rsidSect="001F4761">
          <w:headerReference w:type="even" r:id="rId11"/>
          <w:headerReference w:type="default" r:id="rId12"/>
          <w:footerReference w:type="even" r:id="rId13"/>
          <w:footerReference w:type="default" r:id="rId14"/>
          <w:headerReference w:type="first" r:id="rId15"/>
          <w:footerReference w:type="first" r:id="rId16"/>
          <w:type w:val="oddPage"/>
          <w:pgSz w:w="12240" w:h="15840"/>
          <w:pgMar w:top="1440" w:right="1440" w:bottom="1440" w:left="1440" w:header="720" w:footer="720" w:gutter="0"/>
          <w:pgNumType w:fmt="lowerRoman" w:start="1"/>
          <w:cols w:space="720"/>
          <w:titlePg/>
          <w:docGrid w:linePitch="360"/>
        </w:sectPr>
      </w:pPr>
    </w:p>
    <w:p w14:paraId="55D5CFAE" w14:textId="33B8238A" w:rsidR="005C3395" w:rsidRDefault="008F0082" w:rsidP="001F476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w:t>
      </w:r>
      <w:r w:rsidR="005C3395">
        <w:rPr>
          <w:rFonts w:ascii="Times New Roman" w:hAnsi="Times New Roman" w:cs="Times New Roman"/>
          <w:b/>
          <w:bCs/>
          <w:sz w:val="24"/>
          <w:szCs w:val="24"/>
        </w:rPr>
        <w:t>CKNOWLEDGEMENTS</w:t>
      </w:r>
    </w:p>
    <w:p w14:paraId="650840E2" w14:textId="77777777" w:rsidR="00976828" w:rsidRDefault="00976828" w:rsidP="00CD25F8">
      <w:pPr>
        <w:jc w:val="center"/>
        <w:rPr>
          <w:rFonts w:ascii="Times New Roman" w:hAnsi="Times New Roman" w:cs="Times New Roman"/>
          <w:b/>
          <w:bCs/>
          <w:sz w:val="24"/>
          <w:szCs w:val="24"/>
        </w:rPr>
      </w:pPr>
    </w:p>
    <w:p w14:paraId="049D397F" w14:textId="7CEA659C" w:rsidR="00CD25F8" w:rsidRDefault="00CD25F8" w:rsidP="00976828">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During the last five years I have been incredibly lucky to meet, befriend and work with so many amazing people. </w:t>
      </w:r>
      <w:r w:rsidR="002A3520">
        <w:rPr>
          <w:rFonts w:ascii="Times New Roman" w:hAnsi="Times New Roman" w:cs="Times New Roman"/>
          <w:sz w:val="24"/>
          <w:szCs w:val="24"/>
        </w:rPr>
        <w:t>First and foremost, I would like to extend my gratitude to my advisor Dr. La</w:t>
      </w:r>
      <w:r w:rsidR="00236E46">
        <w:rPr>
          <w:rFonts w:ascii="Times New Roman" w:hAnsi="Times New Roman" w:cs="Times New Roman"/>
          <w:sz w:val="24"/>
          <w:szCs w:val="24"/>
        </w:rPr>
        <w:t>rry</w:t>
      </w:r>
      <w:r w:rsidR="002A3520">
        <w:rPr>
          <w:rFonts w:ascii="Times New Roman" w:hAnsi="Times New Roman" w:cs="Times New Roman"/>
          <w:sz w:val="24"/>
          <w:szCs w:val="24"/>
        </w:rPr>
        <w:t xml:space="preserve"> Weider </w:t>
      </w:r>
      <w:r w:rsidR="00A514AF">
        <w:rPr>
          <w:rFonts w:ascii="Times New Roman" w:hAnsi="Times New Roman" w:cs="Times New Roman"/>
          <w:sz w:val="24"/>
          <w:szCs w:val="24"/>
        </w:rPr>
        <w:t xml:space="preserve">without </w:t>
      </w:r>
      <w:r w:rsidR="002A3520">
        <w:rPr>
          <w:rFonts w:ascii="Times New Roman" w:hAnsi="Times New Roman" w:cs="Times New Roman"/>
          <w:sz w:val="24"/>
          <w:szCs w:val="24"/>
        </w:rPr>
        <w:t xml:space="preserve">whose invaluable advice and </w:t>
      </w:r>
      <w:r w:rsidR="00A514AF">
        <w:rPr>
          <w:rFonts w:ascii="Times New Roman" w:hAnsi="Times New Roman" w:cs="Times New Roman"/>
          <w:sz w:val="24"/>
          <w:szCs w:val="24"/>
        </w:rPr>
        <w:t xml:space="preserve">mentorship this work would not have been possible. I am fortunate to </w:t>
      </w:r>
      <w:r w:rsidR="006250F8">
        <w:rPr>
          <w:rFonts w:ascii="Times New Roman" w:hAnsi="Times New Roman" w:cs="Times New Roman"/>
          <w:sz w:val="24"/>
          <w:szCs w:val="24"/>
        </w:rPr>
        <w:t xml:space="preserve">not only count him as a colleague and mentor but as a friend. </w:t>
      </w:r>
      <w:r w:rsidR="00877A89">
        <w:rPr>
          <w:rFonts w:ascii="Times New Roman" w:hAnsi="Times New Roman" w:cs="Times New Roman"/>
          <w:sz w:val="24"/>
          <w:szCs w:val="24"/>
        </w:rPr>
        <w:t xml:space="preserve">Next, I would like to </w:t>
      </w:r>
      <w:r w:rsidR="00931258">
        <w:rPr>
          <w:rFonts w:ascii="Times New Roman" w:hAnsi="Times New Roman" w:cs="Times New Roman"/>
          <w:sz w:val="24"/>
          <w:szCs w:val="24"/>
        </w:rPr>
        <w:t>acknowledge</w:t>
      </w:r>
      <w:r w:rsidR="00877A89">
        <w:rPr>
          <w:rFonts w:ascii="Times New Roman" w:hAnsi="Times New Roman" w:cs="Times New Roman"/>
          <w:sz w:val="24"/>
          <w:szCs w:val="24"/>
        </w:rPr>
        <w:t xml:space="preserve"> </w:t>
      </w:r>
      <w:r w:rsidR="00931258">
        <w:rPr>
          <w:rFonts w:ascii="Times New Roman" w:hAnsi="Times New Roman" w:cs="Times New Roman"/>
          <w:sz w:val="24"/>
          <w:szCs w:val="24"/>
        </w:rPr>
        <w:t>the many friends I have made</w:t>
      </w:r>
      <w:r w:rsidR="00236E46">
        <w:rPr>
          <w:rFonts w:ascii="Times New Roman" w:hAnsi="Times New Roman" w:cs="Times New Roman"/>
          <w:sz w:val="24"/>
          <w:szCs w:val="24"/>
        </w:rPr>
        <w:t>,</w:t>
      </w:r>
      <w:r w:rsidR="00931258">
        <w:rPr>
          <w:rFonts w:ascii="Times New Roman" w:hAnsi="Times New Roman" w:cs="Times New Roman"/>
          <w:sz w:val="24"/>
          <w:szCs w:val="24"/>
        </w:rPr>
        <w:t xml:space="preserve"> who have made this entire experience worthwhile. These include Anitzane San</w:t>
      </w:r>
      <w:r w:rsidR="002C50DB">
        <w:rPr>
          <w:rFonts w:ascii="Times New Roman" w:hAnsi="Times New Roman" w:cs="Times New Roman"/>
          <w:sz w:val="24"/>
          <w:szCs w:val="24"/>
        </w:rPr>
        <w:t>ta</w:t>
      </w:r>
      <w:r w:rsidR="00630C3D">
        <w:rPr>
          <w:rFonts w:ascii="Times New Roman" w:hAnsi="Times New Roman" w:cs="Times New Roman"/>
          <w:sz w:val="24"/>
          <w:szCs w:val="24"/>
        </w:rPr>
        <w:t>quiteria</w:t>
      </w:r>
      <w:r w:rsidR="00931258">
        <w:rPr>
          <w:rFonts w:ascii="Times New Roman" w:hAnsi="Times New Roman" w:cs="Times New Roman"/>
          <w:sz w:val="24"/>
          <w:szCs w:val="24"/>
        </w:rPr>
        <w:t>, Alex Franzen, Carmen Padr</w:t>
      </w:r>
      <w:r w:rsidR="00F06840">
        <w:rPr>
          <w:rFonts w:ascii="Times New Roman" w:hAnsi="Times New Roman" w:cs="Times New Roman"/>
          <w:sz w:val="24"/>
          <w:szCs w:val="24"/>
        </w:rPr>
        <w:t>aza</w:t>
      </w:r>
      <w:r w:rsidR="00931258">
        <w:rPr>
          <w:rFonts w:ascii="Times New Roman" w:hAnsi="Times New Roman" w:cs="Times New Roman"/>
          <w:sz w:val="24"/>
          <w:szCs w:val="24"/>
        </w:rPr>
        <w:t xml:space="preserve">, Addison </w:t>
      </w:r>
      <w:r w:rsidR="006B3F72">
        <w:rPr>
          <w:rFonts w:ascii="Times New Roman" w:hAnsi="Times New Roman" w:cs="Times New Roman"/>
          <w:sz w:val="24"/>
          <w:szCs w:val="24"/>
        </w:rPr>
        <w:t>Allen,</w:t>
      </w:r>
      <w:r w:rsidR="00931258">
        <w:rPr>
          <w:rFonts w:ascii="Times New Roman" w:hAnsi="Times New Roman" w:cs="Times New Roman"/>
          <w:sz w:val="24"/>
          <w:szCs w:val="24"/>
        </w:rPr>
        <w:t xml:space="preserve"> </w:t>
      </w:r>
      <w:r w:rsidR="00E535A7">
        <w:rPr>
          <w:rFonts w:ascii="Times New Roman" w:hAnsi="Times New Roman" w:cs="Times New Roman"/>
          <w:sz w:val="24"/>
          <w:szCs w:val="24"/>
        </w:rPr>
        <w:t>Jared Jager and Nick Buss</w:t>
      </w:r>
      <w:r w:rsidR="00A45707">
        <w:rPr>
          <w:rFonts w:ascii="Times New Roman" w:hAnsi="Times New Roman" w:cs="Times New Roman"/>
          <w:sz w:val="24"/>
          <w:szCs w:val="24"/>
        </w:rPr>
        <w:t xml:space="preserve"> and others</w:t>
      </w:r>
      <w:r w:rsidR="00931258">
        <w:rPr>
          <w:rFonts w:ascii="Times New Roman" w:hAnsi="Times New Roman" w:cs="Times New Roman"/>
          <w:sz w:val="24"/>
          <w:szCs w:val="24"/>
        </w:rPr>
        <w:t xml:space="preserve">. </w:t>
      </w:r>
      <w:r w:rsidR="00BF33D9">
        <w:rPr>
          <w:rFonts w:ascii="Times New Roman" w:hAnsi="Times New Roman" w:cs="Times New Roman"/>
          <w:sz w:val="24"/>
          <w:szCs w:val="24"/>
        </w:rPr>
        <w:t xml:space="preserve">You all always had great advice and insight. </w:t>
      </w:r>
      <w:r w:rsidR="00B07DDA">
        <w:rPr>
          <w:rFonts w:ascii="Times New Roman" w:hAnsi="Times New Roman" w:cs="Times New Roman"/>
          <w:sz w:val="24"/>
          <w:szCs w:val="24"/>
        </w:rPr>
        <w:t xml:space="preserve">I would like to extend my sincerest gratitude </w:t>
      </w:r>
      <w:r w:rsidR="00236E46">
        <w:rPr>
          <w:rFonts w:ascii="Times New Roman" w:hAnsi="Times New Roman" w:cs="Times New Roman"/>
          <w:sz w:val="24"/>
          <w:szCs w:val="24"/>
        </w:rPr>
        <w:t xml:space="preserve">to </w:t>
      </w:r>
      <w:r w:rsidR="00B07DDA">
        <w:rPr>
          <w:rFonts w:ascii="Times New Roman" w:hAnsi="Times New Roman" w:cs="Times New Roman"/>
          <w:sz w:val="24"/>
          <w:szCs w:val="24"/>
        </w:rPr>
        <w:t>my coauthors and cowork</w:t>
      </w:r>
      <w:r w:rsidR="00A45707">
        <w:rPr>
          <w:rFonts w:ascii="Times New Roman" w:hAnsi="Times New Roman" w:cs="Times New Roman"/>
          <w:sz w:val="24"/>
          <w:szCs w:val="24"/>
        </w:rPr>
        <w:t>er</w:t>
      </w:r>
      <w:r w:rsidR="00B07DDA">
        <w:rPr>
          <w:rFonts w:ascii="Times New Roman" w:hAnsi="Times New Roman" w:cs="Times New Roman"/>
          <w:sz w:val="24"/>
          <w:szCs w:val="24"/>
        </w:rPr>
        <w:t xml:space="preserve">s over the last few years </w:t>
      </w:r>
      <w:r w:rsidR="0078213E">
        <w:rPr>
          <w:rFonts w:ascii="Times New Roman" w:hAnsi="Times New Roman" w:cs="Times New Roman"/>
          <w:sz w:val="24"/>
          <w:szCs w:val="24"/>
        </w:rPr>
        <w:t xml:space="preserve">to whom I am grateful for their time, </w:t>
      </w:r>
      <w:r w:rsidR="00E535A7">
        <w:rPr>
          <w:rFonts w:ascii="Times New Roman" w:hAnsi="Times New Roman" w:cs="Times New Roman"/>
          <w:sz w:val="24"/>
          <w:szCs w:val="24"/>
        </w:rPr>
        <w:t>expertise,</w:t>
      </w:r>
      <w:r w:rsidR="0078213E">
        <w:rPr>
          <w:rFonts w:ascii="Times New Roman" w:hAnsi="Times New Roman" w:cs="Times New Roman"/>
          <w:sz w:val="24"/>
          <w:szCs w:val="24"/>
        </w:rPr>
        <w:t xml:space="preserve"> and patien</w:t>
      </w:r>
      <w:r w:rsidR="00236E46">
        <w:rPr>
          <w:rFonts w:ascii="Times New Roman" w:hAnsi="Times New Roman" w:cs="Times New Roman"/>
          <w:sz w:val="24"/>
          <w:szCs w:val="24"/>
        </w:rPr>
        <w:t>ce</w:t>
      </w:r>
      <w:r w:rsidR="0078213E">
        <w:rPr>
          <w:rFonts w:ascii="Times New Roman" w:hAnsi="Times New Roman" w:cs="Times New Roman"/>
          <w:sz w:val="24"/>
          <w:szCs w:val="24"/>
        </w:rPr>
        <w:t>; Mark Edlund, Puni Jeyasingh, Ryan Sherman</w:t>
      </w:r>
      <w:r w:rsidR="00DE1DBA">
        <w:rPr>
          <w:rFonts w:ascii="Times New Roman" w:hAnsi="Times New Roman" w:cs="Times New Roman"/>
          <w:sz w:val="24"/>
          <w:szCs w:val="24"/>
        </w:rPr>
        <w:t>,</w:t>
      </w:r>
      <w:r w:rsidR="0078213E">
        <w:rPr>
          <w:rFonts w:ascii="Times New Roman" w:hAnsi="Times New Roman" w:cs="Times New Roman"/>
          <w:sz w:val="24"/>
          <w:szCs w:val="24"/>
        </w:rPr>
        <w:t xml:space="preserve"> and Emily K</w:t>
      </w:r>
      <w:r w:rsidR="00236E46">
        <w:rPr>
          <w:rFonts w:ascii="Times New Roman" w:hAnsi="Times New Roman" w:cs="Times New Roman"/>
          <w:sz w:val="24"/>
          <w:szCs w:val="24"/>
        </w:rPr>
        <w:t>iehnau</w:t>
      </w:r>
      <w:r w:rsidR="0078213E">
        <w:rPr>
          <w:rFonts w:ascii="Times New Roman" w:hAnsi="Times New Roman" w:cs="Times New Roman"/>
          <w:sz w:val="24"/>
          <w:szCs w:val="24"/>
        </w:rPr>
        <w:t xml:space="preserve">. </w:t>
      </w:r>
      <w:r w:rsidR="008F08A6">
        <w:rPr>
          <w:rFonts w:ascii="Times New Roman" w:hAnsi="Times New Roman" w:cs="Times New Roman"/>
          <w:sz w:val="24"/>
          <w:szCs w:val="24"/>
        </w:rPr>
        <w:t>Finally</w:t>
      </w:r>
      <w:r w:rsidR="00C8463A">
        <w:rPr>
          <w:rFonts w:ascii="Times New Roman" w:hAnsi="Times New Roman" w:cs="Times New Roman"/>
          <w:sz w:val="24"/>
          <w:szCs w:val="24"/>
        </w:rPr>
        <w:t>,</w:t>
      </w:r>
      <w:r w:rsidR="008F08A6">
        <w:rPr>
          <w:rFonts w:ascii="Times New Roman" w:hAnsi="Times New Roman" w:cs="Times New Roman"/>
          <w:sz w:val="24"/>
          <w:szCs w:val="24"/>
        </w:rPr>
        <w:t xml:space="preserve"> I want to thank my family, including my Parent</w:t>
      </w:r>
      <w:r w:rsidR="00163723">
        <w:rPr>
          <w:rFonts w:ascii="Times New Roman" w:hAnsi="Times New Roman" w:cs="Times New Roman"/>
          <w:sz w:val="24"/>
          <w:szCs w:val="24"/>
        </w:rPr>
        <w:t>s</w:t>
      </w:r>
      <w:r w:rsidR="008F08A6">
        <w:rPr>
          <w:rFonts w:ascii="Times New Roman" w:hAnsi="Times New Roman" w:cs="Times New Roman"/>
          <w:sz w:val="24"/>
          <w:szCs w:val="24"/>
        </w:rPr>
        <w:t xml:space="preserve"> Tim and Theresa who somehow found no issue with </w:t>
      </w:r>
      <w:r w:rsidR="00BF33D9">
        <w:rPr>
          <w:rFonts w:ascii="Times New Roman" w:hAnsi="Times New Roman" w:cs="Times New Roman"/>
          <w:sz w:val="24"/>
          <w:szCs w:val="24"/>
        </w:rPr>
        <w:t>their son moving halfway across the country to purs</w:t>
      </w:r>
      <w:r w:rsidR="00C8463A">
        <w:rPr>
          <w:rFonts w:ascii="Times New Roman" w:hAnsi="Times New Roman" w:cs="Times New Roman"/>
          <w:sz w:val="24"/>
          <w:szCs w:val="24"/>
        </w:rPr>
        <w:t>ue</w:t>
      </w:r>
      <w:r w:rsidR="00BF33D9">
        <w:rPr>
          <w:rFonts w:ascii="Times New Roman" w:hAnsi="Times New Roman" w:cs="Times New Roman"/>
          <w:sz w:val="24"/>
          <w:szCs w:val="24"/>
        </w:rPr>
        <w:t xml:space="preserve"> some vague plans of a PhD. Thank you for always believing in me and supporting me. </w:t>
      </w:r>
      <w:r w:rsidR="00C8463A">
        <w:rPr>
          <w:rFonts w:ascii="Times New Roman" w:hAnsi="Times New Roman" w:cs="Times New Roman"/>
          <w:sz w:val="24"/>
          <w:szCs w:val="24"/>
        </w:rPr>
        <w:t>Also, I would like to thank my grandmother</w:t>
      </w:r>
      <w:r w:rsidR="008F4C7B">
        <w:rPr>
          <w:rFonts w:ascii="Times New Roman" w:hAnsi="Times New Roman" w:cs="Times New Roman"/>
          <w:sz w:val="24"/>
          <w:szCs w:val="24"/>
        </w:rPr>
        <w:t xml:space="preserve">, Shirley, who always reminded me of how proud she was of me studying the “fish and bugs and other things I’ll never understand.” </w:t>
      </w:r>
    </w:p>
    <w:p w14:paraId="1552A71F" w14:textId="517893F4" w:rsidR="00976828" w:rsidRPr="00CD25F8" w:rsidRDefault="00976828" w:rsidP="0097682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am indebted to several folks </w:t>
      </w:r>
      <w:r w:rsidR="00CE7F77">
        <w:rPr>
          <w:rFonts w:ascii="Times New Roman" w:hAnsi="Times New Roman" w:cs="Times New Roman"/>
          <w:sz w:val="24"/>
          <w:szCs w:val="24"/>
        </w:rPr>
        <w:t xml:space="preserve">who also helped in my success. </w:t>
      </w:r>
      <w:r w:rsidR="00C1739E">
        <w:rPr>
          <w:rFonts w:ascii="Times New Roman" w:hAnsi="Times New Roman" w:cs="Times New Roman"/>
          <w:sz w:val="24"/>
          <w:szCs w:val="24"/>
        </w:rPr>
        <w:t>The</w:t>
      </w:r>
      <w:r w:rsidR="00235804">
        <w:rPr>
          <w:rFonts w:ascii="Times New Roman" w:hAnsi="Times New Roman" w:cs="Times New Roman"/>
          <w:sz w:val="24"/>
          <w:szCs w:val="24"/>
        </w:rPr>
        <w:t>se include</w:t>
      </w:r>
      <w:r w:rsidR="00C1739E">
        <w:rPr>
          <w:rFonts w:ascii="Times New Roman" w:hAnsi="Times New Roman" w:cs="Times New Roman"/>
          <w:sz w:val="24"/>
          <w:szCs w:val="24"/>
        </w:rPr>
        <w:t xml:space="preserve"> members of my </w:t>
      </w:r>
      <w:r w:rsidR="00236E46">
        <w:rPr>
          <w:rFonts w:ascii="Times New Roman" w:hAnsi="Times New Roman" w:cs="Times New Roman"/>
          <w:sz w:val="24"/>
          <w:szCs w:val="24"/>
        </w:rPr>
        <w:t xml:space="preserve">doctoral </w:t>
      </w:r>
      <w:r w:rsidR="00C1739E">
        <w:rPr>
          <w:rFonts w:ascii="Times New Roman" w:hAnsi="Times New Roman" w:cs="Times New Roman"/>
          <w:sz w:val="24"/>
          <w:szCs w:val="24"/>
        </w:rPr>
        <w:t xml:space="preserve">committee, Dr. Hayley Lanier, Dr. Laura Stein, </w:t>
      </w:r>
      <w:r w:rsidR="00235804">
        <w:rPr>
          <w:rFonts w:ascii="Times New Roman" w:hAnsi="Times New Roman" w:cs="Times New Roman"/>
          <w:sz w:val="24"/>
          <w:szCs w:val="24"/>
        </w:rPr>
        <w:t>Dr. Robert Na</w:t>
      </w:r>
      <w:r w:rsidR="00236E46">
        <w:rPr>
          <w:rFonts w:ascii="Times New Roman" w:hAnsi="Times New Roman" w:cs="Times New Roman"/>
          <w:sz w:val="24"/>
          <w:szCs w:val="24"/>
        </w:rPr>
        <w:t>irn</w:t>
      </w:r>
      <w:r w:rsidR="00235804">
        <w:rPr>
          <w:rFonts w:ascii="Times New Roman" w:hAnsi="Times New Roman" w:cs="Times New Roman"/>
          <w:sz w:val="24"/>
          <w:szCs w:val="24"/>
        </w:rPr>
        <w:t xml:space="preserve">, Dr. Caryn </w:t>
      </w:r>
      <w:r w:rsidR="00E80716">
        <w:rPr>
          <w:rFonts w:ascii="Times New Roman" w:hAnsi="Times New Roman" w:cs="Times New Roman"/>
          <w:sz w:val="24"/>
          <w:szCs w:val="24"/>
        </w:rPr>
        <w:t>Vaughn,</w:t>
      </w:r>
      <w:r w:rsidR="00235804">
        <w:rPr>
          <w:rFonts w:ascii="Times New Roman" w:hAnsi="Times New Roman" w:cs="Times New Roman"/>
          <w:sz w:val="24"/>
          <w:szCs w:val="24"/>
        </w:rPr>
        <w:t xml:space="preserve"> and Dr. Daniel Allen; </w:t>
      </w:r>
      <w:r w:rsidR="00236E46">
        <w:rPr>
          <w:rFonts w:ascii="Times New Roman" w:hAnsi="Times New Roman" w:cs="Times New Roman"/>
          <w:sz w:val="24"/>
          <w:szCs w:val="24"/>
        </w:rPr>
        <w:t>D</w:t>
      </w:r>
      <w:r w:rsidR="00235804">
        <w:rPr>
          <w:rFonts w:ascii="Times New Roman" w:hAnsi="Times New Roman" w:cs="Times New Roman"/>
          <w:sz w:val="24"/>
          <w:szCs w:val="24"/>
        </w:rPr>
        <w:t>epartment</w:t>
      </w:r>
      <w:r w:rsidR="00236E46">
        <w:rPr>
          <w:rFonts w:ascii="Times New Roman" w:hAnsi="Times New Roman" w:cs="Times New Roman"/>
          <w:sz w:val="24"/>
          <w:szCs w:val="24"/>
        </w:rPr>
        <w:t xml:space="preserve"> of Biology</w:t>
      </w:r>
      <w:r w:rsidR="00235804">
        <w:rPr>
          <w:rFonts w:ascii="Times New Roman" w:hAnsi="Times New Roman" w:cs="Times New Roman"/>
          <w:sz w:val="24"/>
          <w:szCs w:val="24"/>
        </w:rPr>
        <w:t xml:space="preserve"> </w:t>
      </w:r>
      <w:r w:rsidR="000A4ED7">
        <w:rPr>
          <w:rFonts w:ascii="Times New Roman" w:hAnsi="Times New Roman" w:cs="Times New Roman"/>
          <w:sz w:val="24"/>
          <w:szCs w:val="24"/>
        </w:rPr>
        <w:t>staff, K.</w:t>
      </w:r>
      <w:r w:rsidR="00CE7F77">
        <w:rPr>
          <w:rFonts w:ascii="Times New Roman" w:hAnsi="Times New Roman" w:cs="Times New Roman"/>
          <w:sz w:val="24"/>
          <w:szCs w:val="24"/>
        </w:rPr>
        <w:t xml:space="preserve"> Baker, G. </w:t>
      </w:r>
      <w:r w:rsidR="00844375">
        <w:rPr>
          <w:rFonts w:ascii="Times New Roman" w:hAnsi="Times New Roman" w:cs="Times New Roman"/>
          <w:sz w:val="24"/>
          <w:szCs w:val="24"/>
        </w:rPr>
        <w:t xml:space="preserve">Martin, and E. Cooley who do amazing things with so little. </w:t>
      </w:r>
      <w:r w:rsidR="007F615E">
        <w:rPr>
          <w:rFonts w:ascii="Times New Roman" w:hAnsi="Times New Roman" w:cs="Times New Roman"/>
          <w:sz w:val="24"/>
          <w:szCs w:val="24"/>
        </w:rPr>
        <w:t xml:space="preserve">I would like to </w:t>
      </w:r>
      <w:r w:rsidR="007D58FE">
        <w:rPr>
          <w:rFonts w:ascii="Times New Roman" w:hAnsi="Times New Roman" w:cs="Times New Roman"/>
          <w:sz w:val="24"/>
          <w:szCs w:val="24"/>
        </w:rPr>
        <w:t xml:space="preserve">thank </w:t>
      </w:r>
      <w:r w:rsidR="000850C3">
        <w:rPr>
          <w:rFonts w:ascii="Times New Roman" w:hAnsi="Times New Roman" w:cs="Times New Roman"/>
          <w:sz w:val="24"/>
          <w:szCs w:val="24"/>
        </w:rPr>
        <w:t xml:space="preserve">Dr. </w:t>
      </w:r>
      <w:r w:rsidR="007D58FE">
        <w:rPr>
          <w:rFonts w:ascii="Times New Roman" w:hAnsi="Times New Roman" w:cs="Times New Roman"/>
          <w:sz w:val="24"/>
          <w:szCs w:val="24"/>
        </w:rPr>
        <w:t>C. Curry</w:t>
      </w:r>
      <w:r w:rsidR="00391FEA">
        <w:rPr>
          <w:rFonts w:ascii="Times New Roman" w:hAnsi="Times New Roman" w:cs="Times New Roman"/>
          <w:sz w:val="24"/>
          <w:szCs w:val="24"/>
        </w:rPr>
        <w:t>,</w:t>
      </w:r>
      <w:r w:rsidR="007D58FE">
        <w:rPr>
          <w:rFonts w:ascii="Times New Roman" w:hAnsi="Times New Roman" w:cs="Times New Roman"/>
          <w:sz w:val="24"/>
          <w:szCs w:val="24"/>
        </w:rPr>
        <w:t xml:space="preserve"> </w:t>
      </w:r>
      <w:r w:rsidR="000850C3">
        <w:rPr>
          <w:rFonts w:ascii="Times New Roman" w:hAnsi="Times New Roman" w:cs="Times New Roman"/>
          <w:sz w:val="24"/>
          <w:szCs w:val="24"/>
        </w:rPr>
        <w:t xml:space="preserve">Dr. </w:t>
      </w:r>
      <w:r w:rsidR="007D58FE">
        <w:rPr>
          <w:rFonts w:ascii="Times New Roman" w:hAnsi="Times New Roman" w:cs="Times New Roman"/>
          <w:sz w:val="24"/>
          <w:szCs w:val="24"/>
        </w:rPr>
        <w:t xml:space="preserve">M. </w:t>
      </w:r>
      <w:r w:rsidR="004A2536" w:rsidRPr="004A2536">
        <w:rPr>
          <w:rFonts w:ascii="Times New Roman" w:hAnsi="Times New Roman" w:cs="Times New Roman"/>
          <w:sz w:val="24"/>
          <w:szCs w:val="24"/>
        </w:rPr>
        <w:t>Laufersweiler</w:t>
      </w:r>
      <w:r w:rsidR="00391FEA">
        <w:rPr>
          <w:rFonts w:ascii="Times New Roman" w:hAnsi="Times New Roman" w:cs="Times New Roman"/>
          <w:sz w:val="24"/>
          <w:szCs w:val="24"/>
        </w:rPr>
        <w:t>, and the folks of OU’s OSCER group</w:t>
      </w:r>
      <w:r w:rsidR="004A2536">
        <w:rPr>
          <w:rFonts w:ascii="Times New Roman" w:hAnsi="Times New Roman" w:cs="Times New Roman"/>
          <w:sz w:val="24"/>
          <w:szCs w:val="24"/>
        </w:rPr>
        <w:t xml:space="preserve"> who helped </w:t>
      </w:r>
      <w:r w:rsidR="00391FEA">
        <w:rPr>
          <w:rFonts w:ascii="Times New Roman" w:hAnsi="Times New Roman" w:cs="Times New Roman"/>
          <w:sz w:val="24"/>
          <w:szCs w:val="24"/>
        </w:rPr>
        <w:t>on</w:t>
      </w:r>
      <w:r w:rsidR="004A2536">
        <w:rPr>
          <w:rFonts w:ascii="Times New Roman" w:hAnsi="Times New Roman" w:cs="Times New Roman"/>
          <w:sz w:val="24"/>
          <w:szCs w:val="24"/>
        </w:rPr>
        <w:t xml:space="preserve"> many analys</w:t>
      </w:r>
      <w:r w:rsidR="00391FEA">
        <w:rPr>
          <w:rFonts w:ascii="Times New Roman" w:hAnsi="Times New Roman" w:cs="Times New Roman"/>
          <w:sz w:val="24"/>
          <w:szCs w:val="24"/>
        </w:rPr>
        <w:t>es.</w:t>
      </w:r>
    </w:p>
    <w:p w14:paraId="41C5CFB5" w14:textId="3264E6C8" w:rsidR="005C3395" w:rsidRDefault="005C3395" w:rsidP="008F0082">
      <w:pPr>
        <w:jc w:val="center"/>
        <w:rPr>
          <w:rFonts w:ascii="Times New Roman" w:hAnsi="Times New Roman" w:cs="Times New Roman"/>
          <w:b/>
          <w:bCs/>
          <w:sz w:val="24"/>
          <w:szCs w:val="24"/>
        </w:rPr>
      </w:pPr>
    </w:p>
    <w:p w14:paraId="7BA4BF0B" w14:textId="77777777" w:rsidR="008F0082" w:rsidRDefault="008F0082" w:rsidP="00E90576">
      <w:pPr>
        <w:jc w:val="center"/>
        <w:rPr>
          <w:rFonts w:ascii="Times New Roman" w:hAnsi="Times New Roman" w:cs="Times New Roman"/>
          <w:b/>
          <w:bCs/>
          <w:sz w:val="24"/>
          <w:szCs w:val="24"/>
        </w:rPr>
      </w:pPr>
    </w:p>
    <w:p w14:paraId="50F4EC08" w14:textId="77777777" w:rsidR="008F0082" w:rsidRDefault="008F0082" w:rsidP="00E90576">
      <w:pPr>
        <w:jc w:val="center"/>
        <w:rPr>
          <w:rFonts w:ascii="Times New Roman" w:hAnsi="Times New Roman" w:cs="Times New Roman"/>
          <w:b/>
          <w:bCs/>
          <w:sz w:val="24"/>
          <w:szCs w:val="24"/>
        </w:rPr>
      </w:pPr>
    </w:p>
    <w:p w14:paraId="0386233C" w14:textId="7A41FF88" w:rsidR="009173BA" w:rsidRDefault="005C3395" w:rsidP="00E9057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90"/>
        <w:gridCol w:w="1080"/>
        <w:gridCol w:w="6925"/>
      </w:tblGrid>
      <w:tr w:rsidR="00030A68" w14:paraId="71EE7535" w14:textId="77777777" w:rsidTr="00DB4904">
        <w:tc>
          <w:tcPr>
            <w:tcW w:w="2425" w:type="dxa"/>
            <w:gridSpan w:val="3"/>
          </w:tcPr>
          <w:p w14:paraId="761BBDBA" w14:textId="77777777" w:rsidR="00030A68" w:rsidRPr="00410D1B" w:rsidRDefault="00255E59" w:rsidP="00E206E9">
            <w:pPr>
              <w:rPr>
                <w:rFonts w:ascii="Times New Roman" w:hAnsi="Times New Roman" w:cs="Times New Roman"/>
                <w:b/>
                <w:bCs/>
              </w:rPr>
            </w:pPr>
            <w:r w:rsidRPr="00410D1B">
              <w:rPr>
                <w:rFonts w:ascii="Times New Roman" w:hAnsi="Times New Roman" w:cs="Times New Roman"/>
                <w:b/>
                <w:bCs/>
              </w:rPr>
              <w:t>Acknowledgments</w:t>
            </w:r>
          </w:p>
          <w:p w14:paraId="1D0A74B4" w14:textId="0A8A48E9" w:rsidR="00FE6D0B" w:rsidRPr="00410D1B" w:rsidRDefault="00FE6D0B" w:rsidP="00E90576">
            <w:pPr>
              <w:jc w:val="center"/>
              <w:rPr>
                <w:rFonts w:ascii="Times New Roman" w:hAnsi="Times New Roman" w:cs="Times New Roman"/>
                <w:b/>
                <w:bCs/>
              </w:rPr>
            </w:pPr>
          </w:p>
        </w:tc>
        <w:tc>
          <w:tcPr>
            <w:tcW w:w="6925" w:type="dxa"/>
          </w:tcPr>
          <w:p w14:paraId="352BF1F8" w14:textId="604B91D3" w:rsidR="00030A68" w:rsidRPr="00677BD6" w:rsidRDefault="00492352" w:rsidP="006524B6">
            <w:pPr>
              <w:jc w:val="both"/>
              <w:rPr>
                <w:rFonts w:ascii="Times New Roman" w:hAnsi="Times New Roman" w:cs="Times New Roman"/>
              </w:rPr>
            </w:pPr>
            <w:r w:rsidRPr="00677BD6">
              <w:rPr>
                <w:rFonts w:ascii="Times New Roman" w:hAnsi="Times New Roman" w:cs="Times New Roman"/>
              </w:rPr>
              <w:t>……………………………………………………………………</w:t>
            </w:r>
            <w:r w:rsidR="001F4761">
              <w:rPr>
                <w:rFonts w:ascii="Times New Roman" w:hAnsi="Times New Roman" w:cs="Times New Roman"/>
              </w:rPr>
              <w:t xml:space="preserve">... </w:t>
            </w:r>
            <w:r w:rsidRPr="00677BD6">
              <w:rPr>
                <w:rFonts w:ascii="Times New Roman" w:hAnsi="Times New Roman" w:cs="Times New Roman"/>
              </w:rPr>
              <w:t>i</w:t>
            </w:r>
            <w:r w:rsidR="001F4761">
              <w:rPr>
                <w:rFonts w:ascii="Times New Roman" w:hAnsi="Times New Roman" w:cs="Times New Roman"/>
              </w:rPr>
              <w:t>v</w:t>
            </w:r>
            <w:r w:rsidRPr="00677BD6">
              <w:rPr>
                <w:rFonts w:ascii="Times New Roman" w:hAnsi="Times New Roman" w:cs="Times New Roman"/>
              </w:rPr>
              <w:t xml:space="preserve"> </w:t>
            </w:r>
          </w:p>
        </w:tc>
      </w:tr>
      <w:tr w:rsidR="00030A68" w14:paraId="55C1DD3E" w14:textId="77777777" w:rsidTr="00DB4904">
        <w:tc>
          <w:tcPr>
            <w:tcW w:w="2425" w:type="dxa"/>
            <w:gridSpan w:val="3"/>
          </w:tcPr>
          <w:p w14:paraId="403AAA9C" w14:textId="77777777" w:rsidR="00030A68" w:rsidRPr="00410D1B" w:rsidRDefault="00255E59" w:rsidP="00E206E9">
            <w:pPr>
              <w:rPr>
                <w:rFonts w:ascii="Times New Roman" w:hAnsi="Times New Roman" w:cs="Times New Roman"/>
                <w:b/>
                <w:bCs/>
              </w:rPr>
            </w:pPr>
            <w:r w:rsidRPr="00410D1B">
              <w:rPr>
                <w:rFonts w:ascii="Times New Roman" w:hAnsi="Times New Roman" w:cs="Times New Roman"/>
                <w:b/>
                <w:bCs/>
              </w:rPr>
              <w:t>Table of Contents</w:t>
            </w:r>
          </w:p>
          <w:p w14:paraId="64136258" w14:textId="214A736C" w:rsidR="00FE6D0B" w:rsidRPr="00410D1B" w:rsidRDefault="00FE6D0B" w:rsidP="00E90576">
            <w:pPr>
              <w:jc w:val="center"/>
              <w:rPr>
                <w:rFonts w:ascii="Times New Roman" w:hAnsi="Times New Roman" w:cs="Times New Roman"/>
                <w:b/>
                <w:bCs/>
              </w:rPr>
            </w:pPr>
          </w:p>
        </w:tc>
        <w:tc>
          <w:tcPr>
            <w:tcW w:w="6925" w:type="dxa"/>
          </w:tcPr>
          <w:p w14:paraId="56B0BFFB" w14:textId="33065723" w:rsidR="00030A68" w:rsidRPr="00677BD6" w:rsidRDefault="006524B6" w:rsidP="006524B6">
            <w:pPr>
              <w:jc w:val="both"/>
              <w:rPr>
                <w:rFonts w:ascii="Times New Roman" w:hAnsi="Times New Roman" w:cs="Times New Roman"/>
              </w:rPr>
            </w:pPr>
            <w:r w:rsidRPr="00677BD6">
              <w:rPr>
                <w:rFonts w:ascii="Times New Roman" w:hAnsi="Times New Roman" w:cs="Times New Roman"/>
              </w:rPr>
              <w:t>……………………………………………………………………</w:t>
            </w:r>
            <w:r w:rsidR="00E563EE">
              <w:rPr>
                <w:rFonts w:ascii="Times New Roman" w:hAnsi="Times New Roman" w:cs="Times New Roman"/>
              </w:rPr>
              <w:t>.</w:t>
            </w:r>
            <w:r w:rsidR="001F4761">
              <w:rPr>
                <w:rFonts w:ascii="Times New Roman" w:hAnsi="Times New Roman" w:cs="Times New Roman"/>
              </w:rPr>
              <w:t>.</w:t>
            </w:r>
            <w:r w:rsidR="00E563EE">
              <w:rPr>
                <w:rFonts w:ascii="Times New Roman" w:hAnsi="Times New Roman" w:cs="Times New Roman"/>
              </w:rPr>
              <w:t>..</w:t>
            </w:r>
            <w:r w:rsidRPr="00677BD6">
              <w:rPr>
                <w:rFonts w:ascii="Times New Roman" w:hAnsi="Times New Roman" w:cs="Times New Roman"/>
              </w:rPr>
              <w:t xml:space="preserve"> </w:t>
            </w:r>
            <w:r w:rsidR="001F4761">
              <w:rPr>
                <w:rFonts w:ascii="Times New Roman" w:hAnsi="Times New Roman" w:cs="Times New Roman"/>
              </w:rPr>
              <w:t>v</w:t>
            </w:r>
          </w:p>
        </w:tc>
      </w:tr>
      <w:tr w:rsidR="00030A68" w14:paraId="7E0EA66F" w14:textId="77777777" w:rsidTr="00DB4904">
        <w:tc>
          <w:tcPr>
            <w:tcW w:w="2425" w:type="dxa"/>
            <w:gridSpan w:val="3"/>
          </w:tcPr>
          <w:p w14:paraId="01242942" w14:textId="77777777" w:rsidR="00030A68" w:rsidRPr="00677BD6" w:rsidRDefault="00FE6D0B" w:rsidP="00E206E9">
            <w:pPr>
              <w:jc w:val="center"/>
              <w:rPr>
                <w:rFonts w:ascii="Times New Roman" w:hAnsi="Times New Roman" w:cs="Times New Roman"/>
              </w:rPr>
            </w:pPr>
            <w:r w:rsidRPr="00677BD6">
              <w:rPr>
                <w:rFonts w:ascii="Times New Roman" w:hAnsi="Times New Roman" w:cs="Times New Roman"/>
              </w:rPr>
              <w:t>List of Tables</w:t>
            </w:r>
          </w:p>
          <w:p w14:paraId="0951844B" w14:textId="7559627C" w:rsidR="00FE6D0B" w:rsidRPr="00677BD6" w:rsidRDefault="00FE6D0B" w:rsidP="00FE6D0B">
            <w:pPr>
              <w:jc w:val="right"/>
              <w:rPr>
                <w:rFonts w:ascii="Times New Roman" w:hAnsi="Times New Roman" w:cs="Times New Roman"/>
              </w:rPr>
            </w:pPr>
          </w:p>
        </w:tc>
        <w:tc>
          <w:tcPr>
            <w:tcW w:w="6925" w:type="dxa"/>
          </w:tcPr>
          <w:p w14:paraId="174CF2E3" w14:textId="39E3A26B" w:rsidR="00030A68" w:rsidRPr="00677BD6" w:rsidRDefault="006524B6" w:rsidP="006524B6">
            <w:pPr>
              <w:jc w:val="both"/>
              <w:rPr>
                <w:rFonts w:ascii="Times New Roman" w:hAnsi="Times New Roman" w:cs="Times New Roman"/>
              </w:rPr>
            </w:pPr>
            <w:r w:rsidRPr="00677BD6">
              <w:rPr>
                <w:rFonts w:ascii="Times New Roman" w:hAnsi="Times New Roman" w:cs="Times New Roman"/>
              </w:rPr>
              <w:t>……………………………………………………………………</w:t>
            </w:r>
            <w:r w:rsidR="00316DAD">
              <w:rPr>
                <w:rFonts w:ascii="Times New Roman" w:hAnsi="Times New Roman" w:cs="Times New Roman"/>
              </w:rPr>
              <w:t>. v</w:t>
            </w:r>
            <w:r w:rsidR="001F4761">
              <w:rPr>
                <w:rFonts w:ascii="Times New Roman" w:hAnsi="Times New Roman" w:cs="Times New Roman"/>
              </w:rPr>
              <w:t>iii</w:t>
            </w:r>
          </w:p>
        </w:tc>
      </w:tr>
      <w:tr w:rsidR="00030A68" w14:paraId="46863937" w14:textId="77777777" w:rsidTr="00DB4904">
        <w:tc>
          <w:tcPr>
            <w:tcW w:w="2425" w:type="dxa"/>
            <w:gridSpan w:val="3"/>
          </w:tcPr>
          <w:p w14:paraId="7A4A233D" w14:textId="77777777" w:rsidR="00030A68" w:rsidRPr="00677BD6" w:rsidRDefault="00FE6D0B" w:rsidP="00E206E9">
            <w:pPr>
              <w:jc w:val="center"/>
              <w:rPr>
                <w:rFonts w:ascii="Times New Roman" w:hAnsi="Times New Roman" w:cs="Times New Roman"/>
              </w:rPr>
            </w:pPr>
            <w:r w:rsidRPr="00677BD6">
              <w:rPr>
                <w:rFonts w:ascii="Times New Roman" w:hAnsi="Times New Roman" w:cs="Times New Roman"/>
              </w:rPr>
              <w:t>List of Figures</w:t>
            </w:r>
          </w:p>
          <w:p w14:paraId="1313E477" w14:textId="66E85678" w:rsidR="00E206E9" w:rsidRPr="00677BD6" w:rsidRDefault="00E206E9" w:rsidP="00E206E9">
            <w:pPr>
              <w:jc w:val="center"/>
              <w:rPr>
                <w:rFonts w:ascii="Times New Roman" w:hAnsi="Times New Roman" w:cs="Times New Roman"/>
              </w:rPr>
            </w:pPr>
          </w:p>
        </w:tc>
        <w:tc>
          <w:tcPr>
            <w:tcW w:w="6925" w:type="dxa"/>
          </w:tcPr>
          <w:p w14:paraId="7D3071AF" w14:textId="2E8A14E8" w:rsidR="00030A68" w:rsidRPr="00677BD6" w:rsidRDefault="00F87A6B" w:rsidP="006524B6">
            <w:pPr>
              <w:jc w:val="both"/>
              <w:rPr>
                <w:rFonts w:ascii="Times New Roman" w:hAnsi="Times New Roman" w:cs="Times New Roman"/>
              </w:rPr>
            </w:pPr>
            <w:r w:rsidRPr="00677BD6">
              <w:rPr>
                <w:rFonts w:ascii="Times New Roman" w:hAnsi="Times New Roman" w:cs="Times New Roman"/>
              </w:rPr>
              <w:t>……………………………………………………………………</w:t>
            </w:r>
            <w:r w:rsidR="00E563EE">
              <w:rPr>
                <w:rFonts w:ascii="Times New Roman" w:hAnsi="Times New Roman" w:cs="Times New Roman"/>
              </w:rPr>
              <w:t>..</w:t>
            </w:r>
            <w:r w:rsidRPr="00677BD6">
              <w:rPr>
                <w:rFonts w:ascii="Times New Roman" w:hAnsi="Times New Roman" w:cs="Times New Roman"/>
              </w:rPr>
              <w:t xml:space="preserve"> </w:t>
            </w:r>
            <w:r w:rsidR="001F4761">
              <w:rPr>
                <w:rFonts w:ascii="Times New Roman" w:hAnsi="Times New Roman" w:cs="Times New Roman"/>
              </w:rPr>
              <w:t>ix</w:t>
            </w:r>
          </w:p>
        </w:tc>
      </w:tr>
      <w:tr w:rsidR="00030A68" w14:paraId="4FB53491" w14:textId="77777777" w:rsidTr="00DB4904">
        <w:tc>
          <w:tcPr>
            <w:tcW w:w="2425" w:type="dxa"/>
            <w:gridSpan w:val="3"/>
          </w:tcPr>
          <w:p w14:paraId="3120DB3B" w14:textId="77777777" w:rsidR="00030A68" w:rsidRPr="00677BD6" w:rsidRDefault="00030A68" w:rsidP="00E90576">
            <w:pPr>
              <w:jc w:val="center"/>
              <w:rPr>
                <w:rFonts w:ascii="Times New Roman" w:hAnsi="Times New Roman" w:cs="Times New Roman"/>
              </w:rPr>
            </w:pPr>
          </w:p>
          <w:p w14:paraId="71FFCCE0" w14:textId="77777777" w:rsidR="00A240A3" w:rsidRPr="00C35351" w:rsidRDefault="00A240A3" w:rsidP="00872308">
            <w:pPr>
              <w:rPr>
                <w:rFonts w:ascii="Times New Roman" w:hAnsi="Times New Roman" w:cs="Times New Roman"/>
                <w:b/>
                <w:bCs/>
              </w:rPr>
            </w:pPr>
            <w:r w:rsidRPr="00C35351">
              <w:rPr>
                <w:rFonts w:ascii="Times New Roman" w:hAnsi="Times New Roman" w:cs="Times New Roman"/>
                <w:b/>
                <w:bCs/>
              </w:rPr>
              <w:t>Abstract</w:t>
            </w:r>
          </w:p>
          <w:p w14:paraId="264DC986" w14:textId="64281D7A" w:rsidR="00A240A3" w:rsidRPr="00677BD6" w:rsidRDefault="00A240A3" w:rsidP="00E90576">
            <w:pPr>
              <w:jc w:val="center"/>
              <w:rPr>
                <w:rFonts w:ascii="Times New Roman" w:hAnsi="Times New Roman" w:cs="Times New Roman"/>
              </w:rPr>
            </w:pPr>
          </w:p>
        </w:tc>
        <w:tc>
          <w:tcPr>
            <w:tcW w:w="6925" w:type="dxa"/>
          </w:tcPr>
          <w:p w14:paraId="0E3AD600" w14:textId="77777777" w:rsidR="00030A68" w:rsidRPr="00677BD6" w:rsidRDefault="00030A68" w:rsidP="006524B6">
            <w:pPr>
              <w:jc w:val="both"/>
              <w:rPr>
                <w:rFonts w:ascii="Times New Roman" w:hAnsi="Times New Roman" w:cs="Times New Roman"/>
              </w:rPr>
            </w:pPr>
          </w:p>
          <w:p w14:paraId="1138EBA8" w14:textId="16A42AB0" w:rsidR="00F87A6B" w:rsidRPr="00677BD6" w:rsidRDefault="00CA5F30" w:rsidP="006524B6">
            <w:pPr>
              <w:jc w:val="both"/>
              <w:rPr>
                <w:rFonts w:ascii="Times New Roman" w:hAnsi="Times New Roman" w:cs="Times New Roman"/>
              </w:rPr>
            </w:pPr>
            <w:r w:rsidRPr="00677BD6">
              <w:rPr>
                <w:rFonts w:ascii="Times New Roman" w:hAnsi="Times New Roman" w:cs="Times New Roman"/>
              </w:rPr>
              <w:t>……………………………………………………………………</w:t>
            </w:r>
            <w:r w:rsidR="00E563EE">
              <w:rPr>
                <w:rFonts w:ascii="Times New Roman" w:hAnsi="Times New Roman" w:cs="Times New Roman"/>
              </w:rPr>
              <w:t>.</w:t>
            </w:r>
            <w:r w:rsidR="001F4761">
              <w:rPr>
                <w:rFonts w:ascii="Times New Roman" w:hAnsi="Times New Roman" w:cs="Times New Roman"/>
              </w:rPr>
              <w:t>.</w:t>
            </w:r>
            <w:r w:rsidR="00316DAD">
              <w:rPr>
                <w:rFonts w:ascii="Times New Roman" w:hAnsi="Times New Roman" w:cs="Times New Roman"/>
              </w:rPr>
              <w:t xml:space="preserve"> </w:t>
            </w:r>
            <w:r w:rsidR="001F4761">
              <w:rPr>
                <w:rFonts w:ascii="Times New Roman" w:hAnsi="Times New Roman" w:cs="Times New Roman"/>
              </w:rPr>
              <w:t>xi</w:t>
            </w:r>
          </w:p>
        </w:tc>
      </w:tr>
      <w:tr w:rsidR="00030A68" w14:paraId="0CF54B9D" w14:textId="77777777" w:rsidTr="00DB4904">
        <w:tc>
          <w:tcPr>
            <w:tcW w:w="1255" w:type="dxa"/>
          </w:tcPr>
          <w:p w14:paraId="335F41AC" w14:textId="77777777" w:rsidR="006E06F6" w:rsidRDefault="006E06F6" w:rsidP="00872308">
            <w:pPr>
              <w:rPr>
                <w:rFonts w:ascii="Times New Roman" w:hAnsi="Times New Roman" w:cs="Times New Roman"/>
              </w:rPr>
            </w:pPr>
          </w:p>
          <w:p w14:paraId="2D264F27" w14:textId="37A44106" w:rsidR="00030A68" w:rsidRPr="00410D1B" w:rsidRDefault="00872308" w:rsidP="00872308">
            <w:pPr>
              <w:rPr>
                <w:rFonts w:ascii="Times New Roman" w:hAnsi="Times New Roman" w:cs="Times New Roman"/>
                <w:b/>
                <w:bCs/>
              </w:rPr>
            </w:pPr>
            <w:r w:rsidRPr="00410D1B">
              <w:rPr>
                <w:rFonts w:ascii="Times New Roman" w:hAnsi="Times New Roman" w:cs="Times New Roman"/>
                <w:b/>
                <w:bCs/>
              </w:rPr>
              <w:t>Chapter 1</w:t>
            </w:r>
          </w:p>
          <w:p w14:paraId="75AE82C7" w14:textId="6EBB93E9" w:rsidR="00872308" w:rsidRPr="00677BD6" w:rsidRDefault="00872308" w:rsidP="00872308">
            <w:pPr>
              <w:rPr>
                <w:rFonts w:ascii="Times New Roman" w:hAnsi="Times New Roman" w:cs="Times New Roman"/>
              </w:rPr>
            </w:pPr>
          </w:p>
        </w:tc>
        <w:tc>
          <w:tcPr>
            <w:tcW w:w="8095" w:type="dxa"/>
            <w:gridSpan w:val="3"/>
          </w:tcPr>
          <w:p w14:paraId="58B74CB5" w14:textId="77777777" w:rsidR="006E06F6" w:rsidRDefault="006E06F6" w:rsidP="00677BD6">
            <w:pPr>
              <w:jc w:val="both"/>
              <w:rPr>
                <w:rFonts w:ascii="Times New Roman" w:hAnsi="Times New Roman" w:cs="Times New Roman"/>
              </w:rPr>
            </w:pPr>
          </w:p>
          <w:p w14:paraId="17693119" w14:textId="103A8B39" w:rsidR="00030A68" w:rsidRDefault="00B8198B" w:rsidP="00677BD6">
            <w:pPr>
              <w:jc w:val="both"/>
              <w:rPr>
                <w:rFonts w:ascii="Times New Roman" w:hAnsi="Times New Roman" w:cs="Times New Roman"/>
              </w:rPr>
            </w:pPr>
            <w:r w:rsidRPr="00677BD6">
              <w:rPr>
                <w:rFonts w:ascii="Times New Roman" w:hAnsi="Times New Roman" w:cs="Times New Roman"/>
              </w:rPr>
              <w:t>The roles of recombination and selection in shaping genomic</w:t>
            </w:r>
            <w:r w:rsidR="00677BD6" w:rsidRPr="00677BD6">
              <w:rPr>
                <w:rFonts w:ascii="Times New Roman" w:hAnsi="Times New Roman" w:cs="Times New Roman"/>
              </w:rPr>
              <w:t xml:space="preserve"> </w:t>
            </w:r>
            <w:r w:rsidRPr="00677BD6">
              <w:rPr>
                <w:rFonts w:ascii="Times New Roman" w:hAnsi="Times New Roman" w:cs="Times New Roman"/>
              </w:rPr>
              <w:t>divergence in an incipient ecological species complex</w:t>
            </w:r>
            <w:r w:rsidR="00677BD6" w:rsidRPr="00677BD6">
              <w:rPr>
                <w:rFonts w:ascii="Times New Roman" w:hAnsi="Times New Roman" w:cs="Times New Roman"/>
              </w:rPr>
              <w:t xml:space="preserve"> ……………</w:t>
            </w:r>
            <w:r w:rsidR="003D0211">
              <w:rPr>
                <w:rFonts w:ascii="Times New Roman" w:hAnsi="Times New Roman" w:cs="Times New Roman"/>
              </w:rPr>
              <w:t>.</w:t>
            </w:r>
            <w:r w:rsidR="00677BD6" w:rsidRPr="00677BD6">
              <w:rPr>
                <w:rFonts w:ascii="Times New Roman" w:hAnsi="Times New Roman" w:cs="Times New Roman"/>
              </w:rPr>
              <w:t>………………………</w:t>
            </w:r>
            <w:r w:rsidR="003D0211">
              <w:rPr>
                <w:rFonts w:ascii="Times New Roman" w:hAnsi="Times New Roman" w:cs="Times New Roman"/>
              </w:rPr>
              <w:t>..</w:t>
            </w:r>
            <w:r w:rsidR="00677BD6" w:rsidRPr="00677BD6">
              <w:rPr>
                <w:rFonts w:ascii="Times New Roman" w:hAnsi="Times New Roman" w:cs="Times New Roman"/>
              </w:rPr>
              <w:t>…</w:t>
            </w:r>
            <w:r w:rsidR="006E06F6">
              <w:rPr>
                <w:rFonts w:ascii="Times New Roman" w:hAnsi="Times New Roman" w:cs="Times New Roman"/>
              </w:rPr>
              <w:t>…</w:t>
            </w:r>
            <w:r w:rsidR="00677BD6" w:rsidRPr="00677BD6">
              <w:rPr>
                <w:rFonts w:ascii="Times New Roman" w:hAnsi="Times New Roman" w:cs="Times New Roman"/>
              </w:rPr>
              <w:t xml:space="preserve"> 1</w:t>
            </w:r>
          </w:p>
          <w:p w14:paraId="42DBFFE8" w14:textId="37E2BB5C" w:rsidR="006E06F6" w:rsidRPr="00677BD6" w:rsidRDefault="003D0211" w:rsidP="00677BD6">
            <w:pPr>
              <w:jc w:val="both"/>
              <w:rPr>
                <w:rFonts w:ascii="Times New Roman" w:hAnsi="Times New Roman" w:cs="Times New Roman"/>
              </w:rPr>
            </w:pPr>
            <w:r>
              <w:rPr>
                <w:rFonts w:ascii="Times New Roman" w:hAnsi="Times New Roman" w:cs="Times New Roman"/>
              </w:rPr>
              <w:t>.</w:t>
            </w:r>
          </w:p>
        </w:tc>
      </w:tr>
      <w:tr w:rsidR="00030A68" w14:paraId="20209598" w14:textId="77777777" w:rsidTr="00DB4904">
        <w:tc>
          <w:tcPr>
            <w:tcW w:w="2425" w:type="dxa"/>
            <w:gridSpan w:val="3"/>
          </w:tcPr>
          <w:p w14:paraId="27832F55" w14:textId="77777777" w:rsidR="00030A68" w:rsidRPr="00677BD6" w:rsidRDefault="00872308" w:rsidP="00FD51B5">
            <w:pPr>
              <w:jc w:val="right"/>
              <w:rPr>
                <w:rFonts w:ascii="Times New Roman" w:hAnsi="Times New Roman" w:cs="Times New Roman"/>
              </w:rPr>
            </w:pPr>
            <w:r w:rsidRPr="00677BD6">
              <w:rPr>
                <w:rFonts w:ascii="Times New Roman" w:hAnsi="Times New Roman" w:cs="Times New Roman"/>
              </w:rPr>
              <w:t>Abstract</w:t>
            </w:r>
          </w:p>
          <w:p w14:paraId="396281D4" w14:textId="12FA4DB1" w:rsidR="00872308" w:rsidRPr="00677BD6" w:rsidRDefault="00872308" w:rsidP="00FD51B5">
            <w:pPr>
              <w:jc w:val="right"/>
              <w:rPr>
                <w:rFonts w:ascii="Times New Roman" w:hAnsi="Times New Roman" w:cs="Times New Roman"/>
              </w:rPr>
            </w:pPr>
          </w:p>
        </w:tc>
        <w:tc>
          <w:tcPr>
            <w:tcW w:w="6925" w:type="dxa"/>
          </w:tcPr>
          <w:p w14:paraId="131B79E9" w14:textId="56E8ADAB" w:rsidR="00030A68" w:rsidRPr="00677BD6" w:rsidRDefault="00677BD6" w:rsidP="006524B6">
            <w:pPr>
              <w:jc w:val="both"/>
              <w:rPr>
                <w:rFonts w:ascii="Times New Roman" w:hAnsi="Times New Roman" w:cs="Times New Roman"/>
              </w:rPr>
            </w:pPr>
            <w:r>
              <w:rPr>
                <w:rFonts w:ascii="Times New Roman" w:hAnsi="Times New Roman" w:cs="Times New Roman"/>
              </w:rPr>
              <w:t>…………………………………………………………………….</w:t>
            </w:r>
            <w:r w:rsidR="000F6935">
              <w:rPr>
                <w:rFonts w:ascii="Times New Roman" w:hAnsi="Times New Roman" w:cs="Times New Roman"/>
              </w:rPr>
              <w:t>..</w:t>
            </w:r>
            <w:r>
              <w:rPr>
                <w:rFonts w:ascii="Times New Roman" w:hAnsi="Times New Roman" w:cs="Times New Roman"/>
              </w:rPr>
              <w:t xml:space="preserve"> 2</w:t>
            </w:r>
          </w:p>
        </w:tc>
      </w:tr>
      <w:tr w:rsidR="00030A68" w14:paraId="0D23A9E6" w14:textId="77777777" w:rsidTr="00DB4904">
        <w:tc>
          <w:tcPr>
            <w:tcW w:w="2425" w:type="dxa"/>
            <w:gridSpan w:val="3"/>
          </w:tcPr>
          <w:p w14:paraId="19913376" w14:textId="77777777" w:rsidR="00030A68" w:rsidRPr="00677BD6" w:rsidRDefault="00872308" w:rsidP="00FD51B5">
            <w:pPr>
              <w:jc w:val="right"/>
              <w:rPr>
                <w:rFonts w:ascii="Times New Roman" w:hAnsi="Times New Roman" w:cs="Times New Roman"/>
              </w:rPr>
            </w:pPr>
            <w:r w:rsidRPr="00677BD6">
              <w:rPr>
                <w:rFonts w:ascii="Times New Roman" w:hAnsi="Times New Roman" w:cs="Times New Roman"/>
              </w:rPr>
              <w:t>Introduction</w:t>
            </w:r>
          </w:p>
          <w:p w14:paraId="1D17B9AB" w14:textId="4018FC3B" w:rsidR="00872308" w:rsidRPr="00677BD6" w:rsidRDefault="00872308" w:rsidP="00FD51B5">
            <w:pPr>
              <w:jc w:val="right"/>
              <w:rPr>
                <w:rFonts w:ascii="Times New Roman" w:hAnsi="Times New Roman" w:cs="Times New Roman"/>
              </w:rPr>
            </w:pPr>
          </w:p>
        </w:tc>
        <w:tc>
          <w:tcPr>
            <w:tcW w:w="6925" w:type="dxa"/>
          </w:tcPr>
          <w:p w14:paraId="323A999B" w14:textId="4E375D66" w:rsidR="00030A68" w:rsidRPr="00677BD6" w:rsidRDefault="00677BD6" w:rsidP="006524B6">
            <w:pPr>
              <w:jc w:val="both"/>
              <w:rPr>
                <w:rFonts w:ascii="Times New Roman" w:hAnsi="Times New Roman" w:cs="Times New Roman"/>
              </w:rPr>
            </w:pPr>
            <w:r>
              <w:rPr>
                <w:rFonts w:ascii="Times New Roman" w:hAnsi="Times New Roman" w:cs="Times New Roman"/>
              </w:rPr>
              <w:t>…………………………………………………………………….</w:t>
            </w:r>
            <w:r w:rsidR="000F6935">
              <w:rPr>
                <w:rFonts w:ascii="Times New Roman" w:hAnsi="Times New Roman" w:cs="Times New Roman"/>
              </w:rPr>
              <w:t>..</w:t>
            </w:r>
            <w:r>
              <w:rPr>
                <w:rFonts w:ascii="Times New Roman" w:hAnsi="Times New Roman" w:cs="Times New Roman"/>
              </w:rPr>
              <w:t xml:space="preserve"> </w:t>
            </w:r>
            <w:r w:rsidR="00B11B5A">
              <w:rPr>
                <w:rFonts w:ascii="Times New Roman" w:hAnsi="Times New Roman" w:cs="Times New Roman"/>
              </w:rPr>
              <w:t>3</w:t>
            </w:r>
          </w:p>
        </w:tc>
      </w:tr>
      <w:tr w:rsidR="00030A68" w14:paraId="47525B5F" w14:textId="77777777" w:rsidTr="00DB4904">
        <w:tc>
          <w:tcPr>
            <w:tcW w:w="2425" w:type="dxa"/>
            <w:gridSpan w:val="3"/>
          </w:tcPr>
          <w:p w14:paraId="7FD9BE09" w14:textId="77777777" w:rsidR="00030A68" w:rsidRPr="00677BD6" w:rsidRDefault="00872308" w:rsidP="00FD51B5">
            <w:pPr>
              <w:jc w:val="right"/>
              <w:rPr>
                <w:rFonts w:ascii="Times New Roman" w:hAnsi="Times New Roman" w:cs="Times New Roman"/>
              </w:rPr>
            </w:pPr>
            <w:r w:rsidRPr="00677BD6">
              <w:rPr>
                <w:rFonts w:ascii="Times New Roman" w:hAnsi="Times New Roman" w:cs="Times New Roman"/>
              </w:rPr>
              <w:t>Methods</w:t>
            </w:r>
          </w:p>
          <w:p w14:paraId="2C39A72F" w14:textId="76E30F95" w:rsidR="00872308" w:rsidRPr="00677BD6" w:rsidRDefault="00872308" w:rsidP="00FD51B5">
            <w:pPr>
              <w:jc w:val="right"/>
              <w:rPr>
                <w:rFonts w:ascii="Times New Roman" w:hAnsi="Times New Roman" w:cs="Times New Roman"/>
              </w:rPr>
            </w:pPr>
          </w:p>
        </w:tc>
        <w:tc>
          <w:tcPr>
            <w:tcW w:w="6925" w:type="dxa"/>
          </w:tcPr>
          <w:p w14:paraId="3ACF8C9E" w14:textId="0297C042" w:rsidR="00030A68" w:rsidRPr="00677BD6" w:rsidRDefault="00B11B5A" w:rsidP="006524B6">
            <w:pPr>
              <w:jc w:val="both"/>
              <w:rPr>
                <w:rFonts w:ascii="Times New Roman" w:hAnsi="Times New Roman" w:cs="Times New Roman"/>
              </w:rPr>
            </w:pPr>
            <w:r>
              <w:rPr>
                <w:rFonts w:ascii="Times New Roman" w:hAnsi="Times New Roman" w:cs="Times New Roman"/>
              </w:rPr>
              <w:t>…………………………………………………………………….</w:t>
            </w:r>
            <w:r w:rsidR="000F6935">
              <w:rPr>
                <w:rFonts w:ascii="Times New Roman" w:hAnsi="Times New Roman" w:cs="Times New Roman"/>
              </w:rPr>
              <w:t>..</w:t>
            </w:r>
            <w:r>
              <w:rPr>
                <w:rFonts w:ascii="Times New Roman" w:hAnsi="Times New Roman" w:cs="Times New Roman"/>
              </w:rPr>
              <w:t xml:space="preserve"> </w:t>
            </w:r>
            <w:r w:rsidR="00E563EE">
              <w:rPr>
                <w:rFonts w:ascii="Times New Roman" w:hAnsi="Times New Roman" w:cs="Times New Roman"/>
              </w:rPr>
              <w:t>6</w:t>
            </w:r>
          </w:p>
        </w:tc>
      </w:tr>
      <w:tr w:rsidR="00030A68" w14:paraId="654AEE80" w14:textId="77777777" w:rsidTr="00DB4904">
        <w:tc>
          <w:tcPr>
            <w:tcW w:w="2425" w:type="dxa"/>
            <w:gridSpan w:val="3"/>
          </w:tcPr>
          <w:p w14:paraId="5E9478D0" w14:textId="77777777" w:rsidR="00030A68" w:rsidRPr="00677BD6" w:rsidRDefault="00872308" w:rsidP="00FD51B5">
            <w:pPr>
              <w:jc w:val="right"/>
              <w:rPr>
                <w:rFonts w:ascii="Times New Roman" w:hAnsi="Times New Roman" w:cs="Times New Roman"/>
              </w:rPr>
            </w:pPr>
            <w:r w:rsidRPr="00677BD6">
              <w:rPr>
                <w:rFonts w:ascii="Times New Roman" w:hAnsi="Times New Roman" w:cs="Times New Roman"/>
              </w:rPr>
              <w:t>Results</w:t>
            </w:r>
          </w:p>
          <w:p w14:paraId="3D881A69" w14:textId="22BA4276" w:rsidR="00872308" w:rsidRPr="00677BD6" w:rsidRDefault="00872308" w:rsidP="00FD51B5">
            <w:pPr>
              <w:jc w:val="right"/>
              <w:rPr>
                <w:rFonts w:ascii="Times New Roman" w:hAnsi="Times New Roman" w:cs="Times New Roman"/>
              </w:rPr>
            </w:pPr>
          </w:p>
        </w:tc>
        <w:tc>
          <w:tcPr>
            <w:tcW w:w="6925" w:type="dxa"/>
          </w:tcPr>
          <w:p w14:paraId="296A1240" w14:textId="406CAD92" w:rsidR="00030A68" w:rsidRPr="00677BD6" w:rsidRDefault="00E563EE" w:rsidP="006524B6">
            <w:pPr>
              <w:jc w:val="both"/>
              <w:rPr>
                <w:rFonts w:ascii="Times New Roman" w:hAnsi="Times New Roman" w:cs="Times New Roman"/>
              </w:rPr>
            </w:pPr>
            <w:r>
              <w:rPr>
                <w:rFonts w:ascii="Times New Roman" w:hAnsi="Times New Roman" w:cs="Times New Roman"/>
              </w:rPr>
              <w:t>……………………………………………………………………. 12</w:t>
            </w:r>
          </w:p>
        </w:tc>
      </w:tr>
      <w:tr w:rsidR="00030A68" w14:paraId="42AE78FC" w14:textId="77777777" w:rsidTr="00DB4904">
        <w:tc>
          <w:tcPr>
            <w:tcW w:w="2425" w:type="dxa"/>
            <w:gridSpan w:val="3"/>
          </w:tcPr>
          <w:p w14:paraId="2A148F37" w14:textId="77777777" w:rsidR="00030A68" w:rsidRPr="00677BD6" w:rsidRDefault="00872308" w:rsidP="00FD51B5">
            <w:pPr>
              <w:jc w:val="right"/>
              <w:rPr>
                <w:rFonts w:ascii="Times New Roman" w:hAnsi="Times New Roman" w:cs="Times New Roman"/>
              </w:rPr>
            </w:pPr>
            <w:r w:rsidRPr="00677BD6">
              <w:rPr>
                <w:rFonts w:ascii="Times New Roman" w:hAnsi="Times New Roman" w:cs="Times New Roman"/>
              </w:rPr>
              <w:t>Discussion</w:t>
            </w:r>
          </w:p>
          <w:p w14:paraId="06AC88C2" w14:textId="14981970" w:rsidR="00872308" w:rsidRPr="00677BD6" w:rsidRDefault="00872308" w:rsidP="00FD51B5">
            <w:pPr>
              <w:jc w:val="right"/>
              <w:rPr>
                <w:rFonts w:ascii="Times New Roman" w:hAnsi="Times New Roman" w:cs="Times New Roman"/>
              </w:rPr>
            </w:pPr>
          </w:p>
        </w:tc>
        <w:tc>
          <w:tcPr>
            <w:tcW w:w="6925" w:type="dxa"/>
          </w:tcPr>
          <w:p w14:paraId="24072F4E" w14:textId="7FDD24E6" w:rsidR="00030A68" w:rsidRPr="00677BD6" w:rsidRDefault="000F6935" w:rsidP="006524B6">
            <w:pPr>
              <w:jc w:val="both"/>
              <w:rPr>
                <w:rFonts w:ascii="Times New Roman" w:hAnsi="Times New Roman" w:cs="Times New Roman"/>
              </w:rPr>
            </w:pPr>
            <w:r>
              <w:rPr>
                <w:rFonts w:ascii="Times New Roman" w:hAnsi="Times New Roman" w:cs="Times New Roman"/>
              </w:rPr>
              <w:t>……………………………………………………………………. 1</w:t>
            </w:r>
            <w:r w:rsidR="006E06F6">
              <w:rPr>
                <w:rFonts w:ascii="Times New Roman" w:hAnsi="Times New Roman" w:cs="Times New Roman"/>
              </w:rPr>
              <w:t>9</w:t>
            </w:r>
          </w:p>
        </w:tc>
      </w:tr>
      <w:tr w:rsidR="00030A68" w14:paraId="7D7D238A" w14:textId="77777777" w:rsidTr="00DB4904">
        <w:tc>
          <w:tcPr>
            <w:tcW w:w="2425" w:type="dxa"/>
            <w:gridSpan w:val="3"/>
          </w:tcPr>
          <w:p w14:paraId="5933A2A3" w14:textId="77777777" w:rsidR="00030A68" w:rsidRPr="00677BD6" w:rsidRDefault="00872308" w:rsidP="00FD51B5">
            <w:pPr>
              <w:jc w:val="right"/>
              <w:rPr>
                <w:rFonts w:ascii="Times New Roman" w:hAnsi="Times New Roman" w:cs="Times New Roman"/>
              </w:rPr>
            </w:pPr>
            <w:r w:rsidRPr="00677BD6">
              <w:rPr>
                <w:rFonts w:ascii="Times New Roman" w:hAnsi="Times New Roman" w:cs="Times New Roman"/>
              </w:rPr>
              <w:t>Ack</w:t>
            </w:r>
            <w:r w:rsidR="002A1A8C" w:rsidRPr="00677BD6">
              <w:rPr>
                <w:rFonts w:ascii="Times New Roman" w:hAnsi="Times New Roman" w:cs="Times New Roman"/>
              </w:rPr>
              <w:t>nowledgements</w:t>
            </w:r>
          </w:p>
          <w:p w14:paraId="3A64377C" w14:textId="767A9F06" w:rsidR="002A1A8C" w:rsidRPr="00677BD6" w:rsidRDefault="002A1A8C" w:rsidP="00FD51B5">
            <w:pPr>
              <w:jc w:val="right"/>
              <w:rPr>
                <w:rFonts w:ascii="Times New Roman" w:hAnsi="Times New Roman" w:cs="Times New Roman"/>
              </w:rPr>
            </w:pPr>
          </w:p>
        </w:tc>
        <w:tc>
          <w:tcPr>
            <w:tcW w:w="6925" w:type="dxa"/>
          </w:tcPr>
          <w:p w14:paraId="31B16504" w14:textId="75082C73" w:rsidR="00030A68" w:rsidRPr="00677BD6" w:rsidRDefault="006E06F6" w:rsidP="006524B6">
            <w:pPr>
              <w:jc w:val="both"/>
              <w:rPr>
                <w:rFonts w:ascii="Times New Roman" w:hAnsi="Times New Roman" w:cs="Times New Roman"/>
              </w:rPr>
            </w:pPr>
            <w:r>
              <w:rPr>
                <w:rFonts w:ascii="Times New Roman" w:hAnsi="Times New Roman" w:cs="Times New Roman"/>
              </w:rPr>
              <w:t xml:space="preserve">……………………………………………………………………. </w:t>
            </w:r>
            <w:r w:rsidR="00AF17A7">
              <w:rPr>
                <w:rFonts w:ascii="Times New Roman" w:hAnsi="Times New Roman" w:cs="Times New Roman"/>
              </w:rPr>
              <w:t>28</w:t>
            </w:r>
          </w:p>
        </w:tc>
      </w:tr>
      <w:tr w:rsidR="00030A68" w14:paraId="5ACF6709" w14:textId="77777777" w:rsidTr="00DB4904">
        <w:tc>
          <w:tcPr>
            <w:tcW w:w="2425" w:type="dxa"/>
            <w:gridSpan w:val="3"/>
          </w:tcPr>
          <w:p w14:paraId="062F0D8F" w14:textId="77777777" w:rsidR="00030A68" w:rsidRPr="00677BD6" w:rsidRDefault="002A1A8C" w:rsidP="00FD51B5">
            <w:pPr>
              <w:jc w:val="right"/>
              <w:rPr>
                <w:rFonts w:ascii="Times New Roman" w:hAnsi="Times New Roman" w:cs="Times New Roman"/>
              </w:rPr>
            </w:pPr>
            <w:r w:rsidRPr="00677BD6">
              <w:rPr>
                <w:rFonts w:ascii="Times New Roman" w:hAnsi="Times New Roman" w:cs="Times New Roman"/>
              </w:rPr>
              <w:t>Author Contributions</w:t>
            </w:r>
          </w:p>
          <w:p w14:paraId="44C96436" w14:textId="530F1F42" w:rsidR="002A1A8C" w:rsidRPr="00677BD6" w:rsidRDefault="002A1A8C" w:rsidP="00FD51B5">
            <w:pPr>
              <w:jc w:val="right"/>
              <w:rPr>
                <w:rFonts w:ascii="Times New Roman" w:hAnsi="Times New Roman" w:cs="Times New Roman"/>
              </w:rPr>
            </w:pPr>
          </w:p>
        </w:tc>
        <w:tc>
          <w:tcPr>
            <w:tcW w:w="6925" w:type="dxa"/>
          </w:tcPr>
          <w:p w14:paraId="7D1647DA" w14:textId="3678F57F" w:rsidR="00030A68" w:rsidRPr="00677BD6" w:rsidRDefault="006E06F6" w:rsidP="006524B6">
            <w:pPr>
              <w:jc w:val="both"/>
              <w:rPr>
                <w:rFonts w:ascii="Times New Roman" w:hAnsi="Times New Roman" w:cs="Times New Roman"/>
              </w:rPr>
            </w:pPr>
            <w:r>
              <w:rPr>
                <w:rFonts w:ascii="Times New Roman" w:hAnsi="Times New Roman" w:cs="Times New Roman"/>
              </w:rPr>
              <w:t xml:space="preserve">……………………………………………………………………. </w:t>
            </w:r>
            <w:r w:rsidR="00AF17A7">
              <w:rPr>
                <w:rFonts w:ascii="Times New Roman" w:hAnsi="Times New Roman" w:cs="Times New Roman"/>
              </w:rPr>
              <w:t>29</w:t>
            </w:r>
          </w:p>
        </w:tc>
      </w:tr>
      <w:tr w:rsidR="00030A68" w14:paraId="473CD5CE" w14:textId="77777777" w:rsidTr="00DB4904">
        <w:tc>
          <w:tcPr>
            <w:tcW w:w="2425" w:type="dxa"/>
            <w:gridSpan w:val="3"/>
          </w:tcPr>
          <w:p w14:paraId="7CD80D45" w14:textId="77777777" w:rsidR="00030A68" w:rsidRPr="00677BD6" w:rsidRDefault="002A1A8C" w:rsidP="00FD51B5">
            <w:pPr>
              <w:jc w:val="right"/>
              <w:rPr>
                <w:rFonts w:ascii="Times New Roman" w:hAnsi="Times New Roman" w:cs="Times New Roman"/>
              </w:rPr>
            </w:pPr>
            <w:r w:rsidRPr="00677BD6">
              <w:rPr>
                <w:rFonts w:ascii="Times New Roman" w:hAnsi="Times New Roman" w:cs="Times New Roman"/>
              </w:rPr>
              <w:t>Data Availability</w:t>
            </w:r>
          </w:p>
          <w:p w14:paraId="61B0B363" w14:textId="1F46DEA4" w:rsidR="002A1A8C" w:rsidRPr="00677BD6" w:rsidRDefault="002A1A8C" w:rsidP="00FD51B5">
            <w:pPr>
              <w:jc w:val="right"/>
              <w:rPr>
                <w:rFonts w:ascii="Times New Roman" w:hAnsi="Times New Roman" w:cs="Times New Roman"/>
              </w:rPr>
            </w:pPr>
          </w:p>
        </w:tc>
        <w:tc>
          <w:tcPr>
            <w:tcW w:w="6925" w:type="dxa"/>
          </w:tcPr>
          <w:p w14:paraId="52DEC51D" w14:textId="49673738" w:rsidR="00030A68" w:rsidRPr="00677BD6" w:rsidRDefault="006E06F6" w:rsidP="006524B6">
            <w:pPr>
              <w:jc w:val="both"/>
              <w:rPr>
                <w:rFonts w:ascii="Times New Roman" w:hAnsi="Times New Roman" w:cs="Times New Roman"/>
              </w:rPr>
            </w:pPr>
            <w:r>
              <w:rPr>
                <w:rFonts w:ascii="Times New Roman" w:hAnsi="Times New Roman" w:cs="Times New Roman"/>
              </w:rPr>
              <w:t xml:space="preserve">……………………………………………………………………. </w:t>
            </w:r>
            <w:r w:rsidR="00AF17A7">
              <w:rPr>
                <w:rFonts w:ascii="Times New Roman" w:hAnsi="Times New Roman" w:cs="Times New Roman"/>
              </w:rPr>
              <w:t>30</w:t>
            </w:r>
          </w:p>
        </w:tc>
      </w:tr>
      <w:tr w:rsidR="00030A68" w14:paraId="66751E5B" w14:textId="77777777" w:rsidTr="00DB4904">
        <w:tc>
          <w:tcPr>
            <w:tcW w:w="2425" w:type="dxa"/>
            <w:gridSpan w:val="3"/>
          </w:tcPr>
          <w:p w14:paraId="47F31C5B" w14:textId="77777777" w:rsidR="00030A68" w:rsidRPr="00677BD6" w:rsidRDefault="00974116" w:rsidP="00FD51B5">
            <w:pPr>
              <w:jc w:val="right"/>
              <w:rPr>
                <w:rFonts w:ascii="Times New Roman" w:hAnsi="Times New Roman" w:cs="Times New Roman"/>
              </w:rPr>
            </w:pPr>
            <w:r w:rsidRPr="00677BD6">
              <w:rPr>
                <w:rFonts w:ascii="Times New Roman" w:hAnsi="Times New Roman" w:cs="Times New Roman"/>
              </w:rPr>
              <w:t>Works Cited</w:t>
            </w:r>
          </w:p>
          <w:p w14:paraId="03E32BBD" w14:textId="63F84EC7" w:rsidR="00974116" w:rsidRPr="00677BD6" w:rsidRDefault="00974116" w:rsidP="00FD51B5">
            <w:pPr>
              <w:jc w:val="right"/>
              <w:rPr>
                <w:rFonts w:ascii="Times New Roman" w:hAnsi="Times New Roman" w:cs="Times New Roman"/>
              </w:rPr>
            </w:pPr>
          </w:p>
        </w:tc>
        <w:tc>
          <w:tcPr>
            <w:tcW w:w="6925" w:type="dxa"/>
          </w:tcPr>
          <w:p w14:paraId="3D11945A" w14:textId="1442C65F" w:rsidR="00030A68" w:rsidRPr="00677BD6" w:rsidRDefault="006E06F6" w:rsidP="006524B6">
            <w:pPr>
              <w:jc w:val="both"/>
              <w:rPr>
                <w:rFonts w:ascii="Times New Roman" w:hAnsi="Times New Roman" w:cs="Times New Roman"/>
              </w:rPr>
            </w:pPr>
            <w:r>
              <w:rPr>
                <w:rFonts w:ascii="Times New Roman" w:hAnsi="Times New Roman" w:cs="Times New Roman"/>
              </w:rPr>
              <w:t xml:space="preserve">……………………………………………………………………. </w:t>
            </w:r>
            <w:r w:rsidR="00AF17A7">
              <w:rPr>
                <w:rFonts w:ascii="Times New Roman" w:hAnsi="Times New Roman" w:cs="Times New Roman"/>
              </w:rPr>
              <w:t>31</w:t>
            </w:r>
          </w:p>
        </w:tc>
      </w:tr>
      <w:tr w:rsidR="00030A68" w14:paraId="4650C29E" w14:textId="77777777" w:rsidTr="00DB4904">
        <w:tc>
          <w:tcPr>
            <w:tcW w:w="2425" w:type="dxa"/>
            <w:gridSpan w:val="3"/>
          </w:tcPr>
          <w:p w14:paraId="150AE29F" w14:textId="21977A58" w:rsidR="00030A68" w:rsidRPr="00677BD6" w:rsidRDefault="00974116" w:rsidP="00FD51B5">
            <w:pPr>
              <w:jc w:val="right"/>
              <w:rPr>
                <w:rFonts w:ascii="Times New Roman" w:hAnsi="Times New Roman" w:cs="Times New Roman"/>
              </w:rPr>
            </w:pPr>
            <w:r w:rsidRPr="00677BD6">
              <w:rPr>
                <w:rFonts w:ascii="Times New Roman" w:hAnsi="Times New Roman" w:cs="Times New Roman"/>
              </w:rPr>
              <w:t xml:space="preserve">Figures </w:t>
            </w:r>
            <w:r w:rsidR="00A50111" w:rsidRPr="00677BD6">
              <w:rPr>
                <w:rFonts w:ascii="Times New Roman" w:hAnsi="Times New Roman" w:cs="Times New Roman"/>
              </w:rPr>
              <w:t>&amp;</w:t>
            </w:r>
            <w:r w:rsidR="006E06F6">
              <w:rPr>
                <w:rFonts w:ascii="Times New Roman" w:hAnsi="Times New Roman" w:cs="Times New Roman"/>
              </w:rPr>
              <w:t xml:space="preserve"> </w:t>
            </w:r>
            <w:r w:rsidRPr="00677BD6">
              <w:rPr>
                <w:rFonts w:ascii="Times New Roman" w:hAnsi="Times New Roman" w:cs="Times New Roman"/>
              </w:rPr>
              <w:t>Tables</w:t>
            </w:r>
          </w:p>
          <w:p w14:paraId="361A64D9" w14:textId="342BF2B5" w:rsidR="00974116" w:rsidRPr="00677BD6" w:rsidRDefault="00974116" w:rsidP="00FD51B5">
            <w:pPr>
              <w:jc w:val="right"/>
              <w:rPr>
                <w:rFonts w:ascii="Times New Roman" w:hAnsi="Times New Roman" w:cs="Times New Roman"/>
              </w:rPr>
            </w:pPr>
          </w:p>
        </w:tc>
        <w:tc>
          <w:tcPr>
            <w:tcW w:w="6925" w:type="dxa"/>
          </w:tcPr>
          <w:p w14:paraId="2D9B9FDE" w14:textId="4153A149" w:rsidR="00030A68" w:rsidRPr="00677BD6" w:rsidRDefault="006E06F6" w:rsidP="006524B6">
            <w:pPr>
              <w:jc w:val="both"/>
              <w:rPr>
                <w:rFonts w:ascii="Times New Roman" w:hAnsi="Times New Roman" w:cs="Times New Roman"/>
              </w:rPr>
            </w:pPr>
            <w:r>
              <w:rPr>
                <w:rFonts w:ascii="Times New Roman" w:hAnsi="Times New Roman" w:cs="Times New Roman"/>
              </w:rPr>
              <w:t xml:space="preserve">……………………………………………………………………. </w:t>
            </w:r>
            <w:r w:rsidR="00AF17A7">
              <w:rPr>
                <w:rFonts w:ascii="Times New Roman" w:hAnsi="Times New Roman" w:cs="Times New Roman"/>
              </w:rPr>
              <w:t>42</w:t>
            </w:r>
          </w:p>
        </w:tc>
      </w:tr>
      <w:tr w:rsidR="00030A68" w14:paraId="4D213780" w14:textId="77777777" w:rsidTr="00DB4904">
        <w:tc>
          <w:tcPr>
            <w:tcW w:w="1255" w:type="dxa"/>
          </w:tcPr>
          <w:p w14:paraId="67B62C19" w14:textId="77777777" w:rsidR="00030A68" w:rsidRPr="00677BD6" w:rsidRDefault="00030A68" w:rsidP="00E90576">
            <w:pPr>
              <w:jc w:val="center"/>
              <w:rPr>
                <w:rFonts w:ascii="Times New Roman" w:hAnsi="Times New Roman" w:cs="Times New Roman"/>
              </w:rPr>
            </w:pPr>
          </w:p>
          <w:p w14:paraId="2ABE6BB4" w14:textId="72262084" w:rsidR="007A70DF" w:rsidRPr="00410D1B" w:rsidRDefault="007A70DF" w:rsidP="007A70DF">
            <w:pPr>
              <w:rPr>
                <w:rFonts w:ascii="Times New Roman" w:hAnsi="Times New Roman" w:cs="Times New Roman"/>
                <w:b/>
                <w:bCs/>
              </w:rPr>
            </w:pPr>
            <w:r w:rsidRPr="00410D1B">
              <w:rPr>
                <w:rFonts w:ascii="Times New Roman" w:hAnsi="Times New Roman" w:cs="Times New Roman"/>
                <w:b/>
                <w:bCs/>
              </w:rPr>
              <w:t>Chapter 2</w:t>
            </w:r>
          </w:p>
          <w:p w14:paraId="2346FF5E" w14:textId="52C6ABEC" w:rsidR="007A70DF" w:rsidRPr="00677BD6" w:rsidRDefault="007A70DF" w:rsidP="00E90576">
            <w:pPr>
              <w:jc w:val="center"/>
              <w:rPr>
                <w:rFonts w:ascii="Times New Roman" w:hAnsi="Times New Roman" w:cs="Times New Roman"/>
              </w:rPr>
            </w:pPr>
          </w:p>
        </w:tc>
        <w:tc>
          <w:tcPr>
            <w:tcW w:w="8095" w:type="dxa"/>
            <w:gridSpan w:val="3"/>
          </w:tcPr>
          <w:p w14:paraId="7887288F" w14:textId="77777777" w:rsidR="00030A68" w:rsidRDefault="00030A68" w:rsidP="006524B6">
            <w:pPr>
              <w:jc w:val="both"/>
              <w:rPr>
                <w:rFonts w:ascii="Times New Roman" w:hAnsi="Times New Roman" w:cs="Times New Roman"/>
              </w:rPr>
            </w:pPr>
          </w:p>
          <w:p w14:paraId="2A1FC2FF" w14:textId="6EABADCB" w:rsidR="001E212D" w:rsidRDefault="001E212D" w:rsidP="003D0211">
            <w:pPr>
              <w:rPr>
                <w:rFonts w:ascii="Times New Roman" w:hAnsi="Times New Roman" w:cs="Times New Roman"/>
              </w:rPr>
            </w:pPr>
            <w:r w:rsidRPr="00280790">
              <w:rPr>
                <w:rFonts w:ascii="Times New Roman" w:hAnsi="Times New Roman" w:cs="Times New Roman"/>
              </w:rPr>
              <w:t>Does salinization impact long-term </w:t>
            </w:r>
            <w:r w:rsidRPr="00280790">
              <w:rPr>
                <w:rFonts w:ascii="Times New Roman" w:hAnsi="Times New Roman" w:cs="Times New Roman"/>
                <w:i/>
                <w:iCs/>
              </w:rPr>
              <w:t>Daphnia</w:t>
            </w:r>
            <w:r w:rsidRPr="00280790">
              <w:rPr>
                <w:rFonts w:ascii="Times New Roman" w:hAnsi="Times New Roman" w:cs="Times New Roman"/>
              </w:rPr>
              <w:t> assemblage dynamics? Evidence from the sediment egg bank in a small hard-water lake</w:t>
            </w:r>
            <w:r w:rsidR="003D0211">
              <w:rPr>
                <w:rFonts w:ascii="Times New Roman" w:hAnsi="Times New Roman" w:cs="Times New Roman"/>
              </w:rPr>
              <w:t xml:space="preserve"> ……………………</w:t>
            </w:r>
            <w:r w:rsidR="00123AF8">
              <w:rPr>
                <w:rFonts w:ascii="Times New Roman" w:hAnsi="Times New Roman" w:cs="Times New Roman"/>
              </w:rPr>
              <w:t>…</w:t>
            </w:r>
            <w:r w:rsidR="003D0211">
              <w:rPr>
                <w:rFonts w:ascii="Times New Roman" w:hAnsi="Times New Roman" w:cs="Times New Roman"/>
              </w:rPr>
              <w:t xml:space="preserve"> </w:t>
            </w:r>
            <w:r w:rsidR="00123AF8">
              <w:rPr>
                <w:rFonts w:ascii="Times New Roman" w:hAnsi="Times New Roman" w:cs="Times New Roman"/>
              </w:rPr>
              <w:t>50</w:t>
            </w:r>
          </w:p>
          <w:p w14:paraId="75BF7610" w14:textId="60A6C2AC" w:rsidR="00D43E7C" w:rsidRPr="00677BD6" w:rsidRDefault="00D43E7C" w:rsidP="006524B6">
            <w:pPr>
              <w:jc w:val="both"/>
              <w:rPr>
                <w:rFonts w:ascii="Times New Roman" w:hAnsi="Times New Roman" w:cs="Times New Roman"/>
              </w:rPr>
            </w:pPr>
          </w:p>
        </w:tc>
      </w:tr>
      <w:tr w:rsidR="00030A68" w14:paraId="6D7A5DD0" w14:textId="77777777" w:rsidTr="00DB4904">
        <w:tc>
          <w:tcPr>
            <w:tcW w:w="2425" w:type="dxa"/>
            <w:gridSpan w:val="3"/>
          </w:tcPr>
          <w:p w14:paraId="562D4690" w14:textId="77777777" w:rsidR="00030A68" w:rsidRPr="00677BD6" w:rsidRDefault="007A70DF" w:rsidP="00FD51B5">
            <w:pPr>
              <w:jc w:val="right"/>
              <w:rPr>
                <w:rFonts w:ascii="Times New Roman" w:hAnsi="Times New Roman" w:cs="Times New Roman"/>
              </w:rPr>
            </w:pPr>
            <w:r w:rsidRPr="00677BD6">
              <w:rPr>
                <w:rFonts w:ascii="Times New Roman" w:hAnsi="Times New Roman" w:cs="Times New Roman"/>
              </w:rPr>
              <w:t>Abstract</w:t>
            </w:r>
          </w:p>
          <w:p w14:paraId="0E5B14BA" w14:textId="042D3A96" w:rsidR="007A70DF" w:rsidRPr="00677BD6" w:rsidRDefault="007A70DF" w:rsidP="00FD51B5">
            <w:pPr>
              <w:jc w:val="right"/>
              <w:rPr>
                <w:rFonts w:ascii="Times New Roman" w:hAnsi="Times New Roman" w:cs="Times New Roman"/>
              </w:rPr>
            </w:pPr>
          </w:p>
        </w:tc>
        <w:tc>
          <w:tcPr>
            <w:tcW w:w="6925" w:type="dxa"/>
          </w:tcPr>
          <w:p w14:paraId="5736D446" w14:textId="380D35C7" w:rsidR="00030A68" w:rsidRPr="00677BD6" w:rsidRDefault="00123AF8" w:rsidP="006524B6">
            <w:pPr>
              <w:jc w:val="both"/>
              <w:rPr>
                <w:rFonts w:ascii="Times New Roman" w:hAnsi="Times New Roman" w:cs="Times New Roman"/>
              </w:rPr>
            </w:pPr>
            <w:r>
              <w:rPr>
                <w:rFonts w:ascii="Times New Roman" w:hAnsi="Times New Roman" w:cs="Times New Roman"/>
              </w:rPr>
              <w:t>……………………………………………………………………. 51</w:t>
            </w:r>
          </w:p>
        </w:tc>
      </w:tr>
      <w:tr w:rsidR="00030A68" w14:paraId="76E092D7" w14:textId="77777777" w:rsidTr="00DB4904">
        <w:tc>
          <w:tcPr>
            <w:tcW w:w="2425" w:type="dxa"/>
            <w:gridSpan w:val="3"/>
          </w:tcPr>
          <w:p w14:paraId="2EB3AC0E" w14:textId="77777777" w:rsidR="00030A68" w:rsidRPr="00677BD6" w:rsidRDefault="007A70DF" w:rsidP="00FD51B5">
            <w:pPr>
              <w:jc w:val="right"/>
              <w:rPr>
                <w:rFonts w:ascii="Times New Roman" w:hAnsi="Times New Roman" w:cs="Times New Roman"/>
              </w:rPr>
            </w:pPr>
            <w:r w:rsidRPr="00677BD6">
              <w:rPr>
                <w:rFonts w:ascii="Times New Roman" w:hAnsi="Times New Roman" w:cs="Times New Roman"/>
              </w:rPr>
              <w:t>Introduction</w:t>
            </w:r>
          </w:p>
          <w:p w14:paraId="0A6DF358" w14:textId="39BD5005" w:rsidR="007A70DF" w:rsidRPr="00677BD6" w:rsidRDefault="007A70DF" w:rsidP="00FD51B5">
            <w:pPr>
              <w:jc w:val="right"/>
              <w:rPr>
                <w:rFonts w:ascii="Times New Roman" w:hAnsi="Times New Roman" w:cs="Times New Roman"/>
              </w:rPr>
            </w:pPr>
          </w:p>
        </w:tc>
        <w:tc>
          <w:tcPr>
            <w:tcW w:w="6925" w:type="dxa"/>
          </w:tcPr>
          <w:p w14:paraId="371D3755" w14:textId="12C4B741" w:rsidR="00030A68" w:rsidRPr="00677BD6" w:rsidRDefault="00123AF8" w:rsidP="006524B6">
            <w:pPr>
              <w:jc w:val="both"/>
              <w:rPr>
                <w:rFonts w:ascii="Times New Roman" w:hAnsi="Times New Roman" w:cs="Times New Roman"/>
              </w:rPr>
            </w:pPr>
            <w:r>
              <w:rPr>
                <w:rFonts w:ascii="Times New Roman" w:hAnsi="Times New Roman" w:cs="Times New Roman"/>
              </w:rPr>
              <w:t>……………………………………………………………………. 52</w:t>
            </w:r>
          </w:p>
        </w:tc>
      </w:tr>
      <w:tr w:rsidR="00030A68" w14:paraId="068B671C" w14:textId="77777777" w:rsidTr="00DB4904">
        <w:tc>
          <w:tcPr>
            <w:tcW w:w="2425" w:type="dxa"/>
            <w:gridSpan w:val="3"/>
          </w:tcPr>
          <w:p w14:paraId="206E2F94" w14:textId="4851CD14" w:rsidR="00192FFF" w:rsidRPr="00677BD6" w:rsidRDefault="00192FFF" w:rsidP="00FD51B5">
            <w:pPr>
              <w:jc w:val="right"/>
              <w:rPr>
                <w:rFonts w:ascii="Times New Roman" w:hAnsi="Times New Roman" w:cs="Times New Roman"/>
              </w:rPr>
            </w:pPr>
            <w:r w:rsidRPr="00677BD6">
              <w:rPr>
                <w:rFonts w:ascii="Times New Roman" w:hAnsi="Times New Roman" w:cs="Times New Roman"/>
              </w:rPr>
              <w:t>Methods</w:t>
            </w:r>
          </w:p>
        </w:tc>
        <w:tc>
          <w:tcPr>
            <w:tcW w:w="6925" w:type="dxa"/>
          </w:tcPr>
          <w:p w14:paraId="3E2402C7" w14:textId="6CCFC419" w:rsidR="00030A68" w:rsidRPr="00677BD6" w:rsidRDefault="00C767B8" w:rsidP="006524B6">
            <w:pPr>
              <w:jc w:val="both"/>
              <w:rPr>
                <w:rFonts w:ascii="Times New Roman" w:hAnsi="Times New Roman" w:cs="Times New Roman"/>
              </w:rPr>
            </w:pPr>
            <w:r>
              <w:rPr>
                <w:rFonts w:ascii="Times New Roman" w:hAnsi="Times New Roman" w:cs="Times New Roman"/>
              </w:rPr>
              <w:t>……………………………………………………………………. 54</w:t>
            </w:r>
          </w:p>
        </w:tc>
      </w:tr>
      <w:tr w:rsidR="00030A68" w14:paraId="4F96DCE6" w14:textId="77777777" w:rsidTr="00DB4904">
        <w:tc>
          <w:tcPr>
            <w:tcW w:w="2425" w:type="dxa"/>
            <w:gridSpan w:val="3"/>
          </w:tcPr>
          <w:p w14:paraId="4C921501" w14:textId="77777777" w:rsidR="00030A68" w:rsidRPr="00677BD6" w:rsidRDefault="00192FFF" w:rsidP="00FD51B5">
            <w:pPr>
              <w:jc w:val="right"/>
              <w:rPr>
                <w:rFonts w:ascii="Times New Roman" w:hAnsi="Times New Roman" w:cs="Times New Roman"/>
              </w:rPr>
            </w:pPr>
            <w:r w:rsidRPr="00677BD6">
              <w:rPr>
                <w:rFonts w:ascii="Times New Roman" w:hAnsi="Times New Roman" w:cs="Times New Roman"/>
              </w:rPr>
              <w:t>Results</w:t>
            </w:r>
          </w:p>
          <w:p w14:paraId="2CFF5658" w14:textId="30B5E154" w:rsidR="00192FFF" w:rsidRPr="00677BD6" w:rsidRDefault="00192FFF" w:rsidP="00FD51B5">
            <w:pPr>
              <w:jc w:val="right"/>
              <w:rPr>
                <w:rFonts w:ascii="Times New Roman" w:hAnsi="Times New Roman" w:cs="Times New Roman"/>
              </w:rPr>
            </w:pPr>
          </w:p>
        </w:tc>
        <w:tc>
          <w:tcPr>
            <w:tcW w:w="6925" w:type="dxa"/>
          </w:tcPr>
          <w:p w14:paraId="5AA03825" w14:textId="001DAE3E" w:rsidR="00030A68" w:rsidRPr="00677BD6" w:rsidRDefault="00C767B8" w:rsidP="006524B6">
            <w:pPr>
              <w:jc w:val="both"/>
              <w:rPr>
                <w:rFonts w:ascii="Times New Roman" w:hAnsi="Times New Roman" w:cs="Times New Roman"/>
              </w:rPr>
            </w:pPr>
            <w:r>
              <w:rPr>
                <w:rFonts w:ascii="Times New Roman" w:hAnsi="Times New Roman" w:cs="Times New Roman"/>
              </w:rPr>
              <w:lastRenderedPageBreak/>
              <w:t>……………………………………………………………………. 56</w:t>
            </w:r>
          </w:p>
        </w:tc>
      </w:tr>
      <w:tr w:rsidR="00030A68" w14:paraId="7A236392" w14:textId="77777777" w:rsidTr="00DB4904">
        <w:tc>
          <w:tcPr>
            <w:tcW w:w="2425" w:type="dxa"/>
            <w:gridSpan w:val="3"/>
          </w:tcPr>
          <w:p w14:paraId="036CEA46" w14:textId="77777777" w:rsidR="00030A68" w:rsidRPr="00677BD6" w:rsidRDefault="00192FFF" w:rsidP="00FD51B5">
            <w:pPr>
              <w:jc w:val="right"/>
              <w:rPr>
                <w:rFonts w:ascii="Times New Roman" w:hAnsi="Times New Roman" w:cs="Times New Roman"/>
              </w:rPr>
            </w:pPr>
            <w:r w:rsidRPr="00677BD6">
              <w:rPr>
                <w:rFonts w:ascii="Times New Roman" w:hAnsi="Times New Roman" w:cs="Times New Roman"/>
              </w:rPr>
              <w:t>Discussion</w:t>
            </w:r>
          </w:p>
          <w:p w14:paraId="69A54E40" w14:textId="01DC81D1" w:rsidR="00192FFF" w:rsidRPr="00677BD6" w:rsidRDefault="00192FFF" w:rsidP="00FD51B5">
            <w:pPr>
              <w:jc w:val="right"/>
              <w:rPr>
                <w:rFonts w:ascii="Times New Roman" w:hAnsi="Times New Roman" w:cs="Times New Roman"/>
              </w:rPr>
            </w:pPr>
          </w:p>
        </w:tc>
        <w:tc>
          <w:tcPr>
            <w:tcW w:w="6925" w:type="dxa"/>
          </w:tcPr>
          <w:p w14:paraId="05B7E045" w14:textId="399DF8B5" w:rsidR="00030A68" w:rsidRPr="00677BD6" w:rsidRDefault="00C767B8" w:rsidP="006524B6">
            <w:pPr>
              <w:jc w:val="both"/>
              <w:rPr>
                <w:rFonts w:ascii="Times New Roman" w:hAnsi="Times New Roman" w:cs="Times New Roman"/>
              </w:rPr>
            </w:pPr>
            <w:r>
              <w:rPr>
                <w:rFonts w:ascii="Times New Roman" w:hAnsi="Times New Roman" w:cs="Times New Roman"/>
              </w:rPr>
              <w:t>……………………………………………………………………. 58</w:t>
            </w:r>
          </w:p>
        </w:tc>
      </w:tr>
      <w:tr w:rsidR="00030A68" w14:paraId="05F5A555" w14:textId="77777777" w:rsidTr="00DB4904">
        <w:tc>
          <w:tcPr>
            <w:tcW w:w="2425" w:type="dxa"/>
            <w:gridSpan w:val="3"/>
          </w:tcPr>
          <w:p w14:paraId="50D21A0C" w14:textId="3D68BADC" w:rsidR="00030A68" w:rsidRPr="00677BD6" w:rsidRDefault="00192FFF" w:rsidP="00FD51B5">
            <w:pPr>
              <w:jc w:val="right"/>
              <w:rPr>
                <w:rFonts w:ascii="Times New Roman" w:hAnsi="Times New Roman" w:cs="Times New Roman"/>
              </w:rPr>
            </w:pPr>
            <w:r w:rsidRPr="00677BD6">
              <w:rPr>
                <w:rFonts w:ascii="Times New Roman" w:hAnsi="Times New Roman" w:cs="Times New Roman"/>
              </w:rPr>
              <w:t>Acknowledgements</w:t>
            </w:r>
          </w:p>
          <w:p w14:paraId="3AAFD432" w14:textId="7BDFB93C" w:rsidR="00192FFF" w:rsidRPr="00677BD6" w:rsidRDefault="00192FFF" w:rsidP="00FD51B5">
            <w:pPr>
              <w:jc w:val="right"/>
              <w:rPr>
                <w:rFonts w:ascii="Times New Roman" w:hAnsi="Times New Roman" w:cs="Times New Roman"/>
              </w:rPr>
            </w:pPr>
          </w:p>
        </w:tc>
        <w:tc>
          <w:tcPr>
            <w:tcW w:w="6925" w:type="dxa"/>
          </w:tcPr>
          <w:p w14:paraId="066C5B42" w14:textId="31F4E3FB" w:rsidR="00030A68" w:rsidRPr="00677BD6" w:rsidRDefault="00C767B8" w:rsidP="006524B6">
            <w:pPr>
              <w:jc w:val="both"/>
              <w:rPr>
                <w:rFonts w:ascii="Times New Roman" w:hAnsi="Times New Roman" w:cs="Times New Roman"/>
              </w:rPr>
            </w:pPr>
            <w:r>
              <w:rPr>
                <w:rFonts w:ascii="Times New Roman" w:hAnsi="Times New Roman" w:cs="Times New Roman"/>
              </w:rPr>
              <w:t xml:space="preserve">……………………………………………………………………. </w:t>
            </w:r>
            <w:r w:rsidR="00410D1B">
              <w:rPr>
                <w:rFonts w:ascii="Times New Roman" w:hAnsi="Times New Roman" w:cs="Times New Roman"/>
              </w:rPr>
              <w:t>63</w:t>
            </w:r>
          </w:p>
        </w:tc>
      </w:tr>
      <w:tr w:rsidR="00030A68" w14:paraId="4E2768D3" w14:textId="77777777" w:rsidTr="00DB4904">
        <w:tc>
          <w:tcPr>
            <w:tcW w:w="2425" w:type="dxa"/>
            <w:gridSpan w:val="3"/>
          </w:tcPr>
          <w:p w14:paraId="542A1982" w14:textId="77777777" w:rsidR="00030A68" w:rsidRPr="00677BD6" w:rsidRDefault="00192FFF" w:rsidP="00FD51B5">
            <w:pPr>
              <w:jc w:val="right"/>
              <w:rPr>
                <w:rFonts w:ascii="Times New Roman" w:hAnsi="Times New Roman" w:cs="Times New Roman"/>
              </w:rPr>
            </w:pPr>
            <w:r w:rsidRPr="00677BD6">
              <w:rPr>
                <w:rFonts w:ascii="Times New Roman" w:hAnsi="Times New Roman" w:cs="Times New Roman"/>
              </w:rPr>
              <w:t xml:space="preserve">Works </w:t>
            </w:r>
            <w:r w:rsidR="00A50111" w:rsidRPr="00677BD6">
              <w:rPr>
                <w:rFonts w:ascii="Times New Roman" w:hAnsi="Times New Roman" w:cs="Times New Roman"/>
              </w:rPr>
              <w:t>Cited</w:t>
            </w:r>
          </w:p>
          <w:p w14:paraId="3BD463C1" w14:textId="21DDC70E" w:rsidR="00A50111" w:rsidRPr="00677BD6" w:rsidRDefault="00A50111" w:rsidP="00FD51B5">
            <w:pPr>
              <w:jc w:val="right"/>
              <w:rPr>
                <w:rFonts w:ascii="Times New Roman" w:hAnsi="Times New Roman" w:cs="Times New Roman"/>
              </w:rPr>
            </w:pPr>
          </w:p>
        </w:tc>
        <w:tc>
          <w:tcPr>
            <w:tcW w:w="6925" w:type="dxa"/>
          </w:tcPr>
          <w:p w14:paraId="5E03AD97" w14:textId="0E02D943" w:rsidR="00030A68" w:rsidRPr="00677BD6" w:rsidRDefault="00410D1B" w:rsidP="006524B6">
            <w:pPr>
              <w:jc w:val="both"/>
              <w:rPr>
                <w:rFonts w:ascii="Times New Roman" w:hAnsi="Times New Roman" w:cs="Times New Roman"/>
              </w:rPr>
            </w:pPr>
            <w:r>
              <w:rPr>
                <w:rFonts w:ascii="Times New Roman" w:hAnsi="Times New Roman" w:cs="Times New Roman"/>
              </w:rPr>
              <w:t>……………………………………………………………………. 64</w:t>
            </w:r>
          </w:p>
        </w:tc>
      </w:tr>
      <w:tr w:rsidR="00030A68" w14:paraId="0C1B4743" w14:textId="77777777" w:rsidTr="00DB4904">
        <w:tc>
          <w:tcPr>
            <w:tcW w:w="2425" w:type="dxa"/>
            <w:gridSpan w:val="3"/>
          </w:tcPr>
          <w:p w14:paraId="662DD61D" w14:textId="3E5EA3E2" w:rsidR="00A50111" w:rsidRPr="00677BD6" w:rsidRDefault="00A50111" w:rsidP="00FD51B5">
            <w:pPr>
              <w:jc w:val="right"/>
              <w:rPr>
                <w:rFonts w:ascii="Times New Roman" w:hAnsi="Times New Roman" w:cs="Times New Roman"/>
              </w:rPr>
            </w:pPr>
            <w:r w:rsidRPr="00677BD6">
              <w:rPr>
                <w:rFonts w:ascii="Times New Roman" w:hAnsi="Times New Roman" w:cs="Times New Roman"/>
              </w:rPr>
              <w:t>Figures &amp; Tables</w:t>
            </w:r>
          </w:p>
          <w:p w14:paraId="58ED40DD" w14:textId="72A6057F" w:rsidR="00A50111" w:rsidRPr="00677BD6" w:rsidRDefault="00A50111" w:rsidP="00FD51B5">
            <w:pPr>
              <w:jc w:val="right"/>
              <w:rPr>
                <w:rFonts w:ascii="Times New Roman" w:hAnsi="Times New Roman" w:cs="Times New Roman"/>
              </w:rPr>
            </w:pPr>
          </w:p>
        </w:tc>
        <w:tc>
          <w:tcPr>
            <w:tcW w:w="6925" w:type="dxa"/>
          </w:tcPr>
          <w:p w14:paraId="20DE52CD" w14:textId="0DF3067E" w:rsidR="00030A68" w:rsidRPr="00677BD6" w:rsidRDefault="00410D1B" w:rsidP="006524B6">
            <w:pPr>
              <w:jc w:val="both"/>
              <w:rPr>
                <w:rFonts w:ascii="Times New Roman" w:hAnsi="Times New Roman" w:cs="Times New Roman"/>
              </w:rPr>
            </w:pPr>
            <w:r>
              <w:rPr>
                <w:rFonts w:ascii="Times New Roman" w:hAnsi="Times New Roman" w:cs="Times New Roman"/>
              </w:rPr>
              <w:t>……………………………………………………………………. 71</w:t>
            </w:r>
          </w:p>
        </w:tc>
      </w:tr>
      <w:tr w:rsidR="00030A68" w14:paraId="2A008030" w14:textId="77777777" w:rsidTr="00DB4904">
        <w:tc>
          <w:tcPr>
            <w:tcW w:w="1345" w:type="dxa"/>
            <w:gridSpan w:val="2"/>
          </w:tcPr>
          <w:p w14:paraId="789AAB19" w14:textId="77777777" w:rsidR="00030A68" w:rsidRPr="00677BD6" w:rsidRDefault="00030A68" w:rsidP="00E90576">
            <w:pPr>
              <w:jc w:val="center"/>
              <w:rPr>
                <w:rFonts w:ascii="Times New Roman" w:hAnsi="Times New Roman" w:cs="Times New Roman"/>
              </w:rPr>
            </w:pPr>
          </w:p>
          <w:p w14:paraId="60E642E8" w14:textId="1E0A1C6C" w:rsidR="00A50111" w:rsidRPr="00410D1B" w:rsidRDefault="00A50111" w:rsidP="00A50111">
            <w:pPr>
              <w:rPr>
                <w:rFonts w:ascii="Times New Roman" w:hAnsi="Times New Roman" w:cs="Times New Roman"/>
                <w:b/>
                <w:bCs/>
              </w:rPr>
            </w:pPr>
            <w:r w:rsidRPr="00410D1B">
              <w:rPr>
                <w:rFonts w:ascii="Times New Roman" w:hAnsi="Times New Roman" w:cs="Times New Roman"/>
                <w:b/>
                <w:bCs/>
              </w:rPr>
              <w:t>Chapter 3</w:t>
            </w:r>
          </w:p>
          <w:p w14:paraId="0D897F14" w14:textId="60A2CED9" w:rsidR="00A50111" w:rsidRPr="00677BD6" w:rsidRDefault="00A50111" w:rsidP="00E90576">
            <w:pPr>
              <w:jc w:val="center"/>
              <w:rPr>
                <w:rFonts w:ascii="Times New Roman" w:hAnsi="Times New Roman" w:cs="Times New Roman"/>
              </w:rPr>
            </w:pPr>
          </w:p>
        </w:tc>
        <w:tc>
          <w:tcPr>
            <w:tcW w:w="8005" w:type="dxa"/>
            <w:gridSpan w:val="2"/>
          </w:tcPr>
          <w:p w14:paraId="4B29DFCD" w14:textId="77777777" w:rsidR="00030A68" w:rsidRDefault="00030A68" w:rsidP="006524B6">
            <w:pPr>
              <w:jc w:val="both"/>
              <w:rPr>
                <w:rFonts w:ascii="Times New Roman" w:hAnsi="Times New Roman" w:cs="Times New Roman"/>
              </w:rPr>
            </w:pPr>
          </w:p>
          <w:p w14:paraId="2D78BFBC" w14:textId="376AD4A1" w:rsidR="00F723E2" w:rsidRDefault="00F723E2" w:rsidP="006524B6">
            <w:pPr>
              <w:jc w:val="both"/>
              <w:rPr>
                <w:rFonts w:ascii="Times New Roman" w:hAnsi="Times New Roman" w:cs="Times New Roman"/>
              </w:rPr>
            </w:pPr>
            <w:r w:rsidRPr="008B0B49">
              <w:rPr>
                <w:rFonts w:ascii="Times New Roman" w:hAnsi="Times New Roman" w:cs="Times New Roman"/>
              </w:rPr>
              <w:t>Resurrection genomics provides molecular and phenotypic evidence of rapid adaptation to salinization in a keystone aquatic species</w:t>
            </w:r>
            <w:r w:rsidR="009F6499">
              <w:rPr>
                <w:rFonts w:ascii="Times New Roman" w:hAnsi="Times New Roman" w:cs="Times New Roman"/>
              </w:rPr>
              <w:t xml:space="preserve"> …………………….. 76</w:t>
            </w:r>
          </w:p>
          <w:p w14:paraId="6EDCDC68" w14:textId="208F1DD9" w:rsidR="009F6499" w:rsidRPr="00677BD6" w:rsidRDefault="009F6499" w:rsidP="006524B6">
            <w:pPr>
              <w:jc w:val="both"/>
              <w:rPr>
                <w:rFonts w:ascii="Times New Roman" w:hAnsi="Times New Roman" w:cs="Times New Roman"/>
              </w:rPr>
            </w:pPr>
          </w:p>
        </w:tc>
      </w:tr>
      <w:tr w:rsidR="00030A68" w14:paraId="1F8F8AB3" w14:textId="77777777" w:rsidTr="00DB4904">
        <w:tc>
          <w:tcPr>
            <w:tcW w:w="2425" w:type="dxa"/>
            <w:gridSpan w:val="3"/>
          </w:tcPr>
          <w:p w14:paraId="4AA3749E" w14:textId="77777777" w:rsidR="009E4344" w:rsidRPr="00677BD6" w:rsidRDefault="00F35527" w:rsidP="00FD51B5">
            <w:pPr>
              <w:jc w:val="right"/>
              <w:rPr>
                <w:rFonts w:ascii="Times New Roman" w:hAnsi="Times New Roman" w:cs="Times New Roman"/>
              </w:rPr>
            </w:pPr>
            <w:r w:rsidRPr="00677BD6">
              <w:rPr>
                <w:rFonts w:ascii="Times New Roman" w:hAnsi="Times New Roman" w:cs="Times New Roman"/>
              </w:rPr>
              <w:t>Abstract</w:t>
            </w:r>
          </w:p>
          <w:p w14:paraId="70427565" w14:textId="3722BC6D" w:rsidR="00AA43A3" w:rsidRPr="00677BD6" w:rsidRDefault="00AA43A3" w:rsidP="00FD51B5">
            <w:pPr>
              <w:jc w:val="right"/>
              <w:rPr>
                <w:rFonts w:ascii="Times New Roman" w:hAnsi="Times New Roman" w:cs="Times New Roman"/>
              </w:rPr>
            </w:pPr>
          </w:p>
        </w:tc>
        <w:tc>
          <w:tcPr>
            <w:tcW w:w="6925" w:type="dxa"/>
          </w:tcPr>
          <w:p w14:paraId="409E9A3A" w14:textId="6A6E5199" w:rsidR="00030A68" w:rsidRPr="00677BD6" w:rsidRDefault="00887EFF" w:rsidP="006524B6">
            <w:pPr>
              <w:jc w:val="both"/>
              <w:rPr>
                <w:rFonts w:ascii="Times New Roman" w:hAnsi="Times New Roman" w:cs="Times New Roman"/>
              </w:rPr>
            </w:pPr>
            <w:r>
              <w:rPr>
                <w:rFonts w:ascii="Times New Roman" w:hAnsi="Times New Roman" w:cs="Times New Roman"/>
              </w:rPr>
              <w:t>……………………………………………………………………. 7</w:t>
            </w:r>
            <w:r w:rsidR="00733F5E">
              <w:rPr>
                <w:rFonts w:ascii="Times New Roman" w:hAnsi="Times New Roman" w:cs="Times New Roman"/>
              </w:rPr>
              <w:t>7</w:t>
            </w:r>
          </w:p>
        </w:tc>
      </w:tr>
      <w:tr w:rsidR="00030A68" w14:paraId="4C755976" w14:textId="77777777" w:rsidTr="00DB4904">
        <w:tc>
          <w:tcPr>
            <w:tcW w:w="2425" w:type="dxa"/>
            <w:gridSpan w:val="3"/>
          </w:tcPr>
          <w:p w14:paraId="18753A6D" w14:textId="2D33F892" w:rsidR="00030A68" w:rsidRPr="00677BD6" w:rsidRDefault="00AA43A3" w:rsidP="00FD51B5">
            <w:pPr>
              <w:jc w:val="right"/>
              <w:rPr>
                <w:rFonts w:ascii="Times New Roman" w:hAnsi="Times New Roman" w:cs="Times New Roman"/>
              </w:rPr>
            </w:pPr>
            <w:r w:rsidRPr="00677BD6">
              <w:rPr>
                <w:rFonts w:ascii="Times New Roman" w:hAnsi="Times New Roman" w:cs="Times New Roman"/>
              </w:rPr>
              <w:t>Introduction</w:t>
            </w:r>
          </w:p>
          <w:p w14:paraId="60C8B085" w14:textId="3605D2D0" w:rsidR="00F35527" w:rsidRPr="00677BD6" w:rsidRDefault="00F35527" w:rsidP="00FD51B5">
            <w:pPr>
              <w:jc w:val="right"/>
              <w:rPr>
                <w:rFonts w:ascii="Times New Roman" w:hAnsi="Times New Roman" w:cs="Times New Roman"/>
              </w:rPr>
            </w:pPr>
          </w:p>
        </w:tc>
        <w:tc>
          <w:tcPr>
            <w:tcW w:w="6925" w:type="dxa"/>
          </w:tcPr>
          <w:p w14:paraId="0E28C0B3" w14:textId="3BA01BE9" w:rsidR="00030A68" w:rsidRPr="00677BD6" w:rsidRDefault="00887EFF" w:rsidP="006524B6">
            <w:pPr>
              <w:jc w:val="both"/>
              <w:rPr>
                <w:rFonts w:ascii="Times New Roman" w:hAnsi="Times New Roman" w:cs="Times New Roman"/>
              </w:rPr>
            </w:pPr>
            <w:r>
              <w:rPr>
                <w:rFonts w:ascii="Times New Roman" w:hAnsi="Times New Roman" w:cs="Times New Roman"/>
              </w:rPr>
              <w:t>……………………………………………………………………. 7</w:t>
            </w:r>
            <w:r w:rsidR="00733F5E">
              <w:rPr>
                <w:rFonts w:ascii="Times New Roman" w:hAnsi="Times New Roman" w:cs="Times New Roman"/>
              </w:rPr>
              <w:t>9</w:t>
            </w:r>
          </w:p>
        </w:tc>
      </w:tr>
      <w:tr w:rsidR="00030A68" w14:paraId="5E4AA76B" w14:textId="77777777" w:rsidTr="00DB4904">
        <w:tc>
          <w:tcPr>
            <w:tcW w:w="2425" w:type="dxa"/>
            <w:gridSpan w:val="3"/>
          </w:tcPr>
          <w:p w14:paraId="0081E81B" w14:textId="4755144D" w:rsidR="00030A68" w:rsidRPr="00677BD6" w:rsidRDefault="00AA43A3" w:rsidP="00FD51B5">
            <w:pPr>
              <w:jc w:val="right"/>
              <w:rPr>
                <w:rFonts w:ascii="Times New Roman" w:hAnsi="Times New Roman" w:cs="Times New Roman"/>
              </w:rPr>
            </w:pPr>
            <w:r w:rsidRPr="00677BD6">
              <w:rPr>
                <w:rFonts w:ascii="Times New Roman" w:hAnsi="Times New Roman" w:cs="Times New Roman"/>
              </w:rPr>
              <w:t>Results</w:t>
            </w:r>
          </w:p>
          <w:p w14:paraId="4CF5D3D1" w14:textId="3DD3C6E4" w:rsidR="00AA43A3" w:rsidRPr="00677BD6" w:rsidRDefault="00AA43A3" w:rsidP="00FD51B5">
            <w:pPr>
              <w:jc w:val="right"/>
              <w:rPr>
                <w:rFonts w:ascii="Times New Roman" w:hAnsi="Times New Roman" w:cs="Times New Roman"/>
              </w:rPr>
            </w:pPr>
          </w:p>
        </w:tc>
        <w:tc>
          <w:tcPr>
            <w:tcW w:w="6925" w:type="dxa"/>
          </w:tcPr>
          <w:p w14:paraId="0DCBCB80" w14:textId="7D8DA654" w:rsidR="00030A68" w:rsidRPr="00677BD6" w:rsidRDefault="00887EFF" w:rsidP="006524B6">
            <w:pPr>
              <w:jc w:val="both"/>
              <w:rPr>
                <w:rFonts w:ascii="Times New Roman" w:hAnsi="Times New Roman" w:cs="Times New Roman"/>
              </w:rPr>
            </w:pPr>
            <w:r>
              <w:rPr>
                <w:rFonts w:ascii="Times New Roman" w:hAnsi="Times New Roman" w:cs="Times New Roman"/>
              </w:rPr>
              <w:t xml:space="preserve">……………………………………………………………………. </w:t>
            </w:r>
            <w:r w:rsidR="00733F5E">
              <w:rPr>
                <w:rFonts w:ascii="Times New Roman" w:hAnsi="Times New Roman" w:cs="Times New Roman"/>
              </w:rPr>
              <w:t>81</w:t>
            </w:r>
          </w:p>
        </w:tc>
      </w:tr>
      <w:tr w:rsidR="00030A68" w14:paraId="7D16A1FE" w14:textId="77777777" w:rsidTr="00DB4904">
        <w:tc>
          <w:tcPr>
            <w:tcW w:w="2425" w:type="dxa"/>
            <w:gridSpan w:val="3"/>
          </w:tcPr>
          <w:p w14:paraId="50365DA1" w14:textId="2F12B075" w:rsidR="00030A68" w:rsidRPr="00677BD6" w:rsidRDefault="00AA43A3" w:rsidP="00FD51B5">
            <w:pPr>
              <w:jc w:val="right"/>
              <w:rPr>
                <w:rFonts w:ascii="Times New Roman" w:hAnsi="Times New Roman" w:cs="Times New Roman"/>
              </w:rPr>
            </w:pPr>
            <w:r w:rsidRPr="00677BD6">
              <w:rPr>
                <w:rFonts w:ascii="Times New Roman" w:hAnsi="Times New Roman" w:cs="Times New Roman"/>
              </w:rPr>
              <w:t>Discussion</w:t>
            </w:r>
          </w:p>
          <w:p w14:paraId="71059D5E" w14:textId="25F8ADF5" w:rsidR="00AA43A3" w:rsidRPr="00677BD6" w:rsidRDefault="00AA43A3" w:rsidP="00FD51B5">
            <w:pPr>
              <w:jc w:val="right"/>
              <w:rPr>
                <w:rFonts w:ascii="Times New Roman" w:hAnsi="Times New Roman" w:cs="Times New Roman"/>
              </w:rPr>
            </w:pPr>
          </w:p>
        </w:tc>
        <w:tc>
          <w:tcPr>
            <w:tcW w:w="6925" w:type="dxa"/>
          </w:tcPr>
          <w:p w14:paraId="7F7315C2" w14:textId="157E13E6" w:rsidR="00030A68" w:rsidRPr="00677BD6" w:rsidRDefault="00887EFF" w:rsidP="006524B6">
            <w:pPr>
              <w:jc w:val="both"/>
              <w:rPr>
                <w:rFonts w:ascii="Times New Roman" w:hAnsi="Times New Roman" w:cs="Times New Roman"/>
              </w:rPr>
            </w:pPr>
            <w:r>
              <w:rPr>
                <w:rFonts w:ascii="Times New Roman" w:hAnsi="Times New Roman" w:cs="Times New Roman"/>
              </w:rPr>
              <w:t xml:space="preserve">……………………………………………………………………. </w:t>
            </w:r>
            <w:r w:rsidR="00733F5E">
              <w:rPr>
                <w:rFonts w:ascii="Times New Roman" w:hAnsi="Times New Roman" w:cs="Times New Roman"/>
              </w:rPr>
              <w:t>86</w:t>
            </w:r>
          </w:p>
        </w:tc>
      </w:tr>
      <w:tr w:rsidR="00030A68" w14:paraId="285807E9" w14:textId="77777777" w:rsidTr="00DB4904">
        <w:tc>
          <w:tcPr>
            <w:tcW w:w="2425" w:type="dxa"/>
            <w:gridSpan w:val="3"/>
          </w:tcPr>
          <w:p w14:paraId="1DE495AE" w14:textId="77777777" w:rsidR="00030A68" w:rsidRPr="00677BD6" w:rsidRDefault="00AA43A3" w:rsidP="00FD51B5">
            <w:pPr>
              <w:jc w:val="right"/>
              <w:rPr>
                <w:rFonts w:ascii="Times New Roman" w:hAnsi="Times New Roman" w:cs="Times New Roman"/>
              </w:rPr>
            </w:pPr>
            <w:r w:rsidRPr="00677BD6">
              <w:rPr>
                <w:rFonts w:ascii="Times New Roman" w:hAnsi="Times New Roman" w:cs="Times New Roman"/>
              </w:rPr>
              <w:t>Methods</w:t>
            </w:r>
          </w:p>
          <w:p w14:paraId="68518A7A" w14:textId="0ECB0752" w:rsidR="00AA43A3" w:rsidRPr="00677BD6" w:rsidRDefault="00AA43A3" w:rsidP="00FD51B5">
            <w:pPr>
              <w:jc w:val="right"/>
              <w:rPr>
                <w:rFonts w:ascii="Times New Roman" w:hAnsi="Times New Roman" w:cs="Times New Roman"/>
              </w:rPr>
            </w:pPr>
          </w:p>
        </w:tc>
        <w:tc>
          <w:tcPr>
            <w:tcW w:w="6925" w:type="dxa"/>
          </w:tcPr>
          <w:p w14:paraId="1B3A583E" w14:textId="3C8FAD51" w:rsidR="00030A68" w:rsidRPr="00677BD6" w:rsidRDefault="00887EFF" w:rsidP="006524B6">
            <w:pPr>
              <w:jc w:val="both"/>
              <w:rPr>
                <w:rFonts w:ascii="Times New Roman" w:hAnsi="Times New Roman" w:cs="Times New Roman"/>
              </w:rPr>
            </w:pPr>
            <w:r>
              <w:rPr>
                <w:rFonts w:ascii="Times New Roman" w:hAnsi="Times New Roman" w:cs="Times New Roman"/>
              </w:rPr>
              <w:t xml:space="preserve">……………………………………………………………………. </w:t>
            </w:r>
            <w:r w:rsidR="00733F5E">
              <w:rPr>
                <w:rFonts w:ascii="Times New Roman" w:hAnsi="Times New Roman" w:cs="Times New Roman"/>
              </w:rPr>
              <w:t>94</w:t>
            </w:r>
          </w:p>
        </w:tc>
      </w:tr>
      <w:tr w:rsidR="00030A68" w14:paraId="2E53EA10" w14:textId="77777777" w:rsidTr="00DB4904">
        <w:tc>
          <w:tcPr>
            <w:tcW w:w="2425" w:type="dxa"/>
            <w:gridSpan w:val="3"/>
          </w:tcPr>
          <w:p w14:paraId="3CE82E16" w14:textId="77777777" w:rsidR="00030A68" w:rsidRPr="00677BD6" w:rsidRDefault="00B14D90" w:rsidP="00FD51B5">
            <w:pPr>
              <w:jc w:val="right"/>
              <w:rPr>
                <w:rFonts w:ascii="Times New Roman" w:hAnsi="Times New Roman" w:cs="Times New Roman"/>
              </w:rPr>
            </w:pPr>
            <w:r w:rsidRPr="00677BD6">
              <w:rPr>
                <w:rFonts w:ascii="Times New Roman" w:hAnsi="Times New Roman" w:cs="Times New Roman"/>
              </w:rPr>
              <w:t>Acknowledgements</w:t>
            </w:r>
          </w:p>
          <w:p w14:paraId="543430C3" w14:textId="58CFF49E" w:rsidR="00B14D90" w:rsidRPr="00677BD6" w:rsidRDefault="00B14D90" w:rsidP="00FD51B5">
            <w:pPr>
              <w:jc w:val="right"/>
              <w:rPr>
                <w:rFonts w:ascii="Times New Roman" w:hAnsi="Times New Roman" w:cs="Times New Roman"/>
              </w:rPr>
            </w:pPr>
          </w:p>
        </w:tc>
        <w:tc>
          <w:tcPr>
            <w:tcW w:w="6925" w:type="dxa"/>
          </w:tcPr>
          <w:p w14:paraId="713F8EBD" w14:textId="452F34FE" w:rsidR="00030A68" w:rsidRPr="00677BD6" w:rsidRDefault="00887EFF" w:rsidP="006524B6">
            <w:pPr>
              <w:jc w:val="both"/>
              <w:rPr>
                <w:rFonts w:ascii="Times New Roman" w:hAnsi="Times New Roman" w:cs="Times New Roman"/>
              </w:rPr>
            </w:pPr>
            <w:r>
              <w:rPr>
                <w:rFonts w:ascii="Times New Roman" w:hAnsi="Times New Roman" w:cs="Times New Roman"/>
              </w:rPr>
              <w:t xml:space="preserve">……………………………………………………………………. </w:t>
            </w:r>
            <w:r w:rsidR="00733F5E">
              <w:rPr>
                <w:rFonts w:ascii="Times New Roman" w:hAnsi="Times New Roman" w:cs="Times New Roman"/>
              </w:rPr>
              <w:t>98</w:t>
            </w:r>
          </w:p>
        </w:tc>
      </w:tr>
      <w:tr w:rsidR="00030A68" w14:paraId="38EFDD0D" w14:textId="77777777" w:rsidTr="00DB4904">
        <w:tc>
          <w:tcPr>
            <w:tcW w:w="2425" w:type="dxa"/>
            <w:gridSpan w:val="3"/>
          </w:tcPr>
          <w:p w14:paraId="6201409D" w14:textId="352B46D5" w:rsidR="00030A68" w:rsidRPr="00677BD6" w:rsidRDefault="00DA2218" w:rsidP="00FD51B5">
            <w:pPr>
              <w:jc w:val="right"/>
              <w:rPr>
                <w:rFonts w:ascii="Times New Roman" w:hAnsi="Times New Roman" w:cs="Times New Roman"/>
              </w:rPr>
            </w:pPr>
            <w:r>
              <w:rPr>
                <w:rFonts w:ascii="Times New Roman" w:hAnsi="Times New Roman" w:cs="Times New Roman"/>
              </w:rPr>
              <w:t>Data Availability</w:t>
            </w:r>
          </w:p>
          <w:p w14:paraId="644735F6" w14:textId="323CCFEB" w:rsidR="00B14D90" w:rsidRPr="00677BD6" w:rsidRDefault="00B14D90" w:rsidP="00FD51B5">
            <w:pPr>
              <w:jc w:val="right"/>
              <w:rPr>
                <w:rFonts w:ascii="Times New Roman" w:hAnsi="Times New Roman" w:cs="Times New Roman"/>
              </w:rPr>
            </w:pPr>
          </w:p>
        </w:tc>
        <w:tc>
          <w:tcPr>
            <w:tcW w:w="6925" w:type="dxa"/>
          </w:tcPr>
          <w:p w14:paraId="1AEE0984" w14:textId="462F0F71" w:rsidR="00030A68" w:rsidRPr="00677BD6" w:rsidRDefault="00887EFF" w:rsidP="006524B6">
            <w:pPr>
              <w:jc w:val="both"/>
              <w:rPr>
                <w:rFonts w:ascii="Times New Roman" w:hAnsi="Times New Roman" w:cs="Times New Roman"/>
              </w:rPr>
            </w:pPr>
            <w:r>
              <w:rPr>
                <w:rFonts w:ascii="Times New Roman" w:hAnsi="Times New Roman" w:cs="Times New Roman"/>
              </w:rPr>
              <w:t xml:space="preserve">……………………………………………………………………. </w:t>
            </w:r>
            <w:r w:rsidR="00733F5E">
              <w:rPr>
                <w:rFonts w:ascii="Times New Roman" w:hAnsi="Times New Roman" w:cs="Times New Roman"/>
              </w:rPr>
              <w:t>99</w:t>
            </w:r>
          </w:p>
        </w:tc>
      </w:tr>
      <w:tr w:rsidR="00CC4027" w14:paraId="4F5F0D1F" w14:textId="77777777" w:rsidTr="00DB4904">
        <w:tc>
          <w:tcPr>
            <w:tcW w:w="2425" w:type="dxa"/>
            <w:gridSpan w:val="3"/>
          </w:tcPr>
          <w:p w14:paraId="2CF3C10C" w14:textId="77777777" w:rsidR="00887EFF" w:rsidRDefault="00DA2218" w:rsidP="00FD51B5">
            <w:pPr>
              <w:jc w:val="right"/>
              <w:rPr>
                <w:rFonts w:ascii="Times New Roman" w:hAnsi="Times New Roman" w:cs="Times New Roman"/>
              </w:rPr>
            </w:pPr>
            <w:r>
              <w:rPr>
                <w:rFonts w:ascii="Times New Roman" w:hAnsi="Times New Roman" w:cs="Times New Roman"/>
              </w:rPr>
              <w:t>Works Cited</w:t>
            </w:r>
          </w:p>
          <w:p w14:paraId="466B5E4F" w14:textId="2F53626D" w:rsidR="00DA2218" w:rsidRPr="00677BD6" w:rsidRDefault="00DA2218" w:rsidP="00FD51B5">
            <w:pPr>
              <w:jc w:val="right"/>
              <w:rPr>
                <w:rFonts w:ascii="Times New Roman" w:hAnsi="Times New Roman" w:cs="Times New Roman"/>
              </w:rPr>
            </w:pPr>
          </w:p>
        </w:tc>
        <w:tc>
          <w:tcPr>
            <w:tcW w:w="6925" w:type="dxa"/>
          </w:tcPr>
          <w:p w14:paraId="200DE035" w14:textId="5CEB79C3" w:rsidR="00CC4027" w:rsidRPr="00677BD6" w:rsidRDefault="00DA2218" w:rsidP="006524B6">
            <w:pPr>
              <w:jc w:val="both"/>
              <w:rPr>
                <w:rFonts w:ascii="Times New Roman" w:hAnsi="Times New Roman" w:cs="Times New Roman"/>
              </w:rPr>
            </w:pPr>
            <w:r>
              <w:rPr>
                <w:rFonts w:ascii="Times New Roman" w:hAnsi="Times New Roman" w:cs="Times New Roman"/>
              </w:rPr>
              <w:t xml:space="preserve">……………………………………………………………………. </w:t>
            </w:r>
            <w:r w:rsidR="00733F5E">
              <w:rPr>
                <w:rFonts w:ascii="Times New Roman" w:hAnsi="Times New Roman" w:cs="Times New Roman"/>
              </w:rPr>
              <w:t>100</w:t>
            </w:r>
          </w:p>
        </w:tc>
      </w:tr>
      <w:tr w:rsidR="00030A68" w14:paraId="6FBB9B34" w14:textId="77777777" w:rsidTr="00DB4904">
        <w:tc>
          <w:tcPr>
            <w:tcW w:w="2425" w:type="dxa"/>
            <w:gridSpan w:val="3"/>
          </w:tcPr>
          <w:p w14:paraId="33DE6E1E" w14:textId="074C2FBB" w:rsidR="00030A68" w:rsidRPr="00677BD6" w:rsidRDefault="00B14D90" w:rsidP="00FD51B5">
            <w:pPr>
              <w:jc w:val="right"/>
              <w:rPr>
                <w:rFonts w:ascii="Times New Roman" w:hAnsi="Times New Roman" w:cs="Times New Roman"/>
              </w:rPr>
            </w:pPr>
            <w:r w:rsidRPr="00677BD6">
              <w:rPr>
                <w:rFonts w:ascii="Times New Roman" w:hAnsi="Times New Roman" w:cs="Times New Roman"/>
              </w:rPr>
              <w:t>Figures &amp; Tables</w:t>
            </w:r>
          </w:p>
          <w:p w14:paraId="65001C3A" w14:textId="4145F540" w:rsidR="00B14D90" w:rsidRPr="00677BD6" w:rsidRDefault="00B14D90" w:rsidP="00FD51B5">
            <w:pPr>
              <w:jc w:val="right"/>
              <w:rPr>
                <w:rFonts w:ascii="Times New Roman" w:hAnsi="Times New Roman" w:cs="Times New Roman"/>
              </w:rPr>
            </w:pPr>
          </w:p>
        </w:tc>
        <w:tc>
          <w:tcPr>
            <w:tcW w:w="6925" w:type="dxa"/>
          </w:tcPr>
          <w:p w14:paraId="5047DB79" w14:textId="631CBB6E" w:rsidR="00030A68" w:rsidRPr="00677BD6" w:rsidRDefault="00DA2218" w:rsidP="006524B6">
            <w:pPr>
              <w:jc w:val="both"/>
              <w:rPr>
                <w:rFonts w:ascii="Times New Roman" w:hAnsi="Times New Roman" w:cs="Times New Roman"/>
              </w:rPr>
            </w:pPr>
            <w:r>
              <w:rPr>
                <w:rFonts w:ascii="Times New Roman" w:hAnsi="Times New Roman" w:cs="Times New Roman"/>
              </w:rPr>
              <w:t xml:space="preserve">……………………………………………………………………. </w:t>
            </w:r>
            <w:r w:rsidR="004036CF">
              <w:rPr>
                <w:rFonts w:ascii="Times New Roman" w:hAnsi="Times New Roman" w:cs="Times New Roman"/>
              </w:rPr>
              <w:t>106</w:t>
            </w:r>
          </w:p>
        </w:tc>
      </w:tr>
      <w:tr w:rsidR="00030A68" w14:paraId="51B5CDDC" w14:textId="77777777" w:rsidTr="00DB4904">
        <w:tc>
          <w:tcPr>
            <w:tcW w:w="2425" w:type="dxa"/>
            <w:gridSpan w:val="3"/>
          </w:tcPr>
          <w:p w14:paraId="270E5B19" w14:textId="77777777" w:rsidR="00030A68" w:rsidRPr="00677BD6" w:rsidRDefault="00030A68" w:rsidP="00E90576">
            <w:pPr>
              <w:jc w:val="center"/>
              <w:rPr>
                <w:rFonts w:ascii="Times New Roman" w:hAnsi="Times New Roman" w:cs="Times New Roman"/>
              </w:rPr>
            </w:pPr>
          </w:p>
          <w:p w14:paraId="2157DCCF" w14:textId="77777777" w:rsidR="00135C0D" w:rsidRPr="00410D1B" w:rsidRDefault="00135C0D" w:rsidP="00135C0D">
            <w:pPr>
              <w:rPr>
                <w:rFonts w:ascii="Times New Roman" w:hAnsi="Times New Roman" w:cs="Times New Roman"/>
                <w:b/>
                <w:bCs/>
              </w:rPr>
            </w:pPr>
            <w:r w:rsidRPr="00410D1B">
              <w:rPr>
                <w:rFonts w:ascii="Times New Roman" w:hAnsi="Times New Roman" w:cs="Times New Roman"/>
                <w:b/>
                <w:bCs/>
              </w:rPr>
              <w:t>Synthesis</w:t>
            </w:r>
          </w:p>
          <w:p w14:paraId="0B3E0976" w14:textId="7E370F6E" w:rsidR="00135C0D" w:rsidRPr="00677BD6" w:rsidRDefault="00135C0D" w:rsidP="00135C0D">
            <w:pPr>
              <w:rPr>
                <w:rFonts w:ascii="Times New Roman" w:hAnsi="Times New Roman" w:cs="Times New Roman"/>
              </w:rPr>
            </w:pPr>
          </w:p>
        </w:tc>
        <w:tc>
          <w:tcPr>
            <w:tcW w:w="6925" w:type="dxa"/>
          </w:tcPr>
          <w:p w14:paraId="189A909D" w14:textId="77777777" w:rsidR="00030A68" w:rsidRDefault="00030A68" w:rsidP="006524B6">
            <w:pPr>
              <w:jc w:val="both"/>
              <w:rPr>
                <w:rFonts w:ascii="Times New Roman" w:hAnsi="Times New Roman" w:cs="Times New Roman"/>
              </w:rPr>
            </w:pPr>
          </w:p>
          <w:p w14:paraId="65FDB92D" w14:textId="150DF6C2" w:rsidR="00452D67" w:rsidRPr="00677BD6" w:rsidRDefault="00452D67" w:rsidP="006524B6">
            <w:pPr>
              <w:jc w:val="both"/>
              <w:rPr>
                <w:rFonts w:ascii="Times New Roman" w:hAnsi="Times New Roman" w:cs="Times New Roman"/>
              </w:rPr>
            </w:pPr>
            <w:r>
              <w:rPr>
                <w:rFonts w:ascii="Times New Roman" w:hAnsi="Times New Roman" w:cs="Times New Roman"/>
              </w:rPr>
              <w:t xml:space="preserve">……………………………………………………………………. </w:t>
            </w:r>
            <w:r w:rsidR="003C2FB4">
              <w:rPr>
                <w:rFonts w:ascii="Times New Roman" w:hAnsi="Times New Roman" w:cs="Times New Roman"/>
              </w:rPr>
              <w:t>110</w:t>
            </w:r>
          </w:p>
        </w:tc>
      </w:tr>
      <w:tr w:rsidR="00030A68" w14:paraId="73468F5C" w14:textId="77777777" w:rsidTr="00DB4904">
        <w:tc>
          <w:tcPr>
            <w:tcW w:w="2425" w:type="dxa"/>
            <w:gridSpan w:val="3"/>
          </w:tcPr>
          <w:p w14:paraId="215B2A87" w14:textId="77777777" w:rsidR="00030A68" w:rsidRPr="00677BD6" w:rsidRDefault="00030A68" w:rsidP="00D96B0A">
            <w:pPr>
              <w:rPr>
                <w:rFonts w:ascii="Times New Roman" w:hAnsi="Times New Roman" w:cs="Times New Roman"/>
              </w:rPr>
            </w:pPr>
          </w:p>
          <w:p w14:paraId="079C0F4C" w14:textId="67773C45" w:rsidR="00B41E17" w:rsidRPr="00410D1B" w:rsidRDefault="00B41E17" w:rsidP="00D96B0A">
            <w:pPr>
              <w:rPr>
                <w:rFonts w:ascii="Times New Roman" w:hAnsi="Times New Roman" w:cs="Times New Roman"/>
                <w:b/>
                <w:bCs/>
              </w:rPr>
            </w:pPr>
            <w:r w:rsidRPr="00410D1B">
              <w:rPr>
                <w:rFonts w:ascii="Times New Roman" w:hAnsi="Times New Roman" w:cs="Times New Roman"/>
                <w:b/>
                <w:bCs/>
              </w:rPr>
              <w:t>Appendix 1</w:t>
            </w:r>
          </w:p>
          <w:p w14:paraId="46A75AF2" w14:textId="4B6F4AF9" w:rsidR="00B41E17" w:rsidRPr="00677BD6" w:rsidRDefault="00B41E17" w:rsidP="00D96B0A">
            <w:pPr>
              <w:rPr>
                <w:rFonts w:ascii="Times New Roman" w:hAnsi="Times New Roman" w:cs="Times New Roman"/>
              </w:rPr>
            </w:pPr>
          </w:p>
        </w:tc>
        <w:tc>
          <w:tcPr>
            <w:tcW w:w="6925" w:type="dxa"/>
          </w:tcPr>
          <w:p w14:paraId="5B5AED7D" w14:textId="77777777" w:rsidR="00030A68" w:rsidRDefault="00030A68" w:rsidP="006524B6">
            <w:pPr>
              <w:jc w:val="both"/>
              <w:rPr>
                <w:rFonts w:ascii="Times New Roman" w:hAnsi="Times New Roman" w:cs="Times New Roman"/>
              </w:rPr>
            </w:pPr>
          </w:p>
          <w:p w14:paraId="1D58D094" w14:textId="09670641" w:rsidR="004431B2" w:rsidRPr="003C2FB4" w:rsidRDefault="004431B2" w:rsidP="006524B6">
            <w:pPr>
              <w:jc w:val="both"/>
              <w:rPr>
                <w:rFonts w:ascii="Times New Roman" w:hAnsi="Times New Roman" w:cs="Times New Roman"/>
              </w:rPr>
            </w:pPr>
            <w:r w:rsidRPr="003C2FB4">
              <w:rPr>
                <w:rFonts w:ascii="Times New Roman" w:hAnsi="Times New Roman" w:cs="Times New Roman"/>
              </w:rPr>
              <w:t>Supplemental Materials to Chapter 1</w:t>
            </w:r>
            <w:r w:rsidR="003C2FB4">
              <w:rPr>
                <w:rFonts w:ascii="Times New Roman" w:hAnsi="Times New Roman" w:cs="Times New Roman"/>
              </w:rPr>
              <w:t xml:space="preserve"> ……………………………. 113</w:t>
            </w:r>
          </w:p>
        </w:tc>
      </w:tr>
      <w:tr w:rsidR="00030A68" w14:paraId="0AF5D367" w14:textId="77777777" w:rsidTr="00DB4904">
        <w:tc>
          <w:tcPr>
            <w:tcW w:w="2425" w:type="dxa"/>
            <w:gridSpan w:val="3"/>
          </w:tcPr>
          <w:p w14:paraId="48187319" w14:textId="77777777" w:rsidR="00030A68" w:rsidRPr="00677BD6" w:rsidRDefault="00B41E17" w:rsidP="00FD51B5">
            <w:pPr>
              <w:jc w:val="right"/>
              <w:rPr>
                <w:rFonts w:ascii="Times New Roman" w:hAnsi="Times New Roman" w:cs="Times New Roman"/>
              </w:rPr>
            </w:pPr>
            <w:r w:rsidRPr="00677BD6">
              <w:rPr>
                <w:rFonts w:ascii="Times New Roman" w:hAnsi="Times New Roman" w:cs="Times New Roman"/>
              </w:rPr>
              <w:t>Methods</w:t>
            </w:r>
          </w:p>
          <w:p w14:paraId="74F6B534" w14:textId="070E3BCA" w:rsidR="00B41E17" w:rsidRPr="00677BD6" w:rsidRDefault="00B41E17" w:rsidP="00FD51B5">
            <w:pPr>
              <w:jc w:val="right"/>
              <w:rPr>
                <w:rFonts w:ascii="Times New Roman" w:hAnsi="Times New Roman" w:cs="Times New Roman"/>
              </w:rPr>
            </w:pPr>
          </w:p>
        </w:tc>
        <w:tc>
          <w:tcPr>
            <w:tcW w:w="6925" w:type="dxa"/>
          </w:tcPr>
          <w:p w14:paraId="3792849A" w14:textId="7FBFF89E" w:rsidR="00030A68" w:rsidRPr="00677BD6" w:rsidRDefault="003C2FB4" w:rsidP="006524B6">
            <w:pPr>
              <w:jc w:val="both"/>
              <w:rPr>
                <w:rFonts w:ascii="Times New Roman" w:hAnsi="Times New Roman" w:cs="Times New Roman"/>
              </w:rPr>
            </w:pPr>
            <w:r>
              <w:rPr>
                <w:rFonts w:ascii="Times New Roman" w:hAnsi="Times New Roman" w:cs="Times New Roman"/>
              </w:rPr>
              <w:t>……………………………………………………………………. 1</w:t>
            </w:r>
            <w:r w:rsidR="00FA1882">
              <w:rPr>
                <w:rFonts w:ascii="Times New Roman" w:hAnsi="Times New Roman" w:cs="Times New Roman"/>
              </w:rPr>
              <w:t>14</w:t>
            </w:r>
          </w:p>
        </w:tc>
      </w:tr>
      <w:tr w:rsidR="00030A68" w14:paraId="30CE8599" w14:textId="77777777" w:rsidTr="00DB4904">
        <w:tc>
          <w:tcPr>
            <w:tcW w:w="2425" w:type="dxa"/>
            <w:gridSpan w:val="3"/>
          </w:tcPr>
          <w:p w14:paraId="35091A83" w14:textId="77777777" w:rsidR="00030A68" w:rsidRPr="00677BD6" w:rsidRDefault="00B41E17" w:rsidP="00FD51B5">
            <w:pPr>
              <w:jc w:val="right"/>
              <w:rPr>
                <w:rFonts w:ascii="Times New Roman" w:hAnsi="Times New Roman" w:cs="Times New Roman"/>
              </w:rPr>
            </w:pPr>
            <w:r w:rsidRPr="00677BD6">
              <w:rPr>
                <w:rFonts w:ascii="Times New Roman" w:hAnsi="Times New Roman" w:cs="Times New Roman"/>
              </w:rPr>
              <w:t>Figures</w:t>
            </w:r>
          </w:p>
          <w:p w14:paraId="13BBC686" w14:textId="2B569E71" w:rsidR="00B41E17" w:rsidRPr="00677BD6" w:rsidRDefault="00B41E17" w:rsidP="00FD51B5">
            <w:pPr>
              <w:jc w:val="right"/>
              <w:rPr>
                <w:rFonts w:ascii="Times New Roman" w:hAnsi="Times New Roman" w:cs="Times New Roman"/>
              </w:rPr>
            </w:pPr>
          </w:p>
        </w:tc>
        <w:tc>
          <w:tcPr>
            <w:tcW w:w="6925" w:type="dxa"/>
          </w:tcPr>
          <w:p w14:paraId="25BBCDAF" w14:textId="0B019988" w:rsidR="00030A68" w:rsidRPr="00677BD6" w:rsidRDefault="00FA1882" w:rsidP="006524B6">
            <w:pPr>
              <w:jc w:val="both"/>
              <w:rPr>
                <w:rFonts w:ascii="Times New Roman" w:hAnsi="Times New Roman" w:cs="Times New Roman"/>
              </w:rPr>
            </w:pPr>
            <w:r>
              <w:rPr>
                <w:rFonts w:ascii="Times New Roman" w:hAnsi="Times New Roman" w:cs="Times New Roman"/>
              </w:rPr>
              <w:t>……………………………………………………………………. 116</w:t>
            </w:r>
          </w:p>
        </w:tc>
      </w:tr>
      <w:tr w:rsidR="00030A68" w14:paraId="2F26475F" w14:textId="77777777" w:rsidTr="00DB4904">
        <w:tc>
          <w:tcPr>
            <w:tcW w:w="2425" w:type="dxa"/>
            <w:gridSpan w:val="3"/>
          </w:tcPr>
          <w:p w14:paraId="0EF178CF" w14:textId="77777777" w:rsidR="00030A68" w:rsidRPr="00677BD6" w:rsidRDefault="00B41E17" w:rsidP="00FD51B5">
            <w:pPr>
              <w:jc w:val="right"/>
              <w:rPr>
                <w:rFonts w:ascii="Times New Roman" w:hAnsi="Times New Roman" w:cs="Times New Roman"/>
              </w:rPr>
            </w:pPr>
            <w:r w:rsidRPr="00677BD6">
              <w:rPr>
                <w:rFonts w:ascii="Times New Roman" w:hAnsi="Times New Roman" w:cs="Times New Roman"/>
              </w:rPr>
              <w:t>Tables</w:t>
            </w:r>
          </w:p>
          <w:p w14:paraId="7DE7FBF2" w14:textId="3E81A706" w:rsidR="00B41E17" w:rsidRPr="00677BD6" w:rsidRDefault="00B41E17" w:rsidP="00FD51B5">
            <w:pPr>
              <w:jc w:val="right"/>
              <w:rPr>
                <w:rFonts w:ascii="Times New Roman" w:hAnsi="Times New Roman" w:cs="Times New Roman"/>
              </w:rPr>
            </w:pPr>
          </w:p>
        </w:tc>
        <w:tc>
          <w:tcPr>
            <w:tcW w:w="6925" w:type="dxa"/>
          </w:tcPr>
          <w:p w14:paraId="47B96A0D" w14:textId="40880721" w:rsidR="00030A68" w:rsidRPr="00677BD6" w:rsidRDefault="00FA1882" w:rsidP="006524B6">
            <w:pPr>
              <w:jc w:val="both"/>
              <w:rPr>
                <w:rFonts w:ascii="Times New Roman" w:hAnsi="Times New Roman" w:cs="Times New Roman"/>
              </w:rPr>
            </w:pPr>
            <w:r>
              <w:rPr>
                <w:rFonts w:ascii="Times New Roman" w:hAnsi="Times New Roman" w:cs="Times New Roman"/>
              </w:rPr>
              <w:t>……………………………………………………………………. 147</w:t>
            </w:r>
          </w:p>
        </w:tc>
      </w:tr>
      <w:tr w:rsidR="00030A68" w14:paraId="735F30F2" w14:textId="77777777" w:rsidTr="00DB4904">
        <w:tc>
          <w:tcPr>
            <w:tcW w:w="2425" w:type="dxa"/>
            <w:gridSpan w:val="3"/>
          </w:tcPr>
          <w:p w14:paraId="70240049" w14:textId="77777777" w:rsidR="00030A68" w:rsidRPr="00677BD6" w:rsidRDefault="00B41E17" w:rsidP="00FD51B5">
            <w:pPr>
              <w:jc w:val="right"/>
              <w:rPr>
                <w:rFonts w:ascii="Times New Roman" w:hAnsi="Times New Roman" w:cs="Times New Roman"/>
              </w:rPr>
            </w:pPr>
            <w:r w:rsidRPr="00677BD6">
              <w:rPr>
                <w:rFonts w:ascii="Times New Roman" w:hAnsi="Times New Roman" w:cs="Times New Roman"/>
              </w:rPr>
              <w:t>Works Cited</w:t>
            </w:r>
          </w:p>
          <w:p w14:paraId="6A8CC866" w14:textId="30F6338A" w:rsidR="00B41E17" w:rsidRPr="00677BD6" w:rsidRDefault="00B41E17" w:rsidP="00FD51B5">
            <w:pPr>
              <w:jc w:val="right"/>
              <w:rPr>
                <w:rFonts w:ascii="Times New Roman" w:hAnsi="Times New Roman" w:cs="Times New Roman"/>
              </w:rPr>
            </w:pPr>
          </w:p>
        </w:tc>
        <w:tc>
          <w:tcPr>
            <w:tcW w:w="6925" w:type="dxa"/>
          </w:tcPr>
          <w:p w14:paraId="35F0D66F" w14:textId="2740B1A3" w:rsidR="00030A68" w:rsidRPr="00677BD6" w:rsidRDefault="00FA1882" w:rsidP="006524B6">
            <w:pPr>
              <w:jc w:val="both"/>
              <w:rPr>
                <w:rFonts w:ascii="Times New Roman" w:hAnsi="Times New Roman" w:cs="Times New Roman"/>
              </w:rPr>
            </w:pPr>
            <w:r>
              <w:rPr>
                <w:rFonts w:ascii="Times New Roman" w:hAnsi="Times New Roman" w:cs="Times New Roman"/>
              </w:rPr>
              <w:t>……………………………………………………………………. 156</w:t>
            </w:r>
          </w:p>
        </w:tc>
      </w:tr>
      <w:tr w:rsidR="00030A68" w14:paraId="4F70855A" w14:textId="77777777" w:rsidTr="00DB4904">
        <w:tc>
          <w:tcPr>
            <w:tcW w:w="2425" w:type="dxa"/>
            <w:gridSpan w:val="3"/>
          </w:tcPr>
          <w:p w14:paraId="1C1010F6" w14:textId="77777777" w:rsidR="00030A68" w:rsidRPr="00677BD6" w:rsidRDefault="00030A68" w:rsidP="00E90576">
            <w:pPr>
              <w:jc w:val="center"/>
              <w:rPr>
                <w:rFonts w:ascii="Times New Roman" w:hAnsi="Times New Roman" w:cs="Times New Roman"/>
              </w:rPr>
            </w:pPr>
          </w:p>
          <w:p w14:paraId="7A314593" w14:textId="5685D633" w:rsidR="00B41E17" w:rsidRPr="00410D1B" w:rsidRDefault="00B41E17" w:rsidP="00B41E17">
            <w:pPr>
              <w:rPr>
                <w:rFonts w:ascii="Times New Roman" w:hAnsi="Times New Roman" w:cs="Times New Roman"/>
                <w:b/>
                <w:bCs/>
              </w:rPr>
            </w:pPr>
            <w:r w:rsidRPr="00410D1B">
              <w:rPr>
                <w:rFonts w:ascii="Times New Roman" w:hAnsi="Times New Roman" w:cs="Times New Roman"/>
                <w:b/>
                <w:bCs/>
              </w:rPr>
              <w:lastRenderedPageBreak/>
              <w:t>Appendix 2</w:t>
            </w:r>
          </w:p>
          <w:p w14:paraId="25E59ED7" w14:textId="376D610F" w:rsidR="000154A6" w:rsidRPr="00677BD6" w:rsidRDefault="000154A6" w:rsidP="00B41E17">
            <w:pPr>
              <w:rPr>
                <w:rFonts w:ascii="Times New Roman" w:hAnsi="Times New Roman" w:cs="Times New Roman"/>
              </w:rPr>
            </w:pPr>
          </w:p>
        </w:tc>
        <w:tc>
          <w:tcPr>
            <w:tcW w:w="6925" w:type="dxa"/>
          </w:tcPr>
          <w:p w14:paraId="1F9C5CCD" w14:textId="77777777" w:rsidR="00030A68" w:rsidRDefault="00030A68" w:rsidP="006524B6">
            <w:pPr>
              <w:jc w:val="both"/>
              <w:rPr>
                <w:rFonts w:ascii="Times New Roman" w:hAnsi="Times New Roman" w:cs="Times New Roman"/>
              </w:rPr>
            </w:pPr>
          </w:p>
          <w:p w14:paraId="750B595F" w14:textId="65F619AA" w:rsidR="00FA1882" w:rsidRPr="00F14F55" w:rsidRDefault="00F14F55" w:rsidP="006524B6">
            <w:pPr>
              <w:jc w:val="both"/>
              <w:rPr>
                <w:rFonts w:ascii="Times New Roman" w:hAnsi="Times New Roman" w:cs="Times New Roman"/>
              </w:rPr>
            </w:pPr>
            <w:r w:rsidRPr="00F14F55">
              <w:rPr>
                <w:rFonts w:ascii="Times New Roman" w:hAnsi="Times New Roman" w:cs="Times New Roman"/>
              </w:rPr>
              <w:lastRenderedPageBreak/>
              <w:t>Supplemental Materials for Chapter 2</w:t>
            </w:r>
            <w:r>
              <w:rPr>
                <w:rFonts w:ascii="Times New Roman" w:hAnsi="Times New Roman" w:cs="Times New Roman"/>
              </w:rPr>
              <w:t xml:space="preserve"> …………………………</w:t>
            </w:r>
            <w:r w:rsidR="00015C32">
              <w:rPr>
                <w:rFonts w:ascii="Times New Roman" w:hAnsi="Times New Roman" w:cs="Times New Roman"/>
              </w:rPr>
              <w:t>…</w:t>
            </w:r>
            <w:r>
              <w:rPr>
                <w:rFonts w:ascii="Times New Roman" w:hAnsi="Times New Roman" w:cs="Times New Roman"/>
              </w:rPr>
              <w:t xml:space="preserve"> 1</w:t>
            </w:r>
            <w:r w:rsidR="00015C32">
              <w:rPr>
                <w:rFonts w:ascii="Times New Roman" w:hAnsi="Times New Roman" w:cs="Times New Roman"/>
              </w:rPr>
              <w:t>57</w:t>
            </w:r>
          </w:p>
        </w:tc>
      </w:tr>
      <w:tr w:rsidR="00030A68" w14:paraId="3F692E80" w14:textId="77777777" w:rsidTr="00DB4904">
        <w:tc>
          <w:tcPr>
            <w:tcW w:w="2425" w:type="dxa"/>
            <w:gridSpan w:val="3"/>
          </w:tcPr>
          <w:p w14:paraId="72F5CCF5" w14:textId="77777777" w:rsidR="00030A68" w:rsidRPr="00677BD6" w:rsidRDefault="00007985" w:rsidP="00FD51B5">
            <w:pPr>
              <w:jc w:val="right"/>
              <w:rPr>
                <w:rFonts w:ascii="Times New Roman" w:hAnsi="Times New Roman" w:cs="Times New Roman"/>
              </w:rPr>
            </w:pPr>
            <w:r w:rsidRPr="00677BD6">
              <w:rPr>
                <w:rFonts w:ascii="Times New Roman" w:hAnsi="Times New Roman" w:cs="Times New Roman"/>
              </w:rPr>
              <w:lastRenderedPageBreak/>
              <w:t>Methods</w:t>
            </w:r>
          </w:p>
          <w:p w14:paraId="2AB8A0A4" w14:textId="6077E76B" w:rsidR="00007985" w:rsidRPr="00677BD6" w:rsidRDefault="00007985" w:rsidP="00FD51B5">
            <w:pPr>
              <w:jc w:val="right"/>
              <w:rPr>
                <w:rFonts w:ascii="Times New Roman" w:hAnsi="Times New Roman" w:cs="Times New Roman"/>
              </w:rPr>
            </w:pPr>
          </w:p>
        </w:tc>
        <w:tc>
          <w:tcPr>
            <w:tcW w:w="6925" w:type="dxa"/>
          </w:tcPr>
          <w:p w14:paraId="07F79058" w14:textId="7E222A0E" w:rsidR="00030A68" w:rsidRPr="00677BD6" w:rsidRDefault="00015C32" w:rsidP="006524B6">
            <w:pPr>
              <w:jc w:val="both"/>
              <w:rPr>
                <w:rFonts w:ascii="Times New Roman" w:hAnsi="Times New Roman" w:cs="Times New Roman"/>
              </w:rPr>
            </w:pPr>
            <w:r>
              <w:rPr>
                <w:rFonts w:ascii="Times New Roman" w:hAnsi="Times New Roman" w:cs="Times New Roman"/>
              </w:rPr>
              <w:t>……………………………………………………………………. 1</w:t>
            </w:r>
            <w:r w:rsidR="00B1362F">
              <w:rPr>
                <w:rFonts w:ascii="Times New Roman" w:hAnsi="Times New Roman" w:cs="Times New Roman"/>
              </w:rPr>
              <w:t>58</w:t>
            </w:r>
          </w:p>
        </w:tc>
      </w:tr>
      <w:tr w:rsidR="00030A68" w14:paraId="28B59F72" w14:textId="77777777" w:rsidTr="00DB4904">
        <w:tc>
          <w:tcPr>
            <w:tcW w:w="2425" w:type="dxa"/>
            <w:gridSpan w:val="3"/>
          </w:tcPr>
          <w:p w14:paraId="5ED331BB" w14:textId="5A25E4E1" w:rsidR="00030A68" w:rsidRPr="00677BD6" w:rsidRDefault="00007985" w:rsidP="00FD51B5">
            <w:pPr>
              <w:jc w:val="right"/>
              <w:rPr>
                <w:rFonts w:ascii="Times New Roman" w:hAnsi="Times New Roman" w:cs="Times New Roman"/>
              </w:rPr>
            </w:pPr>
            <w:r w:rsidRPr="00677BD6">
              <w:rPr>
                <w:rFonts w:ascii="Times New Roman" w:hAnsi="Times New Roman" w:cs="Times New Roman"/>
              </w:rPr>
              <w:t>Figures</w:t>
            </w:r>
            <w:r w:rsidR="00B1362F">
              <w:rPr>
                <w:rFonts w:ascii="Times New Roman" w:hAnsi="Times New Roman" w:cs="Times New Roman"/>
              </w:rPr>
              <w:t xml:space="preserve"> &amp; Tables</w:t>
            </w:r>
          </w:p>
          <w:p w14:paraId="4129B69F" w14:textId="4A37EEDB" w:rsidR="00007985" w:rsidRPr="00677BD6" w:rsidRDefault="00007985" w:rsidP="00FD51B5">
            <w:pPr>
              <w:jc w:val="right"/>
              <w:rPr>
                <w:rFonts w:ascii="Times New Roman" w:hAnsi="Times New Roman" w:cs="Times New Roman"/>
              </w:rPr>
            </w:pPr>
          </w:p>
        </w:tc>
        <w:tc>
          <w:tcPr>
            <w:tcW w:w="6925" w:type="dxa"/>
          </w:tcPr>
          <w:p w14:paraId="784FCE98" w14:textId="7B6FBAAB" w:rsidR="00030A68" w:rsidRPr="00677BD6" w:rsidRDefault="00B1362F" w:rsidP="006524B6">
            <w:pPr>
              <w:jc w:val="both"/>
              <w:rPr>
                <w:rFonts w:ascii="Times New Roman" w:hAnsi="Times New Roman" w:cs="Times New Roman"/>
              </w:rPr>
            </w:pPr>
            <w:r>
              <w:rPr>
                <w:rFonts w:ascii="Times New Roman" w:hAnsi="Times New Roman" w:cs="Times New Roman"/>
              </w:rPr>
              <w:t>……………………………………………………………………. 160</w:t>
            </w:r>
          </w:p>
        </w:tc>
      </w:tr>
      <w:tr w:rsidR="00030A68" w14:paraId="1A8FF1C7" w14:textId="77777777" w:rsidTr="00DB4904">
        <w:tc>
          <w:tcPr>
            <w:tcW w:w="2425" w:type="dxa"/>
            <w:gridSpan w:val="3"/>
          </w:tcPr>
          <w:p w14:paraId="2AC4B941" w14:textId="77777777" w:rsidR="00030A68" w:rsidRPr="00677BD6" w:rsidRDefault="00007985" w:rsidP="00FD51B5">
            <w:pPr>
              <w:jc w:val="right"/>
              <w:rPr>
                <w:rFonts w:ascii="Times New Roman" w:hAnsi="Times New Roman" w:cs="Times New Roman"/>
              </w:rPr>
            </w:pPr>
            <w:r w:rsidRPr="00677BD6">
              <w:rPr>
                <w:rFonts w:ascii="Times New Roman" w:hAnsi="Times New Roman" w:cs="Times New Roman"/>
              </w:rPr>
              <w:t>Works Cited</w:t>
            </w:r>
          </w:p>
          <w:p w14:paraId="2BFF9F3D" w14:textId="56B2F743" w:rsidR="00007985" w:rsidRPr="00677BD6" w:rsidRDefault="00007985" w:rsidP="00FD51B5">
            <w:pPr>
              <w:jc w:val="right"/>
              <w:rPr>
                <w:rFonts w:ascii="Times New Roman" w:hAnsi="Times New Roman" w:cs="Times New Roman"/>
              </w:rPr>
            </w:pPr>
          </w:p>
        </w:tc>
        <w:tc>
          <w:tcPr>
            <w:tcW w:w="6925" w:type="dxa"/>
          </w:tcPr>
          <w:p w14:paraId="088CBF34" w14:textId="19DC81A7" w:rsidR="00030A68" w:rsidRPr="00677BD6" w:rsidRDefault="00B1362F" w:rsidP="006524B6">
            <w:pPr>
              <w:jc w:val="both"/>
              <w:rPr>
                <w:rFonts w:ascii="Times New Roman" w:hAnsi="Times New Roman" w:cs="Times New Roman"/>
              </w:rPr>
            </w:pPr>
            <w:r>
              <w:rPr>
                <w:rFonts w:ascii="Times New Roman" w:hAnsi="Times New Roman" w:cs="Times New Roman"/>
              </w:rPr>
              <w:t>……………………………………………………………………. 166</w:t>
            </w:r>
          </w:p>
        </w:tc>
      </w:tr>
      <w:tr w:rsidR="00030A68" w14:paraId="3DD0AED8" w14:textId="77777777" w:rsidTr="00DB4904">
        <w:tc>
          <w:tcPr>
            <w:tcW w:w="2425" w:type="dxa"/>
            <w:gridSpan w:val="3"/>
          </w:tcPr>
          <w:p w14:paraId="2499EE1C" w14:textId="77777777" w:rsidR="00215DAE" w:rsidRPr="00677BD6" w:rsidRDefault="00215DAE" w:rsidP="00215DAE">
            <w:pPr>
              <w:rPr>
                <w:rFonts w:ascii="Times New Roman" w:hAnsi="Times New Roman" w:cs="Times New Roman"/>
              </w:rPr>
            </w:pPr>
          </w:p>
          <w:p w14:paraId="6A81AB4E" w14:textId="77777777" w:rsidR="00030A68" w:rsidRPr="004307ED" w:rsidRDefault="00215DAE" w:rsidP="00215DAE">
            <w:pPr>
              <w:rPr>
                <w:rFonts w:ascii="Times New Roman" w:hAnsi="Times New Roman" w:cs="Times New Roman"/>
                <w:b/>
                <w:bCs/>
              </w:rPr>
            </w:pPr>
            <w:r w:rsidRPr="004307ED">
              <w:rPr>
                <w:rFonts w:ascii="Times New Roman" w:hAnsi="Times New Roman" w:cs="Times New Roman"/>
                <w:b/>
                <w:bCs/>
              </w:rPr>
              <w:t>Appendix 3</w:t>
            </w:r>
          </w:p>
          <w:p w14:paraId="1F3B2880" w14:textId="40507ABE" w:rsidR="00215DAE" w:rsidRPr="00677BD6" w:rsidRDefault="00215DAE" w:rsidP="00215DAE">
            <w:pPr>
              <w:rPr>
                <w:rFonts w:ascii="Times New Roman" w:hAnsi="Times New Roman" w:cs="Times New Roman"/>
              </w:rPr>
            </w:pPr>
          </w:p>
        </w:tc>
        <w:tc>
          <w:tcPr>
            <w:tcW w:w="6925" w:type="dxa"/>
          </w:tcPr>
          <w:p w14:paraId="6C703934" w14:textId="77777777" w:rsidR="00030A68" w:rsidRDefault="00030A68" w:rsidP="006524B6">
            <w:pPr>
              <w:jc w:val="both"/>
              <w:rPr>
                <w:rFonts w:ascii="Times New Roman" w:hAnsi="Times New Roman" w:cs="Times New Roman"/>
              </w:rPr>
            </w:pPr>
          </w:p>
          <w:p w14:paraId="3B8D7BBC" w14:textId="33B02558" w:rsidR="00B1362F" w:rsidRPr="00677BD6" w:rsidRDefault="00B1362F" w:rsidP="006524B6">
            <w:pPr>
              <w:jc w:val="both"/>
              <w:rPr>
                <w:rFonts w:ascii="Times New Roman" w:hAnsi="Times New Roman" w:cs="Times New Roman"/>
              </w:rPr>
            </w:pPr>
            <w:r w:rsidRPr="00F14F55">
              <w:rPr>
                <w:rFonts w:ascii="Times New Roman" w:hAnsi="Times New Roman" w:cs="Times New Roman"/>
              </w:rPr>
              <w:t xml:space="preserve">Supplemental Materials for Chapter </w:t>
            </w:r>
            <w:r>
              <w:rPr>
                <w:rFonts w:ascii="Times New Roman" w:hAnsi="Times New Roman" w:cs="Times New Roman"/>
              </w:rPr>
              <w:t>3 …………………………… 1</w:t>
            </w:r>
            <w:r w:rsidR="00CA65A0">
              <w:rPr>
                <w:rFonts w:ascii="Times New Roman" w:hAnsi="Times New Roman" w:cs="Times New Roman"/>
              </w:rPr>
              <w:t>67</w:t>
            </w:r>
          </w:p>
        </w:tc>
      </w:tr>
      <w:tr w:rsidR="00030A68" w14:paraId="7392CC40" w14:textId="77777777" w:rsidTr="00DB4904">
        <w:tc>
          <w:tcPr>
            <w:tcW w:w="2425" w:type="dxa"/>
            <w:gridSpan w:val="3"/>
          </w:tcPr>
          <w:p w14:paraId="4B3F0F94" w14:textId="77777777" w:rsidR="00030A68" w:rsidRPr="00677BD6" w:rsidRDefault="00215DAE" w:rsidP="00FD51B5">
            <w:pPr>
              <w:jc w:val="right"/>
              <w:rPr>
                <w:rFonts w:ascii="Times New Roman" w:hAnsi="Times New Roman" w:cs="Times New Roman"/>
              </w:rPr>
            </w:pPr>
            <w:r w:rsidRPr="00677BD6">
              <w:rPr>
                <w:rFonts w:ascii="Times New Roman" w:hAnsi="Times New Roman" w:cs="Times New Roman"/>
              </w:rPr>
              <w:t>Methods</w:t>
            </w:r>
          </w:p>
          <w:p w14:paraId="09D05C41" w14:textId="24C59703" w:rsidR="00215DAE" w:rsidRPr="00677BD6" w:rsidRDefault="00215DAE" w:rsidP="00FD51B5">
            <w:pPr>
              <w:jc w:val="right"/>
              <w:rPr>
                <w:rFonts w:ascii="Times New Roman" w:hAnsi="Times New Roman" w:cs="Times New Roman"/>
              </w:rPr>
            </w:pPr>
          </w:p>
        </w:tc>
        <w:tc>
          <w:tcPr>
            <w:tcW w:w="6925" w:type="dxa"/>
          </w:tcPr>
          <w:p w14:paraId="196FDD8B" w14:textId="0697D5E8" w:rsidR="00030A68" w:rsidRPr="00677BD6" w:rsidRDefault="00CA65A0" w:rsidP="006524B6">
            <w:pPr>
              <w:jc w:val="both"/>
              <w:rPr>
                <w:rFonts w:ascii="Times New Roman" w:hAnsi="Times New Roman" w:cs="Times New Roman"/>
              </w:rPr>
            </w:pPr>
            <w:r>
              <w:rPr>
                <w:rFonts w:ascii="Times New Roman" w:hAnsi="Times New Roman" w:cs="Times New Roman"/>
              </w:rPr>
              <w:t>……………………………………………………………………. 168</w:t>
            </w:r>
          </w:p>
        </w:tc>
      </w:tr>
      <w:tr w:rsidR="00030A68" w14:paraId="64C3FB8F" w14:textId="77777777" w:rsidTr="00DB4904">
        <w:tc>
          <w:tcPr>
            <w:tcW w:w="2425" w:type="dxa"/>
            <w:gridSpan w:val="3"/>
          </w:tcPr>
          <w:p w14:paraId="274B8DB8" w14:textId="77777777" w:rsidR="00030A68" w:rsidRPr="00677BD6" w:rsidRDefault="00215DAE" w:rsidP="00FD51B5">
            <w:pPr>
              <w:jc w:val="right"/>
              <w:rPr>
                <w:rFonts w:ascii="Times New Roman" w:hAnsi="Times New Roman" w:cs="Times New Roman"/>
              </w:rPr>
            </w:pPr>
            <w:r w:rsidRPr="00677BD6">
              <w:rPr>
                <w:rFonts w:ascii="Times New Roman" w:hAnsi="Times New Roman" w:cs="Times New Roman"/>
              </w:rPr>
              <w:t>Works Cited</w:t>
            </w:r>
          </w:p>
          <w:p w14:paraId="61B29A46" w14:textId="78C13642" w:rsidR="00215DAE" w:rsidRPr="00677BD6" w:rsidRDefault="00215DAE" w:rsidP="00FD51B5">
            <w:pPr>
              <w:jc w:val="right"/>
              <w:rPr>
                <w:rFonts w:ascii="Times New Roman" w:hAnsi="Times New Roman" w:cs="Times New Roman"/>
              </w:rPr>
            </w:pPr>
          </w:p>
        </w:tc>
        <w:tc>
          <w:tcPr>
            <w:tcW w:w="6925" w:type="dxa"/>
          </w:tcPr>
          <w:p w14:paraId="1BD56658" w14:textId="7AB18613" w:rsidR="00030A68" w:rsidRPr="00677BD6" w:rsidRDefault="00CA65A0" w:rsidP="006524B6">
            <w:pPr>
              <w:jc w:val="both"/>
              <w:rPr>
                <w:rFonts w:ascii="Times New Roman" w:hAnsi="Times New Roman" w:cs="Times New Roman"/>
              </w:rPr>
            </w:pPr>
            <w:r>
              <w:rPr>
                <w:rFonts w:ascii="Times New Roman" w:hAnsi="Times New Roman" w:cs="Times New Roman"/>
              </w:rPr>
              <w:t>……………………………………………………………………. 1</w:t>
            </w:r>
            <w:r w:rsidR="00DB4904">
              <w:rPr>
                <w:rFonts w:ascii="Times New Roman" w:hAnsi="Times New Roman" w:cs="Times New Roman"/>
              </w:rPr>
              <w:t>72</w:t>
            </w:r>
          </w:p>
        </w:tc>
      </w:tr>
      <w:tr w:rsidR="00030A68" w14:paraId="78D64E32" w14:textId="77777777" w:rsidTr="00DB4904">
        <w:tc>
          <w:tcPr>
            <w:tcW w:w="2425" w:type="dxa"/>
            <w:gridSpan w:val="3"/>
          </w:tcPr>
          <w:p w14:paraId="6481033F" w14:textId="2BA0BAD9" w:rsidR="00030A68" w:rsidRPr="00677BD6" w:rsidRDefault="00215DAE" w:rsidP="00FD51B5">
            <w:pPr>
              <w:jc w:val="right"/>
              <w:rPr>
                <w:rFonts w:ascii="Times New Roman" w:hAnsi="Times New Roman" w:cs="Times New Roman"/>
              </w:rPr>
            </w:pPr>
            <w:r w:rsidRPr="00677BD6">
              <w:rPr>
                <w:rFonts w:ascii="Times New Roman" w:hAnsi="Times New Roman" w:cs="Times New Roman"/>
              </w:rPr>
              <w:t>Figures</w:t>
            </w:r>
          </w:p>
          <w:p w14:paraId="4D9682A0" w14:textId="33EEA01B" w:rsidR="00215DAE" w:rsidRPr="00677BD6" w:rsidRDefault="00215DAE" w:rsidP="00FD51B5">
            <w:pPr>
              <w:jc w:val="right"/>
              <w:rPr>
                <w:rFonts w:ascii="Times New Roman" w:hAnsi="Times New Roman" w:cs="Times New Roman"/>
              </w:rPr>
            </w:pPr>
          </w:p>
        </w:tc>
        <w:tc>
          <w:tcPr>
            <w:tcW w:w="6925" w:type="dxa"/>
          </w:tcPr>
          <w:p w14:paraId="221E20A0" w14:textId="465CF2A2" w:rsidR="00030A68" w:rsidRPr="00677BD6" w:rsidRDefault="00DB4904" w:rsidP="006524B6">
            <w:pPr>
              <w:jc w:val="both"/>
              <w:rPr>
                <w:rFonts w:ascii="Times New Roman" w:hAnsi="Times New Roman" w:cs="Times New Roman"/>
              </w:rPr>
            </w:pPr>
            <w:r>
              <w:rPr>
                <w:rFonts w:ascii="Times New Roman" w:hAnsi="Times New Roman" w:cs="Times New Roman"/>
              </w:rPr>
              <w:t>……………………………………………………………………. 174</w:t>
            </w:r>
          </w:p>
        </w:tc>
      </w:tr>
      <w:tr w:rsidR="003F498C" w14:paraId="3349FB22" w14:textId="77777777" w:rsidTr="00DB4904">
        <w:tc>
          <w:tcPr>
            <w:tcW w:w="2425" w:type="dxa"/>
            <w:gridSpan w:val="3"/>
          </w:tcPr>
          <w:p w14:paraId="230E9915" w14:textId="2328C89B" w:rsidR="003F498C" w:rsidRDefault="00CA65A0" w:rsidP="00FD51B5">
            <w:pPr>
              <w:jc w:val="right"/>
              <w:rPr>
                <w:rFonts w:ascii="Times New Roman" w:hAnsi="Times New Roman" w:cs="Times New Roman"/>
              </w:rPr>
            </w:pPr>
            <w:r>
              <w:rPr>
                <w:rFonts w:ascii="Times New Roman" w:hAnsi="Times New Roman" w:cs="Times New Roman"/>
              </w:rPr>
              <w:t>Tables</w:t>
            </w:r>
          </w:p>
          <w:p w14:paraId="125A5BD9" w14:textId="0731F848" w:rsidR="00CA65A0" w:rsidRPr="00677BD6" w:rsidRDefault="00CA65A0" w:rsidP="00FD51B5">
            <w:pPr>
              <w:jc w:val="right"/>
              <w:rPr>
                <w:rFonts w:ascii="Times New Roman" w:hAnsi="Times New Roman" w:cs="Times New Roman"/>
              </w:rPr>
            </w:pPr>
          </w:p>
        </w:tc>
        <w:tc>
          <w:tcPr>
            <w:tcW w:w="6925" w:type="dxa"/>
          </w:tcPr>
          <w:p w14:paraId="2F8242D0" w14:textId="4F27C35D" w:rsidR="003F498C" w:rsidRPr="00677BD6" w:rsidRDefault="00DB4904" w:rsidP="006524B6">
            <w:pPr>
              <w:jc w:val="both"/>
              <w:rPr>
                <w:rFonts w:ascii="Times New Roman" w:hAnsi="Times New Roman" w:cs="Times New Roman"/>
              </w:rPr>
            </w:pPr>
            <w:r>
              <w:rPr>
                <w:rFonts w:ascii="Times New Roman" w:hAnsi="Times New Roman" w:cs="Times New Roman"/>
              </w:rPr>
              <w:t>……………………………………………………………………. 181</w:t>
            </w:r>
          </w:p>
        </w:tc>
      </w:tr>
    </w:tbl>
    <w:p w14:paraId="310A40D8" w14:textId="3873F089" w:rsidR="007A23F3" w:rsidRDefault="007A23F3" w:rsidP="00E90576">
      <w:pPr>
        <w:jc w:val="center"/>
        <w:rPr>
          <w:rFonts w:ascii="Times New Roman" w:hAnsi="Times New Roman" w:cs="Times New Roman"/>
          <w:b/>
          <w:bCs/>
          <w:sz w:val="24"/>
          <w:szCs w:val="24"/>
        </w:rPr>
      </w:pPr>
    </w:p>
    <w:p w14:paraId="5579FAAE" w14:textId="795D017D" w:rsidR="005C4836" w:rsidRDefault="007A23F3" w:rsidP="007A23F3">
      <w:pPr>
        <w:jc w:val="center"/>
        <w:rPr>
          <w:rFonts w:ascii="Times New Roman" w:hAnsi="Times New Roman" w:cs="Times New Roman"/>
          <w:b/>
          <w:bCs/>
          <w:sz w:val="24"/>
          <w:szCs w:val="24"/>
        </w:rPr>
      </w:pPr>
      <w:r>
        <w:rPr>
          <w:rFonts w:ascii="Times New Roman" w:hAnsi="Times New Roman" w:cs="Times New Roman"/>
          <w:b/>
          <w:bCs/>
          <w:sz w:val="24"/>
          <w:szCs w:val="24"/>
        </w:rPr>
        <w:br w:type="page"/>
      </w:r>
      <w:r w:rsidR="00A57F66">
        <w:rPr>
          <w:rFonts w:ascii="Times New Roman" w:hAnsi="Times New Roman" w:cs="Times New Roman"/>
          <w:b/>
          <w:bCs/>
          <w:sz w:val="24"/>
          <w:szCs w:val="24"/>
        </w:rPr>
        <w:lastRenderedPageBreak/>
        <w:t xml:space="preserve">List of </w:t>
      </w:r>
      <w:r w:rsidR="00C64F72">
        <w:rPr>
          <w:rFonts w:ascii="Times New Roman" w:hAnsi="Times New Roman" w:cs="Times New Roman"/>
          <w:b/>
          <w:bCs/>
          <w:sz w:val="24"/>
          <w:szCs w:val="24"/>
        </w:rPr>
        <w:t>Tables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645"/>
      </w:tblGrid>
      <w:tr w:rsidR="00A05BB2" w14:paraId="4CF7AEE2" w14:textId="77777777" w:rsidTr="007A23F3">
        <w:tc>
          <w:tcPr>
            <w:tcW w:w="1705" w:type="dxa"/>
          </w:tcPr>
          <w:p w14:paraId="725E0A65" w14:textId="77777777" w:rsidR="00345F7C" w:rsidRDefault="00345F7C" w:rsidP="00345F7C">
            <w:pPr>
              <w:rPr>
                <w:rFonts w:ascii="Times New Roman" w:hAnsi="Times New Roman" w:cs="Times New Roman"/>
                <w:b/>
                <w:bCs/>
              </w:rPr>
            </w:pPr>
            <w:r>
              <w:rPr>
                <w:rFonts w:ascii="Times New Roman" w:hAnsi="Times New Roman" w:cs="Times New Roman"/>
                <w:b/>
                <w:bCs/>
              </w:rPr>
              <w:t>Chapter 1</w:t>
            </w:r>
          </w:p>
          <w:p w14:paraId="5B286214" w14:textId="4FC5CD33" w:rsidR="00CE336B" w:rsidRDefault="00CE336B" w:rsidP="00345F7C">
            <w:pPr>
              <w:rPr>
                <w:rFonts w:ascii="Times New Roman" w:hAnsi="Times New Roman" w:cs="Times New Roman"/>
                <w:b/>
                <w:bCs/>
              </w:rPr>
            </w:pPr>
          </w:p>
        </w:tc>
        <w:tc>
          <w:tcPr>
            <w:tcW w:w="7645" w:type="dxa"/>
          </w:tcPr>
          <w:p w14:paraId="37477F9E" w14:textId="77777777" w:rsidR="00A05BB2" w:rsidRDefault="00A05BB2" w:rsidP="00A57F66">
            <w:pPr>
              <w:jc w:val="center"/>
              <w:rPr>
                <w:rFonts w:ascii="Times New Roman" w:hAnsi="Times New Roman" w:cs="Times New Roman"/>
                <w:b/>
                <w:bCs/>
              </w:rPr>
            </w:pPr>
          </w:p>
        </w:tc>
      </w:tr>
      <w:tr w:rsidR="00A05BB2" w14:paraId="4CC5A35D" w14:textId="77777777" w:rsidTr="007A23F3">
        <w:tc>
          <w:tcPr>
            <w:tcW w:w="1705" w:type="dxa"/>
          </w:tcPr>
          <w:p w14:paraId="4BE7C42A" w14:textId="77777777" w:rsidR="00A05BB2" w:rsidRDefault="00CE322A" w:rsidP="00CE322A">
            <w:pPr>
              <w:jc w:val="center"/>
              <w:rPr>
                <w:rFonts w:ascii="Times New Roman" w:hAnsi="Times New Roman" w:cs="Times New Roman"/>
              </w:rPr>
            </w:pPr>
            <w:r w:rsidRPr="00CE322A">
              <w:rPr>
                <w:rFonts w:ascii="Times New Roman" w:hAnsi="Times New Roman" w:cs="Times New Roman"/>
              </w:rPr>
              <w:t>Table 1</w:t>
            </w:r>
          </w:p>
          <w:p w14:paraId="54FCEFD0" w14:textId="0B7613F1" w:rsidR="00CE336B" w:rsidRPr="00CE322A" w:rsidRDefault="00CE336B" w:rsidP="00CE322A">
            <w:pPr>
              <w:jc w:val="center"/>
              <w:rPr>
                <w:rFonts w:ascii="Times New Roman" w:hAnsi="Times New Roman" w:cs="Times New Roman"/>
              </w:rPr>
            </w:pPr>
          </w:p>
        </w:tc>
        <w:tc>
          <w:tcPr>
            <w:tcW w:w="7645" w:type="dxa"/>
          </w:tcPr>
          <w:p w14:paraId="0688E4FE" w14:textId="7CD7FF5D" w:rsidR="00A05BB2" w:rsidRPr="001D57FE" w:rsidRDefault="00405526" w:rsidP="00CE322A">
            <w:pPr>
              <w:jc w:val="right"/>
              <w:rPr>
                <w:rFonts w:ascii="Times New Roman" w:hAnsi="Times New Roman" w:cs="Times New Roman"/>
              </w:rPr>
            </w:pPr>
            <w:r>
              <w:rPr>
                <w:rFonts w:ascii="Times New Roman" w:hAnsi="Times New Roman" w:cs="Times New Roman"/>
              </w:rPr>
              <w:t>………………………………………………………………………</w:t>
            </w:r>
            <w:r w:rsidR="00EB729D">
              <w:rPr>
                <w:rFonts w:ascii="Times New Roman" w:hAnsi="Times New Roman" w:cs="Times New Roman"/>
              </w:rPr>
              <w:t xml:space="preserve">…….. </w:t>
            </w:r>
            <w:r w:rsidR="001D57FE" w:rsidRPr="001D57FE">
              <w:rPr>
                <w:rFonts w:ascii="Times New Roman" w:hAnsi="Times New Roman" w:cs="Times New Roman"/>
              </w:rPr>
              <w:t>4</w:t>
            </w:r>
            <w:r w:rsidR="00A373CF">
              <w:rPr>
                <w:rFonts w:ascii="Times New Roman" w:hAnsi="Times New Roman" w:cs="Times New Roman"/>
              </w:rPr>
              <w:t>7</w:t>
            </w:r>
          </w:p>
        </w:tc>
      </w:tr>
      <w:tr w:rsidR="00A05BB2" w14:paraId="470BC1C7" w14:textId="77777777" w:rsidTr="007A23F3">
        <w:tc>
          <w:tcPr>
            <w:tcW w:w="1705" w:type="dxa"/>
          </w:tcPr>
          <w:p w14:paraId="3A6937A8" w14:textId="77777777" w:rsidR="00CE322A" w:rsidRDefault="00CE322A" w:rsidP="00CE322A">
            <w:pPr>
              <w:jc w:val="center"/>
              <w:rPr>
                <w:rFonts w:ascii="Times New Roman" w:hAnsi="Times New Roman" w:cs="Times New Roman"/>
              </w:rPr>
            </w:pPr>
            <w:r w:rsidRPr="00CE322A">
              <w:rPr>
                <w:rFonts w:ascii="Times New Roman" w:hAnsi="Times New Roman" w:cs="Times New Roman"/>
              </w:rPr>
              <w:t>Table 2</w:t>
            </w:r>
          </w:p>
          <w:p w14:paraId="5518FE60" w14:textId="155D6144" w:rsidR="00CE336B" w:rsidRPr="00CE322A" w:rsidRDefault="00CE336B" w:rsidP="00CE322A">
            <w:pPr>
              <w:jc w:val="center"/>
              <w:rPr>
                <w:rFonts w:ascii="Times New Roman" w:hAnsi="Times New Roman" w:cs="Times New Roman"/>
              </w:rPr>
            </w:pPr>
          </w:p>
        </w:tc>
        <w:tc>
          <w:tcPr>
            <w:tcW w:w="7645" w:type="dxa"/>
          </w:tcPr>
          <w:p w14:paraId="3AE38FAD" w14:textId="31A321D5" w:rsidR="00A05BB2" w:rsidRPr="001D57FE" w:rsidRDefault="00EB729D" w:rsidP="001D57FE">
            <w:pPr>
              <w:jc w:val="right"/>
              <w:rPr>
                <w:rFonts w:ascii="Times New Roman" w:hAnsi="Times New Roman" w:cs="Times New Roman"/>
              </w:rPr>
            </w:pPr>
            <w:r>
              <w:rPr>
                <w:rFonts w:ascii="Times New Roman" w:hAnsi="Times New Roman" w:cs="Times New Roman"/>
              </w:rPr>
              <w:t>…………………………………………………………………………….</w:t>
            </w:r>
            <w:r w:rsidR="00B062AB">
              <w:rPr>
                <w:rFonts w:ascii="Times New Roman" w:hAnsi="Times New Roman" w:cs="Times New Roman"/>
              </w:rPr>
              <w:t>.</w:t>
            </w:r>
            <w:r>
              <w:rPr>
                <w:rFonts w:ascii="Times New Roman" w:hAnsi="Times New Roman" w:cs="Times New Roman"/>
              </w:rPr>
              <w:t xml:space="preserve"> </w:t>
            </w:r>
            <w:r w:rsidR="001D57FE">
              <w:rPr>
                <w:rFonts w:ascii="Times New Roman" w:hAnsi="Times New Roman" w:cs="Times New Roman"/>
              </w:rPr>
              <w:t>4</w:t>
            </w:r>
            <w:r w:rsidR="00A373CF">
              <w:rPr>
                <w:rFonts w:ascii="Times New Roman" w:hAnsi="Times New Roman" w:cs="Times New Roman"/>
              </w:rPr>
              <w:t>8</w:t>
            </w:r>
          </w:p>
        </w:tc>
      </w:tr>
      <w:tr w:rsidR="00A05BB2" w14:paraId="12BB31F1" w14:textId="77777777" w:rsidTr="007A23F3">
        <w:tc>
          <w:tcPr>
            <w:tcW w:w="1705" w:type="dxa"/>
          </w:tcPr>
          <w:p w14:paraId="2915D8A5" w14:textId="266E466A" w:rsidR="00CE336B" w:rsidRPr="00CE322A" w:rsidRDefault="00CE322A" w:rsidP="00CE336B">
            <w:pPr>
              <w:jc w:val="center"/>
              <w:rPr>
                <w:rFonts w:ascii="Times New Roman" w:hAnsi="Times New Roman" w:cs="Times New Roman"/>
              </w:rPr>
            </w:pPr>
            <w:r w:rsidRPr="00CE322A">
              <w:rPr>
                <w:rFonts w:ascii="Times New Roman" w:hAnsi="Times New Roman" w:cs="Times New Roman"/>
              </w:rPr>
              <w:t>Table 3</w:t>
            </w:r>
          </w:p>
        </w:tc>
        <w:tc>
          <w:tcPr>
            <w:tcW w:w="7645" w:type="dxa"/>
          </w:tcPr>
          <w:p w14:paraId="4624F441" w14:textId="775D6983" w:rsidR="00A05BB2" w:rsidRPr="001D57FE" w:rsidRDefault="00B062AB" w:rsidP="001D57FE">
            <w:pPr>
              <w:jc w:val="right"/>
              <w:rPr>
                <w:rFonts w:ascii="Times New Roman" w:hAnsi="Times New Roman" w:cs="Times New Roman"/>
              </w:rPr>
            </w:pPr>
            <w:r>
              <w:rPr>
                <w:rFonts w:ascii="Times New Roman" w:hAnsi="Times New Roman" w:cs="Times New Roman"/>
              </w:rPr>
              <w:t xml:space="preserve">…………………………………………………………………………….. </w:t>
            </w:r>
            <w:r w:rsidR="00A373CF">
              <w:rPr>
                <w:rFonts w:ascii="Times New Roman" w:hAnsi="Times New Roman" w:cs="Times New Roman"/>
              </w:rPr>
              <w:t>49</w:t>
            </w:r>
          </w:p>
        </w:tc>
      </w:tr>
      <w:tr w:rsidR="00A05BB2" w14:paraId="48083B1D" w14:textId="77777777" w:rsidTr="007A23F3">
        <w:tc>
          <w:tcPr>
            <w:tcW w:w="1705" w:type="dxa"/>
          </w:tcPr>
          <w:p w14:paraId="3277933D" w14:textId="77777777" w:rsidR="00A05BB2" w:rsidRDefault="00A05BB2" w:rsidP="00CE336B">
            <w:pPr>
              <w:rPr>
                <w:rFonts w:ascii="Times New Roman" w:hAnsi="Times New Roman" w:cs="Times New Roman"/>
                <w:b/>
                <w:bCs/>
              </w:rPr>
            </w:pPr>
          </w:p>
        </w:tc>
        <w:tc>
          <w:tcPr>
            <w:tcW w:w="7645" w:type="dxa"/>
          </w:tcPr>
          <w:p w14:paraId="305856D7" w14:textId="77777777" w:rsidR="00A05BB2" w:rsidRDefault="00A05BB2" w:rsidP="00A57F66">
            <w:pPr>
              <w:jc w:val="center"/>
              <w:rPr>
                <w:rFonts w:ascii="Times New Roman" w:hAnsi="Times New Roman" w:cs="Times New Roman"/>
                <w:b/>
                <w:bCs/>
              </w:rPr>
            </w:pPr>
          </w:p>
        </w:tc>
      </w:tr>
      <w:tr w:rsidR="00A05BB2" w14:paraId="6462C308" w14:textId="77777777" w:rsidTr="00042E68">
        <w:tc>
          <w:tcPr>
            <w:tcW w:w="1705" w:type="dxa"/>
          </w:tcPr>
          <w:p w14:paraId="07CF745B" w14:textId="77777777" w:rsidR="00A05BB2" w:rsidRDefault="001D57FE" w:rsidP="001D57FE">
            <w:pPr>
              <w:rPr>
                <w:rFonts w:ascii="Times New Roman" w:hAnsi="Times New Roman" w:cs="Times New Roman"/>
                <w:b/>
                <w:bCs/>
              </w:rPr>
            </w:pPr>
            <w:r>
              <w:rPr>
                <w:rFonts w:ascii="Times New Roman" w:hAnsi="Times New Roman" w:cs="Times New Roman"/>
                <w:b/>
                <w:bCs/>
              </w:rPr>
              <w:t>Chapter 2</w:t>
            </w:r>
          </w:p>
          <w:p w14:paraId="7ED0AC89" w14:textId="6F90245A" w:rsidR="00CE336B" w:rsidRDefault="00CE336B" w:rsidP="001D57FE">
            <w:pPr>
              <w:rPr>
                <w:rFonts w:ascii="Times New Roman" w:hAnsi="Times New Roman" w:cs="Times New Roman"/>
                <w:b/>
                <w:bCs/>
              </w:rPr>
            </w:pPr>
          </w:p>
        </w:tc>
        <w:tc>
          <w:tcPr>
            <w:tcW w:w="7645" w:type="dxa"/>
          </w:tcPr>
          <w:p w14:paraId="2677FE47" w14:textId="77777777" w:rsidR="00A05BB2" w:rsidRDefault="00A05BB2" w:rsidP="00A57F66">
            <w:pPr>
              <w:jc w:val="center"/>
              <w:rPr>
                <w:rFonts w:ascii="Times New Roman" w:hAnsi="Times New Roman" w:cs="Times New Roman"/>
                <w:b/>
                <w:bCs/>
              </w:rPr>
            </w:pPr>
          </w:p>
        </w:tc>
      </w:tr>
      <w:tr w:rsidR="00A05BB2" w14:paraId="31151C25" w14:textId="77777777" w:rsidTr="00042E68">
        <w:tc>
          <w:tcPr>
            <w:tcW w:w="1705" w:type="dxa"/>
          </w:tcPr>
          <w:p w14:paraId="3BE0F08F" w14:textId="71FBF18D" w:rsidR="00A05BB2" w:rsidRPr="007E4BA6" w:rsidRDefault="007E4BA6" w:rsidP="00A57F66">
            <w:pPr>
              <w:jc w:val="center"/>
              <w:rPr>
                <w:rFonts w:ascii="Times New Roman" w:hAnsi="Times New Roman" w:cs="Times New Roman"/>
              </w:rPr>
            </w:pPr>
            <w:r w:rsidRPr="007E4BA6">
              <w:rPr>
                <w:rFonts w:ascii="Times New Roman" w:hAnsi="Times New Roman" w:cs="Times New Roman"/>
              </w:rPr>
              <w:t>Table 1</w:t>
            </w:r>
          </w:p>
        </w:tc>
        <w:tc>
          <w:tcPr>
            <w:tcW w:w="7645" w:type="dxa"/>
          </w:tcPr>
          <w:p w14:paraId="3F7971F2" w14:textId="2CE5676F" w:rsidR="00A05BB2" w:rsidRPr="007E4BA6" w:rsidRDefault="00B062AB" w:rsidP="007E4BA6">
            <w:pPr>
              <w:jc w:val="right"/>
              <w:rPr>
                <w:rFonts w:ascii="Times New Roman" w:hAnsi="Times New Roman" w:cs="Times New Roman"/>
              </w:rPr>
            </w:pPr>
            <w:r>
              <w:rPr>
                <w:rFonts w:ascii="Times New Roman" w:hAnsi="Times New Roman" w:cs="Times New Roman"/>
              </w:rPr>
              <w:t xml:space="preserve">…………………………………………………………………………….. </w:t>
            </w:r>
            <w:r w:rsidR="007E4BA6">
              <w:rPr>
                <w:rFonts w:ascii="Times New Roman" w:hAnsi="Times New Roman" w:cs="Times New Roman"/>
              </w:rPr>
              <w:t>7</w:t>
            </w:r>
            <w:r w:rsidR="004B5CDB">
              <w:rPr>
                <w:rFonts w:ascii="Times New Roman" w:hAnsi="Times New Roman" w:cs="Times New Roman"/>
              </w:rPr>
              <w:t>5</w:t>
            </w:r>
          </w:p>
        </w:tc>
      </w:tr>
      <w:tr w:rsidR="00A05BB2" w14:paraId="1AEFC1D5" w14:textId="77777777" w:rsidTr="00042E68">
        <w:tc>
          <w:tcPr>
            <w:tcW w:w="1705" w:type="dxa"/>
          </w:tcPr>
          <w:p w14:paraId="11E57902" w14:textId="77777777" w:rsidR="00A05BB2" w:rsidRDefault="00A05BB2" w:rsidP="00A57F66">
            <w:pPr>
              <w:jc w:val="center"/>
              <w:rPr>
                <w:rFonts w:ascii="Times New Roman" w:hAnsi="Times New Roman" w:cs="Times New Roman"/>
                <w:b/>
                <w:bCs/>
              </w:rPr>
            </w:pPr>
          </w:p>
        </w:tc>
        <w:tc>
          <w:tcPr>
            <w:tcW w:w="7645" w:type="dxa"/>
          </w:tcPr>
          <w:p w14:paraId="2B5FF2BB" w14:textId="77777777" w:rsidR="00A05BB2" w:rsidRDefault="00A05BB2" w:rsidP="00A57F66">
            <w:pPr>
              <w:jc w:val="center"/>
              <w:rPr>
                <w:rFonts w:ascii="Times New Roman" w:hAnsi="Times New Roman" w:cs="Times New Roman"/>
                <w:b/>
                <w:bCs/>
              </w:rPr>
            </w:pPr>
          </w:p>
        </w:tc>
      </w:tr>
      <w:tr w:rsidR="007E4BA6" w14:paraId="44D23AB6" w14:textId="77777777" w:rsidTr="00042E68">
        <w:tc>
          <w:tcPr>
            <w:tcW w:w="1705" w:type="dxa"/>
          </w:tcPr>
          <w:p w14:paraId="309B46DC" w14:textId="77777777" w:rsidR="007E4BA6" w:rsidRDefault="000B6D74" w:rsidP="000B6D74">
            <w:pPr>
              <w:rPr>
                <w:rFonts w:ascii="Times New Roman" w:hAnsi="Times New Roman" w:cs="Times New Roman"/>
                <w:b/>
                <w:bCs/>
              </w:rPr>
            </w:pPr>
            <w:r>
              <w:rPr>
                <w:rFonts w:ascii="Times New Roman" w:hAnsi="Times New Roman" w:cs="Times New Roman"/>
                <w:b/>
                <w:bCs/>
              </w:rPr>
              <w:t>Appendix 1</w:t>
            </w:r>
          </w:p>
          <w:p w14:paraId="182B18BD" w14:textId="3CAF6AA6" w:rsidR="00CE336B" w:rsidRDefault="00CE336B" w:rsidP="000B6D74">
            <w:pPr>
              <w:rPr>
                <w:rFonts w:ascii="Times New Roman" w:hAnsi="Times New Roman" w:cs="Times New Roman"/>
                <w:b/>
                <w:bCs/>
              </w:rPr>
            </w:pPr>
          </w:p>
        </w:tc>
        <w:tc>
          <w:tcPr>
            <w:tcW w:w="7645" w:type="dxa"/>
          </w:tcPr>
          <w:p w14:paraId="4860CE2C" w14:textId="77777777" w:rsidR="007E4BA6" w:rsidRDefault="007E4BA6" w:rsidP="00A57F66">
            <w:pPr>
              <w:jc w:val="center"/>
              <w:rPr>
                <w:rFonts w:ascii="Times New Roman" w:hAnsi="Times New Roman" w:cs="Times New Roman"/>
                <w:b/>
                <w:bCs/>
              </w:rPr>
            </w:pPr>
          </w:p>
        </w:tc>
      </w:tr>
      <w:tr w:rsidR="007E4BA6" w14:paraId="674C8A96" w14:textId="77777777" w:rsidTr="00042E68">
        <w:tc>
          <w:tcPr>
            <w:tcW w:w="1705" w:type="dxa"/>
          </w:tcPr>
          <w:p w14:paraId="4D0E3D4A" w14:textId="77777777" w:rsidR="007E4BA6" w:rsidRDefault="000B6D74" w:rsidP="00A57F66">
            <w:pPr>
              <w:jc w:val="center"/>
              <w:rPr>
                <w:rFonts w:ascii="Times New Roman" w:hAnsi="Times New Roman" w:cs="Times New Roman"/>
              </w:rPr>
            </w:pPr>
            <w:r>
              <w:rPr>
                <w:rFonts w:ascii="Times New Roman" w:hAnsi="Times New Roman" w:cs="Times New Roman"/>
              </w:rPr>
              <w:t>Table S1</w:t>
            </w:r>
          </w:p>
          <w:p w14:paraId="4C23A73D" w14:textId="4FFA369E" w:rsidR="00CE336B" w:rsidRPr="000B6D74" w:rsidRDefault="00CE336B" w:rsidP="00A57F66">
            <w:pPr>
              <w:jc w:val="center"/>
              <w:rPr>
                <w:rFonts w:ascii="Times New Roman" w:hAnsi="Times New Roman" w:cs="Times New Roman"/>
              </w:rPr>
            </w:pPr>
          </w:p>
        </w:tc>
        <w:tc>
          <w:tcPr>
            <w:tcW w:w="7645" w:type="dxa"/>
          </w:tcPr>
          <w:p w14:paraId="0ED39D77" w14:textId="4BF26C94" w:rsidR="007E4BA6" w:rsidRPr="002E4818" w:rsidRDefault="008F082C" w:rsidP="001E77B8">
            <w:pPr>
              <w:jc w:val="right"/>
              <w:rPr>
                <w:rFonts w:ascii="Times New Roman" w:hAnsi="Times New Roman" w:cs="Times New Roman"/>
              </w:rPr>
            </w:pPr>
            <w:r>
              <w:rPr>
                <w:rFonts w:ascii="Times New Roman" w:hAnsi="Times New Roman" w:cs="Times New Roman"/>
              </w:rPr>
              <w:t xml:space="preserve">…………………………………………………………………………… </w:t>
            </w:r>
            <w:r w:rsidR="002E4818">
              <w:rPr>
                <w:rFonts w:ascii="Times New Roman" w:hAnsi="Times New Roman" w:cs="Times New Roman"/>
              </w:rPr>
              <w:t>14</w:t>
            </w:r>
            <w:r w:rsidR="004B5CDB">
              <w:rPr>
                <w:rFonts w:ascii="Times New Roman" w:hAnsi="Times New Roman" w:cs="Times New Roman"/>
              </w:rPr>
              <w:t>7</w:t>
            </w:r>
          </w:p>
        </w:tc>
      </w:tr>
      <w:tr w:rsidR="007E4BA6" w14:paraId="36DFC53E" w14:textId="77777777" w:rsidTr="00042E68">
        <w:tc>
          <w:tcPr>
            <w:tcW w:w="1705" w:type="dxa"/>
          </w:tcPr>
          <w:p w14:paraId="073B99AD" w14:textId="77777777" w:rsidR="007E4BA6" w:rsidRDefault="000B6D74" w:rsidP="00A57F66">
            <w:pPr>
              <w:jc w:val="center"/>
              <w:rPr>
                <w:rFonts w:ascii="Times New Roman" w:hAnsi="Times New Roman" w:cs="Times New Roman"/>
              </w:rPr>
            </w:pPr>
            <w:r>
              <w:rPr>
                <w:rFonts w:ascii="Times New Roman" w:hAnsi="Times New Roman" w:cs="Times New Roman"/>
              </w:rPr>
              <w:t>Table S2</w:t>
            </w:r>
          </w:p>
          <w:p w14:paraId="075EB907" w14:textId="36521D52" w:rsidR="00CE336B" w:rsidRPr="000B6D74" w:rsidRDefault="00CE336B" w:rsidP="00A57F66">
            <w:pPr>
              <w:jc w:val="center"/>
              <w:rPr>
                <w:rFonts w:ascii="Times New Roman" w:hAnsi="Times New Roman" w:cs="Times New Roman"/>
              </w:rPr>
            </w:pPr>
          </w:p>
        </w:tc>
        <w:tc>
          <w:tcPr>
            <w:tcW w:w="7645" w:type="dxa"/>
          </w:tcPr>
          <w:p w14:paraId="57ECEA27" w14:textId="5722F830" w:rsidR="007E4BA6" w:rsidRPr="002E4818" w:rsidRDefault="008F082C" w:rsidP="001E77B8">
            <w:pPr>
              <w:jc w:val="right"/>
              <w:rPr>
                <w:rFonts w:ascii="Times New Roman" w:hAnsi="Times New Roman" w:cs="Times New Roman"/>
              </w:rPr>
            </w:pPr>
            <w:r>
              <w:rPr>
                <w:rFonts w:ascii="Times New Roman" w:hAnsi="Times New Roman" w:cs="Times New Roman"/>
              </w:rPr>
              <w:t xml:space="preserve">…………………………………………………………………………… </w:t>
            </w:r>
            <w:r w:rsidR="002E4818">
              <w:rPr>
                <w:rFonts w:ascii="Times New Roman" w:hAnsi="Times New Roman" w:cs="Times New Roman"/>
              </w:rPr>
              <w:t>14</w:t>
            </w:r>
            <w:r w:rsidR="004B5CDB">
              <w:rPr>
                <w:rFonts w:ascii="Times New Roman" w:hAnsi="Times New Roman" w:cs="Times New Roman"/>
              </w:rPr>
              <w:t>8</w:t>
            </w:r>
          </w:p>
        </w:tc>
      </w:tr>
      <w:tr w:rsidR="007E4BA6" w14:paraId="59E8EF14" w14:textId="77777777" w:rsidTr="00042E68">
        <w:tc>
          <w:tcPr>
            <w:tcW w:w="1705" w:type="dxa"/>
          </w:tcPr>
          <w:p w14:paraId="07AA4DF3" w14:textId="77777777" w:rsidR="007E4BA6" w:rsidRDefault="000B6D74" w:rsidP="00A57F66">
            <w:pPr>
              <w:jc w:val="center"/>
              <w:rPr>
                <w:rFonts w:ascii="Times New Roman" w:hAnsi="Times New Roman" w:cs="Times New Roman"/>
              </w:rPr>
            </w:pPr>
            <w:r>
              <w:rPr>
                <w:rFonts w:ascii="Times New Roman" w:hAnsi="Times New Roman" w:cs="Times New Roman"/>
              </w:rPr>
              <w:t xml:space="preserve">Table </w:t>
            </w:r>
            <w:r w:rsidR="0039771F">
              <w:rPr>
                <w:rFonts w:ascii="Times New Roman" w:hAnsi="Times New Roman" w:cs="Times New Roman"/>
              </w:rPr>
              <w:t>S3</w:t>
            </w:r>
          </w:p>
          <w:p w14:paraId="19635E47" w14:textId="14832EE2" w:rsidR="00CE336B" w:rsidRPr="000B6D74" w:rsidRDefault="00CE336B" w:rsidP="00A57F66">
            <w:pPr>
              <w:jc w:val="center"/>
              <w:rPr>
                <w:rFonts w:ascii="Times New Roman" w:hAnsi="Times New Roman" w:cs="Times New Roman"/>
              </w:rPr>
            </w:pPr>
          </w:p>
        </w:tc>
        <w:tc>
          <w:tcPr>
            <w:tcW w:w="7645" w:type="dxa"/>
          </w:tcPr>
          <w:p w14:paraId="1424915A" w14:textId="59A382D8" w:rsidR="007E4BA6" w:rsidRPr="002E4818" w:rsidRDefault="00595EDE" w:rsidP="00595EDE">
            <w:pPr>
              <w:jc w:val="right"/>
              <w:rPr>
                <w:rFonts w:ascii="Times New Roman" w:hAnsi="Times New Roman" w:cs="Times New Roman"/>
              </w:rPr>
            </w:pPr>
            <w:r>
              <w:rPr>
                <w:rFonts w:ascii="Times New Roman" w:hAnsi="Times New Roman" w:cs="Times New Roman"/>
              </w:rPr>
              <w:t xml:space="preserve">…………………………………………………………………………… </w:t>
            </w:r>
            <w:r w:rsidR="001E4E17">
              <w:rPr>
                <w:rFonts w:ascii="Times New Roman" w:hAnsi="Times New Roman" w:cs="Times New Roman"/>
              </w:rPr>
              <w:t>1</w:t>
            </w:r>
            <w:r w:rsidR="004B5CDB">
              <w:rPr>
                <w:rFonts w:ascii="Times New Roman" w:hAnsi="Times New Roman" w:cs="Times New Roman"/>
              </w:rPr>
              <w:t>52</w:t>
            </w:r>
          </w:p>
        </w:tc>
      </w:tr>
      <w:tr w:rsidR="007E4BA6" w14:paraId="33BD7D87" w14:textId="77777777" w:rsidTr="00042E68">
        <w:tc>
          <w:tcPr>
            <w:tcW w:w="1705" w:type="dxa"/>
          </w:tcPr>
          <w:p w14:paraId="7A2C2CC8" w14:textId="77777777" w:rsidR="0039771F" w:rsidRDefault="0039771F" w:rsidP="0039771F">
            <w:pPr>
              <w:jc w:val="center"/>
              <w:rPr>
                <w:rFonts w:ascii="Times New Roman" w:hAnsi="Times New Roman" w:cs="Times New Roman"/>
              </w:rPr>
            </w:pPr>
            <w:r>
              <w:rPr>
                <w:rFonts w:ascii="Times New Roman" w:hAnsi="Times New Roman" w:cs="Times New Roman"/>
              </w:rPr>
              <w:t>Table S4</w:t>
            </w:r>
          </w:p>
          <w:p w14:paraId="7406CDEB" w14:textId="2B7D1F72" w:rsidR="00CE336B" w:rsidRPr="0039771F" w:rsidRDefault="00CE336B" w:rsidP="0039771F">
            <w:pPr>
              <w:jc w:val="center"/>
              <w:rPr>
                <w:rFonts w:ascii="Times New Roman" w:hAnsi="Times New Roman" w:cs="Times New Roman"/>
              </w:rPr>
            </w:pPr>
          </w:p>
        </w:tc>
        <w:tc>
          <w:tcPr>
            <w:tcW w:w="7645" w:type="dxa"/>
          </w:tcPr>
          <w:p w14:paraId="4416A4CF" w14:textId="2FC96165" w:rsidR="007E4BA6" w:rsidRPr="002E4818" w:rsidRDefault="00AD23F6" w:rsidP="00AD23F6">
            <w:pPr>
              <w:jc w:val="right"/>
              <w:rPr>
                <w:rFonts w:ascii="Times New Roman" w:hAnsi="Times New Roman" w:cs="Times New Roman"/>
              </w:rPr>
            </w:pPr>
            <w:r>
              <w:rPr>
                <w:rFonts w:ascii="Times New Roman" w:hAnsi="Times New Roman" w:cs="Times New Roman"/>
              </w:rPr>
              <w:t>……………………………………………………………………………</w:t>
            </w:r>
            <w:r w:rsidR="008F082C">
              <w:rPr>
                <w:rFonts w:ascii="Times New Roman" w:hAnsi="Times New Roman" w:cs="Times New Roman"/>
              </w:rPr>
              <w:t xml:space="preserve"> </w:t>
            </w:r>
            <w:r w:rsidR="001E4E17">
              <w:rPr>
                <w:rFonts w:ascii="Times New Roman" w:hAnsi="Times New Roman" w:cs="Times New Roman"/>
              </w:rPr>
              <w:t>1</w:t>
            </w:r>
            <w:r w:rsidR="004B5CDB">
              <w:rPr>
                <w:rFonts w:ascii="Times New Roman" w:hAnsi="Times New Roman" w:cs="Times New Roman"/>
              </w:rPr>
              <w:t>53</w:t>
            </w:r>
          </w:p>
        </w:tc>
      </w:tr>
      <w:tr w:rsidR="007E4BA6" w14:paraId="36F3643D" w14:textId="77777777" w:rsidTr="00042E68">
        <w:tc>
          <w:tcPr>
            <w:tcW w:w="1705" w:type="dxa"/>
          </w:tcPr>
          <w:p w14:paraId="350CCCF7" w14:textId="77777777" w:rsidR="007E4BA6" w:rsidRDefault="0039771F" w:rsidP="00A57F66">
            <w:pPr>
              <w:jc w:val="center"/>
              <w:rPr>
                <w:rFonts w:ascii="Times New Roman" w:hAnsi="Times New Roman" w:cs="Times New Roman"/>
              </w:rPr>
            </w:pPr>
            <w:r>
              <w:rPr>
                <w:rFonts w:ascii="Times New Roman" w:hAnsi="Times New Roman" w:cs="Times New Roman"/>
              </w:rPr>
              <w:t>Table S5</w:t>
            </w:r>
          </w:p>
          <w:p w14:paraId="71BA272E" w14:textId="0BBEE2BB" w:rsidR="00CE336B" w:rsidRPr="0039771F" w:rsidRDefault="00CE336B" w:rsidP="00A57F66">
            <w:pPr>
              <w:jc w:val="center"/>
              <w:rPr>
                <w:rFonts w:ascii="Times New Roman" w:hAnsi="Times New Roman" w:cs="Times New Roman"/>
              </w:rPr>
            </w:pPr>
          </w:p>
        </w:tc>
        <w:tc>
          <w:tcPr>
            <w:tcW w:w="7645" w:type="dxa"/>
          </w:tcPr>
          <w:p w14:paraId="0D7E0786" w14:textId="19D846C6" w:rsidR="007E4BA6" w:rsidRPr="002E4818" w:rsidRDefault="00AD23F6" w:rsidP="001E77B8">
            <w:pPr>
              <w:jc w:val="right"/>
              <w:rPr>
                <w:rFonts w:ascii="Times New Roman" w:hAnsi="Times New Roman" w:cs="Times New Roman"/>
              </w:rPr>
            </w:pPr>
            <w:r>
              <w:rPr>
                <w:rFonts w:ascii="Times New Roman" w:hAnsi="Times New Roman" w:cs="Times New Roman"/>
              </w:rPr>
              <w:t xml:space="preserve">…………………………………………………………………………… </w:t>
            </w:r>
            <w:r w:rsidR="001E4E17">
              <w:rPr>
                <w:rFonts w:ascii="Times New Roman" w:hAnsi="Times New Roman" w:cs="Times New Roman"/>
              </w:rPr>
              <w:t>1</w:t>
            </w:r>
            <w:r w:rsidR="006D6D7E">
              <w:rPr>
                <w:rFonts w:ascii="Times New Roman" w:hAnsi="Times New Roman" w:cs="Times New Roman"/>
              </w:rPr>
              <w:t>54</w:t>
            </w:r>
          </w:p>
        </w:tc>
      </w:tr>
      <w:tr w:rsidR="007E4BA6" w14:paraId="15F4E7B5" w14:textId="77777777" w:rsidTr="00042E68">
        <w:tc>
          <w:tcPr>
            <w:tcW w:w="1705" w:type="dxa"/>
          </w:tcPr>
          <w:p w14:paraId="5BD4899C" w14:textId="7AED12E4" w:rsidR="007E4BA6" w:rsidRPr="0039771F" w:rsidRDefault="0039771F" w:rsidP="00A57F66">
            <w:pPr>
              <w:jc w:val="center"/>
              <w:rPr>
                <w:rFonts w:ascii="Times New Roman" w:hAnsi="Times New Roman" w:cs="Times New Roman"/>
              </w:rPr>
            </w:pPr>
            <w:r>
              <w:rPr>
                <w:rFonts w:ascii="Times New Roman" w:hAnsi="Times New Roman" w:cs="Times New Roman"/>
              </w:rPr>
              <w:t>Table S6</w:t>
            </w:r>
          </w:p>
        </w:tc>
        <w:tc>
          <w:tcPr>
            <w:tcW w:w="7645" w:type="dxa"/>
          </w:tcPr>
          <w:p w14:paraId="03B01A7D" w14:textId="003157E8" w:rsidR="007E4BA6" w:rsidRPr="002E4818" w:rsidRDefault="00AD23F6" w:rsidP="001E77B8">
            <w:pPr>
              <w:jc w:val="right"/>
              <w:rPr>
                <w:rFonts w:ascii="Times New Roman" w:hAnsi="Times New Roman" w:cs="Times New Roman"/>
              </w:rPr>
            </w:pPr>
            <w:r>
              <w:rPr>
                <w:rFonts w:ascii="Times New Roman" w:hAnsi="Times New Roman" w:cs="Times New Roman"/>
              </w:rPr>
              <w:t xml:space="preserve">…………………………………………………………………………… </w:t>
            </w:r>
            <w:r w:rsidR="001E4E17">
              <w:rPr>
                <w:rFonts w:ascii="Times New Roman" w:hAnsi="Times New Roman" w:cs="Times New Roman"/>
              </w:rPr>
              <w:t>15</w:t>
            </w:r>
            <w:r w:rsidR="00B10EBC">
              <w:rPr>
                <w:rFonts w:ascii="Times New Roman" w:hAnsi="Times New Roman" w:cs="Times New Roman"/>
              </w:rPr>
              <w:t>5</w:t>
            </w:r>
          </w:p>
        </w:tc>
      </w:tr>
      <w:tr w:rsidR="0039771F" w14:paraId="1BD141B2" w14:textId="77777777" w:rsidTr="00042E68">
        <w:tc>
          <w:tcPr>
            <w:tcW w:w="1705" w:type="dxa"/>
          </w:tcPr>
          <w:p w14:paraId="4DDBD782" w14:textId="77777777" w:rsidR="0039771F" w:rsidRDefault="0039771F" w:rsidP="00A57F66">
            <w:pPr>
              <w:jc w:val="center"/>
              <w:rPr>
                <w:rFonts w:ascii="Times New Roman" w:hAnsi="Times New Roman" w:cs="Times New Roman"/>
              </w:rPr>
            </w:pPr>
          </w:p>
        </w:tc>
        <w:tc>
          <w:tcPr>
            <w:tcW w:w="7645" w:type="dxa"/>
          </w:tcPr>
          <w:p w14:paraId="05E7771D" w14:textId="77777777" w:rsidR="0039771F" w:rsidRPr="002E4818" w:rsidRDefault="0039771F" w:rsidP="001E77B8">
            <w:pPr>
              <w:jc w:val="right"/>
              <w:rPr>
                <w:rFonts w:ascii="Times New Roman" w:hAnsi="Times New Roman" w:cs="Times New Roman"/>
              </w:rPr>
            </w:pPr>
          </w:p>
        </w:tc>
      </w:tr>
      <w:tr w:rsidR="0039771F" w14:paraId="40EE586D" w14:textId="77777777" w:rsidTr="00042E68">
        <w:tc>
          <w:tcPr>
            <w:tcW w:w="1705" w:type="dxa"/>
          </w:tcPr>
          <w:p w14:paraId="31AA7CB8" w14:textId="77777777" w:rsidR="0039771F" w:rsidRDefault="0039771F" w:rsidP="0039771F">
            <w:pPr>
              <w:rPr>
                <w:rFonts w:ascii="Times New Roman" w:hAnsi="Times New Roman" w:cs="Times New Roman"/>
                <w:b/>
                <w:bCs/>
              </w:rPr>
            </w:pPr>
            <w:r>
              <w:rPr>
                <w:rFonts w:ascii="Times New Roman" w:hAnsi="Times New Roman" w:cs="Times New Roman"/>
                <w:b/>
                <w:bCs/>
              </w:rPr>
              <w:t>Appendix 2</w:t>
            </w:r>
          </w:p>
          <w:p w14:paraId="220CB844" w14:textId="471FFFF0" w:rsidR="00CE336B" w:rsidRPr="0039771F" w:rsidRDefault="00CE336B" w:rsidP="0039771F">
            <w:pPr>
              <w:rPr>
                <w:rFonts w:ascii="Times New Roman" w:hAnsi="Times New Roman" w:cs="Times New Roman"/>
                <w:b/>
                <w:bCs/>
              </w:rPr>
            </w:pPr>
          </w:p>
        </w:tc>
        <w:tc>
          <w:tcPr>
            <w:tcW w:w="7645" w:type="dxa"/>
          </w:tcPr>
          <w:p w14:paraId="5D05C1F2" w14:textId="77777777" w:rsidR="0039771F" w:rsidRPr="002E4818" w:rsidRDefault="0039771F" w:rsidP="001E77B8">
            <w:pPr>
              <w:jc w:val="right"/>
              <w:rPr>
                <w:rFonts w:ascii="Times New Roman" w:hAnsi="Times New Roman" w:cs="Times New Roman"/>
              </w:rPr>
            </w:pPr>
          </w:p>
        </w:tc>
      </w:tr>
      <w:tr w:rsidR="0039771F" w14:paraId="5B6B94A1" w14:textId="77777777" w:rsidTr="00042E68">
        <w:tc>
          <w:tcPr>
            <w:tcW w:w="1705" w:type="dxa"/>
          </w:tcPr>
          <w:p w14:paraId="4BDA39AA" w14:textId="3109DC1B" w:rsidR="0039771F" w:rsidRPr="0039771F" w:rsidRDefault="0039771F" w:rsidP="00A57F66">
            <w:pPr>
              <w:jc w:val="center"/>
              <w:rPr>
                <w:rFonts w:ascii="Times New Roman" w:hAnsi="Times New Roman" w:cs="Times New Roman"/>
              </w:rPr>
            </w:pPr>
            <w:r>
              <w:rPr>
                <w:rFonts w:ascii="Times New Roman" w:hAnsi="Times New Roman" w:cs="Times New Roman"/>
              </w:rPr>
              <w:t>Table S</w:t>
            </w:r>
            <w:r w:rsidR="001E77B8">
              <w:rPr>
                <w:rFonts w:ascii="Times New Roman" w:hAnsi="Times New Roman" w:cs="Times New Roman"/>
              </w:rPr>
              <w:t>1</w:t>
            </w:r>
          </w:p>
        </w:tc>
        <w:tc>
          <w:tcPr>
            <w:tcW w:w="7645" w:type="dxa"/>
          </w:tcPr>
          <w:p w14:paraId="0DE31364" w14:textId="02B45D8B" w:rsidR="0039771F" w:rsidRPr="002E4818" w:rsidRDefault="00D61497" w:rsidP="001E77B8">
            <w:pPr>
              <w:jc w:val="right"/>
              <w:rPr>
                <w:rFonts w:ascii="Times New Roman" w:hAnsi="Times New Roman" w:cs="Times New Roman"/>
              </w:rPr>
            </w:pPr>
            <w:r>
              <w:rPr>
                <w:rFonts w:ascii="Times New Roman" w:hAnsi="Times New Roman" w:cs="Times New Roman"/>
              </w:rPr>
              <w:t xml:space="preserve">…………………………………………………………………………… </w:t>
            </w:r>
            <w:r w:rsidR="001E4E17">
              <w:rPr>
                <w:rFonts w:ascii="Times New Roman" w:hAnsi="Times New Roman" w:cs="Times New Roman"/>
              </w:rPr>
              <w:t>16</w:t>
            </w:r>
            <w:r w:rsidR="00B10EBC">
              <w:rPr>
                <w:rFonts w:ascii="Times New Roman" w:hAnsi="Times New Roman" w:cs="Times New Roman"/>
              </w:rPr>
              <w:t>5</w:t>
            </w:r>
          </w:p>
        </w:tc>
      </w:tr>
      <w:tr w:rsidR="0039771F" w14:paraId="1D24456E" w14:textId="77777777" w:rsidTr="00217B57">
        <w:tc>
          <w:tcPr>
            <w:tcW w:w="1705" w:type="dxa"/>
          </w:tcPr>
          <w:p w14:paraId="413D07BE" w14:textId="77777777" w:rsidR="0039771F" w:rsidRDefault="0039771F" w:rsidP="00A57F66">
            <w:pPr>
              <w:jc w:val="center"/>
              <w:rPr>
                <w:rFonts w:ascii="Times New Roman" w:hAnsi="Times New Roman" w:cs="Times New Roman"/>
              </w:rPr>
            </w:pPr>
          </w:p>
        </w:tc>
        <w:tc>
          <w:tcPr>
            <w:tcW w:w="7645" w:type="dxa"/>
          </w:tcPr>
          <w:p w14:paraId="5D5EE92D" w14:textId="77777777" w:rsidR="0039771F" w:rsidRPr="002E4818" w:rsidRDefault="0039771F" w:rsidP="001E77B8">
            <w:pPr>
              <w:jc w:val="right"/>
              <w:rPr>
                <w:rFonts w:ascii="Times New Roman" w:hAnsi="Times New Roman" w:cs="Times New Roman"/>
              </w:rPr>
            </w:pPr>
          </w:p>
        </w:tc>
      </w:tr>
      <w:tr w:rsidR="0039771F" w14:paraId="576E59E4" w14:textId="77777777" w:rsidTr="00217B57">
        <w:tc>
          <w:tcPr>
            <w:tcW w:w="1705" w:type="dxa"/>
          </w:tcPr>
          <w:p w14:paraId="074F2CDA" w14:textId="77777777" w:rsidR="0039771F" w:rsidRDefault="001E77B8" w:rsidP="001E77B8">
            <w:pPr>
              <w:rPr>
                <w:rFonts w:ascii="Times New Roman" w:hAnsi="Times New Roman" w:cs="Times New Roman"/>
                <w:b/>
                <w:bCs/>
              </w:rPr>
            </w:pPr>
            <w:r>
              <w:rPr>
                <w:rFonts w:ascii="Times New Roman" w:hAnsi="Times New Roman" w:cs="Times New Roman"/>
                <w:b/>
                <w:bCs/>
              </w:rPr>
              <w:t>Appendix 3</w:t>
            </w:r>
          </w:p>
          <w:p w14:paraId="510A63D7" w14:textId="389D583F" w:rsidR="001F7006" w:rsidRPr="001E77B8" w:rsidRDefault="001F7006" w:rsidP="001E77B8">
            <w:pPr>
              <w:rPr>
                <w:rFonts w:ascii="Times New Roman" w:hAnsi="Times New Roman" w:cs="Times New Roman"/>
                <w:b/>
                <w:bCs/>
              </w:rPr>
            </w:pPr>
          </w:p>
        </w:tc>
        <w:tc>
          <w:tcPr>
            <w:tcW w:w="7645" w:type="dxa"/>
          </w:tcPr>
          <w:p w14:paraId="16A51DA1" w14:textId="77777777" w:rsidR="0039771F" w:rsidRPr="002E4818" w:rsidRDefault="0039771F" w:rsidP="001E77B8">
            <w:pPr>
              <w:jc w:val="right"/>
              <w:rPr>
                <w:rFonts w:ascii="Times New Roman" w:hAnsi="Times New Roman" w:cs="Times New Roman"/>
              </w:rPr>
            </w:pPr>
          </w:p>
        </w:tc>
      </w:tr>
      <w:tr w:rsidR="0039771F" w14:paraId="29519275" w14:textId="77777777" w:rsidTr="00217B57">
        <w:tc>
          <w:tcPr>
            <w:tcW w:w="1705" w:type="dxa"/>
          </w:tcPr>
          <w:p w14:paraId="28146F20" w14:textId="77777777" w:rsidR="0039771F" w:rsidRDefault="001E77B8" w:rsidP="00A57F66">
            <w:pPr>
              <w:jc w:val="center"/>
              <w:rPr>
                <w:rFonts w:ascii="Times New Roman" w:hAnsi="Times New Roman" w:cs="Times New Roman"/>
              </w:rPr>
            </w:pPr>
            <w:r>
              <w:rPr>
                <w:rFonts w:ascii="Times New Roman" w:hAnsi="Times New Roman" w:cs="Times New Roman"/>
              </w:rPr>
              <w:t>Table S1</w:t>
            </w:r>
          </w:p>
          <w:p w14:paraId="70522C1C" w14:textId="65BD3E85" w:rsidR="00CE336B" w:rsidRPr="001E77B8" w:rsidRDefault="00CE336B" w:rsidP="00A57F66">
            <w:pPr>
              <w:jc w:val="center"/>
              <w:rPr>
                <w:rFonts w:ascii="Times New Roman" w:hAnsi="Times New Roman" w:cs="Times New Roman"/>
              </w:rPr>
            </w:pPr>
          </w:p>
        </w:tc>
        <w:tc>
          <w:tcPr>
            <w:tcW w:w="7645" w:type="dxa"/>
          </w:tcPr>
          <w:p w14:paraId="1B73174D" w14:textId="7D2048D0" w:rsidR="0039771F" w:rsidRPr="002E4818" w:rsidRDefault="00D61497" w:rsidP="001E77B8">
            <w:pPr>
              <w:jc w:val="right"/>
              <w:rPr>
                <w:rFonts w:ascii="Times New Roman" w:hAnsi="Times New Roman" w:cs="Times New Roman"/>
              </w:rPr>
            </w:pPr>
            <w:r>
              <w:rPr>
                <w:rFonts w:ascii="Times New Roman" w:hAnsi="Times New Roman" w:cs="Times New Roman"/>
              </w:rPr>
              <w:t xml:space="preserve">…………………………………………………………………………… </w:t>
            </w:r>
            <w:r w:rsidR="001E4E17">
              <w:rPr>
                <w:rFonts w:ascii="Times New Roman" w:hAnsi="Times New Roman" w:cs="Times New Roman"/>
              </w:rPr>
              <w:t>1</w:t>
            </w:r>
            <w:r w:rsidR="00B10EBC">
              <w:rPr>
                <w:rFonts w:ascii="Times New Roman" w:hAnsi="Times New Roman" w:cs="Times New Roman"/>
              </w:rPr>
              <w:t>81</w:t>
            </w:r>
          </w:p>
        </w:tc>
      </w:tr>
      <w:tr w:rsidR="0039771F" w14:paraId="3B0FA2F4" w14:textId="77777777" w:rsidTr="00217B57">
        <w:tc>
          <w:tcPr>
            <w:tcW w:w="1705" w:type="dxa"/>
          </w:tcPr>
          <w:p w14:paraId="7560BEE5" w14:textId="77777777" w:rsidR="0039771F" w:rsidRDefault="001E77B8" w:rsidP="00A57F66">
            <w:pPr>
              <w:jc w:val="center"/>
              <w:rPr>
                <w:rFonts w:ascii="Times New Roman" w:hAnsi="Times New Roman" w:cs="Times New Roman"/>
              </w:rPr>
            </w:pPr>
            <w:r>
              <w:rPr>
                <w:rFonts w:ascii="Times New Roman" w:hAnsi="Times New Roman" w:cs="Times New Roman"/>
              </w:rPr>
              <w:t>Table S2</w:t>
            </w:r>
          </w:p>
          <w:p w14:paraId="66CEFD9F" w14:textId="31787657" w:rsidR="001E5045" w:rsidRDefault="001E5045" w:rsidP="00A57F66">
            <w:pPr>
              <w:jc w:val="center"/>
              <w:rPr>
                <w:rFonts w:ascii="Times New Roman" w:hAnsi="Times New Roman" w:cs="Times New Roman"/>
              </w:rPr>
            </w:pPr>
          </w:p>
        </w:tc>
        <w:tc>
          <w:tcPr>
            <w:tcW w:w="7645" w:type="dxa"/>
          </w:tcPr>
          <w:p w14:paraId="2DE4BC11" w14:textId="2833923B" w:rsidR="0039771F" w:rsidRPr="002E4818" w:rsidRDefault="00D61497" w:rsidP="001E77B8">
            <w:pPr>
              <w:jc w:val="right"/>
              <w:rPr>
                <w:rFonts w:ascii="Times New Roman" w:hAnsi="Times New Roman" w:cs="Times New Roman"/>
              </w:rPr>
            </w:pPr>
            <w:r>
              <w:rPr>
                <w:rFonts w:ascii="Times New Roman" w:hAnsi="Times New Roman" w:cs="Times New Roman"/>
              </w:rPr>
              <w:t xml:space="preserve">…………………………………………………………………………… </w:t>
            </w:r>
            <w:r w:rsidR="001E4E17">
              <w:rPr>
                <w:rFonts w:ascii="Times New Roman" w:hAnsi="Times New Roman" w:cs="Times New Roman"/>
              </w:rPr>
              <w:t>1</w:t>
            </w:r>
            <w:r w:rsidR="00B10EBC">
              <w:rPr>
                <w:rFonts w:ascii="Times New Roman" w:hAnsi="Times New Roman" w:cs="Times New Roman"/>
              </w:rPr>
              <w:t>82</w:t>
            </w:r>
          </w:p>
        </w:tc>
      </w:tr>
      <w:tr w:rsidR="0039771F" w14:paraId="3C0C2A84" w14:textId="77777777" w:rsidTr="00217B57">
        <w:tc>
          <w:tcPr>
            <w:tcW w:w="1705" w:type="dxa"/>
          </w:tcPr>
          <w:p w14:paraId="7EEE9A91" w14:textId="77777777" w:rsidR="0039771F" w:rsidRDefault="001E77B8" w:rsidP="00A57F66">
            <w:pPr>
              <w:jc w:val="center"/>
              <w:rPr>
                <w:rFonts w:ascii="Times New Roman" w:hAnsi="Times New Roman" w:cs="Times New Roman"/>
              </w:rPr>
            </w:pPr>
            <w:r>
              <w:rPr>
                <w:rFonts w:ascii="Times New Roman" w:hAnsi="Times New Roman" w:cs="Times New Roman"/>
              </w:rPr>
              <w:t>Table S3</w:t>
            </w:r>
          </w:p>
          <w:p w14:paraId="12EFDCED" w14:textId="3268F0E7" w:rsidR="00016B60" w:rsidRDefault="00016B60" w:rsidP="00A57F66">
            <w:pPr>
              <w:jc w:val="center"/>
              <w:rPr>
                <w:rFonts w:ascii="Times New Roman" w:hAnsi="Times New Roman" w:cs="Times New Roman"/>
              </w:rPr>
            </w:pPr>
          </w:p>
        </w:tc>
        <w:tc>
          <w:tcPr>
            <w:tcW w:w="7645" w:type="dxa"/>
          </w:tcPr>
          <w:p w14:paraId="16FB26CC" w14:textId="1C20D3C5" w:rsidR="00016B60" w:rsidRPr="002E4818" w:rsidRDefault="00D61497" w:rsidP="00016B60">
            <w:pPr>
              <w:jc w:val="right"/>
              <w:rPr>
                <w:rFonts w:ascii="Times New Roman" w:hAnsi="Times New Roman" w:cs="Times New Roman"/>
              </w:rPr>
            </w:pPr>
            <w:r>
              <w:rPr>
                <w:rFonts w:ascii="Times New Roman" w:hAnsi="Times New Roman" w:cs="Times New Roman"/>
              </w:rPr>
              <w:t xml:space="preserve">…………………………………………………………………………… </w:t>
            </w:r>
            <w:r w:rsidR="001E4E17">
              <w:rPr>
                <w:rFonts w:ascii="Times New Roman" w:hAnsi="Times New Roman" w:cs="Times New Roman"/>
              </w:rPr>
              <w:t>1</w:t>
            </w:r>
            <w:r w:rsidR="00016B60">
              <w:rPr>
                <w:rFonts w:ascii="Times New Roman" w:hAnsi="Times New Roman" w:cs="Times New Roman"/>
              </w:rPr>
              <w:t>86</w:t>
            </w:r>
          </w:p>
        </w:tc>
      </w:tr>
      <w:tr w:rsidR="0039771F" w14:paraId="431C383E" w14:textId="77777777" w:rsidTr="00217B57">
        <w:tc>
          <w:tcPr>
            <w:tcW w:w="1705" w:type="dxa"/>
          </w:tcPr>
          <w:p w14:paraId="0F90AB94" w14:textId="273F2C9F" w:rsidR="00016B60" w:rsidRDefault="00016B60" w:rsidP="00217B57">
            <w:pPr>
              <w:jc w:val="center"/>
              <w:rPr>
                <w:rFonts w:ascii="Times New Roman" w:hAnsi="Times New Roman" w:cs="Times New Roman"/>
              </w:rPr>
            </w:pPr>
            <w:r>
              <w:rPr>
                <w:rFonts w:ascii="Times New Roman" w:hAnsi="Times New Roman" w:cs="Times New Roman"/>
              </w:rPr>
              <w:t>Table S4</w:t>
            </w:r>
          </w:p>
        </w:tc>
        <w:tc>
          <w:tcPr>
            <w:tcW w:w="7645" w:type="dxa"/>
          </w:tcPr>
          <w:p w14:paraId="3C131512" w14:textId="1DE3588B" w:rsidR="0039771F" w:rsidRPr="002E4818" w:rsidRDefault="00016B60" w:rsidP="001E77B8">
            <w:pPr>
              <w:jc w:val="right"/>
              <w:rPr>
                <w:rFonts w:ascii="Times New Roman" w:hAnsi="Times New Roman" w:cs="Times New Roman"/>
              </w:rPr>
            </w:pPr>
            <w:r>
              <w:rPr>
                <w:rFonts w:ascii="Times New Roman" w:hAnsi="Times New Roman" w:cs="Times New Roman"/>
              </w:rPr>
              <w:t>…………………………………………………………………………… 18</w:t>
            </w:r>
            <w:r w:rsidR="00217B57">
              <w:rPr>
                <w:rFonts w:ascii="Times New Roman" w:hAnsi="Times New Roman" w:cs="Times New Roman"/>
              </w:rPr>
              <w:t>7</w:t>
            </w:r>
          </w:p>
        </w:tc>
      </w:tr>
    </w:tbl>
    <w:p w14:paraId="79ED75FD" w14:textId="77777777" w:rsidR="00DC5456" w:rsidRDefault="00DC5456" w:rsidP="00A57F66">
      <w:pPr>
        <w:jc w:val="center"/>
        <w:rPr>
          <w:rFonts w:ascii="Times New Roman" w:hAnsi="Times New Roman" w:cs="Times New Roman"/>
          <w:b/>
          <w:bCs/>
          <w:sz w:val="24"/>
          <w:szCs w:val="24"/>
        </w:rPr>
      </w:pPr>
    </w:p>
    <w:p w14:paraId="661B0EC4" w14:textId="77777777" w:rsidR="00F56C7D" w:rsidRDefault="00F56C7D" w:rsidP="00A57F66">
      <w:pPr>
        <w:jc w:val="center"/>
        <w:rPr>
          <w:rFonts w:ascii="Times New Roman" w:hAnsi="Times New Roman" w:cs="Times New Roman"/>
          <w:b/>
          <w:bCs/>
          <w:sz w:val="24"/>
          <w:szCs w:val="24"/>
        </w:rPr>
      </w:pPr>
    </w:p>
    <w:p w14:paraId="21CBAD60" w14:textId="77777777" w:rsidR="00F56143" w:rsidRDefault="00F56143" w:rsidP="00A57F66">
      <w:pPr>
        <w:jc w:val="center"/>
        <w:rPr>
          <w:rFonts w:ascii="Times New Roman" w:hAnsi="Times New Roman" w:cs="Times New Roman"/>
          <w:b/>
          <w:bCs/>
          <w:sz w:val="24"/>
          <w:szCs w:val="24"/>
        </w:rPr>
      </w:pPr>
    </w:p>
    <w:p w14:paraId="361E2F5B" w14:textId="77777777" w:rsidR="0088481D" w:rsidRDefault="0088481D" w:rsidP="00D61497">
      <w:pPr>
        <w:jc w:val="center"/>
        <w:rPr>
          <w:rFonts w:ascii="Times New Roman" w:hAnsi="Times New Roman" w:cs="Times New Roman"/>
          <w:b/>
          <w:bCs/>
          <w:sz w:val="24"/>
          <w:szCs w:val="24"/>
        </w:rPr>
      </w:pPr>
    </w:p>
    <w:p w14:paraId="2F442435" w14:textId="70FD07B9" w:rsidR="00D61497" w:rsidRDefault="00ED3EB8" w:rsidP="00D61497">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Figures</w:t>
      </w:r>
    </w:p>
    <w:p w14:paraId="3CF45535" w14:textId="77777777" w:rsidR="005C4836" w:rsidRDefault="005C4836" w:rsidP="00D61497">
      <w:pPr>
        <w:jc w:val="center"/>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555"/>
      </w:tblGrid>
      <w:tr w:rsidR="000B7D79" w14:paraId="4151AE16" w14:textId="77777777" w:rsidTr="005C4836">
        <w:tc>
          <w:tcPr>
            <w:tcW w:w="1795" w:type="dxa"/>
          </w:tcPr>
          <w:p w14:paraId="7A6A36B7" w14:textId="77777777" w:rsidR="000B7D79" w:rsidRDefault="00305EE1" w:rsidP="00305EE1">
            <w:pPr>
              <w:rPr>
                <w:rFonts w:ascii="Times New Roman" w:hAnsi="Times New Roman" w:cs="Times New Roman"/>
                <w:b/>
                <w:bCs/>
              </w:rPr>
            </w:pPr>
            <w:r>
              <w:rPr>
                <w:rFonts w:ascii="Times New Roman" w:hAnsi="Times New Roman" w:cs="Times New Roman"/>
                <w:b/>
                <w:bCs/>
              </w:rPr>
              <w:t>Chapter 1</w:t>
            </w:r>
          </w:p>
          <w:p w14:paraId="074D1706" w14:textId="13E95B8F" w:rsidR="00BA7093" w:rsidRPr="00305EE1" w:rsidRDefault="00BA7093" w:rsidP="00305EE1">
            <w:pPr>
              <w:rPr>
                <w:rFonts w:ascii="Times New Roman" w:hAnsi="Times New Roman" w:cs="Times New Roman"/>
              </w:rPr>
            </w:pPr>
          </w:p>
        </w:tc>
        <w:tc>
          <w:tcPr>
            <w:tcW w:w="7555" w:type="dxa"/>
          </w:tcPr>
          <w:p w14:paraId="3378EE10" w14:textId="77777777" w:rsidR="000B7D79" w:rsidRPr="00C8533A" w:rsidRDefault="000B7D79" w:rsidP="00C8533A">
            <w:pPr>
              <w:jc w:val="right"/>
              <w:rPr>
                <w:rFonts w:ascii="Times New Roman" w:hAnsi="Times New Roman" w:cs="Times New Roman"/>
              </w:rPr>
            </w:pPr>
          </w:p>
        </w:tc>
      </w:tr>
      <w:tr w:rsidR="00305EE1" w14:paraId="034E4333" w14:textId="77777777" w:rsidTr="005C4836">
        <w:tc>
          <w:tcPr>
            <w:tcW w:w="1795" w:type="dxa"/>
          </w:tcPr>
          <w:p w14:paraId="4352A457" w14:textId="5157C528" w:rsidR="00305EE1" w:rsidRPr="00813D5C" w:rsidRDefault="00813D5C" w:rsidP="00813D5C">
            <w:pPr>
              <w:jc w:val="center"/>
              <w:rPr>
                <w:rFonts w:ascii="Times New Roman" w:hAnsi="Times New Roman" w:cs="Times New Roman"/>
              </w:rPr>
            </w:pPr>
            <w:r>
              <w:rPr>
                <w:rFonts w:ascii="Times New Roman" w:hAnsi="Times New Roman" w:cs="Times New Roman"/>
              </w:rPr>
              <w:t>Figure 1</w:t>
            </w:r>
          </w:p>
        </w:tc>
        <w:tc>
          <w:tcPr>
            <w:tcW w:w="7555" w:type="dxa"/>
          </w:tcPr>
          <w:p w14:paraId="54776443" w14:textId="08FFB624" w:rsidR="00305EE1" w:rsidRPr="00C8533A" w:rsidRDefault="001F7006" w:rsidP="00C8533A">
            <w:pPr>
              <w:jc w:val="right"/>
              <w:rPr>
                <w:rFonts w:ascii="Times New Roman" w:hAnsi="Times New Roman" w:cs="Times New Roman"/>
              </w:rPr>
            </w:pPr>
            <w:r>
              <w:rPr>
                <w:rFonts w:ascii="Times New Roman" w:hAnsi="Times New Roman" w:cs="Times New Roman"/>
              </w:rPr>
              <w:t xml:space="preserve">……………………………………………………………………………. </w:t>
            </w:r>
            <w:r w:rsidR="00D72F90">
              <w:rPr>
                <w:rFonts w:ascii="Times New Roman" w:hAnsi="Times New Roman" w:cs="Times New Roman"/>
              </w:rPr>
              <w:t>42</w:t>
            </w:r>
          </w:p>
        </w:tc>
      </w:tr>
      <w:tr w:rsidR="00305EE1" w14:paraId="7ABB9129" w14:textId="77777777" w:rsidTr="005C4836">
        <w:tc>
          <w:tcPr>
            <w:tcW w:w="1795" w:type="dxa"/>
          </w:tcPr>
          <w:p w14:paraId="5D546962" w14:textId="6885646F" w:rsidR="00305EE1" w:rsidRPr="00813D5C" w:rsidRDefault="00813D5C" w:rsidP="00813D5C">
            <w:pPr>
              <w:jc w:val="center"/>
              <w:rPr>
                <w:rFonts w:ascii="Times New Roman" w:hAnsi="Times New Roman" w:cs="Times New Roman"/>
              </w:rPr>
            </w:pPr>
            <w:r>
              <w:rPr>
                <w:rFonts w:ascii="Times New Roman" w:hAnsi="Times New Roman" w:cs="Times New Roman"/>
              </w:rPr>
              <w:t>Figure 2</w:t>
            </w:r>
          </w:p>
        </w:tc>
        <w:tc>
          <w:tcPr>
            <w:tcW w:w="7555" w:type="dxa"/>
          </w:tcPr>
          <w:p w14:paraId="0A5BB1AB" w14:textId="505B8FF0" w:rsidR="00305EE1" w:rsidRPr="00C8533A" w:rsidRDefault="001F7006" w:rsidP="00C8533A">
            <w:pPr>
              <w:jc w:val="right"/>
              <w:rPr>
                <w:rFonts w:ascii="Times New Roman" w:hAnsi="Times New Roman" w:cs="Times New Roman"/>
              </w:rPr>
            </w:pPr>
            <w:r w:rsidRPr="001F7006">
              <w:rPr>
                <w:rFonts w:ascii="Times New Roman" w:hAnsi="Times New Roman" w:cs="Times New Roman"/>
              </w:rPr>
              <w:t xml:space="preserve">……………………………………………………………………………. </w:t>
            </w:r>
            <w:r w:rsidR="00D72F90">
              <w:rPr>
                <w:rFonts w:ascii="Times New Roman" w:hAnsi="Times New Roman" w:cs="Times New Roman"/>
              </w:rPr>
              <w:t>43</w:t>
            </w:r>
          </w:p>
        </w:tc>
      </w:tr>
      <w:tr w:rsidR="00305EE1" w14:paraId="05B427ED" w14:textId="77777777" w:rsidTr="005C4836">
        <w:tc>
          <w:tcPr>
            <w:tcW w:w="1795" w:type="dxa"/>
          </w:tcPr>
          <w:p w14:paraId="34015CD2" w14:textId="5EF48DF7" w:rsidR="00305EE1" w:rsidRPr="00813D5C" w:rsidRDefault="00BA7093" w:rsidP="00BA7093">
            <w:pPr>
              <w:jc w:val="center"/>
              <w:rPr>
                <w:rFonts w:ascii="Times New Roman" w:hAnsi="Times New Roman" w:cs="Times New Roman"/>
              </w:rPr>
            </w:pPr>
            <w:r>
              <w:rPr>
                <w:rFonts w:ascii="Times New Roman" w:hAnsi="Times New Roman" w:cs="Times New Roman"/>
              </w:rPr>
              <w:t>Figure 3</w:t>
            </w:r>
          </w:p>
        </w:tc>
        <w:tc>
          <w:tcPr>
            <w:tcW w:w="7555" w:type="dxa"/>
          </w:tcPr>
          <w:p w14:paraId="3352AC99" w14:textId="5A46FE0A" w:rsidR="00305EE1" w:rsidRPr="00C8533A" w:rsidRDefault="001F7006" w:rsidP="00C8533A">
            <w:pPr>
              <w:jc w:val="right"/>
              <w:rPr>
                <w:rFonts w:ascii="Times New Roman" w:hAnsi="Times New Roman" w:cs="Times New Roman"/>
              </w:rPr>
            </w:pPr>
            <w:r w:rsidRPr="001F7006">
              <w:rPr>
                <w:rFonts w:ascii="Times New Roman" w:hAnsi="Times New Roman" w:cs="Times New Roman"/>
              </w:rPr>
              <w:t xml:space="preserve">……………………………………………………………………………. </w:t>
            </w:r>
            <w:r w:rsidR="00D72F90">
              <w:rPr>
                <w:rFonts w:ascii="Times New Roman" w:hAnsi="Times New Roman" w:cs="Times New Roman"/>
              </w:rPr>
              <w:t>44</w:t>
            </w:r>
          </w:p>
        </w:tc>
      </w:tr>
      <w:tr w:rsidR="00305EE1" w14:paraId="581C991B" w14:textId="77777777" w:rsidTr="005C4836">
        <w:tc>
          <w:tcPr>
            <w:tcW w:w="1795" w:type="dxa"/>
          </w:tcPr>
          <w:p w14:paraId="2EFBF272" w14:textId="4A62CA6C" w:rsidR="00305EE1" w:rsidRPr="00453B59" w:rsidRDefault="00BA7093" w:rsidP="00453B59">
            <w:pPr>
              <w:jc w:val="center"/>
              <w:rPr>
                <w:rFonts w:ascii="Times New Roman" w:hAnsi="Times New Roman" w:cs="Times New Roman"/>
              </w:rPr>
            </w:pPr>
            <w:r w:rsidRPr="00453B59">
              <w:rPr>
                <w:rFonts w:ascii="Times New Roman" w:hAnsi="Times New Roman" w:cs="Times New Roman"/>
              </w:rPr>
              <w:t>Figure 4</w:t>
            </w:r>
          </w:p>
        </w:tc>
        <w:tc>
          <w:tcPr>
            <w:tcW w:w="7555" w:type="dxa"/>
          </w:tcPr>
          <w:p w14:paraId="1290CD31" w14:textId="60E25331" w:rsidR="00305EE1" w:rsidRPr="00C8533A" w:rsidRDefault="001F7006" w:rsidP="00C8533A">
            <w:pPr>
              <w:jc w:val="right"/>
              <w:rPr>
                <w:rFonts w:ascii="Times New Roman" w:hAnsi="Times New Roman" w:cs="Times New Roman"/>
              </w:rPr>
            </w:pPr>
            <w:r w:rsidRPr="001F7006">
              <w:rPr>
                <w:rFonts w:ascii="Times New Roman" w:hAnsi="Times New Roman" w:cs="Times New Roman"/>
              </w:rPr>
              <w:t xml:space="preserve">……………………………………………………………………………. </w:t>
            </w:r>
            <w:r w:rsidR="00D72F90">
              <w:rPr>
                <w:rFonts w:ascii="Times New Roman" w:hAnsi="Times New Roman" w:cs="Times New Roman"/>
              </w:rPr>
              <w:t>45</w:t>
            </w:r>
          </w:p>
        </w:tc>
      </w:tr>
      <w:tr w:rsidR="00305EE1" w14:paraId="6F3536B9" w14:textId="77777777" w:rsidTr="005C4836">
        <w:tc>
          <w:tcPr>
            <w:tcW w:w="1795" w:type="dxa"/>
          </w:tcPr>
          <w:p w14:paraId="4577615B" w14:textId="17739EA9" w:rsidR="00305EE1" w:rsidRPr="00453B59" w:rsidRDefault="00BA7093" w:rsidP="00453B59">
            <w:pPr>
              <w:jc w:val="center"/>
              <w:rPr>
                <w:rFonts w:ascii="Times New Roman" w:hAnsi="Times New Roman" w:cs="Times New Roman"/>
              </w:rPr>
            </w:pPr>
            <w:r w:rsidRPr="00453B59">
              <w:rPr>
                <w:rFonts w:ascii="Times New Roman" w:hAnsi="Times New Roman" w:cs="Times New Roman"/>
              </w:rPr>
              <w:t>Figure 5</w:t>
            </w:r>
          </w:p>
        </w:tc>
        <w:tc>
          <w:tcPr>
            <w:tcW w:w="7555" w:type="dxa"/>
          </w:tcPr>
          <w:p w14:paraId="0FDEBE3F" w14:textId="3312B297" w:rsidR="00305EE1" w:rsidRPr="00C8533A" w:rsidRDefault="001F7006" w:rsidP="00C8533A">
            <w:pPr>
              <w:jc w:val="right"/>
              <w:rPr>
                <w:rFonts w:ascii="Times New Roman" w:hAnsi="Times New Roman" w:cs="Times New Roman"/>
              </w:rPr>
            </w:pPr>
            <w:r w:rsidRPr="001F7006">
              <w:rPr>
                <w:rFonts w:ascii="Times New Roman" w:hAnsi="Times New Roman" w:cs="Times New Roman"/>
              </w:rPr>
              <w:t xml:space="preserve">……………………………………………………………………………. </w:t>
            </w:r>
            <w:r w:rsidR="00D72F90">
              <w:rPr>
                <w:rFonts w:ascii="Times New Roman" w:hAnsi="Times New Roman" w:cs="Times New Roman"/>
              </w:rPr>
              <w:t>46</w:t>
            </w:r>
          </w:p>
        </w:tc>
      </w:tr>
      <w:tr w:rsidR="00305EE1" w14:paraId="721BE8F1" w14:textId="77777777" w:rsidTr="005C4836">
        <w:tc>
          <w:tcPr>
            <w:tcW w:w="1795" w:type="dxa"/>
          </w:tcPr>
          <w:p w14:paraId="0D8D0441" w14:textId="77777777" w:rsidR="00453B59" w:rsidRDefault="00453B59" w:rsidP="00305EE1">
            <w:pPr>
              <w:rPr>
                <w:rFonts w:ascii="Times New Roman" w:hAnsi="Times New Roman" w:cs="Times New Roman"/>
                <w:b/>
                <w:bCs/>
              </w:rPr>
            </w:pPr>
          </w:p>
          <w:p w14:paraId="354ED04C" w14:textId="5A5F1A9E" w:rsidR="00305EE1" w:rsidRDefault="00BA7093" w:rsidP="00305EE1">
            <w:pPr>
              <w:rPr>
                <w:rFonts w:ascii="Times New Roman" w:hAnsi="Times New Roman" w:cs="Times New Roman"/>
                <w:b/>
                <w:bCs/>
              </w:rPr>
            </w:pPr>
            <w:r>
              <w:rPr>
                <w:rFonts w:ascii="Times New Roman" w:hAnsi="Times New Roman" w:cs="Times New Roman"/>
                <w:b/>
                <w:bCs/>
              </w:rPr>
              <w:t>Chapter 2</w:t>
            </w:r>
          </w:p>
          <w:p w14:paraId="722948BE" w14:textId="77208302" w:rsidR="00453B59" w:rsidRDefault="00453B59" w:rsidP="00305EE1">
            <w:pPr>
              <w:rPr>
                <w:rFonts w:ascii="Times New Roman" w:hAnsi="Times New Roman" w:cs="Times New Roman"/>
                <w:b/>
                <w:bCs/>
              </w:rPr>
            </w:pPr>
          </w:p>
        </w:tc>
        <w:tc>
          <w:tcPr>
            <w:tcW w:w="7555" w:type="dxa"/>
          </w:tcPr>
          <w:p w14:paraId="34D88966" w14:textId="77777777" w:rsidR="00305EE1" w:rsidRPr="00C8533A" w:rsidRDefault="00305EE1" w:rsidP="00C8533A">
            <w:pPr>
              <w:jc w:val="right"/>
              <w:rPr>
                <w:rFonts w:ascii="Times New Roman" w:hAnsi="Times New Roman" w:cs="Times New Roman"/>
              </w:rPr>
            </w:pPr>
          </w:p>
        </w:tc>
      </w:tr>
      <w:tr w:rsidR="00305EE1" w14:paraId="37BB78B3" w14:textId="77777777" w:rsidTr="005C4836">
        <w:tc>
          <w:tcPr>
            <w:tcW w:w="1795" w:type="dxa"/>
          </w:tcPr>
          <w:p w14:paraId="69CF0DE9" w14:textId="46368595" w:rsidR="00305EE1" w:rsidRPr="00453B59" w:rsidRDefault="00BA7093" w:rsidP="00453B59">
            <w:pPr>
              <w:jc w:val="center"/>
              <w:rPr>
                <w:rFonts w:ascii="Times New Roman" w:hAnsi="Times New Roman" w:cs="Times New Roman"/>
              </w:rPr>
            </w:pPr>
            <w:r w:rsidRPr="00453B59">
              <w:rPr>
                <w:rFonts w:ascii="Times New Roman" w:hAnsi="Times New Roman" w:cs="Times New Roman"/>
              </w:rPr>
              <w:t>Figure 1</w:t>
            </w:r>
          </w:p>
        </w:tc>
        <w:tc>
          <w:tcPr>
            <w:tcW w:w="7555" w:type="dxa"/>
          </w:tcPr>
          <w:p w14:paraId="47558AD2" w14:textId="6EF6AE56" w:rsidR="00305EE1" w:rsidRPr="00C8533A" w:rsidRDefault="001F7006" w:rsidP="00C8533A">
            <w:pPr>
              <w:jc w:val="right"/>
              <w:rPr>
                <w:rFonts w:ascii="Times New Roman" w:hAnsi="Times New Roman" w:cs="Times New Roman"/>
              </w:rPr>
            </w:pPr>
            <w:r w:rsidRPr="001F7006">
              <w:rPr>
                <w:rFonts w:ascii="Times New Roman" w:hAnsi="Times New Roman" w:cs="Times New Roman"/>
              </w:rPr>
              <w:t xml:space="preserve">……………………………………………………………………………. </w:t>
            </w:r>
            <w:r w:rsidR="00D72F90">
              <w:rPr>
                <w:rFonts w:ascii="Times New Roman" w:hAnsi="Times New Roman" w:cs="Times New Roman"/>
              </w:rPr>
              <w:t>71</w:t>
            </w:r>
          </w:p>
        </w:tc>
      </w:tr>
      <w:tr w:rsidR="00305EE1" w14:paraId="2EFAA4DA" w14:textId="77777777" w:rsidTr="005C4836">
        <w:tc>
          <w:tcPr>
            <w:tcW w:w="1795" w:type="dxa"/>
          </w:tcPr>
          <w:p w14:paraId="6BF2649C" w14:textId="0A25DFC0" w:rsidR="00305EE1" w:rsidRPr="00453B59" w:rsidRDefault="00BA7093" w:rsidP="00453B59">
            <w:pPr>
              <w:jc w:val="center"/>
              <w:rPr>
                <w:rFonts w:ascii="Times New Roman" w:hAnsi="Times New Roman" w:cs="Times New Roman"/>
              </w:rPr>
            </w:pPr>
            <w:r w:rsidRPr="00453B59">
              <w:rPr>
                <w:rFonts w:ascii="Times New Roman" w:hAnsi="Times New Roman" w:cs="Times New Roman"/>
              </w:rPr>
              <w:t>Figure 2</w:t>
            </w:r>
          </w:p>
        </w:tc>
        <w:tc>
          <w:tcPr>
            <w:tcW w:w="7555" w:type="dxa"/>
          </w:tcPr>
          <w:p w14:paraId="4D0AB626" w14:textId="17136C1D" w:rsidR="00305EE1" w:rsidRPr="00C8533A" w:rsidRDefault="001F7006" w:rsidP="00C8533A">
            <w:pPr>
              <w:jc w:val="right"/>
              <w:rPr>
                <w:rFonts w:ascii="Times New Roman" w:hAnsi="Times New Roman" w:cs="Times New Roman"/>
              </w:rPr>
            </w:pPr>
            <w:r w:rsidRPr="001F7006">
              <w:rPr>
                <w:rFonts w:ascii="Times New Roman" w:hAnsi="Times New Roman" w:cs="Times New Roman"/>
              </w:rPr>
              <w:t xml:space="preserve">……………………………………………………………………………. </w:t>
            </w:r>
            <w:r w:rsidR="00D72F90">
              <w:rPr>
                <w:rFonts w:ascii="Times New Roman" w:hAnsi="Times New Roman" w:cs="Times New Roman"/>
              </w:rPr>
              <w:t>72</w:t>
            </w:r>
          </w:p>
        </w:tc>
      </w:tr>
      <w:tr w:rsidR="00305EE1" w14:paraId="09958037" w14:textId="77777777" w:rsidTr="005C4836">
        <w:tc>
          <w:tcPr>
            <w:tcW w:w="1795" w:type="dxa"/>
          </w:tcPr>
          <w:p w14:paraId="518666D8" w14:textId="12E81CE6" w:rsidR="00305EE1" w:rsidRPr="00453B59" w:rsidRDefault="00BA7093" w:rsidP="00453B59">
            <w:pPr>
              <w:jc w:val="center"/>
              <w:rPr>
                <w:rFonts w:ascii="Times New Roman" w:hAnsi="Times New Roman" w:cs="Times New Roman"/>
              </w:rPr>
            </w:pPr>
            <w:r w:rsidRPr="00453B59">
              <w:rPr>
                <w:rFonts w:ascii="Times New Roman" w:hAnsi="Times New Roman" w:cs="Times New Roman"/>
              </w:rPr>
              <w:t>Figure 3</w:t>
            </w:r>
          </w:p>
        </w:tc>
        <w:tc>
          <w:tcPr>
            <w:tcW w:w="7555" w:type="dxa"/>
          </w:tcPr>
          <w:p w14:paraId="2C2459CB" w14:textId="6C432D5D" w:rsidR="00305EE1" w:rsidRPr="00C8533A" w:rsidRDefault="001F7006" w:rsidP="00C8533A">
            <w:pPr>
              <w:jc w:val="right"/>
              <w:rPr>
                <w:rFonts w:ascii="Times New Roman" w:hAnsi="Times New Roman" w:cs="Times New Roman"/>
              </w:rPr>
            </w:pPr>
            <w:r w:rsidRPr="001F7006">
              <w:rPr>
                <w:rFonts w:ascii="Times New Roman" w:hAnsi="Times New Roman" w:cs="Times New Roman"/>
              </w:rPr>
              <w:t xml:space="preserve">……………………………………………………………………………. </w:t>
            </w:r>
            <w:r w:rsidR="00D72F90">
              <w:rPr>
                <w:rFonts w:ascii="Times New Roman" w:hAnsi="Times New Roman" w:cs="Times New Roman"/>
              </w:rPr>
              <w:t>73</w:t>
            </w:r>
          </w:p>
        </w:tc>
      </w:tr>
      <w:tr w:rsidR="00305EE1" w14:paraId="35BA3ACE" w14:textId="77777777" w:rsidTr="005C4836">
        <w:tc>
          <w:tcPr>
            <w:tcW w:w="1795" w:type="dxa"/>
          </w:tcPr>
          <w:p w14:paraId="4F922928" w14:textId="3488938C" w:rsidR="00453B59" w:rsidRPr="00453B59" w:rsidRDefault="00FE36EF" w:rsidP="00453B59">
            <w:pPr>
              <w:jc w:val="center"/>
              <w:rPr>
                <w:rFonts w:ascii="Times New Roman" w:hAnsi="Times New Roman" w:cs="Times New Roman"/>
              </w:rPr>
            </w:pPr>
            <w:r w:rsidRPr="00453B59">
              <w:rPr>
                <w:rFonts w:ascii="Times New Roman" w:hAnsi="Times New Roman" w:cs="Times New Roman"/>
              </w:rPr>
              <w:t>Figure 4</w:t>
            </w:r>
          </w:p>
        </w:tc>
        <w:tc>
          <w:tcPr>
            <w:tcW w:w="7555" w:type="dxa"/>
          </w:tcPr>
          <w:p w14:paraId="3541BB46" w14:textId="1DD4B606" w:rsidR="00305EE1" w:rsidRPr="00C8533A" w:rsidRDefault="001F7006" w:rsidP="00C8533A">
            <w:pPr>
              <w:jc w:val="right"/>
              <w:rPr>
                <w:rFonts w:ascii="Times New Roman" w:hAnsi="Times New Roman" w:cs="Times New Roman"/>
              </w:rPr>
            </w:pPr>
            <w:r w:rsidRPr="001F7006">
              <w:rPr>
                <w:rFonts w:ascii="Times New Roman" w:hAnsi="Times New Roman" w:cs="Times New Roman"/>
              </w:rPr>
              <w:t xml:space="preserve">……………………………………………………………………………. </w:t>
            </w:r>
            <w:r w:rsidR="00D72F90">
              <w:rPr>
                <w:rFonts w:ascii="Times New Roman" w:hAnsi="Times New Roman" w:cs="Times New Roman"/>
              </w:rPr>
              <w:t>74</w:t>
            </w:r>
          </w:p>
        </w:tc>
      </w:tr>
      <w:tr w:rsidR="00305EE1" w14:paraId="6931B232" w14:textId="77777777" w:rsidTr="005C4836">
        <w:tc>
          <w:tcPr>
            <w:tcW w:w="1795" w:type="dxa"/>
          </w:tcPr>
          <w:p w14:paraId="397BB86E" w14:textId="77777777" w:rsidR="00453B59" w:rsidRDefault="00453B59" w:rsidP="00305EE1">
            <w:pPr>
              <w:rPr>
                <w:rFonts w:ascii="Times New Roman" w:hAnsi="Times New Roman" w:cs="Times New Roman"/>
                <w:b/>
                <w:bCs/>
              </w:rPr>
            </w:pPr>
          </w:p>
          <w:p w14:paraId="4790B942" w14:textId="7691266A" w:rsidR="00305EE1" w:rsidRDefault="00FE36EF" w:rsidP="00305EE1">
            <w:pPr>
              <w:rPr>
                <w:rFonts w:ascii="Times New Roman" w:hAnsi="Times New Roman" w:cs="Times New Roman"/>
                <w:b/>
                <w:bCs/>
              </w:rPr>
            </w:pPr>
            <w:r>
              <w:rPr>
                <w:rFonts w:ascii="Times New Roman" w:hAnsi="Times New Roman" w:cs="Times New Roman"/>
                <w:b/>
                <w:bCs/>
              </w:rPr>
              <w:t>Chapter 3</w:t>
            </w:r>
          </w:p>
          <w:p w14:paraId="17F993ED" w14:textId="2B99D518" w:rsidR="00453B59" w:rsidRDefault="00453B59" w:rsidP="00305EE1">
            <w:pPr>
              <w:rPr>
                <w:rFonts w:ascii="Times New Roman" w:hAnsi="Times New Roman" w:cs="Times New Roman"/>
                <w:b/>
                <w:bCs/>
              </w:rPr>
            </w:pPr>
          </w:p>
        </w:tc>
        <w:tc>
          <w:tcPr>
            <w:tcW w:w="7555" w:type="dxa"/>
          </w:tcPr>
          <w:p w14:paraId="5CACB892" w14:textId="77777777" w:rsidR="00305EE1" w:rsidRPr="00C8533A" w:rsidRDefault="00305EE1" w:rsidP="00C8533A">
            <w:pPr>
              <w:jc w:val="right"/>
              <w:rPr>
                <w:rFonts w:ascii="Times New Roman" w:hAnsi="Times New Roman" w:cs="Times New Roman"/>
              </w:rPr>
            </w:pPr>
          </w:p>
        </w:tc>
      </w:tr>
      <w:tr w:rsidR="00305EE1" w14:paraId="55056A32" w14:textId="77777777" w:rsidTr="005C4836">
        <w:tc>
          <w:tcPr>
            <w:tcW w:w="1795" w:type="dxa"/>
          </w:tcPr>
          <w:p w14:paraId="1CF2D6C1" w14:textId="7E7F022A"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1</w:t>
            </w:r>
          </w:p>
        </w:tc>
        <w:tc>
          <w:tcPr>
            <w:tcW w:w="7555" w:type="dxa"/>
          </w:tcPr>
          <w:p w14:paraId="2B2567A2" w14:textId="24AF47E7" w:rsidR="00305EE1" w:rsidRPr="00C8533A" w:rsidRDefault="001F7006" w:rsidP="00C8533A">
            <w:pPr>
              <w:jc w:val="right"/>
              <w:rPr>
                <w:rFonts w:ascii="Times New Roman" w:hAnsi="Times New Roman" w:cs="Times New Roman"/>
              </w:rPr>
            </w:pPr>
            <w:r w:rsidRPr="001F7006">
              <w:rPr>
                <w:rFonts w:ascii="Times New Roman" w:hAnsi="Times New Roman" w:cs="Times New Roman"/>
              </w:rPr>
              <w:t>…………………………………………………………………………</w:t>
            </w:r>
            <w:r>
              <w:rPr>
                <w:rFonts w:ascii="Times New Roman" w:hAnsi="Times New Roman" w:cs="Times New Roman"/>
              </w:rPr>
              <w:t>...</w:t>
            </w:r>
            <w:r w:rsidRPr="001F7006">
              <w:rPr>
                <w:rFonts w:ascii="Times New Roman" w:hAnsi="Times New Roman" w:cs="Times New Roman"/>
              </w:rPr>
              <w:t xml:space="preserve"> </w:t>
            </w:r>
            <w:r w:rsidR="00D72F90">
              <w:rPr>
                <w:rFonts w:ascii="Times New Roman" w:hAnsi="Times New Roman" w:cs="Times New Roman"/>
              </w:rPr>
              <w:t>10</w:t>
            </w:r>
            <w:r w:rsidR="00F21178">
              <w:rPr>
                <w:rFonts w:ascii="Times New Roman" w:hAnsi="Times New Roman" w:cs="Times New Roman"/>
              </w:rPr>
              <w:t>6</w:t>
            </w:r>
          </w:p>
        </w:tc>
      </w:tr>
      <w:tr w:rsidR="00305EE1" w14:paraId="1ED370B1" w14:textId="77777777" w:rsidTr="005C4836">
        <w:tc>
          <w:tcPr>
            <w:tcW w:w="1795" w:type="dxa"/>
          </w:tcPr>
          <w:p w14:paraId="010E336D" w14:textId="297A184F"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2</w:t>
            </w:r>
          </w:p>
        </w:tc>
        <w:tc>
          <w:tcPr>
            <w:tcW w:w="7555" w:type="dxa"/>
          </w:tcPr>
          <w:p w14:paraId="18D78343" w14:textId="30B230FA" w:rsidR="00305EE1" w:rsidRPr="00C8533A" w:rsidRDefault="001F7006" w:rsidP="00C8533A">
            <w:pPr>
              <w:jc w:val="right"/>
              <w:rPr>
                <w:rFonts w:ascii="Times New Roman" w:hAnsi="Times New Roman" w:cs="Times New Roman"/>
              </w:rPr>
            </w:pPr>
            <w:r w:rsidRPr="001F7006">
              <w:rPr>
                <w:rFonts w:ascii="Times New Roman" w:hAnsi="Times New Roman" w:cs="Times New Roman"/>
              </w:rPr>
              <w:t>…………………………………………………………………………...</w:t>
            </w:r>
            <w:r w:rsidR="005C4836">
              <w:rPr>
                <w:rFonts w:ascii="Times New Roman" w:hAnsi="Times New Roman" w:cs="Times New Roman"/>
              </w:rPr>
              <w:t xml:space="preserve"> </w:t>
            </w:r>
            <w:r w:rsidR="00D72F90">
              <w:rPr>
                <w:rFonts w:ascii="Times New Roman" w:hAnsi="Times New Roman" w:cs="Times New Roman"/>
              </w:rPr>
              <w:t>10</w:t>
            </w:r>
            <w:r w:rsidR="00F21178">
              <w:rPr>
                <w:rFonts w:ascii="Times New Roman" w:hAnsi="Times New Roman" w:cs="Times New Roman"/>
              </w:rPr>
              <w:t>7</w:t>
            </w:r>
          </w:p>
        </w:tc>
      </w:tr>
      <w:tr w:rsidR="00305EE1" w14:paraId="7E6352D4" w14:textId="77777777" w:rsidTr="005C4836">
        <w:tc>
          <w:tcPr>
            <w:tcW w:w="1795" w:type="dxa"/>
          </w:tcPr>
          <w:p w14:paraId="28F13554" w14:textId="0C9C190C"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3</w:t>
            </w:r>
          </w:p>
        </w:tc>
        <w:tc>
          <w:tcPr>
            <w:tcW w:w="7555" w:type="dxa"/>
          </w:tcPr>
          <w:p w14:paraId="4897B0B8" w14:textId="0915D994" w:rsidR="00305EE1" w:rsidRPr="00C8533A" w:rsidRDefault="001F7006" w:rsidP="00C8533A">
            <w:pPr>
              <w:jc w:val="right"/>
              <w:rPr>
                <w:rFonts w:ascii="Times New Roman" w:hAnsi="Times New Roman" w:cs="Times New Roman"/>
              </w:rPr>
            </w:pPr>
            <w:r w:rsidRPr="001F7006">
              <w:rPr>
                <w:rFonts w:ascii="Times New Roman" w:hAnsi="Times New Roman" w:cs="Times New Roman"/>
              </w:rPr>
              <w:t>…………………………………………………………………………...</w:t>
            </w:r>
            <w:r w:rsidR="005C4836">
              <w:rPr>
                <w:rFonts w:ascii="Times New Roman" w:hAnsi="Times New Roman" w:cs="Times New Roman"/>
              </w:rPr>
              <w:t xml:space="preserve"> </w:t>
            </w:r>
            <w:r w:rsidR="00D72F90">
              <w:rPr>
                <w:rFonts w:ascii="Times New Roman" w:hAnsi="Times New Roman" w:cs="Times New Roman"/>
              </w:rPr>
              <w:t>10</w:t>
            </w:r>
            <w:r w:rsidR="00F21178">
              <w:rPr>
                <w:rFonts w:ascii="Times New Roman" w:hAnsi="Times New Roman" w:cs="Times New Roman"/>
              </w:rPr>
              <w:t>8</w:t>
            </w:r>
          </w:p>
        </w:tc>
      </w:tr>
      <w:tr w:rsidR="00305EE1" w14:paraId="11837D23" w14:textId="77777777" w:rsidTr="005C4836">
        <w:tc>
          <w:tcPr>
            <w:tcW w:w="1795" w:type="dxa"/>
          </w:tcPr>
          <w:p w14:paraId="5DED5B68" w14:textId="6ABECF99" w:rsidR="00453B59" w:rsidRPr="00453B59" w:rsidRDefault="00FE36EF" w:rsidP="00453B59">
            <w:pPr>
              <w:jc w:val="center"/>
              <w:rPr>
                <w:rFonts w:ascii="Times New Roman" w:hAnsi="Times New Roman" w:cs="Times New Roman"/>
              </w:rPr>
            </w:pPr>
            <w:r w:rsidRPr="00453B59">
              <w:rPr>
                <w:rFonts w:ascii="Times New Roman" w:hAnsi="Times New Roman" w:cs="Times New Roman"/>
              </w:rPr>
              <w:t>Figure 4</w:t>
            </w:r>
          </w:p>
        </w:tc>
        <w:tc>
          <w:tcPr>
            <w:tcW w:w="7555" w:type="dxa"/>
          </w:tcPr>
          <w:p w14:paraId="75D89971" w14:textId="13A8CEEE" w:rsidR="00305EE1" w:rsidRPr="00C8533A" w:rsidRDefault="001F7006" w:rsidP="00C8533A">
            <w:pPr>
              <w:jc w:val="right"/>
              <w:rPr>
                <w:rFonts w:ascii="Times New Roman" w:hAnsi="Times New Roman" w:cs="Times New Roman"/>
              </w:rPr>
            </w:pPr>
            <w:r w:rsidRPr="001F7006">
              <w:rPr>
                <w:rFonts w:ascii="Times New Roman" w:hAnsi="Times New Roman" w:cs="Times New Roman"/>
              </w:rPr>
              <w:t>…………………………………………………………………………...</w:t>
            </w:r>
            <w:r w:rsidR="005C4836">
              <w:rPr>
                <w:rFonts w:ascii="Times New Roman" w:hAnsi="Times New Roman" w:cs="Times New Roman"/>
              </w:rPr>
              <w:t xml:space="preserve"> </w:t>
            </w:r>
            <w:r w:rsidR="00D72F90">
              <w:rPr>
                <w:rFonts w:ascii="Times New Roman" w:hAnsi="Times New Roman" w:cs="Times New Roman"/>
              </w:rPr>
              <w:t>10</w:t>
            </w:r>
            <w:r w:rsidR="004276EB">
              <w:rPr>
                <w:rFonts w:ascii="Times New Roman" w:hAnsi="Times New Roman" w:cs="Times New Roman"/>
              </w:rPr>
              <w:t>9</w:t>
            </w:r>
          </w:p>
        </w:tc>
      </w:tr>
      <w:tr w:rsidR="00305EE1" w14:paraId="0D0520DA" w14:textId="77777777" w:rsidTr="005C4836">
        <w:tc>
          <w:tcPr>
            <w:tcW w:w="1795" w:type="dxa"/>
          </w:tcPr>
          <w:p w14:paraId="6715E9B9" w14:textId="77777777" w:rsidR="00453B59" w:rsidRDefault="00453B59" w:rsidP="00305EE1">
            <w:pPr>
              <w:rPr>
                <w:rFonts w:ascii="Times New Roman" w:hAnsi="Times New Roman" w:cs="Times New Roman"/>
                <w:b/>
                <w:bCs/>
              </w:rPr>
            </w:pPr>
          </w:p>
          <w:p w14:paraId="62E10B87" w14:textId="352EFFBE" w:rsidR="00305EE1" w:rsidRDefault="00FE36EF" w:rsidP="00305EE1">
            <w:pPr>
              <w:rPr>
                <w:rFonts w:ascii="Times New Roman" w:hAnsi="Times New Roman" w:cs="Times New Roman"/>
                <w:b/>
                <w:bCs/>
              </w:rPr>
            </w:pPr>
            <w:r>
              <w:rPr>
                <w:rFonts w:ascii="Times New Roman" w:hAnsi="Times New Roman" w:cs="Times New Roman"/>
                <w:b/>
                <w:bCs/>
              </w:rPr>
              <w:t>Appendix 1</w:t>
            </w:r>
          </w:p>
          <w:p w14:paraId="4152D5C2" w14:textId="161FF404" w:rsidR="00453B59" w:rsidRDefault="00453B59" w:rsidP="00305EE1">
            <w:pPr>
              <w:rPr>
                <w:rFonts w:ascii="Times New Roman" w:hAnsi="Times New Roman" w:cs="Times New Roman"/>
                <w:b/>
                <w:bCs/>
              </w:rPr>
            </w:pPr>
          </w:p>
        </w:tc>
        <w:tc>
          <w:tcPr>
            <w:tcW w:w="7555" w:type="dxa"/>
          </w:tcPr>
          <w:p w14:paraId="21DF4274" w14:textId="77777777" w:rsidR="00305EE1" w:rsidRPr="00C8533A" w:rsidRDefault="00305EE1" w:rsidP="00C8533A">
            <w:pPr>
              <w:jc w:val="right"/>
              <w:rPr>
                <w:rFonts w:ascii="Times New Roman" w:hAnsi="Times New Roman" w:cs="Times New Roman"/>
              </w:rPr>
            </w:pPr>
          </w:p>
        </w:tc>
      </w:tr>
      <w:tr w:rsidR="00305EE1" w14:paraId="69C78EC2" w14:textId="77777777" w:rsidTr="005C4836">
        <w:tc>
          <w:tcPr>
            <w:tcW w:w="1795" w:type="dxa"/>
          </w:tcPr>
          <w:p w14:paraId="49440852" w14:textId="5FF404C9"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S1</w:t>
            </w:r>
          </w:p>
        </w:tc>
        <w:tc>
          <w:tcPr>
            <w:tcW w:w="7555" w:type="dxa"/>
          </w:tcPr>
          <w:p w14:paraId="52001F8F" w14:textId="6C5582AA" w:rsidR="00305EE1" w:rsidRPr="00C8533A" w:rsidRDefault="005C4836" w:rsidP="00C8533A">
            <w:pPr>
              <w:jc w:val="right"/>
              <w:rPr>
                <w:rFonts w:ascii="Times New Roman" w:hAnsi="Times New Roman" w:cs="Times New Roman"/>
              </w:rPr>
            </w:pPr>
            <w:r w:rsidRPr="001F7006">
              <w:rPr>
                <w:rFonts w:ascii="Times New Roman" w:hAnsi="Times New Roman" w:cs="Times New Roman"/>
              </w:rPr>
              <w:t>…………………………………………………………………………</w:t>
            </w:r>
            <w:r>
              <w:rPr>
                <w:rFonts w:ascii="Times New Roman" w:hAnsi="Times New Roman" w:cs="Times New Roman"/>
              </w:rPr>
              <w:t xml:space="preserve">... </w:t>
            </w:r>
            <w:r w:rsidR="00D72F90">
              <w:rPr>
                <w:rFonts w:ascii="Times New Roman" w:hAnsi="Times New Roman" w:cs="Times New Roman"/>
              </w:rPr>
              <w:t>11</w:t>
            </w:r>
            <w:r w:rsidR="004276EB">
              <w:rPr>
                <w:rFonts w:ascii="Times New Roman" w:hAnsi="Times New Roman" w:cs="Times New Roman"/>
              </w:rPr>
              <w:t>6</w:t>
            </w:r>
          </w:p>
        </w:tc>
      </w:tr>
      <w:tr w:rsidR="00FA1F5C" w14:paraId="52A52091" w14:textId="77777777" w:rsidTr="005C4836">
        <w:tc>
          <w:tcPr>
            <w:tcW w:w="1795" w:type="dxa"/>
          </w:tcPr>
          <w:p w14:paraId="4119D632" w14:textId="0F709369" w:rsidR="00FA1F5C" w:rsidRPr="00453B59" w:rsidRDefault="00FA1F5C" w:rsidP="00453B59">
            <w:pPr>
              <w:jc w:val="center"/>
              <w:rPr>
                <w:rFonts w:ascii="Times New Roman" w:hAnsi="Times New Roman" w:cs="Times New Roman"/>
              </w:rPr>
            </w:pPr>
            <w:r w:rsidRPr="00453B59">
              <w:rPr>
                <w:rFonts w:ascii="Times New Roman" w:hAnsi="Times New Roman" w:cs="Times New Roman"/>
              </w:rPr>
              <w:t>Figure S2</w:t>
            </w:r>
          </w:p>
        </w:tc>
        <w:tc>
          <w:tcPr>
            <w:tcW w:w="7555" w:type="dxa"/>
          </w:tcPr>
          <w:p w14:paraId="173B2272" w14:textId="5C6CB40B" w:rsidR="00FA1F5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D72F90">
              <w:rPr>
                <w:rFonts w:ascii="Times New Roman" w:hAnsi="Times New Roman" w:cs="Times New Roman"/>
              </w:rPr>
              <w:t>11</w:t>
            </w:r>
            <w:r w:rsidR="004276EB">
              <w:rPr>
                <w:rFonts w:ascii="Times New Roman" w:hAnsi="Times New Roman" w:cs="Times New Roman"/>
              </w:rPr>
              <w:t>7</w:t>
            </w:r>
          </w:p>
        </w:tc>
      </w:tr>
      <w:tr w:rsidR="00305EE1" w14:paraId="717BA40D" w14:textId="77777777" w:rsidTr="005C4836">
        <w:tc>
          <w:tcPr>
            <w:tcW w:w="1795" w:type="dxa"/>
          </w:tcPr>
          <w:p w14:paraId="56CB5C4A" w14:textId="4A1BDB2D"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S3</w:t>
            </w:r>
          </w:p>
        </w:tc>
        <w:tc>
          <w:tcPr>
            <w:tcW w:w="7555" w:type="dxa"/>
          </w:tcPr>
          <w:p w14:paraId="52A07A2B" w14:textId="37205C8A" w:rsidR="00305EE1"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91CE9">
              <w:rPr>
                <w:rFonts w:ascii="Times New Roman" w:hAnsi="Times New Roman" w:cs="Times New Roman"/>
              </w:rPr>
              <w:t>11</w:t>
            </w:r>
            <w:r w:rsidR="004276EB">
              <w:rPr>
                <w:rFonts w:ascii="Times New Roman" w:hAnsi="Times New Roman" w:cs="Times New Roman"/>
              </w:rPr>
              <w:t>8</w:t>
            </w:r>
          </w:p>
        </w:tc>
      </w:tr>
      <w:tr w:rsidR="00305EE1" w14:paraId="1A63036C" w14:textId="77777777" w:rsidTr="005C4836">
        <w:tc>
          <w:tcPr>
            <w:tcW w:w="1795" w:type="dxa"/>
          </w:tcPr>
          <w:p w14:paraId="131ED07E" w14:textId="5B614FF0"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S4</w:t>
            </w:r>
          </w:p>
        </w:tc>
        <w:tc>
          <w:tcPr>
            <w:tcW w:w="7555" w:type="dxa"/>
          </w:tcPr>
          <w:p w14:paraId="2031324A" w14:textId="41BE3D9E" w:rsidR="00305EE1"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91CE9">
              <w:rPr>
                <w:rFonts w:ascii="Times New Roman" w:hAnsi="Times New Roman" w:cs="Times New Roman"/>
              </w:rPr>
              <w:t>11</w:t>
            </w:r>
            <w:r w:rsidR="004276EB">
              <w:rPr>
                <w:rFonts w:ascii="Times New Roman" w:hAnsi="Times New Roman" w:cs="Times New Roman"/>
              </w:rPr>
              <w:t>9</w:t>
            </w:r>
          </w:p>
        </w:tc>
      </w:tr>
      <w:tr w:rsidR="00305EE1" w14:paraId="413E465F" w14:textId="77777777" w:rsidTr="005C4836">
        <w:tc>
          <w:tcPr>
            <w:tcW w:w="1795" w:type="dxa"/>
          </w:tcPr>
          <w:p w14:paraId="77C2DA26" w14:textId="7F3BC6DD"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S5</w:t>
            </w:r>
          </w:p>
        </w:tc>
        <w:tc>
          <w:tcPr>
            <w:tcW w:w="7555" w:type="dxa"/>
          </w:tcPr>
          <w:p w14:paraId="0937EAFB" w14:textId="67424179" w:rsidR="00305EE1"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91CE9">
              <w:rPr>
                <w:rFonts w:ascii="Times New Roman" w:hAnsi="Times New Roman" w:cs="Times New Roman"/>
              </w:rPr>
              <w:t>1</w:t>
            </w:r>
            <w:r w:rsidR="004276EB">
              <w:rPr>
                <w:rFonts w:ascii="Times New Roman" w:hAnsi="Times New Roman" w:cs="Times New Roman"/>
              </w:rPr>
              <w:t>20</w:t>
            </w:r>
          </w:p>
        </w:tc>
      </w:tr>
      <w:tr w:rsidR="00305EE1" w14:paraId="3F1DBACE" w14:textId="77777777" w:rsidTr="005C4836">
        <w:tc>
          <w:tcPr>
            <w:tcW w:w="1795" w:type="dxa"/>
          </w:tcPr>
          <w:p w14:paraId="3D607FA6" w14:textId="762BFD07"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S6</w:t>
            </w:r>
          </w:p>
        </w:tc>
        <w:tc>
          <w:tcPr>
            <w:tcW w:w="7555" w:type="dxa"/>
          </w:tcPr>
          <w:p w14:paraId="3A0DD128" w14:textId="5663C7BB" w:rsidR="00305EE1"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91CE9">
              <w:rPr>
                <w:rFonts w:ascii="Times New Roman" w:hAnsi="Times New Roman" w:cs="Times New Roman"/>
              </w:rPr>
              <w:t>1</w:t>
            </w:r>
            <w:r w:rsidR="004276EB">
              <w:rPr>
                <w:rFonts w:ascii="Times New Roman" w:hAnsi="Times New Roman" w:cs="Times New Roman"/>
              </w:rPr>
              <w:t>21</w:t>
            </w:r>
          </w:p>
        </w:tc>
      </w:tr>
      <w:tr w:rsidR="00305EE1" w14:paraId="0E1C9826" w14:textId="77777777" w:rsidTr="005C4836">
        <w:tc>
          <w:tcPr>
            <w:tcW w:w="1795" w:type="dxa"/>
          </w:tcPr>
          <w:p w14:paraId="243921DE" w14:textId="06562D66"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S7</w:t>
            </w:r>
          </w:p>
        </w:tc>
        <w:tc>
          <w:tcPr>
            <w:tcW w:w="7555" w:type="dxa"/>
          </w:tcPr>
          <w:p w14:paraId="3ED50B3A" w14:textId="60810DAB" w:rsidR="00305EE1"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1534A5">
              <w:rPr>
                <w:rFonts w:ascii="Times New Roman" w:hAnsi="Times New Roman" w:cs="Times New Roman"/>
              </w:rPr>
              <w:t>1</w:t>
            </w:r>
            <w:r w:rsidR="004276EB">
              <w:rPr>
                <w:rFonts w:ascii="Times New Roman" w:hAnsi="Times New Roman" w:cs="Times New Roman"/>
              </w:rPr>
              <w:t>22</w:t>
            </w:r>
          </w:p>
        </w:tc>
      </w:tr>
      <w:tr w:rsidR="00305EE1" w14:paraId="7298CFF9" w14:textId="77777777" w:rsidTr="005C4836">
        <w:tc>
          <w:tcPr>
            <w:tcW w:w="1795" w:type="dxa"/>
          </w:tcPr>
          <w:p w14:paraId="72287BC0" w14:textId="59B90D01" w:rsidR="00305EE1" w:rsidRPr="00453B59" w:rsidRDefault="00FE36EF" w:rsidP="00453B59">
            <w:pPr>
              <w:jc w:val="center"/>
              <w:rPr>
                <w:rFonts w:ascii="Times New Roman" w:hAnsi="Times New Roman" w:cs="Times New Roman"/>
              </w:rPr>
            </w:pPr>
            <w:r w:rsidRPr="00453B59">
              <w:rPr>
                <w:rFonts w:ascii="Times New Roman" w:hAnsi="Times New Roman" w:cs="Times New Roman"/>
              </w:rPr>
              <w:t>Figure S8</w:t>
            </w:r>
          </w:p>
        </w:tc>
        <w:tc>
          <w:tcPr>
            <w:tcW w:w="7555" w:type="dxa"/>
          </w:tcPr>
          <w:p w14:paraId="16205CE7" w14:textId="695A0AF5" w:rsidR="00305EE1"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1534A5">
              <w:rPr>
                <w:rFonts w:ascii="Times New Roman" w:hAnsi="Times New Roman" w:cs="Times New Roman"/>
              </w:rPr>
              <w:t>1</w:t>
            </w:r>
            <w:r w:rsidR="004276EB">
              <w:rPr>
                <w:rFonts w:ascii="Times New Roman" w:hAnsi="Times New Roman" w:cs="Times New Roman"/>
              </w:rPr>
              <w:t>23</w:t>
            </w:r>
          </w:p>
        </w:tc>
      </w:tr>
      <w:tr w:rsidR="0049511C" w14:paraId="75712060" w14:textId="77777777" w:rsidTr="005C4836">
        <w:tc>
          <w:tcPr>
            <w:tcW w:w="1795" w:type="dxa"/>
          </w:tcPr>
          <w:p w14:paraId="5F08F025" w14:textId="193B728B" w:rsidR="0049511C" w:rsidRPr="00453B59" w:rsidRDefault="00FE36EF" w:rsidP="00453B59">
            <w:pPr>
              <w:jc w:val="center"/>
              <w:rPr>
                <w:rFonts w:ascii="Times New Roman" w:hAnsi="Times New Roman" w:cs="Times New Roman"/>
              </w:rPr>
            </w:pPr>
            <w:r w:rsidRPr="00453B59">
              <w:rPr>
                <w:rFonts w:ascii="Times New Roman" w:hAnsi="Times New Roman" w:cs="Times New Roman"/>
              </w:rPr>
              <w:t>Figure S9</w:t>
            </w:r>
          </w:p>
        </w:tc>
        <w:tc>
          <w:tcPr>
            <w:tcW w:w="7555" w:type="dxa"/>
          </w:tcPr>
          <w:p w14:paraId="74F1A5C3" w14:textId="31F5EA81"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1534A5">
              <w:rPr>
                <w:rFonts w:ascii="Times New Roman" w:hAnsi="Times New Roman" w:cs="Times New Roman"/>
              </w:rPr>
              <w:t>1</w:t>
            </w:r>
            <w:r w:rsidR="004276EB">
              <w:rPr>
                <w:rFonts w:ascii="Times New Roman" w:hAnsi="Times New Roman" w:cs="Times New Roman"/>
              </w:rPr>
              <w:t>24</w:t>
            </w:r>
          </w:p>
        </w:tc>
      </w:tr>
      <w:tr w:rsidR="0049511C" w14:paraId="25803D33" w14:textId="77777777" w:rsidTr="005C4836">
        <w:tc>
          <w:tcPr>
            <w:tcW w:w="1795" w:type="dxa"/>
          </w:tcPr>
          <w:p w14:paraId="6867EF4F" w14:textId="308A7E97" w:rsidR="0049511C" w:rsidRPr="00453B59" w:rsidRDefault="00FE36EF" w:rsidP="00453B59">
            <w:pPr>
              <w:jc w:val="center"/>
              <w:rPr>
                <w:rFonts w:ascii="Times New Roman" w:hAnsi="Times New Roman" w:cs="Times New Roman"/>
              </w:rPr>
            </w:pPr>
            <w:r w:rsidRPr="00453B59">
              <w:rPr>
                <w:rFonts w:ascii="Times New Roman" w:hAnsi="Times New Roman" w:cs="Times New Roman"/>
              </w:rPr>
              <w:t>Figure S10</w:t>
            </w:r>
          </w:p>
        </w:tc>
        <w:tc>
          <w:tcPr>
            <w:tcW w:w="7555" w:type="dxa"/>
          </w:tcPr>
          <w:p w14:paraId="7654925F" w14:textId="15D0A9D9"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1534A5">
              <w:rPr>
                <w:rFonts w:ascii="Times New Roman" w:hAnsi="Times New Roman" w:cs="Times New Roman"/>
              </w:rPr>
              <w:t>1</w:t>
            </w:r>
            <w:r w:rsidR="004276EB">
              <w:rPr>
                <w:rFonts w:ascii="Times New Roman" w:hAnsi="Times New Roman" w:cs="Times New Roman"/>
              </w:rPr>
              <w:t>25</w:t>
            </w:r>
          </w:p>
        </w:tc>
      </w:tr>
      <w:tr w:rsidR="0049511C" w14:paraId="65B29F4E" w14:textId="77777777" w:rsidTr="005C4836">
        <w:tc>
          <w:tcPr>
            <w:tcW w:w="1795" w:type="dxa"/>
          </w:tcPr>
          <w:p w14:paraId="02E6CB6D" w14:textId="7461BC22" w:rsidR="0049511C" w:rsidRPr="00453B59" w:rsidRDefault="00FE36EF" w:rsidP="00453B59">
            <w:pPr>
              <w:jc w:val="center"/>
              <w:rPr>
                <w:rFonts w:ascii="Times New Roman" w:hAnsi="Times New Roman" w:cs="Times New Roman"/>
              </w:rPr>
            </w:pPr>
            <w:r w:rsidRPr="00453B59">
              <w:rPr>
                <w:rFonts w:ascii="Times New Roman" w:hAnsi="Times New Roman" w:cs="Times New Roman"/>
              </w:rPr>
              <w:t>Figure S11</w:t>
            </w:r>
          </w:p>
        </w:tc>
        <w:tc>
          <w:tcPr>
            <w:tcW w:w="7555" w:type="dxa"/>
          </w:tcPr>
          <w:p w14:paraId="6B16D33C" w14:textId="758C7013"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1534A5">
              <w:rPr>
                <w:rFonts w:ascii="Times New Roman" w:hAnsi="Times New Roman" w:cs="Times New Roman"/>
              </w:rPr>
              <w:t>12</w:t>
            </w:r>
            <w:r w:rsidR="004276EB">
              <w:rPr>
                <w:rFonts w:ascii="Times New Roman" w:hAnsi="Times New Roman" w:cs="Times New Roman"/>
              </w:rPr>
              <w:t>6</w:t>
            </w:r>
          </w:p>
        </w:tc>
      </w:tr>
      <w:tr w:rsidR="0049511C" w14:paraId="4F73FF44" w14:textId="77777777" w:rsidTr="005C4836">
        <w:tc>
          <w:tcPr>
            <w:tcW w:w="1795" w:type="dxa"/>
          </w:tcPr>
          <w:p w14:paraId="265BA1A0" w14:textId="38C59F1E" w:rsidR="0049511C" w:rsidRPr="00453B59" w:rsidRDefault="00FE36EF" w:rsidP="00453B59">
            <w:pPr>
              <w:jc w:val="center"/>
              <w:rPr>
                <w:rFonts w:ascii="Times New Roman" w:hAnsi="Times New Roman" w:cs="Times New Roman"/>
              </w:rPr>
            </w:pPr>
            <w:r w:rsidRPr="00453B59">
              <w:rPr>
                <w:rFonts w:ascii="Times New Roman" w:hAnsi="Times New Roman" w:cs="Times New Roman"/>
              </w:rPr>
              <w:t>Figure S</w:t>
            </w:r>
            <w:r w:rsidR="0021711C" w:rsidRPr="00453B59">
              <w:rPr>
                <w:rFonts w:ascii="Times New Roman" w:hAnsi="Times New Roman" w:cs="Times New Roman"/>
              </w:rPr>
              <w:t>12</w:t>
            </w:r>
          </w:p>
        </w:tc>
        <w:tc>
          <w:tcPr>
            <w:tcW w:w="7555" w:type="dxa"/>
          </w:tcPr>
          <w:p w14:paraId="245441FB" w14:textId="537E33C9"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1534A5">
              <w:rPr>
                <w:rFonts w:ascii="Times New Roman" w:hAnsi="Times New Roman" w:cs="Times New Roman"/>
              </w:rPr>
              <w:t>12</w:t>
            </w:r>
            <w:r w:rsidR="004276EB">
              <w:rPr>
                <w:rFonts w:ascii="Times New Roman" w:hAnsi="Times New Roman" w:cs="Times New Roman"/>
              </w:rPr>
              <w:t>7</w:t>
            </w:r>
          </w:p>
        </w:tc>
      </w:tr>
      <w:tr w:rsidR="0049511C" w14:paraId="75F48179" w14:textId="77777777" w:rsidTr="005C4836">
        <w:tc>
          <w:tcPr>
            <w:tcW w:w="1795" w:type="dxa"/>
          </w:tcPr>
          <w:p w14:paraId="4A75878D" w14:textId="4C277B7D"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S13</w:t>
            </w:r>
          </w:p>
        </w:tc>
        <w:tc>
          <w:tcPr>
            <w:tcW w:w="7555" w:type="dxa"/>
          </w:tcPr>
          <w:p w14:paraId="19DE0863" w14:textId="20965543"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1534A5">
              <w:rPr>
                <w:rFonts w:ascii="Times New Roman" w:hAnsi="Times New Roman" w:cs="Times New Roman"/>
              </w:rPr>
              <w:t>12</w:t>
            </w:r>
            <w:r w:rsidR="004276EB">
              <w:rPr>
                <w:rFonts w:ascii="Times New Roman" w:hAnsi="Times New Roman" w:cs="Times New Roman"/>
              </w:rPr>
              <w:t>8</w:t>
            </w:r>
          </w:p>
        </w:tc>
      </w:tr>
      <w:tr w:rsidR="0049511C" w14:paraId="6547A456" w14:textId="77777777" w:rsidTr="005C4836">
        <w:tc>
          <w:tcPr>
            <w:tcW w:w="1795" w:type="dxa"/>
          </w:tcPr>
          <w:p w14:paraId="2A81C633" w14:textId="4BA4511B"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S14</w:t>
            </w:r>
          </w:p>
        </w:tc>
        <w:tc>
          <w:tcPr>
            <w:tcW w:w="7555" w:type="dxa"/>
          </w:tcPr>
          <w:p w14:paraId="4F9D6C11" w14:textId="51579D50"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1534A5">
              <w:rPr>
                <w:rFonts w:ascii="Times New Roman" w:hAnsi="Times New Roman" w:cs="Times New Roman"/>
              </w:rPr>
              <w:t>12</w:t>
            </w:r>
            <w:r w:rsidR="004276EB">
              <w:rPr>
                <w:rFonts w:ascii="Times New Roman" w:hAnsi="Times New Roman" w:cs="Times New Roman"/>
              </w:rPr>
              <w:t>9</w:t>
            </w:r>
          </w:p>
        </w:tc>
      </w:tr>
      <w:tr w:rsidR="0049511C" w14:paraId="22C1FCCF" w14:textId="77777777" w:rsidTr="005C4836">
        <w:tc>
          <w:tcPr>
            <w:tcW w:w="1795" w:type="dxa"/>
          </w:tcPr>
          <w:p w14:paraId="66B03BF6" w14:textId="12107E75"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S15</w:t>
            </w:r>
          </w:p>
        </w:tc>
        <w:tc>
          <w:tcPr>
            <w:tcW w:w="7555" w:type="dxa"/>
          </w:tcPr>
          <w:p w14:paraId="11F94468" w14:textId="148E4C9C"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1534A5">
              <w:rPr>
                <w:rFonts w:ascii="Times New Roman" w:hAnsi="Times New Roman" w:cs="Times New Roman"/>
              </w:rPr>
              <w:t>1</w:t>
            </w:r>
            <w:r w:rsidR="004276EB">
              <w:rPr>
                <w:rFonts w:ascii="Times New Roman" w:hAnsi="Times New Roman" w:cs="Times New Roman"/>
              </w:rPr>
              <w:t>30</w:t>
            </w:r>
          </w:p>
        </w:tc>
      </w:tr>
      <w:tr w:rsidR="0049511C" w14:paraId="33665D22" w14:textId="77777777" w:rsidTr="005C4836">
        <w:tc>
          <w:tcPr>
            <w:tcW w:w="1795" w:type="dxa"/>
          </w:tcPr>
          <w:p w14:paraId="536EDCAC" w14:textId="1C05DD5A"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S16</w:t>
            </w:r>
          </w:p>
        </w:tc>
        <w:tc>
          <w:tcPr>
            <w:tcW w:w="7555" w:type="dxa"/>
          </w:tcPr>
          <w:p w14:paraId="5F14935E" w14:textId="50DD2A18"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1534A5">
              <w:rPr>
                <w:rFonts w:ascii="Times New Roman" w:hAnsi="Times New Roman" w:cs="Times New Roman"/>
              </w:rPr>
              <w:t>1</w:t>
            </w:r>
            <w:r w:rsidR="004276EB">
              <w:rPr>
                <w:rFonts w:ascii="Times New Roman" w:hAnsi="Times New Roman" w:cs="Times New Roman"/>
              </w:rPr>
              <w:t>31</w:t>
            </w:r>
          </w:p>
        </w:tc>
      </w:tr>
      <w:tr w:rsidR="0049511C" w14:paraId="16FA2173" w14:textId="77777777" w:rsidTr="005C4836">
        <w:tc>
          <w:tcPr>
            <w:tcW w:w="1795" w:type="dxa"/>
          </w:tcPr>
          <w:p w14:paraId="681B473E" w14:textId="2935326D"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S17</w:t>
            </w:r>
          </w:p>
        </w:tc>
        <w:tc>
          <w:tcPr>
            <w:tcW w:w="7555" w:type="dxa"/>
          </w:tcPr>
          <w:p w14:paraId="7988FA60" w14:textId="61A6E9F5"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1534A5">
              <w:rPr>
                <w:rFonts w:ascii="Times New Roman" w:hAnsi="Times New Roman" w:cs="Times New Roman"/>
              </w:rPr>
              <w:t>1</w:t>
            </w:r>
            <w:r w:rsidR="005353CB">
              <w:rPr>
                <w:rFonts w:ascii="Times New Roman" w:hAnsi="Times New Roman" w:cs="Times New Roman"/>
              </w:rPr>
              <w:t>32</w:t>
            </w:r>
          </w:p>
        </w:tc>
      </w:tr>
      <w:tr w:rsidR="0049511C" w14:paraId="778A2666" w14:textId="77777777" w:rsidTr="005C4836">
        <w:tc>
          <w:tcPr>
            <w:tcW w:w="1795" w:type="dxa"/>
          </w:tcPr>
          <w:p w14:paraId="003039C3" w14:textId="031D270E"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S18</w:t>
            </w:r>
          </w:p>
        </w:tc>
        <w:tc>
          <w:tcPr>
            <w:tcW w:w="7555" w:type="dxa"/>
          </w:tcPr>
          <w:p w14:paraId="5524958D" w14:textId="74BDE3A1"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1534A5">
              <w:rPr>
                <w:rFonts w:ascii="Times New Roman" w:hAnsi="Times New Roman" w:cs="Times New Roman"/>
              </w:rPr>
              <w:t>1</w:t>
            </w:r>
            <w:r w:rsidR="005353CB">
              <w:rPr>
                <w:rFonts w:ascii="Times New Roman" w:hAnsi="Times New Roman" w:cs="Times New Roman"/>
              </w:rPr>
              <w:t>3</w:t>
            </w:r>
            <w:r w:rsidR="00CD1C75">
              <w:rPr>
                <w:rFonts w:ascii="Times New Roman" w:hAnsi="Times New Roman" w:cs="Times New Roman"/>
              </w:rPr>
              <w:t>4</w:t>
            </w:r>
          </w:p>
        </w:tc>
      </w:tr>
      <w:tr w:rsidR="0049511C" w14:paraId="177547D5" w14:textId="77777777" w:rsidTr="005C4836">
        <w:tc>
          <w:tcPr>
            <w:tcW w:w="1795" w:type="dxa"/>
          </w:tcPr>
          <w:p w14:paraId="6EEEEEE6" w14:textId="7AC50FFC"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S19</w:t>
            </w:r>
          </w:p>
        </w:tc>
        <w:tc>
          <w:tcPr>
            <w:tcW w:w="7555" w:type="dxa"/>
          </w:tcPr>
          <w:p w14:paraId="5F4FE79C" w14:textId="308B190D"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1534A5">
              <w:rPr>
                <w:rFonts w:ascii="Times New Roman" w:hAnsi="Times New Roman" w:cs="Times New Roman"/>
              </w:rPr>
              <w:t>1</w:t>
            </w:r>
            <w:r w:rsidR="005353CB">
              <w:rPr>
                <w:rFonts w:ascii="Times New Roman" w:hAnsi="Times New Roman" w:cs="Times New Roman"/>
              </w:rPr>
              <w:t>3</w:t>
            </w:r>
            <w:r w:rsidR="00CD1C75">
              <w:rPr>
                <w:rFonts w:ascii="Times New Roman" w:hAnsi="Times New Roman" w:cs="Times New Roman"/>
              </w:rPr>
              <w:t>5</w:t>
            </w:r>
          </w:p>
        </w:tc>
      </w:tr>
      <w:tr w:rsidR="0049511C" w14:paraId="6559966E" w14:textId="77777777" w:rsidTr="005C4836">
        <w:tc>
          <w:tcPr>
            <w:tcW w:w="1795" w:type="dxa"/>
          </w:tcPr>
          <w:p w14:paraId="4645CC07" w14:textId="53E18FC3" w:rsidR="0049511C" w:rsidRPr="00453B59" w:rsidRDefault="0021711C" w:rsidP="00453B59">
            <w:pPr>
              <w:jc w:val="center"/>
              <w:rPr>
                <w:rFonts w:ascii="Times New Roman" w:hAnsi="Times New Roman" w:cs="Times New Roman"/>
              </w:rPr>
            </w:pPr>
            <w:r w:rsidRPr="00453B59">
              <w:rPr>
                <w:rFonts w:ascii="Times New Roman" w:hAnsi="Times New Roman" w:cs="Times New Roman"/>
              </w:rPr>
              <w:lastRenderedPageBreak/>
              <w:t>Figure S20</w:t>
            </w:r>
          </w:p>
        </w:tc>
        <w:tc>
          <w:tcPr>
            <w:tcW w:w="7555" w:type="dxa"/>
          </w:tcPr>
          <w:p w14:paraId="7EB0F2A5" w14:textId="17ACC088"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B165B6">
              <w:rPr>
                <w:rFonts w:ascii="Times New Roman" w:hAnsi="Times New Roman" w:cs="Times New Roman"/>
              </w:rPr>
              <w:t>13</w:t>
            </w:r>
            <w:r w:rsidR="00CD1C75">
              <w:rPr>
                <w:rFonts w:ascii="Times New Roman" w:hAnsi="Times New Roman" w:cs="Times New Roman"/>
              </w:rPr>
              <w:t>6</w:t>
            </w:r>
          </w:p>
        </w:tc>
      </w:tr>
      <w:tr w:rsidR="0049511C" w14:paraId="3AF32340" w14:textId="77777777" w:rsidTr="005C4836">
        <w:tc>
          <w:tcPr>
            <w:tcW w:w="1795" w:type="dxa"/>
          </w:tcPr>
          <w:p w14:paraId="041C0338" w14:textId="7217C51C"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S21</w:t>
            </w:r>
          </w:p>
        </w:tc>
        <w:tc>
          <w:tcPr>
            <w:tcW w:w="7555" w:type="dxa"/>
          </w:tcPr>
          <w:p w14:paraId="41B43F74" w14:textId="3F401744"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B165B6">
              <w:rPr>
                <w:rFonts w:ascii="Times New Roman" w:hAnsi="Times New Roman" w:cs="Times New Roman"/>
              </w:rPr>
              <w:t>13</w:t>
            </w:r>
            <w:r w:rsidR="00CD1C75">
              <w:rPr>
                <w:rFonts w:ascii="Times New Roman" w:hAnsi="Times New Roman" w:cs="Times New Roman"/>
              </w:rPr>
              <w:t>7</w:t>
            </w:r>
          </w:p>
        </w:tc>
      </w:tr>
      <w:tr w:rsidR="0049511C" w14:paraId="638EDD0A" w14:textId="77777777" w:rsidTr="005C4836">
        <w:tc>
          <w:tcPr>
            <w:tcW w:w="1795" w:type="dxa"/>
          </w:tcPr>
          <w:p w14:paraId="75FFCA0F" w14:textId="4655E509" w:rsidR="0049511C" w:rsidRPr="00453B59" w:rsidRDefault="0021711C" w:rsidP="00453B59">
            <w:pPr>
              <w:jc w:val="center"/>
              <w:rPr>
                <w:rFonts w:ascii="Times New Roman" w:hAnsi="Times New Roman" w:cs="Times New Roman"/>
              </w:rPr>
            </w:pPr>
            <w:r w:rsidRPr="00453B59">
              <w:rPr>
                <w:rFonts w:ascii="Times New Roman" w:hAnsi="Times New Roman" w:cs="Times New Roman"/>
              </w:rPr>
              <w:t>Figure S22</w:t>
            </w:r>
          </w:p>
        </w:tc>
        <w:tc>
          <w:tcPr>
            <w:tcW w:w="7555" w:type="dxa"/>
          </w:tcPr>
          <w:p w14:paraId="70F78AA5" w14:textId="00A57E8B"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B165B6">
              <w:rPr>
                <w:rFonts w:ascii="Times New Roman" w:hAnsi="Times New Roman" w:cs="Times New Roman"/>
              </w:rPr>
              <w:t>13</w:t>
            </w:r>
            <w:r w:rsidR="00CD1C75">
              <w:rPr>
                <w:rFonts w:ascii="Times New Roman" w:hAnsi="Times New Roman" w:cs="Times New Roman"/>
              </w:rPr>
              <w:t>8</w:t>
            </w:r>
          </w:p>
        </w:tc>
      </w:tr>
      <w:tr w:rsidR="0049511C" w14:paraId="4067BD49" w14:textId="77777777" w:rsidTr="005C4836">
        <w:tc>
          <w:tcPr>
            <w:tcW w:w="1795" w:type="dxa"/>
          </w:tcPr>
          <w:p w14:paraId="284D9CCC" w14:textId="641250E8" w:rsidR="0049511C" w:rsidRPr="00453B59" w:rsidRDefault="00D74F84" w:rsidP="00453B59">
            <w:pPr>
              <w:jc w:val="center"/>
              <w:rPr>
                <w:rFonts w:ascii="Times New Roman" w:hAnsi="Times New Roman" w:cs="Times New Roman"/>
              </w:rPr>
            </w:pPr>
            <w:r w:rsidRPr="00453B59">
              <w:rPr>
                <w:rFonts w:ascii="Times New Roman" w:hAnsi="Times New Roman" w:cs="Times New Roman"/>
              </w:rPr>
              <w:t>Figure S23</w:t>
            </w:r>
          </w:p>
        </w:tc>
        <w:tc>
          <w:tcPr>
            <w:tcW w:w="7555" w:type="dxa"/>
          </w:tcPr>
          <w:p w14:paraId="44851447" w14:textId="68CDF13B"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B165B6">
              <w:rPr>
                <w:rFonts w:ascii="Times New Roman" w:hAnsi="Times New Roman" w:cs="Times New Roman"/>
              </w:rPr>
              <w:t>1</w:t>
            </w:r>
            <w:r w:rsidR="00CD1C75">
              <w:rPr>
                <w:rFonts w:ascii="Times New Roman" w:hAnsi="Times New Roman" w:cs="Times New Roman"/>
              </w:rPr>
              <w:t>39</w:t>
            </w:r>
          </w:p>
        </w:tc>
      </w:tr>
      <w:tr w:rsidR="0049511C" w14:paraId="068E0769" w14:textId="77777777" w:rsidTr="005C4836">
        <w:tc>
          <w:tcPr>
            <w:tcW w:w="1795" w:type="dxa"/>
          </w:tcPr>
          <w:p w14:paraId="18B66802" w14:textId="775BD70A" w:rsidR="0049511C" w:rsidRPr="00453B59" w:rsidRDefault="00D74F84" w:rsidP="00453B59">
            <w:pPr>
              <w:jc w:val="center"/>
              <w:rPr>
                <w:rFonts w:ascii="Times New Roman" w:hAnsi="Times New Roman" w:cs="Times New Roman"/>
              </w:rPr>
            </w:pPr>
            <w:r w:rsidRPr="00453B59">
              <w:rPr>
                <w:rFonts w:ascii="Times New Roman" w:hAnsi="Times New Roman" w:cs="Times New Roman"/>
              </w:rPr>
              <w:t>Figure S24</w:t>
            </w:r>
          </w:p>
        </w:tc>
        <w:tc>
          <w:tcPr>
            <w:tcW w:w="7555" w:type="dxa"/>
          </w:tcPr>
          <w:p w14:paraId="28C0C68E" w14:textId="1E25E723"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B165B6">
              <w:rPr>
                <w:rFonts w:ascii="Times New Roman" w:hAnsi="Times New Roman" w:cs="Times New Roman"/>
              </w:rPr>
              <w:t>1</w:t>
            </w:r>
            <w:r w:rsidR="00CD1C75">
              <w:rPr>
                <w:rFonts w:ascii="Times New Roman" w:hAnsi="Times New Roman" w:cs="Times New Roman"/>
              </w:rPr>
              <w:t>40</w:t>
            </w:r>
          </w:p>
        </w:tc>
      </w:tr>
      <w:tr w:rsidR="0049511C" w14:paraId="288C51ED" w14:textId="77777777" w:rsidTr="005C4836">
        <w:tc>
          <w:tcPr>
            <w:tcW w:w="1795" w:type="dxa"/>
          </w:tcPr>
          <w:p w14:paraId="64F22B08" w14:textId="5BBF0E5D" w:rsidR="0049511C" w:rsidRPr="00453B59" w:rsidRDefault="00D74F84" w:rsidP="00453B59">
            <w:pPr>
              <w:jc w:val="center"/>
              <w:rPr>
                <w:rFonts w:ascii="Times New Roman" w:hAnsi="Times New Roman" w:cs="Times New Roman"/>
              </w:rPr>
            </w:pPr>
            <w:r w:rsidRPr="00453B59">
              <w:rPr>
                <w:rFonts w:ascii="Times New Roman" w:hAnsi="Times New Roman" w:cs="Times New Roman"/>
              </w:rPr>
              <w:t>Figure S25</w:t>
            </w:r>
          </w:p>
        </w:tc>
        <w:tc>
          <w:tcPr>
            <w:tcW w:w="7555" w:type="dxa"/>
          </w:tcPr>
          <w:p w14:paraId="3969BD34" w14:textId="1C761F98"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B165B6">
              <w:rPr>
                <w:rFonts w:ascii="Times New Roman" w:hAnsi="Times New Roman" w:cs="Times New Roman"/>
              </w:rPr>
              <w:t>1</w:t>
            </w:r>
            <w:r w:rsidR="005353CB">
              <w:rPr>
                <w:rFonts w:ascii="Times New Roman" w:hAnsi="Times New Roman" w:cs="Times New Roman"/>
              </w:rPr>
              <w:t>4</w:t>
            </w:r>
            <w:r w:rsidR="00CD1C75">
              <w:rPr>
                <w:rFonts w:ascii="Times New Roman" w:hAnsi="Times New Roman" w:cs="Times New Roman"/>
              </w:rPr>
              <w:t>1</w:t>
            </w:r>
          </w:p>
        </w:tc>
      </w:tr>
      <w:tr w:rsidR="0049511C" w14:paraId="16CDE1E4" w14:textId="77777777" w:rsidTr="005C4836">
        <w:tc>
          <w:tcPr>
            <w:tcW w:w="1795" w:type="dxa"/>
          </w:tcPr>
          <w:p w14:paraId="4B77639B" w14:textId="1E246EB3" w:rsidR="0049511C" w:rsidRPr="00453B59" w:rsidRDefault="00D74F84" w:rsidP="00453B59">
            <w:pPr>
              <w:jc w:val="center"/>
              <w:rPr>
                <w:rFonts w:ascii="Times New Roman" w:hAnsi="Times New Roman" w:cs="Times New Roman"/>
              </w:rPr>
            </w:pPr>
            <w:r w:rsidRPr="00453B59">
              <w:rPr>
                <w:rFonts w:ascii="Times New Roman" w:hAnsi="Times New Roman" w:cs="Times New Roman"/>
              </w:rPr>
              <w:t>Figure S26</w:t>
            </w:r>
          </w:p>
        </w:tc>
        <w:tc>
          <w:tcPr>
            <w:tcW w:w="7555" w:type="dxa"/>
          </w:tcPr>
          <w:p w14:paraId="3E351E08" w14:textId="6B889329" w:rsidR="0049511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B165B6">
              <w:rPr>
                <w:rFonts w:ascii="Times New Roman" w:hAnsi="Times New Roman" w:cs="Times New Roman"/>
              </w:rPr>
              <w:t>1</w:t>
            </w:r>
            <w:r w:rsidR="005353CB">
              <w:rPr>
                <w:rFonts w:ascii="Times New Roman" w:hAnsi="Times New Roman" w:cs="Times New Roman"/>
              </w:rPr>
              <w:t>4</w:t>
            </w:r>
            <w:r w:rsidR="00CD1C75">
              <w:rPr>
                <w:rFonts w:ascii="Times New Roman" w:hAnsi="Times New Roman" w:cs="Times New Roman"/>
              </w:rPr>
              <w:t>2</w:t>
            </w:r>
          </w:p>
        </w:tc>
      </w:tr>
      <w:tr w:rsidR="00D74F84" w14:paraId="3482EC30" w14:textId="77777777" w:rsidTr="005C4836">
        <w:tc>
          <w:tcPr>
            <w:tcW w:w="1795" w:type="dxa"/>
          </w:tcPr>
          <w:p w14:paraId="173D64D1" w14:textId="76A877DA" w:rsidR="00D74F84" w:rsidRPr="00453B59" w:rsidRDefault="00D74F84" w:rsidP="00453B59">
            <w:pPr>
              <w:jc w:val="center"/>
              <w:rPr>
                <w:rFonts w:ascii="Times New Roman" w:hAnsi="Times New Roman" w:cs="Times New Roman"/>
              </w:rPr>
            </w:pPr>
            <w:r w:rsidRPr="00453B59">
              <w:rPr>
                <w:rFonts w:ascii="Times New Roman" w:hAnsi="Times New Roman" w:cs="Times New Roman"/>
              </w:rPr>
              <w:t>Figure S27</w:t>
            </w:r>
          </w:p>
        </w:tc>
        <w:tc>
          <w:tcPr>
            <w:tcW w:w="7555" w:type="dxa"/>
          </w:tcPr>
          <w:p w14:paraId="295171AE" w14:textId="33DE9F87" w:rsidR="00D74F84"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C2931">
              <w:rPr>
                <w:rFonts w:ascii="Times New Roman" w:hAnsi="Times New Roman" w:cs="Times New Roman"/>
              </w:rPr>
              <w:t>1</w:t>
            </w:r>
            <w:r w:rsidR="005353CB">
              <w:rPr>
                <w:rFonts w:ascii="Times New Roman" w:hAnsi="Times New Roman" w:cs="Times New Roman"/>
              </w:rPr>
              <w:t>4</w:t>
            </w:r>
            <w:r w:rsidR="00CD1C75">
              <w:rPr>
                <w:rFonts w:ascii="Times New Roman" w:hAnsi="Times New Roman" w:cs="Times New Roman"/>
              </w:rPr>
              <w:t>3</w:t>
            </w:r>
          </w:p>
        </w:tc>
      </w:tr>
      <w:tr w:rsidR="00D74F84" w14:paraId="1A2EA55A" w14:textId="77777777" w:rsidTr="005C4836">
        <w:tc>
          <w:tcPr>
            <w:tcW w:w="1795" w:type="dxa"/>
          </w:tcPr>
          <w:p w14:paraId="02A75059" w14:textId="6D38C2F1" w:rsidR="00D74F84" w:rsidRPr="00453B59" w:rsidRDefault="00D74F84" w:rsidP="00453B59">
            <w:pPr>
              <w:jc w:val="center"/>
              <w:rPr>
                <w:rFonts w:ascii="Times New Roman" w:hAnsi="Times New Roman" w:cs="Times New Roman"/>
              </w:rPr>
            </w:pPr>
            <w:r w:rsidRPr="00453B59">
              <w:rPr>
                <w:rFonts w:ascii="Times New Roman" w:hAnsi="Times New Roman" w:cs="Times New Roman"/>
              </w:rPr>
              <w:t>Figure S28</w:t>
            </w:r>
          </w:p>
        </w:tc>
        <w:tc>
          <w:tcPr>
            <w:tcW w:w="7555" w:type="dxa"/>
          </w:tcPr>
          <w:p w14:paraId="67C20B0B" w14:textId="1136FA5E" w:rsidR="00D74F84"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C2931">
              <w:rPr>
                <w:rFonts w:ascii="Times New Roman" w:hAnsi="Times New Roman" w:cs="Times New Roman"/>
              </w:rPr>
              <w:t>1</w:t>
            </w:r>
            <w:r w:rsidR="005353CB">
              <w:rPr>
                <w:rFonts w:ascii="Times New Roman" w:hAnsi="Times New Roman" w:cs="Times New Roman"/>
              </w:rPr>
              <w:t>4</w:t>
            </w:r>
            <w:r w:rsidR="00CD1C75">
              <w:rPr>
                <w:rFonts w:ascii="Times New Roman" w:hAnsi="Times New Roman" w:cs="Times New Roman"/>
              </w:rPr>
              <w:t>4</w:t>
            </w:r>
          </w:p>
        </w:tc>
      </w:tr>
      <w:tr w:rsidR="00D74F84" w14:paraId="1B380530" w14:textId="77777777" w:rsidTr="005C4836">
        <w:tc>
          <w:tcPr>
            <w:tcW w:w="1795" w:type="dxa"/>
          </w:tcPr>
          <w:p w14:paraId="1C38EA70" w14:textId="53BBDFD4" w:rsidR="00D74F84" w:rsidRPr="00453B59" w:rsidRDefault="00D74F84" w:rsidP="00453B59">
            <w:pPr>
              <w:jc w:val="center"/>
              <w:rPr>
                <w:rFonts w:ascii="Times New Roman" w:hAnsi="Times New Roman" w:cs="Times New Roman"/>
              </w:rPr>
            </w:pPr>
            <w:r w:rsidRPr="00453B59">
              <w:rPr>
                <w:rFonts w:ascii="Times New Roman" w:hAnsi="Times New Roman" w:cs="Times New Roman"/>
              </w:rPr>
              <w:t>Figure S29</w:t>
            </w:r>
          </w:p>
        </w:tc>
        <w:tc>
          <w:tcPr>
            <w:tcW w:w="7555" w:type="dxa"/>
          </w:tcPr>
          <w:p w14:paraId="4E868F65" w14:textId="11747824" w:rsidR="00D74F84"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C2931">
              <w:rPr>
                <w:rFonts w:ascii="Times New Roman" w:hAnsi="Times New Roman" w:cs="Times New Roman"/>
              </w:rPr>
              <w:t>1</w:t>
            </w:r>
            <w:r w:rsidR="005353CB">
              <w:rPr>
                <w:rFonts w:ascii="Times New Roman" w:hAnsi="Times New Roman" w:cs="Times New Roman"/>
              </w:rPr>
              <w:t>4</w:t>
            </w:r>
            <w:r w:rsidR="00CD1C75">
              <w:rPr>
                <w:rFonts w:ascii="Times New Roman" w:hAnsi="Times New Roman" w:cs="Times New Roman"/>
              </w:rPr>
              <w:t>5</w:t>
            </w:r>
          </w:p>
        </w:tc>
      </w:tr>
      <w:tr w:rsidR="00D74F84" w14:paraId="35EE1DE0" w14:textId="77777777" w:rsidTr="005C4836">
        <w:tc>
          <w:tcPr>
            <w:tcW w:w="1795" w:type="dxa"/>
          </w:tcPr>
          <w:p w14:paraId="17A5B3DC" w14:textId="6C8BF011" w:rsidR="00453B59" w:rsidRPr="00453B59" w:rsidRDefault="00D74F84" w:rsidP="00453B59">
            <w:pPr>
              <w:jc w:val="center"/>
              <w:rPr>
                <w:rFonts w:ascii="Times New Roman" w:hAnsi="Times New Roman" w:cs="Times New Roman"/>
              </w:rPr>
            </w:pPr>
            <w:r w:rsidRPr="00453B59">
              <w:rPr>
                <w:rFonts w:ascii="Times New Roman" w:hAnsi="Times New Roman" w:cs="Times New Roman"/>
              </w:rPr>
              <w:t>Figure S30</w:t>
            </w:r>
          </w:p>
        </w:tc>
        <w:tc>
          <w:tcPr>
            <w:tcW w:w="7555" w:type="dxa"/>
          </w:tcPr>
          <w:p w14:paraId="4AF1B65E" w14:textId="5A743C11" w:rsidR="00D74F84"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C2931">
              <w:rPr>
                <w:rFonts w:ascii="Times New Roman" w:hAnsi="Times New Roman" w:cs="Times New Roman"/>
              </w:rPr>
              <w:t>14</w:t>
            </w:r>
            <w:r w:rsidR="00CD1C75">
              <w:rPr>
                <w:rFonts w:ascii="Times New Roman" w:hAnsi="Times New Roman" w:cs="Times New Roman"/>
              </w:rPr>
              <w:t>6</w:t>
            </w:r>
          </w:p>
        </w:tc>
      </w:tr>
      <w:tr w:rsidR="00D74F84" w14:paraId="50AA1C78" w14:textId="77777777" w:rsidTr="005C4836">
        <w:tc>
          <w:tcPr>
            <w:tcW w:w="1795" w:type="dxa"/>
          </w:tcPr>
          <w:p w14:paraId="55C44793" w14:textId="77777777" w:rsidR="00453B59" w:rsidRDefault="00453B59" w:rsidP="00305EE1">
            <w:pPr>
              <w:rPr>
                <w:rFonts w:ascii="Times New Roman" w:hAnsi="Times New Roman" w:cs="Times New Roman"/>
                <w:b/>
                <w:bCs/>
              </w:rPr>
            </w:pPr>
          </w:p>
          <w:p w14:paraId="5D8844ED" w14:textId="4F85A97F" w:rsidR="00D74F84" w:rsidRDefault="00FA1F5C" w:rsidP="00305EE1">
            <w:pPr>
              <w:rPr>
                <w:rFonts w:ascii="Times New Roman" w:hAnsi="Times New Roman" w:cs="Times New Roman"/>
                <w:b/>
                <w:bCs/>
              </w:rPr>
            </w:pPr>
            <w:r>
              <w:rPr>
                <w:rFonts w:ascii="Times New Roman" w:hAnsi="Times New Roman" w:cs="Times New Roman"/>
                <w:b/>
                <w:bCs/>
              </w:rPr>
              <w:t>A</w:t>
            </w:r>
            <w:r w:rsidR="00B240EF">
              <w:rPr>
                <w:rFonts w:ascii="Times New Roman" w:hAnsi="Times New Roman" w:cs="Times New Roman"/>
                <w:b/>
                <w:bCs/>
              </w:rPr>
              <w:t>ppendix 2</w:t>
            </w:r>
          </w:p>
          <w:p w14:paraId="7D7A9486" w14:textId="6E841E38" w:rsidR="00453B59" w:rsidRDefault="00453B59" w:rsidP="00305EE1">
            <w:pPr>
              <w:rPr>
                <w:rFonts w:ascii="Times New Roman" w:hAnsi="Times New Roman" w:cs="Times New Roman"/>
                <w:b/>
                <w:bCs/>
              </w:rPr>
            </w:pPr>
          </w:p>
        </w:tc>
        <w:tc>
          <w:tcPr>
            <w:tcW w:w="7555" w:type="dxa"/>
          </w:tcPr>
          <w:p w14:paraId="62A0DF79" w14:textId="77777777" w:rsidR="00D74F84" w:rsidRPr="00C8533A" w:rsidRDefault="00D74F84" w:rsidP="00C8533A">
            <w:pPr>
              <w:jc w:val="right"/>
              <w:rPr>
                <w:rFonts w:ascii="Times New Roman" w:hAnsi="Times New Roman" w:cs="Times New Roman"/>
              </w:rPr>
            </w:pPr>
          </w:p>
        </w:tc>
      </w:tr>
      <w:tr w:rsidR="00B240EF" w14:paraId="2716B409" w14:textId="77777777" w:rsidTr="005C4836">
        <w:tc>
          <w:tcPr>
            <w:tcW w:w="1795" w:type="dxa"/>
          </w:tcPr>
          <w:p w14:paraId="6232EFEB" w14:textId="089E68D1" w:rsidR="00B240EF" w:rsidRPr="00453B59" w:rsidRDefault="00C962EC" w:rsidP="00453B59">
            <w:pPr>
              <w:jc w:val="center"/>
              <w:rPr>
                <w:rFonts w:ascii="Times New Roman" w:hAnsi="Times New Roman" w:cs="Times New Roman"/>
              </w:rPr>
            </w:pPr>
            <w:r w:rsidRPr="00453B59">
              <w:rPr>
                <w:rFonts w:ascii="Times New Roman" w:hAnsi="Times New Roman" w:cs="Times New Roman"/>
              </w:rPr>
              <w:t>Figure S1</w:t>
            </w:r>
          </w:p>
        </w:tc>
        <w:tc>
          <w:tcPr>
            <w:tcW w:w="7555" w:type="dxa"/>
          </w:tcPr>
          <w:p w14:paraId="572AFC1C" w14:textId="61A1F4FE" w:rsidR="00B240EF"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C2931">
              <w:rPr>
                <w:rFonts w:ascii="Times New Roman" w:hAnsi="Times New Roman" w:cs="Times New Roman"/>
              </w:rPr>
              <w:t>1</w:t>
            </w:r>
            <w:r w:rsidR="004D2B64">
              <w:rPr>
                <w:rFonts w:ascii="Times New Roman" w:hAnsi="Times New Roman" w:cs="Times New Roman"/>
              </w:rPr>
              <w:t>60</w:t>
            </w:r>
          </w:p>
        </w:tc>
      </w:tr>
      <w:tr w:rsidR="00B240EF" w14:paraId="7F58A2CA" w14:textId="77777777" w:rsidTr="005C4836">
        <w:tc>
          <w:tcPr>
            <w:tcW w:w="1795" w:type="dxa"/>
          </w:tcPr>
          <w:p w14:paraId="0056B77F" w14:textId="27C7DCE5" w:rsidR="00B240EF" w:rsidRPr="00453B59" w:rsidRDefault="00C962EC" w:rsidP="00453B59">
            <w:pPr>
              <w:jc w:val="center"/>
              <w:rPr>
                <w:rFonts w:ascii="Times New Roman" w:hAnsi="Times New Roman" w:cs="Times New Roman"/>
              </w:rPr>
            </w:pPr>
            <w:r w:rsidRPr="00453B59">
              <w:rPr>
                <w:rFonts w:ascii="Times New Roman" w:hAnsi="Times New Roman" w:cs="Times New Roman"/>
              </w:rPr>
              <w:t>Figure S2</w:t>
            </w:r>
          </w:p>
        </w:tc>
        <w:tc>
          <w:tcPr>
            <w:tcW w:w="7555" w:type="dxa"/>
          </w:tcPr>
          <w:p w14:paraId="19CA4227" w14:textId="2AB749C7" w:rsidR="00B240EF"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C2931">
              <w:rPr>
                <w:rFonts w:ascii="Times New Roman" w:hAnsi="Times New Roman" w:cs="Times New Roman"/>
              </w:rPr>
              <w:t>1</w:t>
            </w:r>
            <w:r w:rsidR="004D2B64">
              <w:rPr>
                <w:rFonts w:ascii="Times New Roman" w:hAnsi="Times New Roman" w:cs="Times New Roman"/>
              </w:rPr>
              <w:t>6</w:t>
            </w:r>
            <w:r w:rsidR="000B51AF">
              <w:rPr>
                <w:rFonts w:ascii="Times New Roman" w:hAnsi="Times New Roman" w:cs="Times New Roman"/>
              </w:rPr>
              <w:t>0</w:t>
            </w:r>
          </w:p>
        </w:tc>
      </w:tr>
      <w:tr w:rsidR="00B240EF" w14:paraId="5ACAEA7E" w14:textId="77777777" w:rsidTr="005C4836">
        <w:tc>
          <w:tcPr>
            <w:tcW w:w="1795" w:type="dxa"/>
          </w:tcPr>
          <w:p w14:paraId="7A842733" w14:textId="04684F45" w:rsidR="00B240EF" w:rsidRPr="00453B59" w:rsidRDefault="00C962EC" w:rsidP="00453B59">
            <w:pPr>
              <w:jc w:val="center"/>
              <w:rPr>
                <w:rFonts w:ascii="Times New Roman" w:hAnsi="Times New Roman" w:cs="Times New Roman"/>
              </w:rPr>
            </w:pPr>
            <w:r w:rsidRPr="00453B59">
              <w:rPr>
                <w:rFonts w:ascii="Times New Roman" w:hAnsi="Times New Roman" w:cs="Times New Roman"/>
              </w:rPr>
              <w:t>Figure S3</w:t>
            </w:r>
          </w:p>
        </w:tc>
        <w:tc>
          <w:tcPr>
            <w:tcW w:w="7555" w:type="dxa"/>
          </w:tcPr>
          <w:p w14:paraId="3AE0BD4C" w14:textId="1FA005C5" w:rsidR="00B240EF"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C2931">
              <w:rPr>
                <w:rFonts w:ascii="Times New Roman" w:hAnsi="Times New Roman" w:cs="Times New Roman"/>
              </w:rPr>
              <w:t>1</w:t>
            </w:r>
            <w:r w:rsidR="004D2B64">
              <w:rPr>
                <w:rFonts w:ascii="Times New Roman" w:hAnsi="Times New Roman" w:cs="Times New Roman"/>
              </w:rPr>
              <w:t>6</w:t>
            </w:r>
            <w:r w:rsidR="000B51AF">
              <w:rPr>
                <w:rFonts w:ascii="Times New Roman" w:hAnsi="Times New Roman" w:cs="Times New Roman"/>
              </w:rPr>
              <w:t>1</w:t>
            </w:r>
          </w:p>
        </w:tc>
      </w:tr>
      <w:tr w:rsidR="00B240EF" w14:paraId="072BDE6C" w14:textId="77777777" w:rsidTr="005C4836">
        <w:tc>
          <w:tcPr>
            <w:tcW w:w="1795" w:type="dxa"/>
          </w:tcPr>
          <w:p w14:paraId="270F7ECC" w14:textId="31804A94" w:rsidR="00B240EF" w:rsidRPr="00453B59" w:rsidRDefault="00C962EC" w:rsidP="00453B59">
            <w:pPr>
              <w:jc w:val="center"/>
              <w:rPr>
                <w:rFonts w:ascii="Times New Roman" w:hAnsi="Times New Roman" w:cs="Times New Roman"/>
              </w:rPr>
            </w:pPr>
            <w:r w:rsidRPr="00453B59">
              <w:rPr>
                <w:rFonts w:ascii="Times New Roman" w:hAnsi="Times New Roman" w:cs="Times New Roman"/>
              </w:rPr>
              <w:t>Figure S4</w:t>
            </w:r>
          </w:p>
        </w:tc>
        <w:tc>
          <w:tcPr>
            <w:tcW w:w="7555" w:type="dxa"/>
          </w:tcPr>
          <w:p w14:paraId="18802583" w14:textId="72890A25" w:rsidR="00B240EF"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2C2931">
              <w:rPr>
                <w:rFonts w:ascii="Times New Roman" w:hAnsi="Times New Roman" w:cs="Times New Roman"/>
              </w:rPr>
              <w:t>1</w:t>
            </w:r>
            <w:r w:rsidR="004D2B64">
              <w:rPr>
                <w:rFonts w:ascii="Times New Roman" w:hAnsi="Times New Roman" w:cs="Times New Roman"/>
              </w:rPr>
              <w:t>6</w:t>
            </w:r>
            <w:r w:rsidR="000B51AF">
              <w:rPr>
                <w:rFonts w:ascii="Times New Roman" w:hAnsi="Times New Roman" w:cs="Times New Roman"/>
              </w:rPr>
              <w:t>2</w:t>
            </w:r>
          </w:p>
        </w:tc>
      </w:tr>
      <w:tr w:rsidR="00B240EF" w14:paraId="00B7BF57" w14:textId="77777777" w:rsidTr="005C4836">
        <w:tc>
          <w:tcPr>
            <w:tcW w:w="1795" w:type="dxa"/>
          </w:tcPr>
          <w:p w14:paraId="68AA33D4" w14:textId="709A5DEA" w:rsidR="00B240EF" w:rsidRPr="00453B59" w:rsidRDefault="00C962EC" w:rsidP="00453B59">
            <w:pPr>
              <w:jc w:val="center"/>
              <w:rPr>
                <w:rFonts w:ascii="Times New Roman" w:hAnsi="Times New Roman" w:cs="Times New Roman"/>
              </w:rPr>
            </w:pPr>
            <w:r w:rsidRPr="00453B59">
              <w:rPr>
                <w:rFonts w:ascii="Times New Roman" w:hAnsi="Times New Roman" w:cs="Times New Roman"/>
              </w:rPr>
              <w:t>Figure S5</w:t>
            </w:r>
          </w:p>
        </w:tc>
        <w:tc>
          <w:tcPr>
            <w:tcW w:w="7555" w:type="dxa"/>
          </w:tcPr>
          <w:p w14:paraId="64934480" w14:textId="420E9E39" w:rsidR="00B240EF"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011D90">
              <w:rPr>
                <w:rFonts w:ascii="Times New Roman" w:hAnsi="Times New Roman" w:cs="Times New Roman"/>
              </w:rPr>
              <w:t>1</w:t>
            </w:r>
            <w:r w:rsidR="000D7EEE">
              <w:rPr>
                <w:rFonts w:ascii="Times New Roman" w:hAnsi="Times New Roman" w:cs="Times New Roman"/>
              </w:rPr>
              <w:t>6</w:t>
            </w:r>
            <w:r w:rsidR="000B51AF">
              <w:rPr>
                <w:rFonts w:ascii="Times New Roman" w:hAnsi="Times New Roman" w:cs="Times New Roman"/>
              </w:rPr>
              <w:t>3</w:t>
            </w:r>
          </w:p>
        </w:tc>
      </w:tr>
      <w:tr w:rsidR="00B240EF" w14:paraId="7F1B97F4" w14:textId="77777777" w:rsidTr="00D10B5E">
        <w:tc>
          <w:tcPr>
            <w:tcW w:w="1795" w:type="dxa"/>
          </w:tcPr>
          <w:p w14:paraId="388974EA" w14:textId="634F59B3" w:rsidR="00453B59" w:rsidRPr="00453B59" w:rsidRDefault="00C962EC" w:rsidP="00453B59">
            <w:pPr>
              <w:jc w:val="center"/>
              <w:rPr>
                <w:rFonts w:ascii="Times New Roman" w:hAnsi="Times New Roman" w:cs="Times New Roman"/>
              </w:rPr>
            </w:pPr>
            <w:r w:rsidRPr="00453B59">
              <w:rPr>
                <w:rFonts w:ascii="Times New Roman" w:hAnsi="Times New Roman" w:cs="Times New Roman"/>
              </w:rPr>
              <w:t>Figure S6</w:t>
            </w:r>
          </w:p>
        </w:tc>
        <w:tc>
          <w:tcPr>
            <w:tcW w:w="7555" w:type="dxa"/>
          </w:tcPr>
          <w:p w14:paraId="0C56F5AD" w14:textId="3F564B73" w:rsidR="00B240EF"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011D90">
              <w:rPr>
                <w:rFonts w:ascii="Times New Roman" w:hAnsi="Times New Roman" w:cs="Times New Roman"/>
              </w:rPr>
              <w:t>1</w:t>
            </w:r>
            <w:r w:rsidR="000B51AF">
              <w:rPr>
                <w:rFonts w:ascii="Times New Roman" w:hAnsi="Times New Roman" w:cs="Times New Roman"/>
              </w:rPr>
              <w:t>64</w:t>
            </w:r>
          </w:p>
        </w:tc>
      </w:tr>
      <w:tr w:rsidR="00C962EC" w14:paraId="779506BD" w14:textId="77777777" w:rsidTr="00D10B5E">
        <w:tc>
          <w:tcPr>
            <w:tcW w:w="1795" w:type="dxa"/>
          </w:tcPr>
          <w:p w14:paraId="5E102849" w14:textId="77777777" w:rsidR="00453B59" w:rsidRDefault="00453B59" w:rsidP="00305EE1">
            <w:pPr>
              <w:rPr>
                <w:rFonts w:ascii="Times New Roman" w:hAnsi="Times New Roman" w:cs="Times New Roman"/>
                <w:b/>
                <w:bCs/>
              </w:rPr>
            </w:pPr>
          </w:p>
          <w:p w14:paraId="70B36AFE" w14:textId="65FAB575" w:rsidR="00C962EC" w:rsidRDefault="00C962EC" w:rsidP="00305EE1">
            <w:pPr>
              <w:rPr>
                <w:rFonts w:ascii="Times New Roman" w:hAnsi="Times New Roman" w:cs="Times New Roman"/>
                <w:b/>
                <w:bCs/>
              </w:rPr>
            </w:pPr>
            <w:r>
              <w:rPr>
                <w:rFonts w:ascii="Times New Roman" w:hAnsi="Times New Roman" w:cs="Times New Roman"/>
                <w:b/>
                <w:bCs/>
              </w:rPr>
              <w:t>Appendix 3</w:t>
            </w:r>
          </w:p>
          <w:p w14:paraId="75A5417A" w14:textId="4FC9183B" w:rsidR="00453B59" w:rsidRDefault="00453B59" w:rsidP="00305EE1">
            <w:pPr>
              <w:rPr>
                <w:rFonts w:ascii="Times New Roman" w:hAnsi="Times New Roman" w:cs="Times New Roman"/>
                <w:b/>
                <w:bCs/>
              </w:rPr>
            </w:pPr>
          </w:p>
        </w:tc>
        <w:tc>
          <w:tcPr>
            <w:tcW w:w="7555" w:type="dxa"/>
          </w:tcPr>
          <w:p w14:paraId="5FCDDC9B" w14:textId="77777777" w:rsidR="00C962EC" w:rsidRPr="00C8533A" w:rsidRDefault="00C962EC" w:rsidP="00C8533A">
            <w:pPr>
              <w:jc w:val="right"/>
              <w:rPr>
                <w:rFonts w:ascii="Times New Roman" w:hAnsi="Times New Roman" w:cs="Times New Roman"/>
              </w:rPr>
            </w:pPr>
          </w:p>
        </w:tc>
      </w:tr>
      <w:tr w:rsidR="00C962EC" w14:paraId="2802601A" w14:textId="77777777" w:rsidTr="00D10B5E">
        <w:tc>
          <w:tcPr>
            <w:tcW w:w="1795" w:type="dxa"/>
          </w:tcPr>
          <w:p w14:paraId="1DC73DEE" w14:textId="38E341E0" w:rsidR="00C962EC" w:rsidRPr="00453B59" w:rsidRDefault="00C962EC" w:rsidP="00453B59">
            <w:pPr>
              <w:jc w:val="center"/>
              <w:rPr>
                <w:rFonts w:ascii="Times New Roman" w:hAnsi="Times New Roman" w:cs="Times New Roman"/>
              </w:rPr>
            </w:pPr>
            <w:r w:rsidRPr="00453B59">
              <w:rPr>
                <w:rFonts w:ascii="Times New Roman" w:hAnsi="Times New Roman" w:cs="Times New Roman"/>
              </w:rPr>
              <w:t>Figure S1</w:t>
            </w:r>
          </w:p>
        </w:tc>
        <w:tc>
          <w:tcPr>
            <w:tcW w:w="7555" w:type="dxa"/>
          </w:tcPr>
          <w:p w14:paraId="7F9F941F" w14:textId="04D2EAAF" w:rsidR="00C962E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011D90">
              <w:rPr>
                <w:rFonts w:ascii="Times New Roman" w:hAnsi="Times New Roman" w:cs="Times New Roman"/>
              </w:rPr>
              <w:t>1</w:t>
            </w:r>
            <w:r w:rsidR="00D45F49">
              <w:rPr>
                <w:rFonts w:ascii="Times New Roman" w:hAnsi="Times New Roman" w:cs="Times New Roman"/>
              </w:rPr>
              <w:t>7</w:t>
            </w:r>
            <w:r w:rsidR="00011D90">
              <w:rPr>
                <w:rFonts w:ascii="Times New Roman" w:hAnsi="Times New Roman" w:cs="Times New Roman"/>
              </w:rPr>
              <w:t>4</w:t>
            </w:r>
          </w:p>
        </w:tc>
      </w:tr>
      <w:tr w:rsidR="00C962EC" w14:paraId="22CCD364" w14:textId="77777777" w:rsidTr="00D10B5E">
        <w:tc>
          <w:tcPr>
            <w:tcW w:w="1795" w:type="dxa"/>
          </w:tcPr>
          <w:p w14:paraId="41FCED83" w14:textId="3B7F5508" w:rsidR="00C962EC" w:rsidRPr="00453B59" w:rsidRDefault="00C962EC" w:rsidP="00453B59">
            <w:pPr>
              <w:jc w:val="center"/>
              <w:rPr>
                <w:rFonts w:ascii="Times New Roman" w:hAnsi="Times New Roman" w:cs="Times New Roman"/>
              </w:rPr>
            </w:pPr>
            <w:r w:rsidRPr="00453B59">
              <w:rPr>
                <w:rFonts w:ascii="Times New Roman" w:hAnsi="Times New Roman" w:cs="Times New Roman"/>
              </w:rPr>
              <w:t>Figure S2</w:t>
            </w:r>
          </w:p>
        </w:tc>
        <w:tc>
          <w:tcPr>
            <w:tcW w:w="7555" w:type="dxa"/>
          </w:tcPr>
          <w:p w14:paraId="1F3080E0" w14:textId="06954A03" w:rsidR="00C962EC" w:rsidRPr="00C8533A" w:rsidRDefault="005C4836" w:rsidP="00C8533A">
            <w:pPr>
              <w:jc w:val="right"/>
              <w:rPr>
                <w:rFonts w:ascii="Times New Roman" w:hAnsi="Times New Roman" w:cs="Times New Roman"/>
              </w:rPr>
            </w:pPr>
            <w:r w:rsidRPr="005C4836">
              <w:rPr>
                <w:rFonts w:ascii="Times New Roman" w:hAnsi="Times New Roman" w:cs="Times New Roman"/>
              </w:rPr>
              <w:t xml:space="preserve">…………………………………………………………………………... </w:t>
            </w:r>
            <w:r w:rsidR="00011D90">
              <w:rPr>
                <w:rFonts w:ascii="Times New Roman" w:hAnsi="Times New Roman" w:cs="Times New Roman"/>
              </w:rPr>
              <w:t>1</w:t>
            </w:r>
            <w:r w:rsidR="00D45F49">
              <w:rPr>
                <w:rFonts w:ascii="Times New Roman" w:hAnsi="Times New Roman" w:cs="Times New Roman"/>
              </w:rPr>
              <w:t>7</w:t>
            </w:r>
            <w:r w:rsidR="00011D90">
              <w:rPr>
                <w:rFonts w:ascii="Times New Roman" w:hAnsi="Times New Roman" w:cs="Times New Roman"/>
              </w:rPr>
              <w:t>5</w:t>
            </w:r>
          </w:p>
        </w:tc>
      </w:tr>
      <w:tr w:rsidR="00934E9C" w14:paraId="41E64CB8" w14:textId="77777777" w:rsidTr="00D10B5E">
        <w:tc>
          <w:tcPr>
            <w:tcW w:w="1795" w:type="dxa"/>
          </w:tcPr>
          <w:p w14:paraId="35E7FD72" w14:textId="57C14FE9" w:rsidR="00934E9C" w:rsidRPr="00453B59" w:rsidRDefault="00441D69" w:rsidP="00453B59">
            <w:pPr>
              <w:jc w:val="center"/>
              <w:rPr>
                <w:rFonts w:ascii="Times New Roman" w:hAnsi="Times New Roman" w:cs="Times New Roman"/>
              </w:rPr>
            </w:pPr>
            <w:r>
              <w:rPr>
                <w:rFonts w:ascii="Times New Roman" w:hAnsi="Times New Roman" w:cs="Times New Roman"/>
              </w:rPr>
              <w:t>Figure S3</w:t>
            </w:r>
          </w:p>
        </w:tc>
        <w:tc>
          <w:tcPr>
            <w:tcW w:w="7555" w:type="dxa"/>
          </w:tcPr>
          <w:p w14:paraId="1FF2D51C" w14:textId="73519398" w:rsidR="00934E9C" w:rsidRPr="005C4836" w:rsidRDefault="00D45F49" w:rsidP="00C8533A">
            <w:pPr>
              <w:jc w:val="right"/>
              <w:rPr>
                <w:rFonts w:ascii="Times New Roman" w:hAnsi="Times New Roman" w:cs="Times New Roman"/>
              </w:rPr>
            </w:pPr>
            <w:r w:rsidRPr="005C4836">
              <w:rPr>
                <w:rFonts w:ascii="Times New Roman" w:hAnsi="Times New Roman" w:cs="Times New Roman"/>
              </w:rPr>
              <w:t xml:space="preserve">…………………………………………………………………………... </w:t>
            </w:r>
            <w:r>
              <w:rPr>
                <w:rFonts w:ascii="Times New Roman" w:hAnsi="Times New Roman" w:cs="Times New Roman"/>
              </w:rPr>
              <w:t>17</w:t>
            </w:r>
            <w:r w:rsidR="00441D69">
              <w:rPr>
                <w:rFonts w:ascii="Times New Roman" w:hAnsi="Times New Roman" w:cs="Times New Roman"/>
              </w:rPr>
              <w:t>6</w:t>
            </w:r>
          </w:p>
        </w:tc>
      </w:tr>
      <w:tr w:rsidR="00934E9C" w14:paraId="0E9F4FFB" w14:textId="77777777" w:rsidTr="00D10B5E">
        <w:tc>
          <w:tcPr>
            <w:tcW w:w="1795" w:type="dxa"/>
          </w:tcPr>
          <w:p w14:paraId="14D5AD45" w14:textId="3E1336AB" w:rsidR="00934E9C" w:rsidRPr="00453B59" w:rsidRDefault="00441D69" w:rsidP="00453B59">
            <w:pPr>
              <w:jc w:val="center"/>
              <w:rPr>
                <w:rFonts w:ascii="Times New Roman" w:hAnsi="Times New Roman" w:cs="Times New Roman"/>
              </w:rPr>
            </w:pPr>
            <w:r>
              <w:rPr>
                <w:rFonts w:ascii="Times New Roman" w:hAnsi="Times New Roman" w:cs="Times New Roman"/>
              </w:rPr>
              <w:t>Figure S4</w:t>
            </w:r>
          </w:p>
        </w:tc>
        <w:tc>
          <w:tcPr>
            <w:tcW w:w="7555" w:type="dxa"/>
          </w:tcPr>
          <w:p w14:paraId="6464EB2F" w14:textId="35F23129" w:rsidR="00934E9C" w:rsidRPr="005C4836" w:rsidRDefault="00D45F49" w:rsidP="00C8533A">
            <w:pPr>
              <w:jc w:val="right"/>
              <w:rPr>
                <w:rFonts w:ascii="Times New Roman" w:hAnsi="Times New Roman" w:cs="Times New Roman"/>
              </w:rPr>
            </w:pPr>
            <w:r w:rsidRPr="005C4836">
              <w:rPr>
                <w:rFonts w:ascii="Times New Roman" w:hAnsi="Times New Roman" w:cs="Times New Roman"/>
              </w:rPr>
              <w:t xml:space="preserve">…………………………………………………………………………... </w:t>
            </w:r>
            <w:r>
              <w:rPr>
                <w:rFonts w:ascii="Times New Roman" w:hAnsi="Times New Roman" w:cs="Times New Roman"/>
              </w:rPr>
              <w:t>17</w:t>
            </w:r>
            <w:r w:rsidR="00441D69">
              <w:rPr>
                <w:rFonts w:ascii="Times New Roman" w:hAnsi="Times New Roman" w:cs="Times New Roman"/>
              </w:rPr>
              <w:t>7</w:t>
            </w:r>
          </w:p>
        </w:tc>
      </w:tr>
      <w:tr w:rsidR="00934E9C" w14:paraId="780CA071" w14:textId="77777777" w:rsidTr="00D10B5E">
        <w:tc>
          <w:tcPr>
            <w:tcW w:w="1795" w:type="dxa"/>
          </w:tcPr>
          <w:p w14:paraId="1134CFD2" w14:textId="2C7633BB" w:rsidR="00934E9C" w:rsidRPr="00453B59" w:rsidRDefault="00441D69" w:rsidP="00453B59">
            <w:pPr>
              <w:jc w:val="center"/>
              <w:rPr>
                <w:rFonts w:ascii="Times New Roman" w:hAnsi="Times New Roman" w:cs="Times New Roman"/>
              </w:rPr>
            </w:pPr>
            <w:r>
              <w:rPr>
                <w:rFonts w:ascii="Times New Roman" w:hAnsi="Times New Roman" w:cs="Times New Roman"/>
              </w:rPr>
              <w:t>Figure S5</w:t>
            </w:r>
          </w:p>
        </w:tc>
        <w:tc>
          <w:tcPr>
            <w:tcW w:w="7555" w:type="dxa"/>
          </w:tcPr>
          <w:p w14:paraId="32155939" w14:textId="79EAEA8B" w:rsidR="00934E9C" w:rsidRPr="005C4836" w:rsidRDefault="00D45F49" w:rsidP="00C8533A">
            <w:pPr>
              <w:jc w:val="right"/>
              <w:rPr>
                <w:rFonts w:ascii="Times New Roman" w:hAnsi="Times New Roman" w:cs="Times New Roman"/>
              </w:rPr>
            </w:pPr>
            <w:r w:rsidRPr="005C4836">
              <w:rPr>
                <w:rFonts w:ascii="Times New Roman" w:hAnsi="Times New Roman" w:cs="Times New Roman"/>
              </w:rPr>
              <w:t xml:space="preserve">…………………………………………………………………………... </w:t>
            </w:r>
            <w:r>
              <w:rPr>
                <w:rFonts w:ascii="Times New Roman" w:hAnsi="Times New Roman" w:cs="Times New Roman"/>
              </w:rPr>
              <w:t>17</w:t>
            </w:r>
            <w:r w:rsidR="00441D69">
              <w:rPr>
                <w:rFonts w:ascii="Times New Roman" w:hAnsi="Times New Roman" w:cs="Times New Roman"/>
              </w:rPr>
              <w:t>8</w:t>
            </w:r>
          </w:p>
        </w:tc>
      </w:tr>
      <w:tr w:rsidR="00934E9C" w14:paraId="48094E29" w14:textId="77777777" w:rsidTr="00D10B5E">
        <w:tc>
          <w:tcPr>
            <w:tcW w:w="1795" w:type="dxa"/>
          </w:tcPr>
          <w:p w14:paraId="4CEC2747" w14:textId="0E0470EE" w:rsidR="00934E9C" w:rsidRPr="00453B59" w:rsidRDefault="00441D69" w:rsidP="00453B59">
            <w:pPr>
              <w:jc w:val="center"/>
              <w:rPr>
                <w:rFonts w:ascii="Times New Roman" w:hAnsi="Times New Roman" w:cs="Times New Roman"/>
              </w:rPr>
            </w:pPr>
            <w:r>
              <w:rPr>
                <w:rFonts w:ascii="Times New Roman" w:hAnsi="Times New Roman" w:cs="Times New Roman"/>
              </w:rPr>
              <w:t>Figure S6</w:t>
            </w:r>
          </w:p>
        </w:tc>
        <w:tc>
          <w:tcPr>
            <w:tcW w:w="7555" w:type="dxa"/>
          </w:tcPr>
          <w:p w14:paraId="1AABB346" w14:textId="180EF171" w:rsidR="00934E9C" w:rsidRPr="005C4836" w:rsidRDefault="00441D69" w:rsidP="00C8533A">
            <w:pPr>
              <w:jc w:val="right"/>
              <w:rPr>
                <w:rFonts w:ascii="Times New Roman" w:hAnsi="Times New Roman" w:cs="Times New Roman"/>
              </w:rPr>
            </w:pPr>
            <w:r w:rsidRPr="005C4836">
              <w:rPr>
                <w:rFonts w:ascii="Times New Roman" w:hAnsi="Times New Roman" w:cs="Times New Roman"/>
              </w:rPr>
              <w:t xml:space="preserve">…………………………………………………………………………... </w:t>
            </w:r>
            <w:r>
              <w:rPr>
                <w:rFonts w:ascii="Times New Roman" w:hAnsi="Times New Roman" w:cs="Times New Roman"/>
              </w:rPr>
              <w:t>179</w:t>
            </w:r>
          </w:p>
        </w:tc>
      </w:tr>
      <w:tr w:rsidR="00441D69" w14:paraId="706A91B4" w14:textId="77777777" w:rsidTr="00D10B5E">
        <w:tc>
          <w:tcPr>
            <w:tcW w:w="1795" w:type="dxa"/>
          </w:tcPr>
          <w:p w14:paraId="6F55FAE6" w14:textId="75973A9D" w:rsidR="00441D69" w:rsidRPr="00453B59" w:rsidRDefault="00441D69" w:rsidP="00453B59">
            <w:pPr>
              <w:jc w:val="center"/>
              <w:rPr>
                <w:rFonts w:ascii="Times New Roman" w:hAnsi="Times New Roman" w:cs="Times New Roman"/>
              </w:rPr>
            </w:pPr>
            <w:r>
              <w:rPr>
                <w:rFonts w:ascii="Times New Roman" w:hAnsi="Times New Roman" w:cs="Times New Roman"/>
              </w:rPr>
              <w:t>Figure S7</w:t>
            </w:r>
          </w:p>
        </w:tc>
        <w:tc>
          <w:tcPr>
            <w:tcW w:w="7555" w:type="dxa"/>
          </w:tcPr>
          <w:p w14:paraId="508744E3" w14:textId="35E13872" w:rsidR="00441D69" w:rsidRPr="005C4836" w:rsidRDefault="00441D69" w:rsidP="00C8533A">
            <w:pPr>
              <w:jc w:val="right"/>
              <w:rPr>
                <w:rFonts w:ascii="Times New Roman" w:hAnsi="Times New Roman" w:cs="Times New Roman"/>
              </w:rPr>
            </w:pPr>
            <w:r w:rsidRPr="005C4836">
              <w:rPr>
                <w:rFonts w:ascii="Times New Roman" w:hAnsi="Times New Roman" w:cs="Times New Roman"/>
              </w:rPr>
              <w:t xml:space="preserve">…………………………………………………………………………... </w:t>
            </w:r>
            <w:r>
              <w:rPr>
                <w:rFonts w:ascii="Times New Roman" w:hAnsi="Times New Roman" w:cs="Times New Roman"/>
              </w:rPr>
              <w:t>180</w:t>
            </w:r>
          </w:p>
        </w:tc>
      </w:tr>
    </w:tbl>
    <w:p w14:paraId="3FBFD4C3" w14:textId="77777777" w:rsidR="000B7D79" w:rsidRDefault="000B7D79" w:rsidP="00D61497">
      <w:pPr>
        <w:jc w:val="center"/>
        <w:rPr>
          <w:rFonts w:ascii="Times New Roman" w:hAnsi="Times New Roman" w:cs="Times New Roman"/>
          <w:b/>
          <w:bCs/>
          <w:sz w:val="24"/>
          <w:szCs w:val="24"/>
        </w:rPr>
      </w:pPr>
    </w:p>
    <w:p w14:paraId="0D443F25" w14:textId="6E4F55BE" w:rsidR="005C3395" w:rsidRDefault="00ED3EB8" w:rsidP="00ED3EB8">
      <w:pPr>
        <w:jc w:val="center"/>
        <w:rPr>
          <w:rFonts w:ascii="Times New Roman" w:hAnsi="Times New Roman" w:cs="Times New Roman"/>
          <w:b/>
          <w:bCs/>
          <w:sz w:val="24"/>
          <w:szCs w:val="24"/>
        </w:rPr>
      </w:pPr>
      <w:r>
        <w:rPr>
          <w:rFonts w:ascii="Times New Roman" w:hAnsi="Times New Roman" w:cs="Times New Roman"/>
          <w:b/>
          <w:bCs/>
          <w:sz w:val="24"/>
          <w:szCs w:val="24"/>
        </w:rPr>
        <w:br w:type="page"/>
      </w:r>
      <w:r w:rsidR="005C3395">
        <w:rPr>
          <w:rFonts w:ascii="Times New Roman" w:hAnsi="Times New Roman" w:cs="Times New Roman"/>
          <w:b/>
          <w:bCs/>
          <w:sz w:val="24"/>
          <w:szCs w:val="24"/>
        </w:rPr>
        <w:lastRenderedPageBreak/>
        <w:t>ABSTRACT</w:t>
      </w:r>
    </w:p>
    <w:p w14:paraId="3689F1F1" w14:textId="77777777" w:rsidR="00E11585" w:rsidRDefault="00E11585" w:rsidP="005C3395">
      <w:pPr>
        <w:jc w:val="center"/>
        <w:rPr>
          <w:rFonts w:ascii="Times New Roman" w:hAnsi="Times New Roman" w:cs="Times New Roman"/>
          <w:b/>
          <w:bCs/>
          <w:sz w:val="24"/>
          <w:szCs w:val="24"/>
        </w:rPr>
      </w:pPr>
    </w:p>
    <w:p w14:paraId="2E49D966" w14:textId="49B17A1D" w:rsidR="005C3395" w:rsidRDefault="00D40D14" w:rsidP="00BA3AFA">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An undisputable fact of the modern age is </w:t>
      </w:r>
      <w:r w:rsidR="009E5432">
        <w:rPr>
          <w:rFonts w:ascii="Times New Roman" w:hAnsi="Times New Roman" w:cs="Times New Roman"/>
          <w:sz w:val="24"/>
          <w:szCs w:val="24"/>
        </w:rPr>
        <w:t>that human activities are now a major force shaping the biosphere.</w:t>
      </w:r>
      <w:r w:rsidR="002C1D64">
        <w:rPr>
          <w:rFonts w:ascii="Times New Roman" w:hAnsi="Times New Roman" w:cs="Times New Roman"/>
          <w:sz w:val="24"/>
          <w:szCs w:val="24"/>
        </w:rPr>
        <w:t xml:space="preserve"> Some have called for a new geological epoch called the “Anthropocene” or the age of </w:t>
      </w:r>
      <w:r w:rsidR="004D5AE2">
        <w:rPr>
          <w:rFonts w:ascii="Times New Roman" w:hAnsi="Times New Roman" w:cs="Times New Roman"/>
          <w:sz w:val="24"/>
          <w:szCs w:val="24"/>
        </w:rPr>
        <w:t>humans</w:t>
      </w:r>
      <w:r w:rsidR="00943080">
        <w:rPr>
          <w:rFonts w:ascii="Times New Roman" w:hAnsi="Times New Roman" w:cs="Times New Roman"/>
          <w:sz w:val="24"/>
          <w:szCs w:val="24"/>
        </w:rPr>
        <w:t xml:space="preserve">— </w:t>
      </w:r>
      <w:r w:rsidR="0027386B">
        <w:rPr>
          <w:rFonts w:ascii="Times New Roman" w:hAnsi="Times New Roman" w:cs="Times New Roman"/>
          <w:sz w:val="24"/>
          <w:szCs w:val="24"/>
        </w:rPr>
        <w:t xml:space="preserve">the search is underway for a reliable and </w:t>
      </w:r>
      <w:r w:rsidR="003B5334">
        <w:rPr>
          <w:rFonts w:ascii="Times New Roman" w:hAnsi="Times New Roman" w:cs="Times New Roman"/>
          <w:sz w:val="24"/>
          <w:szCs w:val="24"/>
        </w:rPr>
        <w:t xml:space="preserve">unambiguous </w:t>
      </w:r>
      <w:r w:rsidR="0027386B">
        <w:rPr>
          <w:rFonts w:ascii="Times New Roman" w:hAnsi="Times New Roman" w:cs="Times New Roman"/>
          <w:sz w:val="24"/>
          <w:szCs w:val="24"/>
        </w:rPr>
        <w:t>mark in the geological record for</w:t>
      </w:r>
      <w:r w:rsidR="003B5334">
        <w:rPr>
          <w:rFonts w:ascii="Times New Roman" w:hAnsi="Times New Roman" w:cs="Times New Roman"/>
          <w:sz w:val="24"/>
          <w:szCs w:val="24"/>
        </w:rPr>
        <w:t xml:space="preserve"> the designation of this new epoch. As a biologist, </w:t>
      </w:r>
      <w:r w:rsidR="00EB7B1C">
        <w:rPr>
          <w:rFonts w:ascii="Times New Roman" w:hAnsi="Times New Roman" w:cs="Times New Roman"/>
          <w:sz w:val="24"/>
          <w:szCs w:val="24"/>
        </w:rPr>
        <w:t xml:space="preserve">however, </w:t>
      </w:r>
      <w:r w:rsidR="000E5FDA">
        <w:rPr>
          <w:rFonts w:ascii="Times New Roman" w:hAnsi="Times New Roman" w:cs="Times New Roman"/>
          <w:sz w:val="24"/>
          <w:szCs w:val="24"/>
        </w:rPr>
        <w:t>I am</w:t>
      </w:r>
      <w:r w:rsidR="00B773AD">
        <w:rPr>
          <w:rFonts w:ascii="Times New Roman" w:hAnsi="Times New Roman" w:cs="Times New Roman"/>
          <w:sz w:val="24"/>
          <w:szCs w:val="24"/>
        </w:rPr>
        <w:t xml:space="preserve"> reminded daily of </w:t>
      </w:r>
      <w:r w:rsidR="000E5FDA">
        <w:rPr>
          <w:rFonts w:ascii="Times New Roman" w:hAnsi="Times New Roman" w:cs="Times New Roman"/>
          <w:sz w:val="24"/>
          <w:szCs w:val="24"/>
        </w:rPr>
        <w:t xml:space="preserve">the </w:t>
      </w:r>
      <w:r w:rsidR="00030564">
        <w:rPr>
          <w:rFonts w:ascii="Times New Roman" w:hAnsi="Times New Roman" w:cs="Times New Roman"/>
          <w:sz w:val="24"/>
          <w:szCs w:val="24"/>
        </w:rPr>
        <w:t>“</w:t>
      </w:r>
      <w:r w:rsidR="000E5FDA">
        <w:rPr>
          <w:rFonts w:ascii="Times New Roman" w:hAnsi="Times New Roman" w:cs="Times New Roman"/>
          <w:sz w:val="24"/>
          <w:szCs w:val="24"/>
        </w:rPr>
        <w:t>marks</w:t>
      </w:r>
      <w:r w:rsidR="00030564">
        <w:rPr>
          <w:rFonts w:ascii="Times New Roman" w:hAnsi="Times New Roman" w:cs="Times New Roman"/>
          <w:sz w:val="24"/>
          <w:szCs w:val="24"/>
        </w:rPr>
        <w:t>”</w:t>
      </w:r>
      <w:r w:rsidR="00F73D6A">
        <w:rPr>
          <w:rFonts w:ascii="Times New Roman" w:hAnsi="Times New Roman" w:cs="Times New Roman"/>
          <w:sz w:val="24"/>
          <w:szCs w:val="24"/>
        </w:rPr>
        <w:t xml:space="preserve"> this age has </w:t>
      </w:r>
      <w:r w:rsidR="000E5FDA">
        <w:rPr>
          <w:rFonts w:ascii="Times New Roman" w:hAnsi="Times New Roman" w:cs="Times New Roman"/>
          <w:sz w:val="24"/>
          <w:szCs w:val="24"/>
        </w:rPr>
        <w:t xml:space="preserve">left </w:t>
      </w:r>
      <w:r w:rsidR="00F73D6A">
        <w:rPr>
          <w:rFonts w:ascii="Times New Roman" w:hAnsi="Times New Roman" w:cs="Times New Roman"/>
          <w:sz w:val="24"/>
          <w:szCs w:val="24"/>
        </w:rPr>
        <w:t xml:space="preserve">on the world around us. The American philosopher and </w:t>
      </w:r>
      <w:r w:rsidR="000F2B6C">
        <w:rPr>
          <w:rFonts w:ascii="Times New Roman" w:hAnsi="Times New Roman" w:cs="Times New Roman"/>
          <w:sz w:val="24"/>
          <w:szCs w:val="24"/>
        </w:rPr>
        <w:t xml:space="preserve">ecologist Aldo Leopold </w:t>
      </w:r>
      <w:r w:rsidR="00E05F0C">
        <w:rPr>
          <w:rFonts w:ascii="Times New Roman" w:hAnsi="Times New Roman" w:cs="Times New Roman"/>
          <w:sz w:val="24"/>
          <w:szCs w:val="24"/>
        </w:rPr>
        <w:t xml:space="preserve">perhaps said it best when he described an </w:t>
      </w:r>
      <w:r w:rsidR="00427A68">
        <w:rPr>
          <w:rFonts w:ascii="Times New Roman" w:hAnsi="Times New Roman" w:cs="Times New Roman"/>
          <w:sz w:val="24"/>
          <w:szCs w:val="24"/>
        </w:rPr>
        <w:t>“</w:t>
      </w:r>
      <w:r w:rsidR="00E05F0C">
        <w:rPr>
          <w:rFonts w:ascii="Times New Roman" w:hAnsi="Times New Roman" w:cs="Times New Roman"/>
          <w:sz w:val="24"/>
          <w:szCs w:val="24"/>
        </w:rPr>
        <w:t>ecological education</w:t>
      </w:r>
      <w:r w:rsidR="00427A68">
        <w:rPr>
          <w:rFonts w:ascii="Times New Roman" w:hAnsi="Times New Roman" w:cs="Times New Roman"/>
          <w:sz w:val="24"/>
          <w:szCs w:val="24"/>
        </w:rPr>
        <w:t xml:space="preserve">” </w:t>
      </w:r>
      <w:r w:rsidR="00334D34">
        <w:rPr>
          <w:rFonts w:ascii="Times New Roman" w:hAnsi="Times New Roman" w:cs="Times New Roman"/>
          <w:sz w:val="24"/>
          <w:szCs w:val="24"/>
        </w:rPr>
        <w:t>as “living alone in a world of wounds.” What follows in th</w:t>
      </w:r>
      <w:r w:rsidR="00DB5EE8">
        <w:rPr>
          <w:rFonts w:ascii="Times New Roman" w:hAnsi="Times New Roman" w:cs="Times New Roman"/>
          <w:sz w:val="24"/>
          <w:szCs w:val="24"/>
        </w:rPr>
        <w:t>is</w:t>
      </w:r>
      <w:r w:rsidR="00334D34">
        <w:rPr>
          <w:rFonts w:ascii="Times New Roman" w:hAnsi="Times New Roman" w:cs="Times New Roman"/>
          <w:sz w:val="24"/>
          <w:szCs w:val="24"/>
        </w:rPr>
        <w:t xml:space="preserve"> dissertation is maybe best descri</w:t>
      </w:r>
      <w:r w:rsidR="006107A6">
        <w:rPr>
          <w:rFonts w:ascii="Times New Roman" w:hAnsi="Times New Roman" w:cs="Times New Roman"/>
          <w:sz w:val="24"/>
          <w:szCs w:val="24"/>
        </w:rPr>
        <w:t>bed as searching for wounds</w:t>
      </w:r>
      <w:r w:rsidR="00DB5EE8">
        <w:rPr>
          <w:rFonts w:ascii="Times New Roman" w:hAnsi="Times New Roman" w:cs="Times New Roman"/>
          <w:sz w:val="24"/>
          <w:szCs w:val="24"/>
        </w:rPr>
        <w:t>,</w:t>
      </w:r>
      <w:r w:rsidR="006107A6">
        <w:rPr>
          <w:rFonts w:ascii="Times New Roman" w:hAnsi="Times New Roman" w:cs="Times New Roman"/>
          <w:sz w:val="24"/>
          <w:szCs w:val="24"/>
        </w:rPr>
        <w:t xml:space="preserve"> for marks</w:t>
      </w:r>
      <w:r w:rsidR="00DB5EE8">
        <w:rPr>
          <w:rFonts w:ascii="Times New Roman" w:hAnsi="Times New Roman" w:cs="Times New Roman"/>
          <w:sz w:val="24"/>
          <w:szCs w:val="24"/>
        </w:rPr>
        <w:t>,</w:t>
      </w:r>
      <w:r w:rsidR="006107A6">
        <w:rPr>
          <w:rFonts w:ascii="Times New Roman" w:hAnsi="Times New Roman" w:cs="Times New Roman"/>
          <w:sz w:val="24"/>
          <w:szCs w:val="24"/>
        </w:rPr>
        <w:t xml:space="preserve"> in biological archives that </w:t>
      </w:r>
      <w:r w:rsidR="00B828E8">
        <w:rPr>
          <w:rFonts w:ascii="Times New Roman" w:hAnsi="Times New Roman" w:cs="Times New Roman"/>
          <w:sz w:val="24"/>
          <w:szCs w:val="24"/>
        </w:rPr>
        <w:t>allow us to</w:t>
      </w:r>
      <w:r w:rsidR="00943080">
        <w:rPr>
          <w:rFonts w:ascii="Times New Roman" w:hAnsi="Times New Roman" w:cs="Times New Roman"/>
          <w:sz w:val="24"/>
          <w:szCs w:val="24"/>
        </w:rPr>
        <w:t xml:space="preserve"> better</w:t>
      </w:r>
      <w:r w:rsidR="00B828E8">
        <w:rPr>
          <w:rFonts w:ascii="Times New Roman" w:hAnsi="Times New Roman" w:cs="Times New Roman"/>
          <w:sz w:val="24"/>
          <w:szCs w:val="24"/>
        </w:rPr>
        <w:t xml:space="preserve"> understand </w:t>
      </w:r>
      <w:r w:rsidR="003B3AA7">
        <w:rPr>
          <w:rFonts w:ascii="Times New Roman" w:hAnsi="Times New Roman" w:cs="Times New Roman"/>
          <w:sz w:val="24"/>
          <w:szCs w:val="24"/>
        </w:rPr>
        <w:t xml:space="preserve">the ecosystems of the Anthropocene. </w:t>
      </w:r>
    </w:p>
    <w:p w14:paraId="436B4747" w14:textId="6C059D65" w:rsidR="003B3AA7" w:rsidRDefault="003929F1" w:rsidP="00BA3AF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My dissertation is focused primarily on studying the widespread crustacean zooplankter, </w:t>
      </w:r>
      <w:r>
        <w:rPr>
          <w:rFonts w:ascii="Times New Roman" w:hAnsi="Times New Roman" w:cs="Times New Roman"/>
          <w:i/>
          <w:iCs/>
          <w:sz w:val="24"/>
          <w:szCs w:val="24"/>
        </w:rPr>
        <w:t xml:space="preserve">Daphnia pulicaria. </w:t>
      </w:r>
      <w:r w:rsidR="00C13DC1">
        <w:rPr>
          <w:rFonts w:ascii="Times New Roman" w:hAnsi="Times New Roman" w:cs="Times New Roman"/>
          <w:sz w:val="24"/>
          <w:szCs w:val="24"/>
        </w:rPr>
        <w:t xml:space="preserve">A common refrain in the following chapters will be to point out the </w:t>
      </w:r>
      <w:r w:rsidR="00D00B74">
        <w:rPr>
          <w:rFonts w:ascii="Times New Roman" w:hAnsi="Times New Roman" w:cs="Times New Roman"/>
          <w:sz w:val="24"/>
          <w:szCs w:val="24"/>
        </w:rPr>
        <w:t>function of</w:t>
      </w:r>
      <w:r w:rsidR="00C13DC1">
        <w:rPr>
          <w:rFonts w:ascii="Times New Roman" w:hAnsi="Times New Roman" w:cs="Times New Roman"/>
          <w:sz w:val="24"/>
          <w:szCs w:val="24"/>
        </w:rPr>
        <w:t xml:space="preserve"> this and related species in lake ecosystems</w:t>
      </w:r>
      <w:r w:rsidR="00016C5F">
        <w:rPr>
          <w:rFonts w:ascii="Times New Roman" w:hAnsi="Times New Roman" w:cs="Times New Roman"/>
          <w:sz w:val="24"/>
          <w:szCs w:val="24"/>
        </w:rPr>
        <w:t xml:space="preserve"> and their value to</w:t>
      </w:r>
      <w:r w:rsidR="00BF7807">
        <w:rPr>
          <w:rFonts w:ascii="Times New Roman" w:hAnsi="Times New Roman" w:cs="Times New Roman"/>
          <w:sz w:val="24"/>
          <w:szCs w:val="24"/>
        </w:rPr>
        <w:t xml:space="preserve"> the</w:t>
      </w:r>
      <w:r w:rsidR="00016C5F">
        <w:rPr>
          <w:rFonts w:ascii="Times New Roman" w:hAnsi="Times New Roman" w:cs="Times New Roman"/>
          <w:sz w:val="24"/>
          <w:szCs w:val="24"/>
        </w:rPr>
        <w:t xml:space="preserve"> humans that enjoy and benefit from lakes</w:t>
      </w:r>
      <w:r w:rsidR="00877EE8">
        <w:rPr>
          <w:rFonts w:ascii="Times New Roman" w:hAnsi="Times New Roman" w:cs="Times New Roman"/>
          <w:sz w:val="24"/>
          <w:szCs w:val="24"/>
        </w:rPr>
        <w:t xml:space="preserve">. </w:t>
      </w:r>
      <w:r w:rsidR="00877EE8">
        <w:rPr>
          <w:rFonts w:ascii="Times New Roman" w:hAnsi="Times New Roman" w:cs="Times New Roman"/>
          <w:i/>
          <w:iCs/>
          <w:sz w:val="24"/>
          <w:szCs w:val="24"/>
        </w:rPr>
        <w:t xml:space="preserve">Daphnia </w:t>
      </w:r>
      <w:r w:rsidR="00877EE8">
        <w:rPr>
          <w:rFonts w:ascii="Times New Roman" w:hAnsi="Times New Roman" w:cs="Times New Roman"/>
          <w:sz w:val="24"/>
          <w:szCs w:val="24"/>
        </w:rPr>
        <w:t>in lakes are important for two reasons</w:t>
      </w:r>
      <w:r w:rsidR="00030564">
        <w:rPr>
          <w:rFonts w:ascii="Times New Roman" w:hAnsi="Times New Roman" w:cs="Times New Roman"/>
          <w:sz w:val="24"/>
          <w:szCs w:val="24"/>
        </w:rPr>
        <w:t>;</w:t>
      </w:r>
      <w:r w:rsidR="00877EE8">
        <w:rPr>
          <w:rFonts w:ascii="Times New Roman" w:hAnsi="Times New Roman" w:cs="Times New Roman"/>
          <w:sz w:val="24"/>
          <w:szCs w:val="24"/>
        </w:rPr>
        <w:t xml:space="preserve"> first, they are keystone species of the pelagic food webs, connecting primary production from algae to higher trophic levels </w:t>
      </w:r>
      <w:r w:rsidR="00374A77">
        <w:rPr>
          <w:rFonts w:ascii="Times New Roman" w:hAnsi="Times New Roman" w:cs="Times New Roman"/>
          <w:sz w:val="24"/>
          <w:szCs w:val="24"/>
        </w:rPr>
        <w:t xml:space="preserve">namely fish. </w:t>
      </w:r>
      <w:r w:rsidR="00374A77">
        <w:rPr>
          <w:rFonts w:ascii="Times New Roman" w:hAnsi="Times New Roman" w:cs="Times New Roman"/>
          <w:i/>
          <w:iCs/>
          <w:sz w:val="24"/>
          <w:szCs w:val="24"/>
        </w:rPr>
        <w:t xml:space="preserve">Daphnia </w:t>
      </w:r>
      <w:r w:rsidR="00374A77">
        <w:rPr>
          <w:rFonts w:ascii="Times New Roman" w:hAnsi="Times New Roman" w:cs="Times New Roman"/>
          <w:sz w:val="24"/>
          <w:szCs w:val="24"/>
        </w:rPr>
        <w:t>thus s</w:t>
      </w:r>
      <w:r w:rsidR="00965169">
        <w:rPr>
          <w:rFonts w:ascii="Times New Roman" w:hAnsi="Times New Roman" w:cs="Times New Roman"/>
          <w:sz w:val="24"/>
          <w:szCs w:val="24"/>
        </w:rPr>
        <w:t>upport the r</w:t>
      </w:r>
      <w:r w:rsidR="00374A77">
        <w:rPr>
          <w:rFonts w:ascii="Times New Roman" w:hAnsi="Times New Roman" w:cs="Times New Roman"/>
          <w:sz w:val="24"/>
          <w:szCs w:val="24"/>
        </w:rPr>
        <w:t xml:space="preserve">ecreational and commercial fisheries </w:t>
      </w:r>
      <w:r w:rsidR="00965169">
        <w:rPr>
          <w:rFonts w:ascii="Times New Roman" w:hAnsi="Times New Roman" w:cs="Times New Roman"/>
          <w:sz w:val="24"/>
          <w:szCs w:val="24"/>
        </w:rPr>
        <w:t xml:space="preserve">of freshwater lakes. </w:t>
      </w:r>
      <w:r w:rsidR="00B22DB1">
        <w:rPr>
          <w:rFonts w:ascii="Times New Roman" w:hAnsi="Times New Roman" w:cs="Times New Roman"/>
          <w:sz w:val="24"/>
          <w:szCs w:val="24"/>
        </w:rPr>
        <w:t xml:space="preserve">A </w:t>
      </w:r>
      <w:r w:rsidR="00D00B74">
        <w:rPr>
          <w:rFonts w:ascii="Times New Roman" w:hAnsi="Times New Roman" w:cs="Times New Roman"/>
          <w:sz w:val="24"/>
          <w:szCs w:val="24"/>
        </w:rPr>
        <w:t>knock-on</w:t>
      </w:r>
      <w:r w:rsidR="00B22DB1">
        <w:rPr>
          <w:rFonts w:ascii="Times New Roman" w:hAnsi="Times New Roman" w:cs="Times New Roman"/>
          <w:sz w:val="24"/>
          <w:szCs w:val="24"/>
        </w:rPr>
        <w:t xml:space="preserve"> benefit of </w:t>
      </w:r>
      <w:r w:rsidR="00B22DB1">
        <w:rPr>
          <w:rFonts w:ascii="Times New Roman" w:hAnsi="Times New Roman" w:cs="Times New Roman"/>
          <w:i/>
          <w:iCs/>
          <w:sz w:val="24"/>
          <w:szCs w:val="24"/>
        </w:rPr>
        <w:t xml:space="preserve">Daphnia </w:t>
      </w:r>
      <w:r w:rsidR="00B22DB1">
        <w:rPr>
          <w:rFonts w:ascii="Times New Roman" w:hAnsi="Times New Roman" w:cs="Times New Roman"/>
          <w:sz w:val="24"/>
          <w:szCs w:val="24"/>
        </w:rPr>
        <w:t xml:space="preserve">trophic position is they control the standing crop of algae in freshwater </w:t>
      </w:r>
      <w:r w:rsidR="00A71923">
        <w:rPr>
          <w:rFonts w:ascii="Times New Roman" w:hAnsi="Times New Roman" w:cs="Times New Roman"/>
          <w:sz w:val="24"/>
          <w:szCs w:val="24"/>
        </w:rPr>
        <w:t xml:space="preserve">ecosystems and maintain water </w:t>
      </w:r>
      <w:r w:rsidR="001A7BBC">
        <w:rPr>
          <w:rFonts w:ascii="Times New Roman" w:hAnsi="Times New Roman" w:cs="Times New Roman"/>
          <w:sz w:val="24"/>
          <w:szCs w:val="24"/>
        </w:rPr>
        <w:t>clarity,</w:t>
      </w:r>
      <w:r w:rsidR="00A71923">
        <w:rPr>
          <w:rFonts w:ascii="Times New Roman" w:hAnsi="Times New Roman" w:cs="Times New Roman"/>
          <w:sz w:val="24"/>
          <w:szCs w:val="24"/>
        </w:rPr>
        <w:t xml:space="preserve"> so lakes are not choked with noxious </w:t>
      </w:r>
      <w:r w:rsidR="00D00B74">
        <w:rPr>
          <w:rFonts w:ascii="Times New Roman" w:hAnsi="Times New Roman" w:cs="Times New Roman"/>
          <w:sz w:val="24"/>
          <w:szCs w:val="24"/>
        </w:rPr>
        <w:t xml:space="preserve">algal blooms. </w:t>
      </w:r>
      <w:r w:rsidR="001A7BBC">
        <w:rPr>
          <w:rFonts w:ascii="Times New Roman" w:hAnsi="Times New Roman" w:cs="Times New Roman"/>
          <w:sz w:val="24"/>
          <w:szCs w:val="24"/>
        </w:rPr>
        <w:t>My dissertation is separated into three chapters. In the first</w:t>
      </w:r>
      <w:r w:rsidR="00D1583D">
        <w:rPr>
          <w:rFonts w:ascii="Times New Roman" w:hAnsi="Times New Roman" w:cs="Times New Roman"/>
          <w:sz w:val="24"/>
          <w:szCs w:val="24"/>
        </w:rPr>
        <w:t xml:space="preserve"> chapter</w:t>
      </w:r>
      <w:r w:rsidR="001A7BBC">
        <w:rPr>
          <w:rFonts w:ascii="Times New Roman" w:hAnsi="Times New Roman" w:cs="Times New Roman"/>
          <w:sz w:val="24"/>
          <w:szCs w:val="24"/>
        </w:rPr>
        <w:t>, I sequence, assemble</w:t>
      </w:r>
      <w:r w:rsidR="00CA2A16">
        <w:rPr>
          <w:rFonts w:ascii="Times New Roman" w:hAnsi="Times New Roman" w:cs="Times New Roman"/>
          <w:sz w:val="24"/>
          <w:szCs w:val="24"/>
        </w:rPr>
        <w:t>,</w:t>
      </w:r>
      <w:r w:rsidR="001A7BBC">
        <w:rPr>
          <w:rFonts w:ascii="Times New Roman" w:hAnsi="Times New Roman" w:cs="Times New Roman"/>
          <w:sz w:val="24"/>
          <w:szCs w:val="24"/>
        </w:rPr>
        <w:t xml:space="preserve"> and annotate a genome for </w:t>
      </w:r>
      <w:r w:rsidR="001A7BBC">
        <w:rPr>
          <w:rFonts w:ascii="Times New Roman" w:hAnsi="Times New Roman" w:cs="Times New Roman"/>
          <w:i/>
          <w:iCs/>
          <w:sz w:val="24"/>
          <w:szCs w:val="24"/>
        </w:rPr>
        <w:t>D. pulicaria</w:t>
      </w:r>
      <w:r w:rsidR="00D1583D">
        <w:rPr>
          <w:rFonts w:ascii="Times New Roman" w:hAnsi="Times New Roman" w:cs="Times New Roman"/>
          <w:i/>
          <w:iCs/>
          <w:sz w:val="24"/>
          <w:szCs w:val="24"/>
        </w:rPr>
        <w:t xml:space="preserve"> </w:t>
      </w:r>
      <w:r w:rsidR="00D1583D">
        <w:rPr>
          <w:rFonts w:ascii="Times New Roman" w:hAnsi="Times New Roman" w:cs="Times New Roman"/>
          <w:sz w:val="24"/>
          <w:szCs w:val="24"/>
        </w:rPr>
        <w:t>using the latest long-read DNA sequencing technology</w:t>
      </w:r>
      <w:r w:rsidR="00CA2A16">
        <w:rPr>
          <w:rFonts w:ascii="Times New Roman" w:hAnsi="Times New Roman" w:cs="Times New Roman"/>
          <w:i/>
          <w:iCs/>
          <w:sz w:val="24"/>
          <w:szCs w:val="24"/>
        </w:rPr>
        <w:t xml:space="preserve">. </w:t>
      </w:r>
      <w:r w:rsidR="00CA2A16">
        <w:rPr>
          <w:rFonts w:ascii="Times New Roman" w:hAnsi="Times New Roman" w:cs="Times New Roman"/>
          <w:sz w:val="24"/>
          <w:szCs w:val="24"/>
        </w:rPr>
        <w:t xml:space="preserve">We use the genomic resources developed for this species to better understand its evolutionary history, especially its split from the closely related “sister” species </w:t>
      </w:r>
      <w:r w:rsidR="00CA2A16">
        <w:rPr>
          <w:rFonts w:ascii="Times New Roman" w:hAnsi="Times New Roman" w:cs="Times New Roman"/>
          <w:i/>
          <w:iCs/>
          <w:sz w:val="24"/>
          <w:szCs w:val="24"/>
        </w:rPr>
        <w:t xml:space="preserve">D. pulex. </w:t>
      </w:r>
      <w:r w:rsidR="00CA2A16">
        <w:rPr>
          <w:rFonts w:ascii="Times New Roman" w:hAnsi="Times New Roman" w:cs="Times New Roman"/>
          <w:sz w:val="24"/>
          <w:szCs w:val="24"/>
        </w:rPr>
        <w:t>Th</w:t>
      </w:r>
      <w:r w:rsidR="00605B79">
        <w:rPr>
          <w:rFonts w:ascii="Times New Roman" w:hAnsi="Times New Roman" w:cs="Times New Roman"/>
          <w:sz w:val="24"/>
          <w:szCs w:val="24"/>
        </w:rPr>
        <w:t xml:space="preserve">is </w:t>
      </w:r>
      <w:r w:rsidR="00605B79">
        <w:rPr>
          <w:rFonts w:ascii="Times New Roman" w:hAnsi="Times New Roman" w:cs="Times New Roman"/>
          <w:sz w:val="24"/>
          <w:szCs w:val="24"/>
        </w:rPr>
        <w:lastRenderedPageBreak/>
        <w:t>reference genome is important for enabling other work, a thread we pick up in the third and final chapter.</w:t>
      </w:r>
    </w:p>
    <w:p w14:paraId="29E88B60" w14:textId="642B8A49" w:rsidR="00D1583D" w:rsidRDefault="00D1583D" w:rsidP="00BA3AFA">
      <w:pPr>
        <w:spacing w:line="480" w:lineRule="auto"/>
        <w:rPr>
          <w:rFonts w:ascii="Times New Roman" w:hAnsi="Times New Roman" w:cs="Times New Roman"/>
          <w:sz w:val="24"/>
          <w:szCs w:val="24"/>
        </w:rPr>
      </w:pPr>
      <w:r>
        <w:rPr>
          <w:rFonts w:ascii="Times New Roman" w:hAnsi="Times New Roman" w:cs="Times New Roman"/>
          <w:sz w:val="24"/>
          <w:szCs w:val="24"/>
        </w:rPr>
        <w:tab/>
        <w:t>In my second chapter, I chronic</w:t>
      </w:r>
      <w:r w:rsidR="00030564">
        <w:rPr>
          <w:rFonts w:ascii="Times New Roman" w:hAnsi="Times New Roman" w:cs="Times New Roman"/>
          <w:sz w:val="24"/>
          <w:szCs w:val="24"/>
        </w:rPr>
        <w:t>led</w:t>
      </w:r>
      <w:r>
        <w:rPr>
          <w:rFonts w:ascii="Times New Roman" w:hAnsi="Times New Roman" w:cs="Times New Roman"/>
          <w:sz w:val="24"/>
          <w:szCs w:val="24"/>
        </w:rPr>
        <w:t xml:space="preserve"> the 1</w:t>
      </w:r>
      <w:r w:rsidR="002F489B">
        <w:rPr>
          <w:rFonts w:ascii="Times New Roman" w:hAnsi="Times New Roman" w:cs="Times New Roman"/>
          <w:sz w:val="24"/>
          <w:szCs w:val="24"/>
        </w:rPr>
        <w:t>75</w:t>
      </w:r>
      <w:r w:rsidR="00C72FFA">
        <w:rPr>
          <w:rFonts w:ascii="Times New Roman" w:hAnsi="Times New Roman" w:cs="Times New Roman"/>
          <w:sz w:val="24"/>
          <w:szCs w:val="24"/>
        </w:rPr>
        <w:t>-</w:t>
      </w:r>
      <w:r w:rsidR="002F489B">
        <w:rPr>
          <w:rFonts w:ascii="Times New Roman" w:hAnsi="Times New Roman" w:cs="Times New Roman"/>
          <w:sz w:val="24"/>
          <w:szCs w:val="24"/>
        </w:rPr>
        <w:t>year</w:t>
      </w:r>
      <w:r w:rsidR="00C72FFA">
        <w:rPr>
          <w:rFonts w:ascii="Times New Roman" w:hAnsi="Times New Roman" w:cs="Times New Roman"/>
          <w:sz w:val="24"/>
          <w:szCs w:val="24"/>
        </w:rPr>
        <w:t>s</w:t>
      </w:r>
      <w:r w:rsidR="002F489B">
        <w:rPr>
          <w:rFonts w:ascii="Times New Roman" w:hAnsi="Times New Roman" w:cs="Times New Roman"/>
          <w:sz w:val="24"/>
          <w:szCs w:val="24"/>
        </w:rPr>
        <w:t xml:space="preserve"> history of </w:t>
      </w:r>
      <w:r w:rsidR="002F489B">
        <w:rPr>
          <w:rFonts w:ascii="Times New Roman" w:hAnsi="Times New Roman" w:cs="Times New Roman"/>
          <w:i/>
          <w:iCs/>
          <w:sz w:val="24"/>
          <w:szCs w:val="24"/>
        </w:rPr>
        <w:t xml:space="preserve">D. pulicaria </w:t>
      </w:r>
      <w:r w:rsidR="002F489B">
        <w:rPr>
          <w:rFonts w:ascii="Times New Roman" w:hAnsi="Times New Roman" w:cs="Times New Roman"/>
          <w:sz w:val="24"/>
          <w:szCs w:val="24"/>
        </w:rPr>
        <w:t xml:space="preserve">and other </w:t>
      </w:r>
      <w:r w:rsidR="002F489B">
        <w:rPr>
          <w:rFonts w:ascii="Times New Roman" w:hAnsi="Times New Roman" w:cs="Times New Roman"/>
          <w:i/>
          <w:iCs/>
          <w:sz w:val="24"/>
          <w:szCs w:val="24"/>
        </w:rPr>
        <w:t xml:space="preserve">Daphnia </w:t>
      </w:r>
      <w:r w:rsidR="002F489B">
        <w:rPr>
          <w:rFonts w:ascii="Times New Roman" w:hAnsi="Times New Roman" w:cs="Times New Roman"/>
          <w:sz w:val="24"/>
          <w:szCs w:val="24"/>
        </w:rPr>
        <w:t xml:space="preserve">species in a small lake that will be the </w:t>
      </w:r>
      <w:r w:rsidR="002B428C">
        <w:rPr>
          <w:rFonts w:ascii="Times New Roman" w:hAnsi="Times New Roman" w:cs="Times New Roman"/>
          <w:sz w:val="24"/>
          <w:szCs w:val="24"/>
        </w:rPr>
        <w:t>primary focus of the last two chapters. Tanners Lake is an ecosystem replete with wounds</w:t>
      </w:r>
      <w:r w:rsidR="0080489E">
        <w:rPr>
          <w:rFonts w:ascii="Times New Roman" w:hAnsi="Times New Roman" w:cs="Times New Roman"/>
          <w:sz w:val="24"/>
          <w:szCs w:val="24"/>
        </w:rPr>
        <w:t xml:space="preserve"> from the numerous human activities that </w:t>
      </w:r>
      <w:r w:rsidR="002C7D39">
        <w:rPr>
          <w:rFonts w:ascii="Times New Roman" w:hAnsi="Times New Roman" w:cs="Times New Roman"/>
          <w:sz w:val="24"/>
          <w:szCs w:val="24"/>
        </w:rPr>
        <w:t xml:space="preserve">dominate the landscape surrounding it. </w:t>
      </w:r>
      <w:r w:rsidR="00030564">
        <w:rPr>
          <w:rFonts w:ascii="Times New Roman" w:hAnsi="Times New Roman" w:cs="Times New Roman"/>
          <w:sz w:val="24"/>
          <w:szCs w:val="24"/>
        </w:rPr>
        <w:t>Due to</w:t>
      </w:r>
      <w:r w:rsidR="006172CA">
        <w:rPr>
          <w:rFonts w:ascii="Times New Roman" w:hAnsi="Times New Roman" w:cs="Times New Roman"/>
          <w:sz w:val="24"/>
          <w:szCs w:val="24"/>
        </w:rPr>
        <w:t xml:space="preserve"> their landscape position</w:t>
      </w:r>
      <w:r w:rsidR="00030564">
        <w:rPr>
          <w:rFonts w:ascii="Times New Roman" w:hAnsi="Times New Roman" w:cs="Times New Roman"/>
          <w:sz w:val="24"/>
          <w:szCs w:val="24"/>
        </w:rPr>
        <w:t>, lakes</w:t>
      </w:r>
      <w:r w:rsidR="006172CA">
        <w:rPr>
          <w:rFonts w:ascii="Times New Roman" w:hAnsi="Times New Roman" w:cs="Times New Roman"/>
          <w:sz w:val="24"/>
          <w:szCs w:val="24"/>
        </w:rPr>
        <w:t xml:space="preserve"> integrate </w:t>
      </w:r>
      <w:r w:rsidR="00030564">
        <w:rPr>
          <w:rFonts w:ascii="Times New Roman" w:hAnsi="Times New Roman" w:cs="Times New Roman"/>
          <w:sz w:val="24"/>
          <w:szCs w:val="24"/>
        </w:rPr>
        <w:t>vast amounts</w:t>
      </w:r>
      <w:r w:rsidR="006172CA">
        <w:rPr>
          <w:rFonts w:ascii="Times New Roman" w:hAnsi="Times New Roman" w:cs="Times New Roman"/>
          <w:sz w:val="24"/>
          <w:szCs w:val="24"/>
        </w:rPr>
        <w:t xml:space="preserve"> of information about their watersheds in the</w:t>
      </w:r>
      <w:r w:rsidR="007724EF">
        <w:rPr>
          <w:rFonts w:ascii="Times New Roman" w:hAnsi="Times New Roman" w:cs="Times New Roman"/>
          <w:sz w:val="24"/>
          <w:szCs w:val="24"/>
        </w:rPr>
        <w:t xml:space="preserve">ir sediments. </w:t>
      </w:r>
      <w:r w:rsidR="00E6055B">
        <w:rPr>
          <w:rFonts w:ascii="Times New Roman" w:hAnsi="Times New Roman" w:cs="Times New Roman"/>
          <w:sz w:val="24"/>
          <w:szCs w:val="24"/>
        </w:rPr>
        <w:t xml:space="preserve">Tanners Lake records in its sediments the history of a landscape dominated by humans with the development of </w:t>
      </w:r>
      <w:r w:rsidR="00C51B76">
        <w:rPr>
          <w:rFonts w:ascii="Times New Roman" w:hAnsi="Times New Roman" w:cs="Times New Roman"/>
          <w:sz w:val="24"/>
          <w:szCs w:val="24"/>
        </w:rPr>
        <w:t xml:space="preserve">a major city surrounding it. </w:t>
      </w:r>
      <w:r w:rsidR="00DB4F50">
        <w:rPr>
          <w:rFonts w:ascii="Times New Roman" w:hAnsi="Times New Roman" w:cs="Times New Roman"/>
          <w:sz w:val="24"/>
          <w:szCs w:val="24"/>
        </w:rPr>
        <w:t xml:space="preserve">Located just outside of Saint Paul, MN, Tanners </w:t>
      </w:r>
      <w:r w:rsidR="00C46F9F">
        <w:rPr>
          <w:rFonts w:ascii="Times New Roman" w:hAnsi="Times New Roman" w:cs="Times New Roman"/>
          <w:sz w:val="24"/>
          <w:szCs w:val="24"/>
        </w:rPr>
        <w:t>L</w:t>
      </w:r>
      <w:r w:rsidR="00DB4F50">
        <w:rPr>
          <w:rFonts w:ascii="Times New Roman" w:hAnsi="Times New Roman" w:cs="Times New Roman"/>
          <w:sz w:val="24"/>
          <w:szCs w:val="24"/>
        </w:rPr>
        <w:t xml:space="preserve">ake is impacted by </w:t>
      </w:r>
      <w:r w:rsidR="00C46F9F">
        <w:rPr>
          <w:rFonts w:ascii="Times New Roman" w:hAnsi="Times New Roman" w:cs="Times New Roman"/>
          <w:sz w:val="24"/>
          <w:szCs w:val="24"/>
        </w:rPr>
        <w:t xml:space="preserve">two major human impacts inflicted on Northern Temperate Lakes. It is </w:t>
      </w:r>
      <w:r w:rsidR="00853845">
        <w:rPr>
          <w:rFonts w:ascii="Times New Roman" w:hAnsi="Times New Roman" w:cs="Times New Roman"/>
          <w:sz w:val="24"/>
          <w:szCs w:val="24"/>
        </w:rPr>
        <w:t>not only eutrophic, from the</w:t>
      </w:r>
      <w:r w:rsidR="006B403D">
        <w:rPr>
          <w:rFonts w:ascii="Times New Roman" w:hAnsi="Times New Roman" w:cs="Times New Roman"/>
          <w:sz w:val="24"/>
          <w:szCs w:val="24"/>
        </w:rPr>
        <w:t xml:space="preserve"> export</w:t>
      </w:r>
      <w:r w:rsidR="00853845">
        <w:rPr>
          <w:rFonts w:ascii="Times New Roman" w:hAnsi="Times New Roman" w:cs="Times New Roman"/>
          <w:sz w:val="24"/>
          <w:szCs w:val="24"/>
        </w:rPr>
        <w:t xml:space="preserve"> of unprecedented amount</w:t>
      </w:r>
      <w:r w:rsidR="000E0113">
        <w:rPr>
          <w:rFonts w:ascii="Times New Roman" w:hAnsi="Times New Roman" w:cs="Times New Roman"/>
          <w:sz w:val="24"/>
          <w:szCs w:val="24"/>
        </w:rPr>
        <w:t>s</w:t>
      </w:r>
      <w:r w:rsidR="00853845">
        <w:rPr>
          <w:rFonts w:ascii="Times New Roman" w:hAnsi="Times New Roman" w:cs="Times New Roman"/>
          <w:sz w:val="24"/>
          <w:szCs w:val="24"/>
        </w:rPr>
        <w:t xml:space="preserve"> of nutrients </w:t>
      </w:r>
      <w:r w:rsidR="006B403D">
        <w:rPr>
          <w:rFonts w:ascii="Times New Roman" w:hAnsi="Times New Roman" w:cs="Times New Roman"/>
          <w:sz w:val="24"/>
          <w:szCs w:val="24"/>
        </w:rPr>
        <w:t xml:space="preserve">but also it is severely salinized. </w:t>
      </w:r>
      <w:r w:rsidR="00AD7418">
        <w:rPr>
          <w:rFonts w:ascii="Times New Roman" w:hAnsi="Times New Roman" w:cs="Times New Roman"/>
          <w:sz w:val="24"/>
          <w:szCs w:val="24"/>
        </w:rPr>
        <w:t xml:space="preserve">Freshwater salinization is a consequence of the widespread use of </w:t>
      </w:r>
      <w:r w:rsidR="00923E1C">
        <w:rPr>
          <w:rFonts w:ascii="Times New Roman" w:hAnsi="Times New Roman" w:cs="Times New Roman"/>
          <w:sz w:val="24"/>
          <w:szCs w:val="24"/>
        </w:rPr>
        <w:t>d</w:t>
      </w:r>
      <w:r w:rsidR="00030564">
        <w:rPr>
          <w:rFonts w:ascii="Times New Roman" w:hAnsi="Times New Roman" w:cs="Times New Roman"/>
          <w:sz w:val="24"/>
          <w:szCs w:val="24"/>
        </w:rPr>
        <w:t>e-</w:t>
      </w:r>
      <w:r w:rsidR="00923E1C">
        <w:rPr>
          <w:rFonts w:ascii="Times New Roman" w:hAnsi="Times New Roman" w:cs="Times New Roman"/>
          <w:sz w:val="24"/>
          <w:szCs w:val="24"/>
        </w:rPr>
        <w:t>icing salts on impervious surfaces such as roads</w:t>
      </w:r>
      <w:r w:rsidR="00533492">
        <w:rPr>
          <w:rFonts w:ascii="Times New Roman" w:hAnsi="Times New Roman" w:cs="Times New Roman"/>
          <w:sz w:val="24"/>
          <w:szCs w:val="24"/>
        </w:rPr>
        <w:t xml:space="preserve"> and parking lots- a ubiquitous feature of human</w:t>
      </w:r>
      <w:r w:rsidR="00030564">
        <w:rPr>
          <w:rFonts w:ascii="Times New Roman" w:hAnsi="Times New Roman" w:cs="Times New Roman"/>
          <w:sz w:val="24"/>
          <w:szCs w:val="24"/>
        </w:rPr>
        <w:t>-</w:t>
      </w:r>
      <w:r w:rsidR="00533492">
        <w:rPr>
          <w:rFonts w:ascii="Times New Roman" w:hAnsi="Times New Roman" w:cs="Times New Roman"/>
          <w:sz w:val="24"/>
          <w:szCs w:val="24"/>
        </w:rPr>
        <w:t xml:space="preserve">dominated landscapes. </w:t>
      </w:r>
      <w:r w:rsidR="004B5AE7">
        <w:rPr>
          <w:rFonts w:ascii="Times New Roman" w:hAnsi="Times New Roman" w:cs="Times New Roman"/>
          <w:sz w:val="24"/>
          <w:szCs w:val="24"/>
        </w:rPr>
        <w:t xml:space="preserve">I collected sediment cores from Tanners </w:t>
      </w:r>
      <w:r w:rsidR="006620A8">
        <w:rPr>
          <w:rFonts w:ascii="Times New Roman" w:hAnsi="Times New Roman" w:cs="Times New Roman"/>
          <w:sz w:val="24"/>
          <w:szCs w:val="24"/>
        </w:rPr>
        <w:t>L</w:t>
      </w:r>
      <w:r w:rsidR="004B5AE7">
        <w:rPr>
          <w:rFonts w:ascii="Times New Roman" w:hAnsi="Times New Roman" w:cs="Times New Roman"/>
          <w:sz w:val="24"/>
          <w:szCs w:val="24"/>
        </w:rPr>
        <w:t xml:space="preserve">ake to </w:t>
      </w:r>
      <w:r w:rsidR="005C2CAB">
        <w:rPr>
          <w:rFonts w:ascii="Times New Roman" w:hAnsi="Times New Roman" w:cs="Times New Roman"/>
          <w:sz w:val="24"/>
          <w:szCs w:val="24"/>
        </w:rPr>
        <w:t xml:space="preserve">reconstruct the ecological dynamics of the </w:t>
      </w:r>
      <w:r w:rsidR="005C2CAB">
        <w:rPr>
          <w:rFonts w:ascii="Times New Roman" w:hAnsi="Times New Roman" w:cs="Times New Roman"/>
          <w:i/>
          <w:iCs/>
          <w:sz w:val="24"/>
          <w:szCs w:val="24"/>
        </w:rPr>
        <w:t xml:space="preserve">Daphnia </w:t>
      </w:r>
      <w:r w:rsidR="005C2CAB">
        <w:rPr>
          <w:rFonts w:ascii="Times New Roman" w:hAnsi="Times New Roman" w:cs="Times New Roman"/>
          <w:sz w:val="24"/>
          <w:szCs w:val="24"/>
        </w:rPr>
        <w:t>community across time in this lake</w:t>
      </w:r>
      <w:r w:rsidR="008E7699">
        <w:rPr>
          <w:rFonts w:ascii="Times New Roman" w:hAnsi="Times New Roman" w:cs="Times New Roman"/>
          <w:sz w:val="24"/>
          <w:szCs w:val="24"/>
        </w:rPr>
        <w:t xml:space="preserve"> by examining the </w:t>
      </w:r>
      <w:r w:rsidR="0043391F">
        <w:rPr>
          <w:rFonts w:ascii="Times New Roman" w:hAnsi="Times New Roman" w:cs="Times New Roman"/>
          <w:sz w:val="24"/>
          <w:szCs w:val="24"/>
        </w:rPr>
        <w:t xml:space="preserve">abundance and diversity of resting eggs </w:t>
      </w:r>
      <w:r w:rsidR="00BC74BC">
        <w:rPr>
          <w:rFonts w:ascii="Times New Roman" w:hAnsi="Times New Roman" w:cs="Times New Roman"/>
          <w:sz w:val="24"/>
          <w:szCs w:val="24"/>
        </w:rPr>
        <w:t>(encased in durable sclerotized structures</w:t>
      </w:r>
      <w:r w:rsidR="0043391F">
        <w:rPr>
          <w:rFonts w:ascii="Times New Roman" w:hAnsi="Times New Roman" w:cs="Times New Roman"/>
          <w:sz w:val="24"/>
          <w:szCs w:val="24"/>
        </w:rPr>
        <w:t xml:space="preserve"> called ephippia</w:t>
      </w:r>
      <w:r w:rsidR="00BC74BC">
        <w:rPr>
          <w:rFonts w:ascii="Times New Roman" w:hAnsi="Times New Roman" w:cs="Times New Roman"/>
          <w:sz w:val="24"/>
          <w:szCs w:val="24"/>
        </w:rPr>
        <w:t>)</w:t>
      </w:r>
      <w:r w:rsidR="0043391F">
        <w:rPr>
          <w:rFonts w:ascii="Times New Roman" w:hAnsi="Times New Roman" w:cs="Times New Roman"/>
          <w:sz w:val="24"/>
          <w:szCs w:val="24"/>
        </w:rPr>
        <w:t xml:space="preserve"> across time in the core</w:t>
      </w:r>
      <w:r w:rsidR="005C2CAB">
        <w:rPr>
          <w:rFonts w:ascii="Times New Roman" w:hAnsi="Times New Roman" w:cs="Times New Roman"/>
          <w:sz w:val="24"/>
          <w:szCs w:val="24"/>
        </w:rPr>
        <w:t>.</w:t>
      </w:r>
      <w:r w:rsidR="006620A8">
        <w:rPr>
          <w:rFonts w:ascii="Times New Roman" w:hAnsi="Times New Roman" w:cs="Times New Roman"/>
          <w:sz w:val="24"/>
          <w:szCs w:val="24"/>
        </w:rPr>
        <w:t xml:space="preserve"> </w:t>
      </w:r>
      <w:r w:rsidR="00BF6D28">
        <w:rPr>
          <w:rFonts w:ascii="Times New Roman" w:hAnsi="Times New Roman" w:cs="Times New Roman"/>
          <w:sz w:val="24"/>
          <w:szCs w:val="24"/>
        </w:rPr>
        <w:t>I found that only modest changes</w:t>
      </w:r>
      <w:r w:rsidR="0043391F">
        <w:rPr>
          <w:rFonts w:ascii="Times New Roman" w:hAnsi="Times New Roman" w:cs="Times New Roman"/>
          <w:sz w:val="24"/>
          <w:szCs w:val="24"/>
        </w:rPr>
        <w:t xml:space="preserve"> in diversity and abundance</w:t>
      </w:r>
      <w:r w:rsidR="00BF6D28">
        <w:rPr>
          <w:rFonts w:ascii="Times New Roman" w:hAnsi="Times New Roman" w:cs="Times New Roman"/>
          <w:sz w:val="24"/>
          <w:szCs w:val="24"/>
        </w:rPr>
        <w:t xml:space="preserve"> occurred in the lake during salinization</w:t>
      </w:r>
      <w:r w:rsidR="001C4A84">
        <w:rPr>
          <w:rFonts w:ascii="Times New Roman" w:hAnsi="Times New Roman" w:cs="Times New Roman"/>
          <w:sz w:val="24"/>
          <w:szCs w:val="24"/>
        </w:rPr>
        <w:t xml:space="preserve">. This result suggests that </w:t>
      </w:r>
      <w:r w:rsidR="00512DA6">
        <w:rPr>
          <w:rFonts w:ascii="Times New Roman" w:hAnsi="Times New Roman" w:cs="Times New Roman"/>
          <w:i/>
          <w:iCs/>
          <w:sz w:val="24"/>
          <w:szCs w:val="24"/>
        </w:rPr>
        <w:t xml:space="preserve">Daphnia </w:t>
      </w:r>
      <w:r w:rsidR="00512DA6">
        <w:rPr>
          <w:rFonts w:ascii="Times New Roman" w:hAnsi="Times New Roman" w:cs="Times New Roman"/>
          <w:sz w:val="24"/>
          <w:szCs w:val="24"/>
        </w:rPr>
        <w:t xml:space="preserve">may be resilient to the threat of salinization- perhaps maintaining the </w:t>
      </w:r>
      <w:r w:rsidR="001F6393">
        <w:rPr>
          <w:rFonts w:ascii="Times New Roman" w:hAnsi="Times New Roman" w:cs="Times New Roman"/>
          <w:sz w:val="24"/>
          <w:szCs w:val="24"/>
        </w:rPr>
        <w:t>ecosystems they support despite salinization.</w:t>
      </w:r>
    </w:p>
    <w:p w14:paraId="3FD990BD" w14:textId="31A11BAD" w:rsidR="00F04906" w:rsidRDefault="00147B2F" w:rsidP="00BA3AF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results of my second chapter set up </w:t>
      </w:r>
      <w:r w:rsidR="00BF7807">
        <w:rPr>
          <w:rFonts w:ascii="Times New Roman" w:hAnsi="Times New Roman" w:cs="Times New Roman"/>
          <w:sz w:val="24"/>
          <w:szCs w:val="24"/>
        </w:rPr>
        <w:t>an important</w:t>
      </w:r>
      <w:r>
        <w:rPr>
          <w:rFonts w:ascii="Times New Roman" w:hAnsi="Times New Roman" w:cs="Times New Roman"/>
          <w:sz w:val="24"/>
          <w:szCs w:val="24"/>
        </w:rPr>
        <w:t xml:space="preserve"> question </w:t>
      </w:r>
      <w:r w:rsidR="00F16F65">
        <w:rPr>
          <w:rFonts w:ascii="Times New Roman" w:hAnsi="Times New Roman" w:cs="Times New Roman"/>
          <w:sz w:val="24"/>
          <w:szCs w:val="24"/>
        </w:rPr>
        <w:t xml:space="preserve">to tackle in my third chapter. Since </w:t>
      </w:r>
      <w:r w:rsidR="00531AF9">
        <w:rPr>
          <w:rFonts w:ascii="Times New Roman" w:hAnsi="Times New Roman" w:cs="Times New Roman"/>
          <w:i/>
          <w:iCs/>
          <w:sz w:val="24"/>
          <w:szCs w:val="24"/>
        </w:rPr>
        <w:t xml:space="preserve">D. pulicaria </w:t>
      </w:r>
      <w:r w:rsidR="00531AF9">
        <w:rPr>
          <w:rFonts w:ascii="Times New Roman" w:hAnsi="Times New Roman" w:cs="Times New Roman"/>
          <w:sz w:val="24"/>
          <w:szCs w:val="24"/>
        </w:rPr>
        <w:t xml:space="preserve">remains in Tanners Lake despite salinization, </w:t>
      </w:r>
      <w:r w:rsidR="00BC74BC">
        <w:rPr>
          <w:rFonts w:ascii="Times New Roman" w:hAnsi="Times New Roman" w:cs="Times New Roman"/>
          <w:sz w:val="24"/>
          <w:szCs w:val="24"/>
        </w:rPr>
        <w:t>is this population</w:t>
      </w:r>
      <w:r w:rsidR="00FC5318">
        <w:rPr>
          <w:rFonts w:ascii="Times New Roman" w:hAnsi="Times New Roman" w:cs="Times New Roman"/>
          <w:sz w:val="24"/>
          <w:szCs w:val="24"/>
        </w:rPr>
        <w:t xml:space="preserve"> evolving higher tolerance to these conditions? We tackle this question using </w:t>
      </w:r>
      <w:r w:rsidR="008E7699">
        <w:rPr>
          <w:rFonts w:ascii="Times New Roman" w:hAnsi="Times New Roman" w:cs="Times New Roman"/>
          <w:sz w:val="24"/>
          <w:szCs w:val="24"/>
        </w:rPr>
        <w:t xml:space="preserve">an approach that is somewhat unique to </w:t>
      </w:r>
      <w:r w:rsidR="008E7699">
        <w:rPr>
          <w:rFonts w:ascii="Times New Roman" w:hAnsi="Times New Roman" w:cs="Times New Roman"/>
          <w:i/>
          <w:iCs/>
          <w:sz w:val="24"/>
          <w:szCs w:val="24"/>
        </w:rPr>
        <w:t>Daphnia</w:t>
      </w:r>
      <w:r w:rsidR="00E72F32">
        <w:rPr>
          <w:rFonts w:ascii="Times New Roman" w:hAnsi="Times New Roman" w:cs="Times New Roman"/>
          <w:i/>
          <w:iCs/>
          <w:sz w:val="24"/>
          <w:szCs w:val="24"/>
        </w:rPr>
        <w:t xml:space="preserve">, </w:t>
      </w:r>
      <w:r w:rsidR="00E72F32">
        <w:rPr>
          <w:rFonts w:ascii="Times New Roman" w:hAnsi="Times New Roman" w:cs="Times New Roman"/>
          <w:sz w:val="24"/>
          <w:szCs w:val="24"/>
        </w:rPr>
        <w:t>by hatching the eggs contained in the</w:t>
      </w:r>
      <w:r w:rsidR="00944453">
        <w:rPr>
          <w:rFonts w:ascii="Times New Roman" w:hAnsi="Times New Roman" w:cs="Times New Roman"/>
          <w:sz w:val="24"/>
          <w:szCs w:val="24"/>
        </w:rPr>
        <w:t xml:space="preserve"> ephippia from across time. </w:t>
      </w:r>
      <w:r w:rsidR="00944453">
        <w:rPr>
          <w:rFonts w:ascii="Times New Roman" w:hAnsi="Times New Roman" w:cs="Times New Roman"/>
          <w:sz w:val="24"/>
          <w:szCs w:val="24"/>
        </w:rPr>
        <w:lastRenderedPageBreak/>
        <w:t xml:space="preserve">This method known as Resurrection Ecology, allows us to sample individuals from across time </w:t>
      </w:r>
      <w:r w:rsidR="00E534BB">
        <w:rPr>
          <w:rFonts w:ascii="Times New Roman" w:hAnsi="Times New Roman" w:cs="Times New Roman"/>
          <w:sz w:val="24"/>
          <w:szCs w:val="24"/>
        </w:rPr>
        <w:t xml:space="preserve">and study their phenotypes and genotypes. I hatched </w:t>
      </w:r>
      <w:r w:rsidR="00E534BB">
        <w:rPr>
          <w:rFonts w:ascii="Times New Roman" w:hAnsi="Times New Roman" w:cs="Times New Roman"/>
          <w:i/>
          <w:iCs/>
          <w:sz w:val="24"/>
          <w:szCs w:val="24"/>
        </w:rPr>
        <w:t xml:space="preserve">Daphnia </w:t>
      </w:r>
      <w:r w:rsidR="00771E2E">
        <w:rPr>
          <w:rFonts w:ascii="Times New Roman" w:hAnsi="Times New Roman" w:cs="Times New Roman"/>
          <w:sz w:val="24"/>
          <w:szCs w:val="24"/>
        </w:rPr>
        <w:t xml:space="preserve">from across approximately 25 years (~1994-2019) </w:t>
      </w:r>
      <w:r w:rsidR="00D001DA">
        <w:rPr>
          <w:rFonts w:ascii="Times New Roman" w:hAnsi="Times New Roman" w:cs="Times New Roman"/>
          <w:sz w:val="24"/>
          <w:szCs w:val="24"/>
        </w:rPr>
        <w:t xml:space="preserve">and </w:t>
      </w:r>
      <w:r w:rsidR="00F04906">
        <w:rPr>
          <w:rFonts w:ascii="Times New Roman" w:hAnsi="Times New Roman" w:cs="Times New Roman"/>
          <w:sz w:val="24"/>
          <w:szCs w:val="24"/>
        </w:rPr>
        <w:t>resequence</w:t>
      </w:r>
      <w:r w:rsidR="00BC74BC">
        <w:rPr>
          <w:rFonts w:ascii="Times New Roman" w:hAnsi="Times New Roman" w:cs="Times New Roman"/>
          <w:sz w:val="24"/>
          <w:szCs w:val="24"/>
        </w:rPr>
        <w:t>d</w:t>
      </w:r>
      <w:r w:rsidR="00D001DA">
        <w:rPr>
          <w:rFonts w:ascii="Times New Roman" w:hAnsi="Times New Roman" w:cs="Times New Roman"/>
          <w:sz w:val="24"/>
          <w:szCs w:val="24"/>
        </w:rPr>
        <w:t xml:space="preserve"> their genomes. In addition, we also evaluated these </w:t>
      </w:r>
      <w:r w:rsidR="00D001DA">
        <w:rPr>
          <w:rFonts w:ascii="Times New Roman" w:hAnsi="Times New Roman" w:cs="Times New Roman"/>
          <w:i/>
          <w:iCs/>
          <w:sz w:val="24"/>
          <w:szCs w:val="24"/>
        </w:rPr>
        <w:t>D</w:t>
      </w:r>
      <w:r w:rsidR="00646EFB">
        <w:rPr>
          <w:rFonts w:ascii="Times New Roman" w:hAnsi="Times New Roman" w:cs="Times New Roman"/>
          <w:i/>
          <w:iCs/>
          <w:sz w:val="24"/>
          <w:szCs w:val="24"/>
        </w:rPr>
        <w:t>. pulicaria</w:t>
      </w:r>
      <w:r w:rsidR="00D001DA">
        <w:rPr>
          <w:rFonts w:ascii="Times New Roman" w:hAnsi="Times New Roman" w:cs="Times New Roman"/>
          <w:i/>
          <w:iCs/>
          <w:sz w:val="24"/>
          <w:szCs w:val="24"/>
        </w:rPr>
        <w:t xml:space="preserve"> </w:t>
      </w:r>
      <w:r w:rsidR="00D001DA">
        <w:rPr>
          <w:rFonts w:ascii="Times New Roman" w:hAnsi="Times New Roman" w:cs="Times New Roman"/>
          <w:sz w:val="24"/>
          <w:szCs w:val="24"/>
        </w:rPr>
        <w:t>clones</w:t>
      </w:r>
      <w:r w:rsidR="00646EFB">
        <w:rPr>
          <w:rFonts w:ascii="Times New Roman" w:hAnsi="Times New Roman" w:cs="Times New Roman"/>
          <w:sz w:val="24"/>
          <w:szCs w:val="24"/>
        </w:rPr>
        <w:t xml:space="preserve"> for their tolerance to salinity using </w:t>
      </w:r>
      <w:r w:rsidR="00F04906">
        <w:rPr>
          <w:rFonts w:ascii="Times New Roman" w:hAnsi="Times New Roman" w:cs="Times New Roman"/>
          <w:sz w:val="24"/>
          <w:szCs w:val="24"/>
        </w:rPr>
        <w:t>phenotyp</w:t>
      </w:r>
      <w:r w:rsidR="00BC74BC">
        <w:rPr>
          <w:rFonts w:ascii="Times New Roman" w:hAnsi="Times New Roman" w:cs="Times New Roman"/>
          <w:sz w:val="24"/>
          <w:szCs w:val="24"/>
        </w:rPr>
        <w:t>ic (i.e., survivorship)</w:t>
      </w:r>
      <w:r w:rsidR="00F04906">
        <w:rPr>
          <w:rFonts w:ascii="Times New Roman" w:hAnsi="Times New Roman" w:cs="Times New Roman"/>
          <w:sz w:val="24"/>
          <w:szCs w:val="24"/>
        </w:rPr>
        <w:t xml:space="preserve"> assays. I compile</w:t>
      </w:r>
      <w:r w:rsidR="00BC74BC">
        <w:rPr>
          <w:rFonts w:ascii="Times New Roman" w:hAnsi="Times New Roman" w:cs="Times New Roman"/>
          <w:sz w:val="24"/>
          <w:szCs w:val="24"/>
        </w:rPr>
        <w:t>d</w:t>
      </w:r>
      <w:r w:rsidR="00F04906">
        <w:rPr>
          <w:rFonts w:ascii="Times New Roman" w:hAnsi="Times New Roman" w:cs="Times New Roman"/>
          <w:sz w:val="24"/>
          <w:szCs w:val="24"/>
        </w:rPr>
        <w:t xml:space="preserve"> this data </w:t>
      </w:r>
      <w:r w:rsidR="00BC74BC">
        <w:rPr>
          <w:rFonts w:ascii="Times New Roman" w:hAnsi="Times New Roman" w:cs="Times New Roman"/>
          <w:sz w:val="24"/>
          <w:szCs w:val="24"/>
        </w:rPr>
        <w:t xml:space="preserve">set </w:t>
      </w:r>
      <w:r w:rsidR="00F04906">
        <w:rPr>
          <w:rFonts w:ascii="Times New Roman" w:hAnsi="Times New Roman" w:cs="Times New Roman"/>
          <w:sz w:val="24"/>
          <w:szCs w:val="24"/>
        </w:rPr>
        <w:t>together to understand the evolution of this population through time. The genomic data supports the idea that salinity is a driving force for evolution in this population</w:t>
      </w:r>
      <w:r w:rsidR="00BC74BC">
        <w:rPr>
          <w:rFonts w:ascii="Times New Roman" w:hAnsi="Times New Roman" w:cs="Times New Roman"/>
          <w:sz w:val="24"/>
          <w:szCs w:val="24"/>
        </w:rPr>
        <w:t xml:space="preserve">.  In particular, </w:t>
      </w:r>
      <w:r w:rsidR="00F04906">
        <w:rPr>
          <w:rFonts w:ascii="Times New Roman" w:hAnsi="Times New Roman" w:cs="Times New Roman"/>
          <w:sz w:val="24"/>
          <w:szCs w:val="24"/>
        </w:rPr>
        <w:t>genes related to osmoregulation and salinity tolerance are enriched within the statistical outliers. The phenotyp</w:t>
      </w:r>
      <w:r w:rsidR="005541C0">
        <w:rPr>
          <w:rFonts w:ascii="Times New Roman" w:hAnsi="Times New Roman" w:cs="Times New Roman"/>
          <w:sz w:val="24"/>
          <w:szCs w:val="24"/>
        </w:rPr>
        <w:t>ic</w:t>
      </w:r>
      <w:r w:rsidR="00F04906">
        <w:rPr>
          <w:rFonts w:ascii="Times New Roman" w:hAnsi="Times New Roman" w:cs="Times New Roman"/>
          <w:sz w:val="24"/>
          <w:szCs w:val="24"/>
        </w:rPr>
        <w:t xml:space="preserve"> data support</w:t>
      </w:r>
      <w:r w:rsidR="005541C0">
        <w:rPr>
          <w:rFonts w:ascii="Times New Roman" w:hAnsi="Times New Roman" w:cs="Times New Roman"/>
          <w:sz w:val="24"/>
          <w:szCs w:val="24"/>
        </w:rPr>
        <w:t>ed</w:t>
      </w:r>
      <w:r w:rsidR="00F04906">
        <w:rPr>
          <w:rFonts w:ascii="Times New Roman" w:hAnsi="Times New Roman" w:cs="Times New Roman"/>
          <w:sz w:val="24"/>
          <w:szCs w:val="24"/>
        </w:rPr>
        <w:t xml:space="preserve"> this </w:t>
      </w:r>
      <w:r w:rsidR="005541C0">
        <w:rPr>
          <w:rFonts w:ascii="Times New Roman" w:hAnsi="Times New Roman" w:cs="Times New Roman"/>
          <w:sz w:val="24"/>
          <w:szCs w:val="24"/>
        </w:rPr>
        <w:t xml:space="preserve">finding, as we observed </w:t>
      </w:r>
      <w:r w:rsidR="00F04906">
        <w:rPr>
          <w:rFonts w:ascii="Times New Roman" w:hAnsi="Times New Roman" w:cs="Times New Roman"/>
          <w:sz w:val="24"/>
          <w:szCs w:val="24"/>
        </w:rPr>
        <w:t xml:space="preserve">that the salinity tolerance of modern </w:t>
      </w:r>
      <w:r w:rsidR="00F04906">
        <w:rPr>
          <w:rFonts w:ascii="Times New Roman" w:hAnsi="Times New Roman" w:cs="Times New Roman"/>
          <w:i/>
          <w:iCs/>
          <w:sz w:val="24"/>
          <w:szCs w:val="24"/>
        </w:rPr>
        <w:t xml:space="preserve">Daphnia </w:t>
      </w:r>
      <w:r w:rsidR="005541C0">
        <w:rPr>
          <w:rFonts w:ascii="Times New Roman" w:hAnsi="Times New Roman" w:cs="Times New Roman"/>
          <w:sz w:val="24"/>
          <w:szCs w:val="24"/>
        </w:rPr>
        <w:t>was</w:t>
      </w:r>
      <w:r w:rsidR="00F04906">
        <w:rPr>
          <w:rFonts w:ascii="Times New Roman" w:hAnsi="Times New Roman" w:cs="Times New Roman"/>
          <w:sz w:val="24"/>
          <w:szCs w:val="24"/>
        </w:rPr>
        <w:t xml:space="preserve"> higher than that of the ancestors hatched from the sediment.</w:t>
      </w:r>
    </w:p>
    <w:p w14:paraId="5CD1843B" w14:textId="03D8E803" w:rsidR="0057759C" w:rsidRDefault="0057759C" w:rsidP="00BA3AF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Interestingly, while I initially described this work as a search for ecological </w:t>
      </w:r>
      <w:r w:rsidR="00976828">
        <w:rPr>
          <w:rFonts w:ascii="Times New Roman" w:hAnsi="Times New Roman" w:cs="Times New Roman"/>
          <w:sz w:val="24"/>
          <w:szCs w:val="24"/>
        </w:rPr>
        <w:t>and or</w:t>
      </w:r>
      <w:r>
        <w:rPr>
          <w:rFonts w:ascii="Times New Roman" w:hAnsi="Times New Roman" w:cs="Times New Roman"/>
          <w:sz w:val="24"/>
          <w:szCs w:val="24"/>
        </w:rPr>
        <w:t xml:space="preserve"> evolutionary </w:t>
      </w:r>
      <w:r w:rsidR="00391FEA">
        <w:rPr>
          <w:rFonts w:ascii="Times New Roman" w:hAnsi="Times New Roman" w:cs="Times New Roman"/>
          <w:sz w:val="24"/>
          <w:szCs w:val="24"/>
        </w:rPr>
        <w:t>wounds,</w:t>
      </w:r>
      <w:r w:rsidR="003C68C4">
        <w:rPr>
          <w:rFonts w:ascii="Times New Roman" w:hAnsi="Times New Roman" w:cs="Times New Roman"/>
          <w:sz w:val="24"/>
          <w:szCs w:val="24"/>
        </w:rPr>
        <w:t xml:space="preserve"> I was surprised to find that while they exist in very real ways in </w:t>
      </w:r>
      <w:r w:rsidR="00550773">
        <w:rPr>
          <w:rFonts w:ascii="Times New Roman" w:hAnsi="Times New Roman" w:cs="Times New Roman"/>
          <w:sz w:val="24"/>
          <w:szCs w:val="24"/>
        </w:rPr>
        <w:t xml:space="preserve">the biological archives </w:t>
      </w:r>
      <w:r w:rsidR="00E25F74">
        <w:rPr>
          <w:rFonts w:ascii="Times New Roman" w:hAnsi="Times New Roman" w:cs="Times New Roman"/>
          <w:sz w:val="24"/>
          <w:szCs w:val="24"/>
        </w:rPr>
        <w:t>studied,</w:t>
      </w:r>
      <w:r w:rsidR="00550773">
        <w:rPr>
          <w:rFonts w:ascii="Times New Roman" w:hAnsi="Times New Roman" w:cs="Times New Roman"/>
          <w:sz w:val="24"/>
          <w:szCs w:val="24"/>
        </w:rPr>
        <w:t xml:space="preserve"> they are not mortal. </w:t>
      </w:r>
      <w:r w:rsidR="00110716">
        <w:rPr>
          <w:rFonts w:ascii="Times New Roman" w:hAnsi="Times New Roman" w:cs="Times New Roman"/>
          <w:sz w:val="24"/>
          <w:szCs w:val="24"/>
        </w:rPr>
        <w:t xml:space="preserve">My research, taken together, suggests that </w:t>
      </w:r>
      <w:r w:rsidR="00E11585">
        <w:rPr>
          <w:rFonts w:ascii="Times New Roman" w:hAnsi="Times New Roman" w:cs="Times New Roman"/>
          <w:i/>
          <w:iCs/>
          <w:sz w:val="24"/>
          <w:szCs w:val="24"/>
        </w:rPr>
        <w:t xml:space="preserve">Daphnia </w:t>
      </w:r>
      <w:r w:rsidR="00E11585">
        <w:rPr>
          <w:rFonts w:ascii="Times New Roman" w:hAnsi="Times New Roman" w:cs="Times New Roman"/>
          <w:sz w:val="24"/>
          <w:szCs w:val="24"/>
        </w:rPr>
        <w:t xml:space="preserve">populations should have the potential to </w:t>
      </w:r>
      <w:r w:rsidR="00E25F74">
        <w:rPr>
          <w:rFonts w:ascii="Times New Roman" w:hAnsi="Times New Roman" w:cs="Times New Roman"/>
          <w:sz w:val="24"/>
          <w:szCs w:val="24"/>
        </w:rPr>
        <w:t>respond to human threats and evolve to maintain the ecosystems they support</w:t>
      </w:r>
      <w:r w:rsidR="005541C0">
        <w:rPr>
          <w:rFonts w:ascii="Times New Roman" w:hAnsi="Times New Roman" w:cs="Times New Roman"/>
          <w:sz w:val="24"/>
          <w:szCs w:val="24"/>
        </w:rPr>
        <w:t xml:space="preserve">. However, this resiliency will be highly dependent on the speed and intensity of the threats that these systems will face, as well as the </w:t>
      </w:r>
      <w:r w:rsidR="00BD7689">
        <w:rPr>
          <w:rFonts w:ascii="Times New Roman" w:hAnsi="Times New Roman" w:cs="Times New Roman"/>
          <w:sz w:val="24"/>
          <w:szCs w:val="24"/>
        </w:rPr>
        <w:t xml:space="preserve">strength of the evolutionary forces (i.e., selection, drift, migration, mutation) that will shape the </w:t>
      </w:r>
      <w:r w:rsidR="005541C0">
        <w:rPr>
          <w:rFonts w:ascii="Times New Roman" w:hAnsi="Times New Roman" w:cs="Times New Roman"/>
          <w:sz w:val="24"/>
          <w:szCs w:val="24"/>
        </w:rPr>
        <w:t>underlying genetic structure of these populations</w:t>
      </w:r>
      <w:r w:rsidR="00E25F74">
        <w:rPr>
          <w:rFonts w:ascii="Times New Roman" w:hAnsi="Times New Roman" w:cs="Times New Roman"/>
          <w:sz w:val="24"/>
          <w:szCs w:val="24"/>
        </w:rPr>
        <w:t xml:space="preserve">. </w:t>
      </w:r>
    </w:p>
    <w:p w14:paraId="30F69EE0" w14:textId="0039CE12" w:rsidR="00FE43BE" w:rsidRDefault="00FE43BE" w:rsidP="00BA3AFA">
      <w:pPr>
        <w:spacing w:line="480" w:lineRule="auto"/>
        <w:rPr>
          <w:rFonts w:ascii="Times New Roman" w:hAnsi="Times New Roman" w:cs="Times New Roman"/>
          <w:sz w:val="24"/>
          <w:szCs w:val="24"/>
        </w:rPr>
      </w:pPr>
    </w:p>
    <w:p w14:paraId="3A3AD15E" w14:textId="578EC61D" w:rsidR="008F0082" w:rsidRDefault="008F0082" w:rsidP="008F0082">
      <w:pPr>
        <w:rPr>
          <w:rFonts w:ascii="Times New Roman" w:hAnsi="Times New Roman" w:cs="Times New Roman"/>
          <w:sz w:val="24"/>
          <w:szCs w:val="24"/>
        </w:rPr>
      </w:pPr>
      <w:r>
        <w:rPr>
          <w:rFonts w:ascii="Times New Roman" w:hAnsi="Times New Roman" w:cs="Times New Roman"/>
          <w:sz w:val="24"/>
          <w:szCs w:val="24"/>
        </w:rPr>
        <w:br w:type="page"/>
      </w:r>
    </w:p>
    <w:p w14:paraId="1B532B17" w14:textId="60A8E20D" w:rsidR="008F0082" w:rsidRPr="008F0082" w:rsidRDefault="008F0082" w:rsidP="008F0082">
      <w:pPr>
        <w:rPr>
          <w:rFonts w:ascii="Times New Roman" w:hAnsi="Times New Roman" w:cs="Times New Roman"/>
          <w:sz w:val="24"/>
          <w:szCs w:val="24"/>
        </w:rPr>
        <w:sectPr w:rsidR="008F0082" w:rsidRPr="008F0082" w:rsidSect="001F4761">
          <w:footerReference w:type="default" r:id="rId17"/>
          <w:pgSz w:w="12240" w:h="15840"/>
          <w:pgMar w:top="1440" w:right="1440" w:bottom="1440" w:left="1440" w:header="720" w:footer="720" w:gutter="0"/>
          <w:pgNumType w:fmt="lowerRoman" w:start="4"/>
          <w:cols w:space="720"/>
          <w:docGrid w:linePitch="360"/>
        </w:sectPr>
      </w:pPr>
    </w:p>
    <w:p w14:paraId="0B477803" w14:textId="519CD5ED" w:rsidR="00DE3713" w:rsidRDefault="00DE3713" w:rsidP="00DE3713">
      <w:pPr>
        <w:spacing w:line="480" w:lineRule="auto"/>
        <w:jc w:val="center"/>
        <w:rPr>
          <w:rFonts w:ascii="Times New Roman" w:hAnsi="Times New Roman" w:cs="Times New Roman"/>
          <w:b/>
          <w:bCs/>
          <w:sz w:val="24"/>
          <w:szCs w:val="24"/>
        </w:rPr>
      </w:pPr>
      <w:bookmarkStart w:id="0" w:name="_Hlk109908214"/>
      <w:r w:rsidRPr="00DE3713">
        <w:rPr>
          <w:rFonts w:ascii="Times New Roman" w:hAnsi="Times New Roman" w:cs="Times New Roman"/>
          <w:b/>
          <w:bCs/>
          <w:sz w:val="24"/>
          <w:szCs w:val="24"/>
        </w:rPr>
        <w:lastRenderedPageBreak/>
        <w:t>The roles of recombination and selection in shaping genomic divergence in an incipient ecological species complex</w:t>
      </w:r>
    </w:p>
    <w:bookmarkEnd w:id="0"/>
    <w:p w14:paraId="08C7C7C8" w14:textId="5DDB7923" w:rsidR="00A8339C" w:rsidRDefault="00A8339C" w:rsidP="00DE371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Published in: </w:t>
      </w:r>
      <w:r>
        <w:rPr>
          <w:rFonts w:ascii="Times New Roman" w:hAnsi="Times New Roman" w:cs="Times New Roman"/>
          <w:i/>
          <w:iCs/>
          <w:sz w:val="24"/>
          <w:szCs w:val="24"/>
        </w:rPr>
        <w:t xml:space="preserve">Molecular Ecology, </w:t>
      </w:r>
      <w:r w:rsidR="008946A1">
        <w:rPr>
          <w:rFonts w:ascii="Times New Roman" w:hAnsi="Times New Roman" w:cs="Times New Roman"/>
          <w:sz w:val="24"/>
          <w:szCs w:val="24"/>
        </w:rPr>
        <w:t>04 February 2022</w:t>
      </w:r>
    </w:p>
    <w:p w14:paraId="47C30DA1" w14:textId="0CCB0BE1" w:rsidR="008946A1" w:rsidRPr="00A8339C" w:rsidRDefault="00000000" w:rsidP="00DE3713">
      <w:pPr>
        <w:spacing w:line="480" w:lineRule="auto"/>
        <w:jc w:val="center"/>
        <w:rPr>
          <w:rFonts w:ascii="Times New Roman" w:hAnsi="Times New Roman" w:cs="Times New Roman"/>
          <w:sz w:val="24"/>
          <w:szCs w:val="24"/>
        </w:rPr>
      </w:pPr>
      <w:hyperlink r:id="rId18" w:history="1">
        <w:r w:rsidR="008946A1" w:rsidRPr="00DC165E">
          <w:rPr>
            <w:rStyle w:val="Hyperlink"/>
            <w:rFonts w:ascii="Times New Roman" w:hAnsi="Times New Roman" w:cs="Times New Roman"/>
            <w:sz w:val="24"/>
            <w:szCs w:val="24"/>
          </w:rPr>
          <w:t>https://doi.org/10.1111/mec.16383</w:t>
        </w:r>
      </w:hyperlink>
      <w:r w:rsidR="008946A1">
        <w:rPr>
          <w:rFonts w:ascii="Times New Roman" w:hAnsi="Times New Roman" w:cs="Times New Roman"/>
          <w:sz w:val="24"/>
          <w:szCs w:val="24"/>
        </w:rPr>
        <w:t xml:space="preserve"> </w:t>
      </w:r>
    </w:p>
    <w:p w14:paraId="2C257669" w14:textId="77777777" w:rsidR="00A8339C" w:rsidRDefault="00A8339C" w:rsidP="00DE3713">
      <w:pPr>
        <w:spacing w:line="480" w:lineRule="auto"/>
        <w:jc w:val="center"/>
        <w:rPr>
          <w:rFonts w:ascii="Times New Roman" w:hAnsi="Times New Roman" w:cs="Times New Roman"/>
          <w:b/>
          <w:bCs/>
          <w:sz w:val="24"/>
          <w:szCs w:val="24"/>
        </w:rPr>
      </w:pPr>
    </w:p>
    <w:p w14:paraId="21E03379" w14:textId="7C485AEE" w:rsidR="00DE3713" w:rsidRDefault="00F37338" w:rsidP="00DE3713">
      <w:pPr>
        <w:spacing w:line="480" w:lineRule="auto"/>
        <w:jc w:val="center"/>
        <w:rPr>
          <w:rFonts w:ascii="Times New Roman" w:hAnsi="Times New Roman" w:cs="Times New Roman"/>
          <w:sz w:val="24"/>
          <w:szCs w:val="24"/>
          <w:vertAlign w:val="superscript"/>
        </w:rPr>
      </w:pPr>
      <w:r w:rsidRPr="00F37338">
        <w:rPr>
          <w:rFonts w:ascii="Times New Roman" w:hAnsi="Times New Roman" w:cs="Times New Roman"/>
          <w:sz w:val="24"/>
          <w:szCs w:val="24"/>
        </w:rPr>
        <w:t>Matthew J. Wersebe</w:t>
      </w:r>
      <w:r>
        <w:rPr>
          <w:rFonts w:ascii="Times New Roman" w:hAnsi="Times New Roman" w:cs="Times New Roman"/>
          <w:sz w:val="24"/>
          <w:szCs w:val="24"/>
          <w:vertAlign w:val="superscript"/>
        </w:rPr>
        <w:t>1</w:t>
      </w:r>
      <w:r w:rsidRPr="00F37338">
        <w:rPr>
          <w:rFonts w:ascii="Times New Roman" w:hAnsi="Times New Roman" w:cs="Times New Roman"/>
          <w:sz w:val="24"/>
          <w:szCs w:val="24"/>
        </w:rPr>
        <w:t>,</w:t>
      </w:r>
      <w:r>
        <w:rPr>
          <w:rFonts w:ascii="Times New Roman" w:hAnsi="Times New Roman" w:cs="Times New Roman"/>
          <w:sz w:val="24"/>
          <w:szCs w:val="24"/>
        </w:rPr>
        <w:t xml:space="preserve"> </w:t>
      </w:r>
      <w:r w:rsidRPr="00F37338">
        <w:rPr>
          <w:rFonts w:ascii="Times New Roman" w:hAnsi="Times New Roman" w:cs="Times New Roman"/>
          <w:sz w:val="24"/>
          <w:szCs w:val="24"/>
        </w:rPr>
        <w:t>Ryan E. Sherman</w:t>
      </w:r>
      <w:r>
        <w:rPr>
          <w:rFonts w:ascii="Times New Roman" w:hAnsi="Times New Roman" w:cs="Times New Roman"/>
          <w:sz w:val="24"/>
          <w:szCs w:val="24"/>
          <w:vertAlign w:val="superscript"/>
        </w:rPr>
        <w:t>2</w:t>
      </w:r>
      <w:r w:rsidRPr="00F37338">
        <w:rPr>
          <w:rFonts w:ascii="Times New Roman" w:hAnsi="Times New Roman" w:cs="Times New Roman"/>
          <w:sz w:val="24"/>
          <w:szCs w:val="24"/>
        </w:rPr>
        <w:t>,</w:t>
      </w:r>
      <w:r>
        <w:rPr>
          <w:rFonts w:ascii="Times New Roman" w:hAnsi="Times New Roman" w:cs="Times New Roman"/>
          <w:sz w:val="24"/>
          <w:szCs w:val="24"/>
        </w:rPr>
        <w:t xml:space="preserve"> </w:t>
      </w:r>
      <w:r w:rsidRPr="00F37338">
        <w:rPr>
          <w:rFonts w:ascii="Times New Roman" w:hAnsi="Times New Roman" w:cs="Times New Roman"/>
          <w:sz w:val="24"/>
          <w:szCs w:val="24"/>
        </w:rPr>
        <w:t>Punidan D. Jeyasingh</w:t>
      </w:r>
      <w:r>
        <w:rPr>
          <w:rFonts w:ascii="Times New Roman" w:hAnsi="Times New Roman" w:cs="Times New Roman"/>
          <w:sz w:val="24"/>
          <w:szCs w:val="24"/>
          <w:vertAlign w:val="superscript"/>
        </w:rPr>
        <w:t>2</w:t>
      </w:r>
      <w:r w:rsidRPr="00F37338">
        <w:rPr>
          <w:rFonts w:ascii="Times New Roman" w:hAnsi="Times New Roman" w:cs="Times New Roman"/>
          <w:sz w:val="24"/>
          <w:szCs w:val="24"/>
        </w:rPr>
        <w:t>,</w:t>
      </w:r>
      <w:r>
        <w:rPr>
          <w:rFonts w:ascii="Times New Roman" w:hAnsi="Times New Roman" w:cs="Times New Roman"/>
          <w:sz w:val="24"/>
          <w:szCs w:val="24"/>
        </w:rPr>
        <w:t xml:space="preserve"> </w:t>
      </w:r>
      <w:r w:rsidRPr="00F37338">
        <w:rPr>
          <w:rFonts w:ascii="Times New Roman" w:hAnsi="Times New Roman" w:cs="Times New Roman"/>
          <w:sz w:val="24"/>
          <w:szCs w:val="24"/>
        </w:rPr>
        <w:t>Lawrence J. Weider</w:t>
      </w:r>
      <w:r>
        <w:rPr>
          <w:rFonts w:ascii="Times New Roman" w:hAnsi="Times New Roman" w:cs="Times New Roman"/>
          <w:sz w:val="24"/>
          <w:szCs w:val="24"/>
          <w:vertAlign w:val="superscript"/>
        </w:rPr>
        <w:t>1</w:t>
      </w:r>
    </w:p>
    <w:p w14:paraId="7ED56786" w14:textId="63F1E2F6" w:rsidR="00F37338" w:rsidRDefault="00160E6D" w:rsidP="00DE3713">
      <w:pPr>
        <w:spacing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9623EA">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Program in Ecology and Evolutionary Biology, </w:t>
      </w:r>
      <w:r w:rsidR="00A8339C">
        <w:rPr>
          <w:rFonts w:ascii="Times New Roman" w:hAnsi="Times New Roman" w:cs="Times New Roman"/>
          <w:sz w:val="24"/>
          <w:szCs w:val="24"/>
        </w:rPr>
        <w:t xml:space="preserve">Department of Biology, </w:t>
      </w:r>
      <w:r>
        <w:rPr>
          <w:rFonts w:ascii="Times New Roman" w:hAnsi="Times New Roman" w:cs="Times New Roman"/>
          <w:sz w:val="24"/>
          <w:szCs w:val="24"/>
        </w:rPr>
        <w:t>University of Oklahoma, Norman</w:t>
      </w:r>
      <w:r w:rsidR="009623EA">
        <w:rPr>
          <w:rFonts w:ascii="Times New Roman" w:hAnsi="Times New Roman" w:cs="Times New Roman"/>
          <w:sz w:val="24"/>
          <w:szCs w:val="24"/>
        </w:rPr>
        <w:t xml:space="preserve">, </w:t>
      </w:r>
      <w:r>
        <w:rPr>
          <w:rFonts w:ascii="Times New Roman" w:hAnsi="Times New Roman" w:cs="Times New Roman"/>
          <w:sz w:val="24"/>
          <w:szCs w:val="24"/>
        </w:rPr>
        <w:t>OK</w:t>
      </w:r>
    </w:p>
    <w:p w14:paraId="3E074603" w14:textId="3B1554B0" w:rsidR="00160E6D" w:rsidRDefault="00160E6D" w:rsidP="00DE3713">
      <w:pPr>
        <w:spacing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sidR="009623EA">
        <w:rPr>
          <w:rFonts w:ascii="Times New Roman" w:hAnsi="Times New Roman" w:cs="Times New Roman"/>
          <w:sz w:val="24"/>
          <w:szCs w:val="24"/>
          <w:vertAlign w:val="superscript"/>
        </w:rPr>
        <w:t xml:space="preserve"> </w:t>
      </w:r>
      <w:r>
        <w:rPr>
          <w:rFonts w:ascii="Times New Roman" w:hAnsi="Times New Roman" w:cs="Times New Roman"/>
          <w:sz w:val="24"/>
          <w:szCs w:val="24"/>
        </w:rPr>
        <w:t>Depa</w:t>
      </w:r>
      <w:r w:rsidR="009623EA">
        <w:rPr>
          <w:rFonts w:ascii="Times New Roman" w:hAnsi="Times New Roman" w:cs="Times New Roman"/>
          <w:sz w:val="24"/>
          <w:szCs w:val="24"/>
        </w:rPr>
        <w:t>rtment of Integrative Biology, Oklahoma State University, Stillwater, OK</w:t>
      </w:r>
    </w:p>
    <w:p w14:paraId="3C5EA606" w14:textId="161415F7" w:rsidR="00015280" w:rsidRDefault="00015280" w:rsidP="00DE3713">
      <w:pPr>
        <w:spacing w:line="480" w:lineRule="auto"/>
        <w:jc w:val="center"/>
        <w:rPr>
          <w:rFonts w:ascii="Times New Roman" w:hAnsi="Times New Roman" w:cs="Times New Roman"/>
          <w:sz w:val="24"/>
          <w:szCs w:val="24"/>
        </w:rPr>
      </w:pPr>
    </w:p>
    <w:p w14:paraId="1B9B59C8" w14:textId="31D01836" w:rsidR="00015280" w:rsidRDefault="00015280">
      <w:pPr>
        <w:rPr>
          <w:rFonts w:ascii="Times New Roman" w:hAnsi="Times New Roman" w:cs="Times New Roman"/>
          <w:sz w:val="24"/>
          <w:szCs w:val="24"/>
        </w:rPr>
      </w:pPr>
      <w:r>
        <w:rPr>
          <w:rFonts w:ascii="Times New Roman" w:hAnsi="Times New Roman" w:cs="Times New Roman"/>
          <w:sz w:val="24"/>
          <w:szCs w:val="24"/>
        </w:rPr>
        <w:br w:type="page"/>
      </w:r>
    </w:p>
    <w:p w14:paraId="11821415" w14:textId="77777777" w:rsidR="00FC38B2" w:rsidRDefault="00FC38B2" w:rsidP="00DB62F5">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239BB8A0" w14:textId="53B7C5F8" w:rsidR="00FC38B2" w:rsidRPr="007A7C4A" w:rsidRDefault="007A7C4A" w:rsidP="00DB62F5">
      <w:pPr>
        <w:spacing w:line="480" w:lineRule="auto"/>
        <w:rPr>
          <w:rFonts w:ascii="Times New Roman" w:hAnsi="Times New Roman" w:cs="Times New Roman"/>
          <w:sz w:val="24"/>
          <w:szCs w:val="24"/>
        </w:rPr>
      </w:pPr>
      <w:r w:rsidRPr="007A7C4A">
        <w:rPr>
          <w:rFonts w:ascii="Times New Roman" w:hAnsi="Times New Roman" w:cs="Times New Roman"/>
          <w:sz w:val="24"/>
          <w:szCs w:val="24"/>
        </w:rPr>
        <w:t>Speciation genomic studies have revealed that genomes of diverging lineages are shaped jointly by the actions of gene flow and selection. These evolutionary forces acting in concert with processes such as recombination and genome features such as gene density shape a mosaic landscape of divergence. We investigated the roles of recombination and gene density in shaping the patterns of differentiation and divergence between the cyclically parthenogenetic ecological sister-taxa, </w:t>
      </w:r>
      <w:r w:rsidRPr="007A7C4A">
        <w:rPr>
          <w:rFonts w:ascii="Times New Roman" w:hAnsi="Times New Roman" w:cs="Times New Roman"/>
          <w:i/>
          <w:iCs/>
          <w:sz w:val="24"/>
          <w:szCs w:val="24"/>
        </w:rPr>
        <w:t>Daphnia pulicaria</w:t>
      </w:r>
      <w:r w:rsidRPr="007A7C4A">
        <w:rPr>
          <w:rFonts w:ascii="Times New Roman" w:hAnsi="Times New Roman" w:cs="Times New Roman"/>
          <w:sz w:val="24"/>
          <w:szCs w:val="24"/>
        </w:rPr>
        <w:t> and </w:t>
      </w:r>
      <w:r w:rsidRPr="007A7C4A">
        <w:rPr>
          <w:rFonts w:ascii="Times New Roman" w:hAnsi="Times New Roman" w:cs="Times New Roman"/>
          <w:i/>
          <w:iCs/>
          <w:sz w:val="24"/>
          <w:szCs w:val="24"/>
        </w:rPr>
        <w:t>Daphnia pulex</w:t>
      </w:r>
      <w:r w:rsidRPr="007A7C4A">
        <w:rPr>
          <w:rFonts w:ascii="Times New Roman" w:hAnsi="Times New Roman" w:cs="Times New Roman"/>
          <w:sz w:val="24"/>
          <w:szCs w:val="24"/>
        </w:rPr>
        <w:t>. First, we assembled a phased chromosome-scale genome assembly using trio-binning for </w:t>
      </w:r>
      <w:r w:rsidRPr="007A7C4A">
        <w:rPr>
          <w:rFonts w:ascii="Times New Roman" w:hAnsi="Times New Roman" w:cs="Times New Roman"/>
          <w:i/>
          <w:iCs/>
          <w:sz w:val="24"/>
          <w:szCs w:val="24"/>
        </w:rPr>
        <w:t>D</w:t>
      </w:r>
      <w:r w:rsidRPr="007A7C4A">
        <w:rPr>
          <w:rFonts w:ascii="Times New Roman" w:hAnsi="Times New Roman" w:cs="Times New Roman"/>
          <w:sz w:val="24"/>
          <w:szCs w:val="24"/>
        </w:rPr>
        <w:t>. </w:t>
      </w:r>
      <w:r w:rsidRPr="007A7C4A">
        <w:rPr>
          <w:rFonts w:ascii="Times New Roman" w:hAnsi="Times New Roman" w:cs="Times New Roman"/>
          <w:i/>
          <w:iCs/>
          <w:sz w:val="24"/>
          <w:szCs w:val="24"/>
        </w:rPr>
        <w:t>pulicaria</w:t>
      </w:r>
      <w:r w:rsidRPr="007A7C4A">
        <w:rPr>
          <w:rFonts w:ascii="Times New Roman" w:hAnsi="Times New Roman" w:cs="Times New Roman"/>
          <w:sz w:val="24"/>
          <w:szCs w:val="24"/>
        </w:rPr>
        <w:t> and constructed a genetic map using an F2-intercross panel to understand sex-specific recombination rate heterogeneity. Finally, we used a ddRADseq data set with broad geographic sampling of </w:t>
      </w:r>
      <w:r w:rsidRPr="007A7C4A">
        <w:rPr>
          <w:rFonts w:ascii="Times New Roman" w:hAnsi="Times New Roman" w:cs="Times New Roman"/>
          <w:i/>
          <w:iCs/>
          <w:sz w:val="24"/>
          <w:szCs w:val="24"/>
        </w:rPr>
        <w:t>D</w:t>
      </w:r>
      <w:r w:rsidRPr="007A7C4A">
        <w:rPr>
          <w:rFonts w:ascii="Times New Roman" w:hAnsi="Times New Roman" w:cs="Times New Roman"/>
          <w:sz w:val="24"/>
          <w:szCs w:val="24"/>
        </w:rPr>
        <w:t>. </w:t>
      </w:r>
      <w:r w:rsidRPr="007A7C4A">
        <w:rPr>
          <w:rFonts w:ascii="Times New Roman" w:hAnsi="Times New Roman" w:cs="Times New Roman"/>
          <w:i/>
          <w:iCs/>
          <w:sz w:val="24"/>
          <w:szCs w:val="24"/>
        </w:rPr>
        <w:t>pulicaria</w:t>
      </w:r>
      <w:r w:rsidRPr="007A7C4A">
        <w:rPr>
          <w:rFonts w:ascii="Times New Roman" w:hAnsi="Times New Roman" w:cs="Times New Roman"/>
          <w:sz w:val="24"/>
          <w:szCs w:val="24"/>
        </w:rPr>
        <w:t>, </w:t>
      </w:r>
      <w:r w:rsidRPr="007A7C4A">
        <w:rPr>
          <w:rFonts w:ascii="Times New Roman" w:hAnsi="Times New Roman" w:cs="Times New Roman"/>
          <w:i/>
          <w:iCs/>
          <w:sz w:val="24"/>
          <w:szCs w:val="24"/>
        </w:rPr>
        <w:t>D</w:t>
      </w:r>
      <w:r w:rsidRPr="007A7C4A">
        <w:rPr>
          <w:rFonts w:ascii="Times New Roman" w:hAnsi="Times New Roman" w:cs="Times New Roman"/>
          <w:sz w:val="24"/>
          <w:szCs w:val="24"/>
        </w:rPr>
        <w:t>. </w:t>
      </w:r>
      <w:r w:rsidRPr="007A7C4A">
        <w:rPr>
          <w:rFonts w:ascii="Times New Roman" w:hAnsi="Times New Roman" w:cs="Times New Roman"/>
          <w:i/>
          <w:iCs/>
          <w:sz w:val="24"/>
          <w:szCs w:val="24"/>
        </w:rPr>
        <w:t>pulex</w:t>
      </w:r>
      <w:r w:rsidRPr="007A7C4A">
        <w:rPr>
          <w:rFonts w:ascii="Times New Roman" w:hAnsi="Times New Roman" w:cs="Times New Roman"/>
          <w:sz w:val="24"/>
          <w:szCs w:val="24"/>
        </w:rPr>
        <w:t>, and their hybrids to understand the patterns of genome-scale divergence and demographic parameters. Our study provides the first sex-specific estimates of recombination rates for a cyclical parthenogen, and unlike other eukaryotic species, we observed male-biased heterochiasmy in </w:t>
      </w:r>
      <w:r w:rsidRPr="007A7C4A">
        <w:rPr>
          <w:rFonts w:ascii="Times New Roman" w:hAnsi="Times New Roman" w:cs="Times New Roman"/>
          <w:i/>
          <w:iCs/>
          <w:sz w:val="24"/>
          <w:szCs w:val="24"/>
        </w:rPr>
        <w:t>D</w:t>
      </w:r>
      <w:r w:rsidRPr="007A7C4A">
        <w:rPr>
          <w:rFonts w:ascii="Times New Roman" w:hAnsi="Times New Roman" w:cs="Times New Roman"/>
          <w:sz w:val="24"/>
          <w:szCs w:val="24"/>
        </w:rPr>
        <w:t>. </w:t>
      </w:r>
      <w:r w:rsidRPr="007A7C4A">
        <w:rPr>
          <w:rFonts w:ascii="Times New Roman" w:hAnsi="Times New Roman" w:cs="Times New Roman"/>
          <w:i/>
          <w:iCs/>
          <w:sz w:val="24"/>
          <w:szCs w:val="24"/>
        </w:rPr>
        <w:t>pulicaria</w:t>
      </w:r>
      <w:r w:rsidRPr="007A7C4A">
        <w:rPr>
          <w:rFonts w:ascii="Times New Roman" w:hAnsi="Times New Roman" w:cs="Times New Roman"/>
          <w:sz w:val="24"/>
          <w:szCs w:val="24"/>
        </w:rPr>
        <w:t>, which may be related to this somewhat unique breeding mode. Additionally, regions of high gene density and recombination are generally more divergent than regions of suppressed recombination. Outlier analysis indicated that divergent genomic regions are probably driven by selection on </w:t>
      </w:r>
      <w:r w:rsidRPr="007A7C4A">
        <w:rPr>
          <w:rFonts w:ascii="Times New Roman" w:hAnsi="Times New Roman" w:cs="Times New Roman"/>
          <w:i/>
          <w:iCs/>
          <w:sz w:val="24"/>
          <w:szCs w:val="24"/>
        </w:rPr>
        <w:t>D</w:t>
      </w:r>
      <w:r w:rsidRPr="007A7C4A">
        <w:rPr>
          <w:rFonts w:ascii="Times New Roman" w:hAnsi="Times New Roman" w:cs="Times New Roman"/>
          <w:sz w:val="24"/>
          <w:szCs w:val="24"/>
        </w:rPr>
        <w:t>. </w:t>
      </w:r>
      <w:r w:rsidRPr="007A7C4A">
        <w:rPr>
          <w:rFonts w:ascii="Times New Roman" w:hAnsi="Times New Roman" w:cs="Times New Roman"/>
          <w:i/>
          <w:iCs/>
          <w:sz w:val="24"/>
          <w:szCs w:val="24"/>
        </w:rPr>
        <w:t>pulicaria</w:t>
      </w:r>
      <w:r w:rsidRPr="007A7C4A">
        <w:rPr>
          <w:rFonts w:ascii="Times New Roman" w:hAnsi="Times New Roman" w:cs="Times New Roman"/>
          <w:sz w:val="24"/>
          <w:szCs w:val="24"/>
        </w:rPr>
        <w:t>, the derived lineage colonizing a novel lake habitat. Together, our study supports a scenario of selection acting on genes related to local adaptation shaping genome-wide patterns of differentiation despite high local recombination rates in this species complex. Finally, we discuss the limitations of our data in light of demographic uncertainty.</w:t>
      </w:r>
      <w:r w:rsidR="00FC38B2" w:rsidRPr="007A7C4A">
        <w:rPr>
          <w:rFonts w:ascii="Times New Roman" w:hAnsi="Times New Roman" w:cs="Times New Roman"/>
          <w:sz w:val="24"/>
          <w:szCs w:val="24"/>
        </w:rPr>
        <w:br w:type="page"/>
      </w:r>
    </w:p>
    <w:p w14:paraId="173D9F32" w14:textId="39664617" w:rsidR="00015280" w:rsidRPr="006B2949" w:rsidRDefault="005C3DE5" w:rsidP="005C3DE5">
      <w:pPr>
        <w:spacing w:line="480" w:lineRule="auto"/>
        <w:rPr>
          <w:rFonts w:ascii="Times New Roman" w:hAnsi="Times New Roman" w:cs="Times New Roman"/>
          <w:b/>
          <w:bCs/>
          <w:sz w:val="24"/>
          <w:szCs w:val="24"/>
        </w:rPr>
      </w:pPr>
      <w:r w:rsidRPr="006B2949">
        <w:rPr>
          <w:rFonts w:ascii="Times New Roman" w:hAnsi="Times New Roman" w:cs="Times New Roman"/>
          <w:b/>
          <w:bCs/>
          <w:sz w:val="24"/>
          <w:szCs w:val="24"/>
        </w:rPr>
        <w:lastRenderedPageBreak/>
        <w:t>Introduction:</w:t>
      </w:r>
    </w:p>
    <w:p w14:paraId="499D1B42" w14:textId="7223EC61" w:rsidR="006B2949" w:rsidRPr="006B2949" w:rsidRDefault="006B2949" w:rsidP="006B2949">
      <w:pPr>
        <w:spacing w:line="480" w:lineRule="auto"/>
        <w:rPr>
          <w:rFonts w:ascii="Times New Roman" w:hAnsi="Times New Roman" w:cs="Times New Roman"/>
          <w:sz w:val="24"/>
          <w:szCs w:val="24"/>
        </w:rPr>
      </w:pPr>
      <w:r w:rsidRPr="006B2949">
        <w:rPr>
          <w:rFonts w:ascii="Times New Roman" w:hAnsi="Times New Roman" w:cs="Times New Roman"/>
          <w:sz w:val="24"/>
          <w:szCs w:val="24"/>
        </w:rPr>
        <w:t>One of the major goals of ecological and evolutionary genomics is to determine the origin of species and understand the mechanisms promoting diversification (Orsini et al., 2013; Ungerer et al., 2008). This pursuit is especially interesting when closely related species’ ranges broadly overlap, but the species nevertheless appear to occupy distinct ecological niches (Campbell et al., 2018). Given the proximity of species with overlapping ranges, the potential for gene flow is high and a powerful force preventing diversification because it breaks down linkage between adaptive variants (Turelli et al., 2001). Despite the homogenizing effects of gene flow, in cases of so called “ecological speciation” divergent or disruptive selection on nascent species still drives the evolution of distinct ecotypes with traits sorted with respect to their environment (Rundle &amp; Nosil, 2005; Schluter, 2009). As a result, the evolution of ecotypes under ecological speciation with gene flow will be associated with the genome becoming a mosaic of regions showing the footprints of selection and differing magnitudes of gene flow (Via, 2009). Presumably, the regions resistant to gene flow and coincidental with the signatures of selection host genes related to adaptive traits. Determining the factors that shape this mosaic of selection and gene flow in ecological species can reveal the action of diversification mechanisms.</w:t>
      </w:r>
    </w:p>
    <w:p w14:paraId="3F41F10F" w14:textId="1C9FC58E" w:rsidR="006B2949" w:rsidRPr="006B2949" w:rsidRDefault="006B2949" w:rsidP="006B2949">
      <w:pPr>
        <w:spacing w:line="480" w:lineRule="auto"/>
        <w:ind w:firstLine="720"/>
        <w:rPr>
          <w:rFonts w:ascii="Times New Roman" w:hAnsi="Times New Roman" w:cs="Times New Roman"/>
          <w:sz w:val="24"/>
          <w:szCs w:val="24"/>
        </w:rPr>
      </w:pPr>
      <w:r w:rsidRPr="006B2949">
        <w:rPr>
          <w:rFonts w:ascii="Times New Roman" w:hAnsi="Times New Roman" w:cs="Times New Roman"/>
          <w:sz w:val="24"/>
          <w:szCs w:val="24"/>
        </w:rPr>
        <w:t>Speciation genomic studies using large-scale resequencing of species pairs that have recently diverged or are undergoing divergence have identified several different genome-wide mosaic patterns. Specifically, many studies have identified so called “islands of speciation” or the now more widely accepted term “islands of divergence” (Cruickshank &amp; Hahn, 2014; Feder et al., 2012; Nosil et al., 2009; Turner et al., 2005). Islands of divergence present themselves in genome scans as regions along chromosomes with population genetic summary statistics elevated above background levels (e.g., F</w:t>
      </w:r>
      <w:r w:rsidRPr="006B2949">
        <w:rPr>
          <w:rFonts w:ascii="Times New Roman" w:hAnsi="Times New Roman" w:cs="Times New Roman"/>
          <w:sz w:val="24"/>
          <w:szCs w:val="24"/>
          <w:vertAlign w:val="subscript"/>
        </w:rPr>
        <w:t>ST</w:t>
      </w:r>
      <w:r w:rsidRPr="006B2949">
        <w:rPr>
          <w:rFonts w:ascii="Times New Roman" w:hAnsi="Times New Roman" w:cs="Times New Roman"/>
          <w:sz w:val="24"/>
          <w:szCs w:val="24"/>
        </w:rPr>
        <w:t xml:space="preserve">). In many cases such islands are thought to be </w:t>
      </w:r>
      <w:r w:rsidRPr="006B2949">
        <w:rPr>
          <w:rFonts w:ascii="Times New Roman" w:hAnsi="Times New Roman" w:cs="Times New Roman"/>
          <w:sz w:val="24"/>
          <w:szCs w:val="24"/>
        </w:rPr>
        <w:lastRenderedPageBreak/>
        <w:t>regions experiencing selection or hosting so-called “speciation genes” that reinforce nascent species boundaries (Feder et al., 2012; Hejase et al., 2020). Theory and empirical work suggest that the recombination landscape is critical for shaping the divergence landscape in species pairs, where low recombination (e.g., pericentromeric regions) is thought to promote the formation of islands by increasing the efficacy of selection to remove shared polymorphisms, while regions of high recombination provide opportunities for the same alleles to segregate in both species (Feder &amp; Nosil, 2010; Felsenstein, 1981; Nachman &amp; Payseur, 2012; Ravinet et al., 2017; Wolf &amp; Ellegren, 2017). Additionally, there is potential for the nonuniform density of functional elements (e.g., genes) within the genome to also contribute to heterogenous divergence patterns. For instance, in the case of ecological speciation, divergent and/or disruptive selection is expected to concentrate genomic divergence in the genome around regions hosting genes associated with adaptation to different habitats. In general, gene-rich regions in the genome host higher recombination rates (Fu et al., 2001). Under this scenario, the relationship of recombination and linkage shaping divergence is expected to be more complex, especially so with increasingly polygenic adaptive architectures (Kautt et al., 2020; Rundle &amp; Nosil, 2005). The relative importance of gene density and recombination rate in ecological speciation is not as well resolved, given that many previous studies have focused primarily on recombination (Carneiro et al., 2009; Nachman &amp; Payseur, 2012).</w:t>
      </w:r>
    </w:p>
    <w:p w14:paraId="530EF84F" w14:textId="419C27A6" w:rsidR="006B2949" w:rsidRPr="006B2949" w:rsidRDefault="006B2949" w:rsidP="006B2949">
      <w:pPr>
        <w:spacing w:line="480" w:lineRule="auto"/>
        <w:ind w:firstLine="720"/>
        <w:rPr>
          <w:rFonts w:ascii="Times New Roman" w:hAnsi="Times New Roman" w:cs="Times New Roman"/>
          <w:sz w:val="24"/>
          <w:szCs w:val="24"/>
        </w:rPr>
      </w:pPr>
      <w:r w:rsidRPr="006B2949">
        <w:rPr>
          <w:rFonts w:ascii="Times New Roman" w:hAnsi="Times New Roman" w:cs="Times New Roman"/>
          <w:sz w:val="24"/>
          <w:szCs w:val="24"/>
        </w:rPr>
        <w:t xml:space="preserve">The </w:t>
      </w:r>
      <w:r w:rsidRPr="006B2949">
        <w:rPr>
          <w:rFonts w:ascii="Times New Roman" w:hAnsi="Times New Roman" w:cs="Times New Roman"/>
          <w:i/>
          <w:iCs/>
          <w:sz w:val="24"/>
          <w:szCs w:val="24"/>
        </w:rPr>
        <w:t>Daphnia pulex</w:t>
      </w:r>
      <w:r w:rsidRPr="006B2949">
        <w:rPr>
          <w:rFonts w:ascii="Times New Roman" w:hAnsi="Times New Roman" w:cs="Times New Roman"/>
          <w:sz w:val="24"/>
          <w:szCs w:val="24"/>
        </w:rPr>
        <w:t xml:space="preserve"> species complex is a widely distributed group of freshwater crustacean zooplankton (Class: Branchiopoda) that inhabit lakes and ponds across the Holarctic (Colbourne et al., 1998; Weider et al., 1999). The </w:t>
      </w:r>
      <w:r w:rsidRPr="006B2949">
        <w:rPr>
          <w:rFonts w:ascii="Times New Roman" w:hAnsi="Times New Roman" w:cs="Times New Roman"/>
          <w:i/>
          <w:iCs/>
          <w:sz w:val="24"/>
          <w:szCs w:val="24"/>
        </w:rPr>
        <w:t>D. pulex</w:t>
      </w:r>
      <w:r w:rsidRPr="006B2949">
        <w:rPr>
          <w:rFonts w:ascii="Times New Roman" w:hAnsi="Times New Roman" w:cs="Times New Roman"/>
          <w:sz w:val="24"/>
          <w:szCs w:val="24"/>
        </w:rPr>
        <w:t xml:space="preserve"> species complex consists of a collection of morphologically similar, but ecologically distinct species (Colbourne et al., 1998; Crease et al., 2012), which includes species that have arisen from hybridization and </w:t>
      </w:r>
      <w:r w:rsidRPr="006B2949">
        <w:rPr>
          <w:rFonts w:ascii="Times New Roman" w:hAnsi="Times New Roman" w:cs="Times New Roman"/>
          <w:sz w:val="24"/>
          <w:szCs w:val="24"/>
        </w:rPr>
        <w:lastRenderedPageBreak/>
        <w:t xml:space="preserve">polyploidization events (Chin &amp; Cristescu, 2021; Dufresne &amp; Hebert, 1997). Although many of the evolutionary relationships within the </w:t>
      </w:r>
      <w:r w:rsidRPr="006B2949">
        <w:rPr>
          <w:rFonts w:ascii="Times New Roman" w:hAnsi="Times New Roman" w:cs="Times New Roman"/>
          <w:i/>
          <w:iCs/>
          <w:sz w:val="24"/>
          <w:szCs w:val="24"/>
        </w:rPr>
        <w:t>D. pulex</w:t>
      </w:r>
      <w:r w:rsidRPr="006B2949">
        <w:rPr>
          <w:rFonts w:ascii="Times New Roman" w:hAnsi="Times New Roman" w:cs="Times New Roman"/>
          <w:sz w:val="24"/>
          <w:szCs w:val="24"/>
        </w:rPr>
        <w:t xml:space="preserve"> group remain poorly resolved at the genomic level (Ye et al.,2021), </w:t>
      </w:r>
      <w:r w:rsidRPr="006B2949">
        <w:rPr>
          <w:rFonts w:ascii="Times New Roman" w:hAnsi="Times New Roman" w:cs="Times New Roman"/>
          <w:i/>
          <w:iCs/>
          <w:sz w:val="24"/>
          <w:szCs w:val="24"/>
        </w:rPr>
        <w:t>Daphnia pulex</w:t>
      </w:r>
      <w:r w:rsidRPr="006B2949">
        <w:rPr>
          <w:rFonts w:ascii="Times New Roman" w:hAnsi="Times New Roman" w:cs="Times New Roman"/>
          <w:sz w:val="24"/>
          <w:szCs w:val="24"/>
        </w:rPr>
        <w:t xml:space="preserve"> and </w:t>
      </w:r>
      <w:r w:rsidRPr="006B2949">
        <w:rPr>
          <w:rFonts w:ascii="Times New Roman" w:hAnsi="Times New Roman" w:cs="Times New Roman"/>
          <w:i/>
          <w:iCs/>
          <w:sz w:val="24"/>
          <w:szCs w:val="24"/>
        </w:rPr>
        <w:t>Daphnia</w:t>
      </w:r>
      <w:r w:rsidRPr="006B2949">
        <w:rPr>
          <w:rFonts w:ascii="Times New Roman" w:hAnsi="Times New Roman" w:cs="Times New Roman"/>
          <w:sz w:val="24"/>
          <w:szCs w:val="24"/>
        </w:rPr>
        <w:t xml:space="preserve"> </w:t>
      </w:r>
      <w:r w:rsidRPr="006B2949">
        <w:rPr>
          <w:rFonts w:ascii="Times New Roman" w:hAnsi="Times New Roman" w:cs="Times New Roman"/>
          <w:i/>
          <w:iCs/>
          <w:sz w:val="24"/>
          <w:szCs w:val="24"/>
        </w:rPr>
        <w:t>pulicaria</w:t>
      </w:r>
      <w:r w:rsidRPr="006B2949">
        <w:rPr>
          <w:rFonts w:ascii="Times New Roman" w:hAnsi="Times New Roman" w:cs="Times New Roman"/>
          <w:sz w:val="24"/>
          <w:szCs w:val="24"/>
        </w:rPr>
        <w:t xml:space="preserve"> are thought to represent a case of rapid ecological speciation (Chin &amp; Cristescu, 2021; Pfrender et al., 2000). Specifically, </w:t>
      </w:r>
      <w:r w:rsidRPr="006B2949">
        <w:rPr>
          <w:rFonts w:ascii="Times New Roman" w:hAnsi="Times New Roman" w:cs="Times New Roman"/>
          <w:i/>
          <w:iCs/>
          <w:sz w:val="24"/>
          <w:szCs w:val="24"/>
        </w:rPr>
        <w:t>D. pulex</w:t>
      </w:r>
      <w:r w:rsidRPr="006B2949">
        <w:rPr>
          <w:rFonts w:ascii="Times New Roman" w:hAnsi="Times New Roman" w:cs="Times New Roman"/>
          <w:sz w:val="24"/>
          <w:szCs w:val="24"/>
        </w:rPr>
        <w:t xml:space="preserve"> and </w:t>
      </w:r>
      <w:r w:rsidRPr="006B2949">
        <w:rPr>
          <w:rFonts w:ascii="Times New Roman" w:hAnsi="Times New Roman" w:cs="Times New Roman"/>
          <w:i/>
          <w:iCs/>
          <w:sz w:val="24"/>
          <w:szCs w:val="24"/>
        </w:rPr>
        <w:t>D. pulicaria</w:t>
      </w:r>
      <w:r w:rsidRPr="006B2949">
        <w:rPr>
          <w:rFonts w:ascii="Times New Roman" w:hAnsi="Times New Roman" w:cs="Times New Roman"/>
          <w:sz w:val="24"/>
          <w:szCs w:val="24"/>
        </w:rPr>
        <w:t xml:space="preserve"> are largely restricted to distinct ecological niches, where </w:t>
      </w:r>
      <w:r w:rsidRPr="006B2949">
        <w:rPr>
          <w:rFonts w:ascii="Times New Roman" w:hAnsi="Times New Roman" w:cs="Times New Roman"/>
          <w:i/>
          <w:iCs/>
          <w:sz w:val="24"/>
          <w:szCs w:val="24"/>
        </w:rPr>
        <w:t>D. pulex</w:t>
      </w:r>
      <w:r w:rsidRPr="006B2949">
        <w:rPr>
          <w:rFonts w:ascii="Times New Roman" w:hAnsi="Times New Roman" w:cs="Times New Roman"/>
          <w:sz w:val="24"/>
          <w:szCs w:val="24"/>
        </w:rPr>
        <w:t xml:space="preserve"> is the ancestral pond ecotype and </w:t>
      </w:r>
      <w:r w:rsidRPr="006B2949">
        <w:rPr>
          <w:rFonts w:ascii="Times New Roman" w:hAnsi="Times New Roman" w:cs="Times New Roman"/>
          <w:i/>
          <w:iCs/>
          <w:sz w:val="24"/>
          <w:szCs w:val="24"/>
        </w:rPr>
        <w:t>D. pulicaria</w:t>
      </w:r>
      <w:r w:rsidRPr="006B2949">
        <w:rPr>
          <w:rFonts w:ascii="Times New Roman" w:hAnsi="Times New Roman" w:cs="Times New Roman"/>
          <w:sz w:val="24"/>
          <w:szCs w:val="24"/>
        </w:rPr>
        <w:t xml:space="preserve"> is the recently derived lake ecotype (Crease et al., 2011; Cristescu et al., 2012). D. pulicaria serves as a keystone species in many lake food webs, linking primary production from algae to higher trophic levels (Carpenter et al., 1987; Lampert &amp; Sommer, 2007; e.g., fish) and ultimately provides key ecosystem services related to the maintenance of water clarity and supporting recreational and commercial fisheries (Walsh et al., 2016). Adaptation of </w:t>
      </w:r>
      <w:r w:rsidRPr="006B2949">
        <w:rPr>
          <w:rFonts w:ascii="Times New Roman" w:hAnsi="Times New Roman" w:cs="Times New Roman"/>
          <w:i/>
          <w:iCs/>
          <w:sz w:val="24"/>
          <w:szCs w:val="24"/>
        </w:rPr>
        <w:t>D. pulicaria</w:t>
      </w:r>
      <w:r w:rsidRPr="006B2949">
        <w:rPr>
          <w:rFonts w:ascii="Times New Roman" w:hAnsi="Times New Roman" w:cs="Times New Roman"/>
          <w:sz w:val="24"/>
          <w:szCs w:val="24"/>
        </w:rPr>
        <w:t xml:space="preserve"> to fish predators and a permanent habitat has driven divergence in multiple physiological and life-history traits that distinguish it from </w:t>
      </w:r>
      <w:r w:rsidRPr="006B2949">
        <w:rPr>
          <w:rFonts w:ascii="Times New Roman" w:hAnsi="Times New Roman" w:cs="Times New Roman"/>
          <w:i/>
          <w:iCs/>
          <w:sz w:val="24"/>
          <w:szCs w:val="24"/>
        </w:rPr>
        <w:t>D. pulex</w:t>
      </w:r>
      <w:r w:rsidRPr="006B2949">
        <w:rPr>
          <w:rFonts w:ascii="Times New Roman" w:hAnsi="Times New Roman" w:cs="Times New Roman"/>
          <w:sz w:val="24"/>
          <w:szCs w:val="24"/>
        </w:rPr>
        <w:t xml:space="preserve"> (Dudycha, 2004; Dudycha &amp; Tessier, 1999; Heier &amp; Dudycha, 2009). </w:t>
      </w:r>
      <w:r w:rsidRPr="006B2949">
        <w:rPr>
          <w:rFonts w:ascii="Times New Roman" w:hAnsi="Times New Roman" w:cs="Times New Roman"/>
          <w:i/>
          <w:iCs/>
          <w:sz w:val="24"/>
          <w:szCs w:val="24"/>
        </w:rPr>
        <w:t>D. pulex</w:t>
      </w:r>
      <w:r w:rsidRPr="006B2949">
        <w:rPr>
          <w:rFonts w:ascii="Times New Roman" w:hAnsi="Times New Roman" w:cs="Times New Roman"/>
          <w:sz w:val="24"/>
          <w:szCs w:val="24"/>
        </w:rPr>
        <w:t xml:space="preserve"> usually inhabits fishless and temporary woodland or vernal ponds that are inhabited by gape-limited invertebrate predators (Spitze, 1991). Additionally, the species boundary between </w:t>
      </w:r>
      <w:r w:rsidRPr="006B2949">
        <w:rPr>
          <w:rFonts w:ascii="Times New Roman" w:hAnsi="Times New Roman" w:cs="Times New Roman"/>
          <w:i/>
          <w:iCs/>
          <w:sz w:val="24"/>
          <w:szCs w:val="24"/>
        </w:rPr>
        <w:t>D. pulex</w:t>
      </w:r>
      <w:r w:rsidRPr="006B2949">
        <w:rPr>
          <w:rFonts w:ascii="Times New Roman" w:hAnsi="Times New Roman" w:cs="Times New Roman"/>
          <w:sz w:val="24"/>
          <w:szCs w:val="24"/>
        </w:rPr>
        <w:t xml:space="preserve"> and </w:t>
      </w:r>
      <w:r w:rsidRPr="006B2949">
        <w:rPr>
          <w:rFonts w:ascii="Times New Roman" w:hAnsi="Times New Roman" w:cs="Times New Roman"/>
          <w:i/>
          <w:iCs/>
          <w:sz w:val="24"/>
          <w:szCs w:val="24"/>
        </w:rPr>
        <w:t>D. pulicaria</w:t>
      </w:r>
      <w:r w:rsidRPr="006B2949">
        <w:rPr>
          <w:rFonts w:ascii="Times New Roman" w:hAnsi="Times New Roman" w:cs="Times New Roman"/>
          <w:sz w:val="24"/>
          <w:szCs w:val="24"/>
        </w:rPr>
        <w:t xml:space="preserve"> is fluid, where F1 hybrids are readily found in nature and are able to successfully backcross onto both parental forms in the laboratory (Chin et al., 2019; Heier &amp; Dudycha, 2009) with measurable gene flow across the species boundary (Omilian &amp; Lynch, 2009). However, F</w:t>
      </w:r>
      <w:r w:rsidRPr="006B2949">
        <w:rPr>
          <w:rFonts w:ascii="Times New Roman" w:hAnsi="Times New Roman" w:cs="Times New Roman"/>
          <w:sz w:val="24"/>
          <w:szCs w:val="24"/>
          <w:vertAlign w:val="subscript"/>
        </w:rPr>
        <w:t>1</w:t>
      </w:r>
      <w:r w:rsidRPr="006B2949">
        <w:rPr>
          <w:rFonts w:ascii="Times New Roman" w:hAnsi="Times New Roman" w:cs="Times New Roman"/>
          <w:sz w:val="24"/>
          <w:szCs w:val="24"/>
        </w:rPr>
        <w:t xml:space="preserve"> individuals and reticulated individuals are generally obligate asexuals, producing clonal offspring where an introgressed </w:t>
      </w:r>
      <w:r w:rsidRPr="006B2949">
        <w:rPr>
          <w:rFonts w:ascii="Times New Roman" w:hAnsi="Times New Roman" w:cs="Times New Roman"/>
          <w:i/>
          <w:iCs/>
          <w:sz w:val="24"/>
          <w:szCs w:val="24"/>
        </w:rPr>
        <w:t>D. pulicaria</w:t>
      </w:r>
      <w:r w:rsidRPr="006B2949">
        <w:rPr>
          <w:rFonts w:ascii="Times New Roman" w:hAnsi="Times New Roman" w:cs="Times New Roman"/>
          <w:sz w:val="24"/>
          <w:szCs w:val="24"/>
        </w:rPr>
        <w:t xml:space="preserve"> haplotype suppresses meiosis on the </w:t>
      </w:r>
      <w:r w:rsidRPr="006B2949">
        <w:rPr>
          <w:rFonts w:ascii="Times New Roman" w:hAnsi="Times New Roman" w:cs="Times New Roman"/>
          <w:i/>
          <w:iCs/>
          <w:sz w:val="24"/>
          <w:szCs w:val="24"/>
        </w:rPr>
        <w:t>D. pulex</w:t>
      </w:r>
      <w:r w:rsidRPr="006B2949">
        <w:rPr>
          <w:rFonts w:ascii="Times New Roman" w:hAnsi="Times New Roman" w:cs="Times New Roman"/>
          <w:sz w:val="24"/>
          <w:szCs w:val="24"/>
        </w:rPr>
        <w:t xml:space="preserve"> background (Tucker et al., 2013; Xu, Spitze, et al., 2015; Ye et al., 2019). Despite apparent genetic incompatibilities, these obligate asexuals are generally fit and exhibit heterosis. There are several examples of such lineages successfully invading new habitats and displacing native </w:t>
      </w:r>
      <w:r w:rsidRPr="006B2949">
        <w:rPr>
          <w:rFonts w:ascii="Times New Roman" w:hAnsi="Times New Roman" w:cs="Times New Roman"/>
          <w:sz w:val="24"/>
          <w:szCs w:val="24"/>
        </w:rPr>
        <w:lastRenderedPageBreak/>
        <w:t>zooplankton assemblages (Mergeay et al., 2006; Ye et al., 2021). Taken together, these findings suggest that the pulex-pulicaria relationship is an excellent model system to observe how gene and functional element density versus recombination shape patterns of genomic divergence during speciation.</w:t>
      </w:r>
    </w:p>
    <w:p w14:paraId="6C0D61E2" w14:textId="1DDB6615" w:rsidR="005C3DE5" w:rsidRDefault="006B2949" w:rsidP="006B2949">
      <w:pPr>
        <w:spacing w:line="480" w:lineRule="auto"/>
        <w:ind w:firstLine="720"/>
        <w:rPr>
          <w:rFonts w:ascii="Times New Roman" w:hAnsi="Times New Roman" w:cs="Times New Roman"/>
          <w:sz w:val="24"/>
          <w:szCs w:val="24"/>
        </w:rPr>
      </w:pPr>
      <w:r w:rsidRPr="006B2949">
        <w:rPr>
          <w:rFonts w:ascii="Times New Roman" w:hAnsi="Times New Roman" w:cs="Times New Roman"/>
          <w:sz w:val="24"/>
          <w:szCs w:val="24"/>
        </w:rPr>
        <w:t xml:space="preserve">Here, we present a phased chromosome-level genome assembly, gene and repeat annotation, and high-density linkage map for </w:t>
      </w:r>
      <w:r w:rsidRPr="006B2949">
        <w:rPr>
          <w:rFonts w:ascii="Times New Roman" w:hAnsi="Times New Roman" w:cs="Times New Roman"/>
          <w:i/>
          <w:iCs/>
          <w:sz w:val="24"/>
          <w:szCs w:val="24"/>
        </w:rPr>
        <w:t>Daphnia pulicaria</w:t>
      </w:r>
      <w:r w:rsidRPr="006B2949">
        <w:rPr>
          <w:rFonts w:ascii="Times New Roman" w:hAnsi="Times New Roman" w:cs="Times New Roman"/>
          <w:sz w:val="24"/>
          <w:szCs w:val="24"/>
        </w:rPr>
        <w:t xml:space="preserve">. First, we examined the pattern of recombination rate heterogeneity in the </w:t>
      </w:r>
      <w:r w:rsidRPr="006B2949">
        <w:rPr>
          <w:rFonts w:ascii="Times New Roman" w:hAnsi="Times New Roman" w:cs="Times New Roman"/>
          <w:i/>
          <w:iCs/>
          <w:sz w:val="24"/>
          <w:szCs w:val="24"/>
        </w:rPr>
        <w:t>D. pulicaria</w:t>
      </w:r>
      <w:r w:rsidRPr="006B2949">
        <w:rPr>
          <w:rFonts w:ascii="Times New Roman" w:hAnsi="Times New Roman" w:cs="Times New Roman"/>
          <w:sz w:val="24"/>
          <w:szCs w:val="24"/>
        </w:rPr>
        <w:t xml:space="preserve"> genome. Next, we used our assembly, annotation, and linkage map to analyze a publicly available population genomics data set consisting of </w:t>
      </w:r>
      <w:r w:rsidRPr="006B2949">
        <w:rPr>
          <w:rFonts w:ascii="Times New Roman" w:hAnsi="Times New Roman" w:cs="Times New Roman"/>
          <w:i/>
          <w:iCs/>
          <w:sz w:val="24"/>
          <w:szCs w:val="24"/>
        </w:rPr>
        <w:t>D. pulicaria</w:t>
      </w:r>
      <w:r w:rsidRPr="006B2949">
        <w:rPr>
          <w:rFonts w:ascii="Times New Roman" w:hAnsi="Times New Roman" w:cs="Times New Roman"/>
          <w:sz w:val="24"/>
          <w:szCs w:val="24"/>
        </w:rPr>
        <w:t xml:space="preserve">, </w:t>
      </w:r>
      <w:r w:rsidRPr="006B2949">
        <w:rPr>
          <w:rFonts w:ascii="Times New Roman" w:hAnsi="Times New Roman" w:cs="Times New Roman"/>
          <w:i/>
          <w:iCs/>
          <w:sz w:val="24"/>
          <w:szCs w:val="24"/>
        </w:rPr>
        <w:t>D. pulex</w:t>
      </w:r>
      <w:r w:rsidRPr="006B2949">
        <w:rPr>
          <w:rFonts w:ascii="Times New Roman" w:hAnsi="Times New Roman" w:cs="Times New Roman"/>
          <w:sz w:val="24"/>
          <w:szCs w:val="24"/>
        </w:rPr>
        <w:t xml:space="preserve"> and their hybrids to determine the patterns of genome-scale divergence between these incipient ecological species. Specifically, utilizing the unique confluence of genomic resources available for this species complex, we analyzed whether genomic divergence is driven primarily by increased efficacy of selection to remove shared polymorphism in regions of low-recombination or by selection in gene-rich regions during adaptation to a novel habitat. Specifically, we tested the prediction that islands of divergence would be primarily restricted to low recombination regions (e.g., centromeres; sensu Carneiro et al., 2009).</w:t>
      </w:r>
    </w:p>
    <w:p w14:paraId="04E8053B" w14:textId="6E25A2F4" w:rsidR="006B2949" w:rsidRPr="00585115" w:rsidRDefault="00585115" w:rsidP="006B2949">
      <w:pPr>
        <w:spacing w:line="480" w:lineRule="auto"/>
        <w:rPr>
          <w:rFonts w:ascii="Times New Roman" w:hAnsi="Times New Roman" w:cs="Times New Roman"/>
          <w:b/>
          <w:bCs/>
          <w:sz w:val="24"/>
          <w:szCs w:val="24"/>
        </w:rPr>
      </w:pPr>
      <w:r w:rsidRPr="00585115">
        <w:rPr>
          <w:rFonts w:ascii="Times New Roman" w:hAnsi="Times New Roman" w:cs="Times New Roman"/>
          <w:b/>
          <w:bCs/>
          <w:sz w:val="24"/>
          <w:szCs w:val="24"/>
        </w:rPr>
        <w:t>Materials and Methods:</w:t>
      </w:r>
    </w:p>
    <w:p w14:paraId="13B64B7A" w14:textId="15FA3595" w:rsidR="00F30403" w:rsidRPr="00F30403" w:rsidRDefault="00F30403" w:rsidP="00F30403">
      <w:pPr>
        <w:spacing w:line="480" w:lineRule="auto"/>
        <w:rPr>
          <w:rFonts w:ascii="Times New Roman" w:hAnsi="Times New Roman" w:cs="Times New Roman"/>
          <w:i/>
          <w:iCs/>
          <w:sz w:val="24"/>
          <w:szCs w:val="24"/>
        </w:rPr>
      </w:pPr>
      <w:r w:rsidRPr="00F30403">
        <w:rPr>
          <w:rFonts w:ascii="Times New Roman" w:hAnsi="Times New Roman" w:cs="Times New Roman"/>
          <w:i/>
          <w:iCs/>
          <w:sz w:val="24"/>
          <w:szCs w:val="24"/>
        </w:rPr>
        <w:t>Recombinant panel</w:t>
      </w:r>
      <w:r>
        <w:rPr>
          <w:rFonts w:ascii="Times New Roman" w:hAnsi="Times New Roman" w:cs="Times New Roman"/>
          <w:i/>
          <w:iCs/>
          <w:sz w:val="24"/>
          <w:szCs w:val="24"/>
        </w:rPr>
        <w:t>:</w:t>
      </w:r>
    </w:p>
    <w:p w14:paraId="34E96167" w14:textId="60C3A8CB" w:rsidR="00585115" w:rsidRDefault="00F30403" w:rsidP="00F30403">
      <w:pPr>
        <w:spacing w:line="480" w:lineRule="auto"/>
        <w:rPr>
          <w:rFonts w:ascii="Times New Roman" w:hAnsi="Times New Roman" w:cs="Times New Roman"/>
          <w:sz w:val="24"/>
          <w:szCs w:val="24"/>
        </w:rPr>
      </w:pPr>
      <w:r w:rsidRPr="00F30403">
        <w:rPr>
          <w:rFonts w:ascii="Times New Roman" w:hAnsi="Times New Roman" w:cs="Times New Roman"/>
          <w:sz w:val="24"/>
          <w:szCs w:val="24"/>
        </w:rPr>
        <w:t xml:space="preserve">The grand-parental lines of the F2-intercross panel were hatched from diapausing eggs (a.k.a. ephippia) recovered from the sediments of South Center Lake (Chisago County, MN) in 2010. South Center Lake is a deep dimictic lake that has experienced significant human-induced eutrophication associated with the conversion of its watershed to agriculture by Euro-American </w:t>
      </w:r>
      <w:r w:rsidRPr="00F30403">
        <w:rPr>
          <w:rFonts w:ascii="Times New Roman" w:hAnsi="Times New Roman" w:cs="Times New Roman"/>
          <w:sz w:val="24"/>
          <w:szCs w:val="24"/>
        </w:rPr>
        <w:lastRenderedPageBreak/>
        <w:t>settlers beginning c. 1850 (Frisch et al., 2014, 2017). The grand-paternal line was recovered from the 20–24 cm depth interval within the core and was deposited in the 1960s (hereafter referred to as 2X). The grand-maternal line was established from the 4–8 cm depth interval and was deposited in the early 2000s (hereafter referred to as 13B). 2X was known to readily produce clonal male offspring, which made it an ideal candidate to serve as a sire clone in laboratory crossing experiments. The details of core collection, sediment processing, dating</w:t>
      </w:r>
      <w:r w:rsidR="00B27F5A">
        <w:rPr>
          <w:rFonts w:ascii="Times New Roman" w:hAnsi="Times New Roman" w:cs="Times New Roman"/>
          <w:sz w:val="24"/>
          <w:szCs w:val="24"/>
        </w:rPr>
        <w:t>,</w:t>
      </w:r>
      <w:r w:rsidRPr="00F30403">
        <w:rPr>
          <w:rFonts w:ascii="Times New Roman" w:hAnsi="Times New Roman" w:cs="Times New Roman"/>
          <w:sz w:val="24"/>
          <w:szCs w:val="24"/>
        </w:rPr>
        <w:t xml:space="preserve"> and hatching can be found in Frisch et al. (2014). Each clone was maintained asexually for several years in the lab before they were crossed to form an initial F</w:t>
      </w:r>
      <w:r w:rsidRPr="00B27F5A">
        <w:rPr>
          <w:rFonts w:ascii="Times New Roman" w:hAnsi="Times New Roman" w:cs="Times New Roman"/>
          <w:sz w:val="24"/>
          <w:szCs w:val="24"/>
          <w:vertAlign w:val="subscript"/>
        </w:rPr>
        <w:t>1</w:t>
      </w:r>
      <w:r w:rsidRPr="00F30403">
        <w:rPr>
          <w:rFonts w:ascii="Times New Roman" w:hAnsi="Times New Roman" w:cs="Times New Roman"/>
          <w:sz w:val="24"/>
          <w:szCs w:val="24"/>
        </w:rPr>
        <w:t xml:space="preserve"> (parental) clone, hereafter F1–1A. Further details about the recombinant panel are published in Sherman et al. (2021) and in the supplemental methods. Genomic DNA was extracted from isoclonal pools of approximately 25 adult individuals from the F0, F1 and 100 haphazardly selected F2 lines using a modified CTAB protocol (Doyle &amp; Doyle, 1987). The resulting DNA was prepared as 350 bp average insert size libraries and sequenced on nine lanes of an Illumina HiSeq using 150 bp paired end reads by Novogene (Sacramento, CA) to a mean depth of 20×.</w:t>
      </w:r>
    </w:p>
    <w:p w14:paraId="6759CD1C" w14:textId="5E93A23B" w:rsidR="00B27F5A" w:rsidRPr="00B27F5A" w:rsidRDefault="00B27F5A" w:rsidP="00B27F5A">
      <w:pPr>
        <w:spacing w:line="480" w:lineRule="auto"/>
        <w:rPr>
          <w:rFonts w:ascii="Times New Roman" w:hAnsi="Times New Roman" w:cs="Times New Roman"/>
          <w:i/>
          <w:iCs/>
          <w:sz w:val="24"/>
          <w:szCs w:val="24"/>
        </w:rPr>
      </w:pPr>
      <w:r w:rsidRPr="00B27F5A">
        <w:rPr>
          <w:rFonts w:ascii="Times New Roman" w:hAnsi="Times New Roman" w:cs="Times New Roman"/>
          <w:i/>
          <w:iCs/>
          <w:sz w:val="24"/>
          <w:szCs w:val="24"/>
        </w:rPr>
        <w:t>Primary genome assembly</w:t>
      </w:r>
      <w:r>
        <w:rPr>
          <w:rFonts w:ascii="Times New Roman" w:hAnsi="Times New Roman" w:cs="Times New Roman"/>
          <w:i/>
          <w:iCs/>
          <w:sz w:val="24"/>
          <w:szCs w:val="24"/>
        </w:rPr>
        <w:t>:</w:t>
      </w:r>
    </w:p>
    <w:p w14:paraId="30DDC413" w14:textId="1DD21340" w:rsidR="00F30403" w:rsidRDefault="00B27F5A" w:rsidP="00B27F5A">
      <w:pPr>
        <w:spacing w:line="480" w:lineRule="auto"/>
        <w:rPr>
          <w:rFonts w:ascii="Times New Roman" w:hAnsi="Times New Roman" w:cs="Times New Roman"/>
          <w:sz w:val="24"/>
          <w:szCs w:val="24"/>
        </w:rPr>
      </w:pPr>
      <w:r w:rsidRPr="00B27F5A">
        <w:rPr>
          <w:rFonts w:ascii="Times New Roman" w:hAnsi="Times New Roman" w:cs="Times New Roman"/>
          <w:sz w:val="24"/>
          <w:szCs w:val="24"/>
        </w:rPr>
        <w:t xml:space="preserve">DNA was also subsequently extracted from F1-1A using the method of Athanasio et al. (2016) with slight modifications for the isolation of high molecular weight (HMW) DNA for de novo assembly sequencing (see Supporting Information). The HMW DNA was sent to the University of Maryland Institute of Genome Science for library preparation and Circular Consensus Sequencing (CCS) on a single 8 M SMRT cell of a Pacific Biosciences Sequel II instrument. The resulting reads were passed to Hifiasm (Cheng et al., 2021) and assembled using default parameters in trio-binning mode. Since short-read Illumina data were available for each of the F0 genotypes K-mer hash tables for HiFiasm's trio-binning mode were constructed using YAK </w:t>
      </w:r>
      <w:r w:rsidRPr="00B27F5A">
        <w:rPr>
          <w:rFonts w:ascii="Times New Roman" w:hAnsi="Times New Roman" w:cs="Times New Roman"/>
          <w:sz w:val="24"/>
          <w:szCs w:val="24"/>
        </w:rPr>
        <w:lastRenderedPageBreak/>
        <w:t>(https://github.com/lh3/yak). The haplotype-resolved assembly graphs were converted to FASTA format using Gfatools (</w:t>
      </w:r>
      <w:hyperlink r:id="rId19" w:history="1">
        <w:r w:rsidRPr="00DC165E">
          <w:rPr>
            <w:rStyle w:val="Hyperlink"/>
            <w:rFonts w:ascii="Times New Roman" w:hAnsi="Times New Roman" w:cs="Times New Roman"/>
            <w:sz w:val="24"/>
            <w:szCs w:val="24"/>
          </w:rPr>
          <w:t>https://github.com/lh3/gfatools</w:t>
        </w:r>
      </w:hyperlink>
      <w:r w:rsidRPr="00B27F5A">
        <w:rPr>
          <w:rFonts w:ascii="Times New Roman" w:hAnsi="Times New Roman" w:cs="Times New Roman"/>
          <w:sz w:val="24"/>
          <w:szCs w:val="24"/>
        </w:rPr>
        <w:t>).</w:t>
      </w:r>
    </w:p>
    <w:p w14:paraId="19834C9B" w14:textId="78E9068F" w:rsidR="0058563A" w:rsidRPr="0058563A" w:rsidRDefault="0058563A" w:rsidP="0058563A">
      <w:pPr>
        <w:spacing w:line="480" w:lineRule="auto"/>
        <w:rPr>
          <w:rFonts w:ascii="Times New Roman" w:hAnsi="Times New Roman" w:cs="Times New Roman"/>
          <w:i/>
          <w:iCs/>
          <w:sz w:val="24"/>
          <w:szCs w:val="24"/>
        </w:rPr>
      </w:pPr>
      <w:r w:rsidRPr="0058563A">
        <w:rPr>
          <w:rFonts w:ascii="Times New Roman" w:hAnsi="Times New Roman" w:cs="Times New Roman"/>
          <w:i/>
          <w:iCs/>
          <w:sz w:val="24"/>
          <w:szCs w:val="24"/>
        </w:rPr>
        <w:t>Assembly scaffolding</w:t>
      </w:r>
      <w:r>
        <w:rPr>
          <w:rFonts w:ascii="Times New Roman" w:hAnsi="Times New Roman" w:cs="Times New Roman"/>
          <w:i/>
          <w:iCs/>
          <w:sz w:val="24"/>
          <w:szCs w:val="24"/>
        </w:rPr>
        <w:t>:</w:t>
      </w:r>
    </w:p>
    <w:p w14:paraId="2CC88DC2" w14:textId="1EAD85E6" w:rsidR="00B27F5A" w:rsidRDefault="0058563A" w:rsidP="0058563A">
      <w:pPr>
        <w:spacing w:line="480" w:lineRule="auto"/>
        <w:rPr>
          <w:rFonts w:ascii="Times New Roman" w:hAnsi="Times New Roman" w:cs="Times New Roman"/>
          <w:sz w:val="24"/>
          <w:szCs w:val="24"/>
        </w:rPr>
      </w:pPr>
      <w:r w:rsidRPr="0058563A">
        <w:rPr>
          <w:rFonts w:ascii="Times New Roman" w:hAnsi="Times New Roman" w:cs="Times New Roman"/>
          <w:sz w:val="24"/>
          <w:szCs w:val="24"/>
        </w:rPr>
        <w:t xml:space="preserve">The 100 F2 Illumina short-read libraries that generated sufficient data were quality filtered using Adaptorremoval2 (Schubert et al., 2016) and aligned to the 13B haplotype FASTA file using Bowtie2 (Langmead &amp; Salzberg, 2012). The resulting SAM files were then passed to Samtools (Li et al., 2009), where they were sorted, mates were fixed and PCR and optical duplicates marked. BAM files were finally passed to Freebayes (Garrison &amp; Marth, 2012) for variant calling. The resulting VCF file was filtered using VCFtools (Danecek et al., 2011) to a set of high-confident biallelic variants. The filtered VCF from the 13B alignment was passed to Lepmap3 (Rastas, 2017) for the construction of a genetic linkage map using the F2-panel and the two F0-grandparents using the standard modules (see supplemental). The resulting genetic map was used to scaffold the 13B haplotype using Lepanchor (Rastas, 2020). We estimated recombination rates along Linkage Groups (LGs) using custom R scripts. After scaffolding was complete, any unplaced scaffolds were extracted from the assembly and we used Blastn (Camacho et al., 2009) to search these sequences against a database including previously published Daphnia genomes and the D. pulex mitochondrial reference (Table S1; Crease, 1999). Any sequences that did not show homology to previously published Daphnia sequences were further searched against the NCBI prokaryote database. Since none had significant homology to any sequences, they were kept in the final assembly. Sequences that had homology to the mitochondrial genome were removed from the final assembly. The primary assembly of the 2X haplotype was scaffolded by alignment using Ragtag and Nucmer (Alonge et al., 2019; Marçais et al., 2018). Contamination was removed from this assembly following the procedure above. </w:t>
      </w:r>
      <w:r w:rsidRPr="0058563A">
        <w:rPr>
          <w:rFonts w:ascii="Times New Roman" w:hAnsi="Times New Roman" w:cs="Times New Roman"/>
          <w:sz w:val="24"/>
          <w:szCs w:val="24"/>
        </w:rPr>
        <w:lastRenderedPageBreak/>
        <w:t>Completeness of the two assemblies was assayed using BUSCO (Simão et al., 2015) scanning against the Arthropod v10 gene set from OrthoDB (Kriventseva et al., 2019).</w:t>
      </w:r>
    </w:p>
    <w:p w14:paraId="0B6D9BAF" w14:textId="30996EEF" w:rsidR="00435E53" w:rsidRPr="00435E53" w:rsidRDefault="00435E53" w:rsidP="00435E53">
      <w:pPr>
        <w:spacing w:line="480" w:lineRule="auto"/>
        <w:rPr>
          <w:rFonts w:ascii="Times New Roman" w:hAnsi="Times New Roman" w:cs="Times New Roman"/>
          <w:i/>
          <w:iCs/>
          <w:sz w:val="24"/>
          <w:szCs w:val="24"/>
        </w:rPr>
      </w:pPr>
      <w:r w:rsidRPr="00435E53">
        <w:rPr>
          <w:rFonts w:ascii="Times New Roman" w:hAnsi="Times New Roman" w:cs="Times New Roman"/>
          <w:i/>
          <w:iCs/>
          <w:sz w:val="24"/>
          <w:szCs w:val="24"/>
        </w:rPr>
        <w:t>Assembly annotation</w:t>
      </w:r>
      <w:r>
        <w:rPr>
          <w:rFonts w:ascii="Times New Roman" w:hAnsi="Times New Roman" w:cs="Times New Roman"/>
          <w:i/>
          <w:iCs/>
          <w:sz w:val="24"/>
          <w:szCs w:val="24"/>
        </w:rPr>
        <w:t xml:space="preserve">: </w:t>
      </w:r>
    </w:p>
    <w:p w14:paraId="01F69C67" w14:textId="09419E7E" w:rsidR="0058563A" w:rsidRDefault="00435E53" w:rsidP="00435E53">
      <w:pPr>
        <w:spacing w:line="480" w:lineRule="auto"/>
        <w:rPr>
          <w:rFonts w:ascii="Times New Roman" w:hAnsi="Times New Roman" w:cs="Times New Roman"/>
          <w:sz w:val="24"/>
          <w:szCs w:val="24"/>
        </w:rPr>
      </w:pPr>
      <w:r w:rsidRPr="00435E53">
        <w:rPr>
          <w:rFonts w:ascii="Times New Roman" w:hAnsi="Times New Roman" w:cs="Times New Roman"/>
          <w:sz w:val="24"/>
          <w:szCs w:val="24"/>
        </w:rPr>
        <w:t>We developed a repeat DNA library for Daphnia pulicaria de novo by using the program Repeatmodeler (Flynn et al., 2020) which calls on Recon (Bao &amp; Eddy, 2002) and Repeatscout (Price et al.,2005) followed by Rmblast based on the 2X haplotype primary assembly. A soft masked FASTA file was created using the de novo library using the program Repeatmasker (http://www.repeatmasker.org) for each of the scaffolded haplotypes. We extracted Kimura two-parameter genetic distances (Kimura, 1980) for the annotated repeats using the auxiliary Perl scripts provided in Repeatmasker. To annotate each of the soft masked genomes, we trained Augustus (Stanke et al., 2006) following the protocols outlined in Hoff and Stanke (2018) using protein alignments derived from the D. pulex protein sequences from Ye et al. (2017). These proteins were aligned to the D. pulicaria references using Genomethreader (Gremme et al., 2005) to generate hints for predictions. The resulting gene predictions were provided with functional annotation using Interproscan (Jones et al., 2014).</w:t>
      </w:r>
    </w:p>
    <w:p w14:paraId="6E719765" w14:textId="7FDC6C74" w:rsidR="002D5AFB" w:rsidRPr="002D5AFB" w:rsidRDefault="002D5AFB" w:rsidP="002D5AFB">
      <w:pPr>
        <w:spacing w:line="480" w:lineRule="auto"/>
        <w:rPr>
          <w:rFonts w:ascii="Times New Roman" w:hAnsi="Times New Roman" w:cs="Times New Roman"/>
          <w:i/>
          <w:iCs/>
          <w:sz w:val="24"/>
          <w:szCs w:val="24"/>
        </w:rPr>
      </w:pPr>
      <w:r w:rsidRPr="002D5AFB">
        <w:rPr>
          <w:rFonts w:ascii="Times New Roman" w:hAnsi="Times New Roman" w:cs="Times New Roman"/>
          <w:i/>
          <w:iCs/>
          <w:sz w:val="24"/>
          <w:szCs w:val="24"/>
        </w:rPr>
        <w:t>Speciation genomics:</w:t>
      </w:r>
    </w:p>
    <w:p w14:paraId="5A6C568F" w14:textId="49353540" w:rsidR="002D5AFB" w:rsidRPr="002D5AFB" w:rsidRDefault="002D5AFB" w:rsidP="002D5AFB">
      <w:pPr>
        <w:spacing w:line="480" w:lineRule="auto"/>
        <w:rPr>
          <w:rFonts w:ascii="Times New Roman" w:hAnsi="Times New Roman" w:cs="Times New Roman"/>
          <w:sz w:val="24"/>
          <w:szCs w:val="24"/>
        </w:rPr>
      </w:pPr>
      <w:r w:rsidRPr="002D5AFB">
        <w:rPr>
          <w:rFonts w:ascii="Times New Roman" w:hAnsi="Times New Roman" w:cs="Times New Roman"/>
          <w:sz w:val="24"/>
          <w:szCs w:val="24"/>
        </w:rPr>
        <w:t xml:space="preserve">We downloaded a publicly available ddRADseq (Peterson et al., 2012) data set that consisted of 41 </w:t>
      </w:r>
      <w:r w:rsidRPr="002D5AFB">
        <w:rPr>
          <w:rFonts w:ascii="Times New Roman" w:hAnsi="Times New Roman" w:cs="Times New Roman"/>
          <w:i/>
          <w:iCs/>
          <w:sz w:val="24"/>
          <w:szCs w:val="24"/>
        </w:rPr>
        <w:t>D. pulicaria</w:t>
      </w:r>
      <w:r w:rsidRPr="002D5AFB">
        <w:rPr>
          <w:rFonts w:ascii="Times New Roman" w:hAnsi="Times New Roman" w:cs="Times New Roman"/>
          <w:sz w:val="24"/>
          <w:szCs w:val="24"/>
        </w:rPr>
        <w:t xml:space="preserve"> libraries, 82 </w:t>
      </w:r>
      <w:r w:rsidRPr="002D5AFB">
        <w:rPr>
          <w:rFonts w:ascii="Times New Roman" w:hAnsi="Times New Roman" w:cs="Times New Roman"/>
          <w:i/>
          <w:iCs/>
          <w:sz w:val="24"/>
          <w:szCs w:val="24"/>
        </w:rPr>
        <w:t>D. pulex</w:t>
      </w:r>
      <w:r w:rsidRPr="002D5AFB">
        <w:rPr>
          <w:rFonts w:ascii="Times New Roman" w:hAnsi="Times New Roman" w:cs="Times New Roman"/>
          <w:sz w:val="24"/>
          <w:szCs w:val="24"/>
        </w:rPr>
        <w:t xml:space="preserve"> libraries and 36 hybrids and reticulated individuals between these two sister species (Clifford, 2016; NCBI Study Accession: PRJNA288877).</w:t>
      </w:r>
    </w:p>
    <w:p w14:paraId="0941A064" w14:textId="5F0329D0" w:rsidR="002D5AFB" w:rsidRPr="002D5AFB" w:rsidRDefault="002D5AFB" w:rsidP="002D5AFB">
      <w:pPr>
        <w:spacing w:line="480" w:lineRule="auto"/>
        <w:rPr>
          <w:rFonts w:ascii="Times New Roman" w:hAnsi="Times New Roman" w:cs="Times New Roman"/>
          <w:i/>
          <w:iCs/>
          <w:sz w:val="24"/>
          <w:szCs w:val="24"/>
        </w:rPr>
      </w:pPr>
      <w:r w:rsidRPr="002D5AFB">
        <w:rPr>
          <w:rFonts w:ascii="Times New Roman" w:hAnsi="Times New Roman" w:cs="Times New Roman"/>
          <w:i/>
          <w:iCs/>
          <w:sz w:val="24"/>
          <w:szCs w:val="24"/>
        </w:rPr>
        <w:t>Bioinformatics</w:t>
      </w:r>
      <w:r>
        <w:rPr>
          <w:rFonts w:ascii="Times New Roman" w:hAnsi="Times New Roman" w:cs="Times New Roman"/>
          <w:i/>
          <w:iCs/>
          <w:sz w:val="24"/>
          <w:szCs w:val="24"/>
        </w:rPr>
        <w:t>:</w:t>
      </w:r>
    </w:p>
    <w:p w14:paraId="296791AA" w14:textId="7F615F37" w:rsidR="002D5AFB" w:rsidRPr="002D5AFB" w:rsidRDefault="002D5AFB" w:rsidP="002D5AFB">
      <w:pPr>
        <w:spacing w:line="480" w:lineRule="auto"/>
        <w:rPr>
          <w:rFonts w:ascii="Times New Roman" w:hAnsi="Times New Roman" w:cs="Times New Roman"/>
          <w:sz w:val="24"/>
          <w:szCs w:val="24"/>
        </w:rPr>
      </w:pPr>
      <w:r w:rsidRPr="002D5AFB">
        <w:rPr>
          <w:rFonts w:ascii="Times New Roman" w:hAnsi="Times New Roman" w:cs="Times New Roman"/>
          <w:sz w:val="24"/>
          <w:szCs w:val="24"/>
        </w:rPr>
        <w:t xml:space="preserve">We aligned the paired-end data to the scaffolded 13B haplotype reference (see above) using the BWA mem algorithm, and as above, the output was piped directly to Samtools and was sorted, </w:t>
      </w:r>
      <w:r w:rsidRPr="002D5AFB">
        <w:rPr>
          <w:rFonts w:ascii="Times New Roman" w:hAnsi="Times New Roman" w:cs="Times New Roman"/>
          <w:sz w:val="24"/>
          <w:szCs w:val="24"/>
        </w:rPr>
        <w:lastRenderedPageBreak/>
        <w:t xml:space="preserve">duplicates were marked and RG headers were added to the BAM files (Li &amp; Durbin, 2009; Li et al., 2009). We chose to use the 13B haplotype because it was more complete than 2X and was associated with our linkage map and recombination rate estimates. Next, we called variants using the ref_map.pl pipeline of Stacks (Catchen et al., 2013), designating </w:t>
      </w:r>
      <w:r w:rsidRPr="002D5AFB">
        <w:rPr>
          <w:rFonts w:ascii="Times New Roman" w:hAnsi="Times New Roman" w:cs="Times New Roman"/>
          <w:i/>
          <w:iCs/>
          <w:sz w:val="24"/>
          <w:szCs w:val="24"/>
        </w:rPr>
        <w:t>D. pulex</w:t>
      </w:r>
      <w:r w:rsidRPr="002D5AFB">
        <w:rPr>
          <w:rFonts w:ascii="Times New Roman" w:hAnsi="Times New Roman" w:cs="Times New Roman"/>
          <w:sz w:val="24"/>
          <w:szCs w:val="24"/>
        </w:rPr>
        <w:t xml:space="preserve">, </w:t>
      </w:r>
      <w:r w:rsidRPr="002D5AFB">
        <w:rPr>
          <w:rFonts w:ascii="Times New Roman" w:hAnsi="Times New Roman" w:cs="Times New Roman"/>
          <w:i/>
          <w:iCs/>
          <w:sz w:val="24"/>
          <w:szCs w:val="24"/>
        </w:rPr>
        <w:t>D. pulicaria</w:t>
      </w:r>
      <w:r w:rsidRPr="002D5AFB">
        <w:rPr>
          <w:rFonts w:ascii="Times New Roman" w:hAnsi="Times New Roman" w:cs="Times New Roman"/>
          <w:sz w:val="24"/>
          <w:szCs w:val="24"/>
        </w:rPr>
        <w:t xml:space="preserve"> and their hybrids as separate populations in the pipeline. Finally, we constructed one VCF file with one SNP per RADtag (hereafter “single SNP”), and another containing all called variants in the population (hereafter “all SNPs”).</w:t>
      </w:r>
    </w:p>
    <w:p w14:paraId="054BE088" w14:textId="61119455" w:rsidR="002D5AFB" w:rsidRPr="002D5AFB" w:rsidRDefault="002D5AFB" w:rsidP="002D5AFB">
      <w:pPr>
        <w:spacing w:line="480" w:lineRule="auto"/>
        <w:rPr>
          <w:rFonts w:ascii="Times New Roman" w:hAnsi="Times New Roman" w:cs="Times New Roman"/>
          <w:i/>
          <w:iCs/>
          <w:sz w:val="24"/>
          <w:szCs w:val="24"/>
        </w:rPr>
      </w:pPr>
      <w:r w:rsidRPr="002D5AFB">
        <w:rPr>
          <w:rFonts w:ascii="Times New Roman" w:hAnsi="Times New Roman" w:cs="Times New Roman"/>
          <w:i/>
          <w:iCs/>
          <w:sz w:val="24"/>
          <w:szCs w:val="24"/>
        </w:rPr>
        <w:t>Population structure:</w:t>
      </w:r>
    </w:p>
    <w:p w14:paraId="2C5FF0CD" w14:textId="3296BC6B" w:rsidR="002D5AFB" w:rsidRPr="002D5AFB" w:rsidRDefault="002D5AFB" w:rsidP="002D5AFB">
      <w:pPr>
        <w:spacing w:line="480" w:lineRule="auto"/>
        <w:rPr>
          <w:rFonts w:ascii="Times New Roman" w:hAnsi="Times New Roman" w:cs="Times New Roman"/>
          <w:sz w:val="24"/>
          <w:szCs w:val="24"/>
        </w:rPr>
      </w:pPr>
      <w:r w:rsidRPr="002D5AFB">
        <w:rPr>
          <w:rFonts w:ascii="Times New Roman" w:hAnsi="Times New Roman" w:cs="Times New Roman"/>
          <w:sz w:val="24"/>
          <w:szCs w:val="24"/>
        </w:rPr>
        <w:t>We analysed the population structure of the samples in the single SNP data set using two approaches. First, we used the fastSTRUCTURE (Raj et al., 2014) to calculate posterior probabilities of population assignment for each sample to two nominal species groupings and next used principal components analysis (PCA) implemented in Adegenet (Jombart, 2008).</w:t>
      </w:r>
    </w:p>
    <w:p w14:paraId="77A5AFCD" w14:textId="00B44C2F" w:rsidR="002D5AFB" w:rsidRPr="002D5AFB" w:rsidRDefault="002D5AFB" w:rsidP="002D5AFB">
      <w:pPr>
        <w:spacing w:line="480" w:lineRule="auto"/>
        <w:rPr>
          <w:rFonts w:ascii="Times New Roman" w:hAnsi="Times New Roman" w:cs="Times New Roman"/>
          <w:i/>
          <w:iCs/>
          <w:sz w:val="24"/>
          <w:szCs w:val="24"/>
        </w:rPr>
      </w:pPr>
      <w:r w:rsidRPr="002D5AFB">
        <w:rPr>
          <w:rFonts w:ascii="Times New Roman" w:hAnsi="Times New Roman" w:cs="Times New Roman"/>
          <w:i/>
          <w:iCs/>
          <w:sz w:val="24"/>
          <w:szCs w:val="24"/>
        </w:rPr>
        <w:t>Relation between differentiation and recombination rate</w:t>
      </w:r>
      <w:r>
        <w:rPr>
          <w:rFonts w:ascii="Times New Roman" w:hAnsi="Times New Roman" w:cs="Times New Roman"/>
          <w:i/>
          <w:iCs/>
          <w:sz w:val="24"/>
          <w:szCs w:val="24"/>
        </w:rPr>
        <w:t>:</w:t>
      </w:r>
    </w:p>
    <w:p w14:paraId="4B2F02C4" w14:textId="4DAA325A" w:rsidR="002D5AFB" w:rsidRPr="002D5AFB" w:rsidRDefault="002D5AFB" w:rsidP="002D5AFB">
      <w:pPr>
        <w:spacing w:line="480" w:lineRule="auto"/>
        <w:rPr>
          <w:rFonts w:ascii="Times New Roman" w:hAnsi="Times New Roman" w:cs="Times New Roman"/>
          <w:sz w:val="24"/>
          <w:szCs w:val="24"/>
        </w:rPr>
      </w:pPr>
      <w:r w:rsidRPr="002D5AFB">
        <w:rPr>
          <w:rFonts w:ascii="Times New Roman" w:hAnsi="Times New Roman" w:cs="Times New Roman"/>
          <w:sz w:val="24"/>
          <w:szCs w:val="24"/>
        </w:rPr>
        <w:t xml:space="preserve">We computed the per site FST between </w:t>
      </w:r>
      <w:r w:rsidRPr="002D5AFB">
        <w:rPr>
          <w:rFonts w:ascii="Times New Roman" w:hAnsi="Times New Roman" w:cs="Times New Roman"/>
          <w:i/>
          <w:iCs/>
          <w:sz w:val="24"/>
          <w:szCs w:val="24"/>
        </w:rPr>
        <w:t>D. pulicaria</w:t>
      </w:r>
      <w:r w:rsidRPr="002D5AFB">
        <w:rPr>
          <w:rFonts w:ascii="Times New Roman" w:hAnsi="Times New Roman" w:cs="Times New Roman"/>
          <w:sz w:val="24"/>
          <w:szCs w:val="24"/>
        </w:rPr>
        <w:t xml:space="preserve"> and </w:t>
      </w:r>
      <w:r w:rsidRPr="002D5AFB">
        <w:rPr>
          <w:rFonts w:ascii="Times New Roman" w:hAnsi="Times New Roman" w:cs="Times New Roman"/>
          <w:i/>
          <w:iCs/>
          <w:sz w:val="24"/>
          <w:szCs w:val="24"/>
        </w:rPr>
        <w:t>D. pulex</w:t>
      </w:r>
      <w:r w:rsidRPr="002D5AFB">
        <w:rPr>
          <w:rFonts w:ascii="Times New Roman" w:hAnsi="Times New Roman" w:cs="Times New Roman"/>
          <w:sz w:val="24"/>
          <w:szCs w:val="24"/>
        </w:rPr>
        <w:t xml:space="preserve"> samples for each SNP included in the single SNP VCF file using VCFtools (Danecek et al., 2011; Weir &amp; Cockerham, 1984). In R, we computed the 95th percentile outliers and extracted the position of these SNPs on each chromosome. Using custom R scripts (available on GitHub), we computed the recombination rate based on our genetic map and the gene density (coding DNA sequence - CDS content) present based on our annotation in 100 KB windows centred on the outlier SNP and 1000 permutations of randomly sampled background SNPs. Finally, we tested for differences in the mean recombination rates and the CDS content within the 100 kb windows using permutation tests.</w:t>
      </w:r>
    </w:p>
    <w:p w14:paraId="658A04F3" w14:textId="67F32200" w:rsidR="002D5AFB" w:rsidRPr="002D5AFB" w:rsidRDefault="002D5AFB" w:rsidP="002D5AFB">
      <w:pPr>
        <w:spacing w:line="480" w:lineRule="auto"/>
        <w:rPr>
          <w:rFonts w:ascii="Times New Roman" w:hAnsi="Times New Roman" w:cs="Times New Roman"/>
          <w:i/>
          <w:iCs/>
          <w:sz w:val="24"/>
          <w:szCs w:val="24"/>
        </w:rPr>
      </w:pPr>
      <w:r w:rsidRPr="002D5AFB">
        <w:rPr>
          <w:rFonts w:ascii="Times New Roman" w:hAnsi="Times New Roman" w:cs="Times New Roman"/>
          <w:i/>
          <w:iCs/>
          <w:sz w:val="24"/>
          <w:szCs w:val="24"/>
        </w:rPr>
        <w:lastRenderedPageBreak/>
        <w:t>Genomic differentiation:</w:t>
      </w:r>
    </w:p>
    <w:p w14:paraId="67855B60" w14:textId="259DE91C" w:rsidR="002D5AFB" w:rsidRPr="002D5AFB" w:rsidRDefault="002D5AFB" w:rsidP="002D5AFB">
      <w:pPr>
        <w:spacing w:line="480" w:lineRule="auto"/>
        <w:rPr>
          <w:rFonts w:ascii="Times New Roman" w:hAnsi="Times New Roman" w:cs="Times New Roman"/>
          <w:sz w:val="24"/>
          <w:szCs w:val="24"/>
        </w:rPr>
      </w:pPr>
      <w:r w:rsidRPr="002D5AFB">
        <w:rPr>
          <w:rFonts w:ascii="Times New Roman" w:hAnsi="Times New Roman" w:cs="Times New Roman"/>
          <w:sz w:val="24"/>
          <w:szCs w:val="24"/>
        </w:rPr>
        <w:t>To assay the patterns of genomic diversity, differentiation, and divergence we calculated the population genetic summary statistics π (nucleotide diversity), F</w:t>
      </w:r>
      <w:r w:rsidRPr="002D5AFB">
        <w:rPr>
          <w:rFonts w:ascii="Times New Roman" w:hAnsi="Times New Roman" w:cs="Times New Roman"/>
          <w:sz w:val="24"/>
          <w:szCs w:val="24"/>
          <w:vertAlign w:val="subscript"/>
        </w:rPr>
        <w:t>ST</w:t>
      </w:r>
      <w:r w:rsidRPr="002D5AFB">
        <w:rPr>
          <w:rFonts w:ascii="Times New Roman" w:hAnsi="Times New Roman" w:cs="Times New Roman"/>
          <w:sz w:val="24"/>
          <w:szCs w:val="24"/>
        </w:rPr>
        <w:t xml:space="preserve"> (differentiation), and D</w:t>
      </w:r>
      <w:r w:rsidRPr="002D5AFB">
        <w:rPr>
          <w:rFonts w:ascii="Times New Roman" w:hAnsi="Times New Roman" w:cs="Times New Roman"/>
          <w:sz w:val="24"/>
          <w:szCs w:val="24"/>
          <w:vertAlign w:val="subscript"/>
        </w:rPr>
        <w:t>xy</w:t>
      </w:r>
      <w:r w:rsidRPr="002D5AFB">
        <w:rPr>
          <w:rFonts w:ascii="Times New Roman" w:hAnsi="Times New Roman" w:cs="Times New Roman"/>
          <w:sz w:val="24"/>
          <w:szCs w:val="24"/>
        </w:rPr>
        <w:t xml:space="preserve"> (divergence) in 1 Mb sliding windows (stepping 10 kb) across the genome using the “all SNPs” VCF file. The summary statistics were computed using the Python scripts available in the genomics_general repository (https://github.com/simonhmartin/genomics_general). Additionally, we computed Tajima's D (Tajima, 1989), in the same sliding windows, across the genome using VCF-kit (https://github.com/Andersenlab/vcf-kit) to summarize the allele frequency spectrum.</w:t>
      </w:r>
    </w:p>
    <w:p w14:paraId="020F7348" w14:textId="6A05346B" w:rsidR="002D5AFB" w:rsidRPr="002D5AFB" w:rsidRDefault="002D5AFB" w:rsidP="002D5AFB">
      <w:pPr>
        <w:spacing w:line="480" w:lineRule="auto"/>
        <w:rPr>
          <w:rFonts w:ascii="Times New Roman" w:hAnsi="Times New Roman" w:cs="Times New Roman"/>
          <w:i/>
          <w:iCs/>
          <w:sz w:val="24"/>
          <w:szCs w:val="24"/>
        </w:rPr>
      </w:pPr>
      <w:r w:rsidRPr="002D5AFB">
        <w:rPr>
          <w:rFonts w:ascii="Times New Roman" w:hAnsi="Times New Roman" w:cs="Times New Roman"/>
          <w:i/>
          <w:iCs/>
          <w:sz w:val="24"/>
          <w:szCs w:val="24"/>
        </w:rPr>
        <w:t>Demographic analysis</w:t>
      </w:r>
      <w:r>
        <w:rPr>
          <w:rFonts w:ascii="Times New Roman" w:hAnsi="Times New Roman" w:cs="Times New Roman"/>
          <w:i/>
          <w:iCs/>
          <w:sz w:val="24"/>
          <w:szCs w:val="24"/>
        </w:rPr>
        <w:t>:</w:t>
      </w:r>
    </w:p>
    <w:p w14:paraId="408080D5" w14:textId="42230D7E" w:rsidR="002D5AFB" w:rsidRPr="002D5AFB" w:rsidRDefault="002D5AFB" w:rsidP="002D5AFB">
      <w:pPr>
        <w:spacing w:line="480" w:lineRule="auto"/>
        <w:rPr>
          <w:rFonts w:ascii="Times New Roman" w:hAnsi="Times New Roman" w:cs="Times New Roman"/>
          <w:sz w:val="24"/>
          <w:szCs w:val="24"/>
        </w:rPr>
      </w:pPr>
      <w:r w:rsidRPr="002D5AFB">
        <w:rPr>
          <w:rFonts w:ascii="Times New Roman" w:hAnsi="Times New Roman" w:cs="Times New Roman"/>
          <w:sz w:val="24"/>
          <w:szCs w:val="24"/>
        </w:rPr>
        <w:t xml:space="preserve">We fitted an isolation-with-migration (IM) model (Nielsen &amp; Wakeley, 2001) of population divergence implemented as the maximum likelihood approach in Fastsimcoal2 (Excoffier et al., 2013). We filtered the single SNP VCF file to include only individuals identified as having ancestry from one parental background and created an observed 2-D folded site frequency spectra (SFS) between </w:t>
      </w:r>
      <w:r w:rsidRPr="00DF19AD">
        <w:rPr>
          <w:rFonts w:ascii="Times New Roman" w:hAnsi="Times New Roman" w:cs="Times New Roman"/>
          <w:i/>
          <w:iCs/>
          <w:sz w:val="24"/>
          <w:szCs w:val="24"/>
        </w:rPr>
        <w:t>D. pulex</w:t>
      </w:r>
      <w:r w:rsidRPr="002D5AFB">
        <w:rPr>
          <w:rFonts w:ascii="Times New Roman" w:hAnsi="Times New Roman" w:cs="Times New Roman"/>
          <w:sz w:val="24"/>
          <w:szCs w:val="24"/>
        </w:rPr>
        <w:t xml:space="preserve"> and </w:t>
      </w:r>
      <w:r w:rsidRPr="00DF19AD">
        <w:rPr>
          <w:rFonts w:ascii="Times New Roman" w:hAnsi="Times New Roman" w:cs="Times New Roman"/>
          <w:i/>
          <w:iCs/>
          <w:sz w:val="24"/>
          <w:szCs w:val="24"/>
        </w:rPr>
        <w:t>D. pulicaria</w:t>
      </w:r>
      <w:r w:rsidRPr="002D5AFB">
        <w:rPr>
          <w:rFonts w:ascii="Times New Roman" w:hAnsi="Times New Roman" w:cs="Times New Roman"/>
          <w:sz w:val="24"/>
          <w:szCs w:val="24"/>
        </w:rPr>
        <w:t xml:space="preserve"> using Easysfs (https://github.com/isaacovercast/easySFS). Subsequently, we estimated the ancestral effective population size (Ne; Nanc), the contemporary Ne for both species (NPa, NPx), the time since divergence (in generations; Tdiv) and migration rates (Mig12, Mig21) using 100 separate runs of fastsimcoal2 (see Supporting Information). In order to estimate these parameters, we fixed the mutation rate to 5.69 × 10−9, the per generation mutation rate estimated for </w:t>
      </w:r>
      <w:r w:rsidRPr="00DF19AD">
        <w:rPr>
          <w:rFonts w:ascii="Times New Roman" w:hAnsi="Times New Roman" w:cs="Times New Roman"/>
          <w:i/>
          <w:iCs/>
          <w:sz w:val="24"/>
          <w:szCs w:val="24"/>
        </w:rPr>
        <w:t>D. pulex</w:t>
      </w:r>
      <w:r w:rsidRPr="002D5AFB">
        <w:rPr>
          <w:rFonts w:ascii="Times New Roman" w:hAnsi="Times New Roman" w:cs="Times New Roman"/>
          <w:sz w:val="24"/>
          <w:szCs w:val="24"/>
        </w:rPr>
        <w:t xml:space="preserve"> (Keith et al., 2016).</w:t>
      </w:r>
    </w:p>
    <w:p w14:paraId="1CDB303E" w14:textId="2D9C906C" w:rsidR="002D5AFB" w:rsidRPr="00DF19AD" w:rsidRDefault="002D5AFB" w:rsidP="002D5AFB">
      <w:pPr>
        <w:spacing w:line="480" w:lineRule="auto"/>
        <w:rPr>
          <w:rFonts w:ascii="Times New Roman" w:hAnsi="Times New Roman" w:cs="Times New Roman"/>
          <w:i/>
          <w:iCs/>
          <w:sz w:val="24"/>
          <w:szCs w:val="24"/>
        </w:rPr>
      </w:pPr>
      <w:r w:rsidRPr="00DF19AD">
        <w:rPr>
          <w:rFonts w:ascii="Times New Roman" w:hAnsi="Times New Roman" w:cs="Times New Roman"/>
          <w:i/>
          <w:iCs/>
          <w:sz w:val="24"/>
          <w:szCs w:val="24"/>
        </w:rPr>
        <w:t>Adaptation genomics</w:t>
      </w:r>
      <w:r w:rsidR="00DF19AD">
        <w:rPr>
          <w:rFonts w:ascii="Times New Roman" w:hAnsi="Times New Roman" w:cs="Times New Roman"/>
          <w:i/>
          <w:iCs/>
          <w:sz w:val="24"/>
          <w:szCs w:val="24"/>
        </w:rPr>
        <w:t>:</w:t>
      </w:r>
    </w:p>
    <w:p w14:paraId="356A0F2E" w14:textId="024793D0" w:rsidR="00435E53" w:rsidRDefault="002D5AFB" w:rsidP="002D5AFB">
      <w:pPr>
        <w:spacing w:line="480" w:lineRule="auto"/>
        <w:rPr>
          <w:rFonts w:ascii="Times New Roman" w:hAnsi="Times New Roman" w:cs="Times New Roman"/>
          <w:sz w:val="24"/>
          <w:szCs w:val="24"/>
        </w:rPr>
      </w:pPr>
      <w:r w:rsidRPr="002D5AFB">
        <w:rPr>
          <w:rFonts w:ascii="Times New Roman" w:hAnsi="Times New Roman" w:cs="Times New Roman"/>
          <w:sz w:val="24"/>
          <w:szCs w:val="24"/>
        </w:rPr>
        <w:lastRenderedPageBreak/>
        <w:t xml:space="preserve">We determined the potential genes that were under selection in the transition from ponds to lakes using the R package PCadapt (Luu et al., 2017; Privé et al., 2020). First, we analysed the single SNP VCF file for outliers using the first two PCs as this sufficiently delineated the </w:t>
      </w:r>
      <w:r w:rsidRPr="00DF19AD">
        <w:rPr>
          <w:rFonts w:ascii="Times New Roman" w:hAnsi="Times New Roman" w:cs="Times New Roman"/>
          <w:i/>
          <w:iCs/>
          <w:sz w:val="24"/>
          <w:szCs w:val="24"/>
        </w:rPr>
        <w:t>D. pulex</w:t>
      </w:r>
      <w:r w:rsidRPr="002D5AFB">
        <w:rPr>
          <w:rFonts w:ascii="Times New Roman" w:hAnsi="Times New Roman" w:cs="Times New Roman"/>
          <w:sz w:val="24"/>
          <w:szCs w:val="24"/>
        </w:rPr>
        <w:t xml:space="preserve"> and </w:t>
      </w:r>
      <w:r w:rsidRPr="00DF19AD">
        <w:rPr>
          <w:rFonts w:ascii="Times New Roman" w:hAnsi="Times New Roman" w:cs="Times New Roman"/>
          <w:i/>
          <w:iCs/>
          <w:sz w:val="24"/>
          <w:szCs w:val="24"/>
        </w:rPr>
        <w:t>D. pulicaria</w:t>
      </w:r>
      <w:r w:rsidRPr="002D5AFB">
        <w:rPr>
          <w:rFonts w:ascii="Times New Roman" w:hAnsi="Times New Roman" w:cs="Times New Roman"/>
          <w:sz w:val="24"/>
          <w:szCs w:val="24"/>
        </w:rPr>
        <w:t xml:space="preserve"> in our data set. After computing the test statistic, we used Bonferroni adjustment to correct for multiple comparisons. Second, we extracted the location of the outlier SNPs and using BEDtools (Quinlan &amp; Hall, 2010), extracted the genes within 1 kb windows centred on their position. Next, we then performed a gene ontology term (GO-term) overrepresentation test in Panther (Mi et al., 2021), searching against the Daphnia pulex reference list. Finally, we implemented a Fisher's exact test with Bonferroni-corrected p-values to determine enriched GO-terms, with the results visualized using Revigo (Supek et al., 2011).</w:t>
      </w:r>
    </w:p>
    <w:p w14:paraId="0EFE5733" w14:textId="3264F0DB" w:rsidR="003A5B5B" w:rsidRPr="003A5B5B" w:rsidRDefault="003A5B5B" w:rsidP="002D5AFB">
      <w:pPr>
        <w:spacing w:line="480" w:lineRule="auto"/>
        <w:rPr>
          <w:rFonts w:ascii="Times New Roman" w:hAnsi="Times New Roman" w:cs="Times New Roman"/>
          <w:b/>
          <w:bCs/>
          <w:sz w:val="24"/>
          <w:szCs w:val="24"/>
        </w:rPr>
      </w:pPr>
      <w:r>
        <w:rPr>
          <w:rFonts w:ascii="Times New Roman" w:hAnsi="Times New Roman" w:cs="Times New Roman"/>
          <w:b/>
          <w:bCs/>
          <w:sz w:val="24"/>
          <w:szCs w:val="24"/>
        </w:rPr>
        <w:t>Results:</w:t>
      </w:r>
    </w:p>
    <w:p w14:paraId="1F5CCC52" w14:textId="6578BF60" w:rsidR="003A5B5B" w:rsidRPr="003A5B5B" w:rsidRDefault="003A5B5B" w:rsidP="003A5B5B">
      <w:pPr>
        <w:spacing w:line="480" w:lineRule="auto"/>
        <w:rPr>
          <w:rFonts w:ascii="Times New Roman" w:hAnsi="Times New Roman" w:cs="Times New Roman"/>
          <w:i/>
          <w:iCs/>
          <w:sz w:val="24"/>
          <w:szCs w:val="24"/>
        </w:rPr>
      </w:pPr>
      <w:r w:rsidRPr="003A5B5B">
        <w:rPr>
          <w:rFonts w:ascii="Times New Roman" w:hAnsi="Times New Roman" w:cs="Times New Roman"/>
          <w:i/>
          <w:iCs/>
          <w:sz w:val="24"/>
          <w:szCs w:val="24"/>
        </w:rPr>
        <w:t>Primary genome assemblies</w:t>
      </w:r>
      <w:r>
        <w:rPr>
          <w:rFonts w:ascii="Times New Roman" w:hAnsi="Times New Roman" w:cs="Times New Roman"/>
          <w:i/>
          <w:iCs/>
          <w:sz w:val="24"/>
          <w:szCs w:val="24"/>
        </w:rPr>
        <w:t>:</w:t>
      </w:r>
    </w:p>
    <w:p w14:paraId="5CC45CFA" w14:textId="6452B118" w:rsidR="00873828" w:rsidRDefault="003A5B5B" w:rsidP="003A5B5B">
      <w:pPr>
        <w:spacing w:line="480" w:lineRule="auto"/>
        <w:rPr>
          <w:rFonts w:ascii="Times New Roman" w:hAnsi="Times New Roman" w:cs="Times New Roman"/>
          <w:sz w:val="24"/>
          <w:szCs w:val="24"/>
        </w:rPr>
      </w:pPr>
      <w:r w:rsidRPr="003A5B5B">
        <w:rPr>
          <w:rFonts w:ascii="Times New Roman" w:hAnsi="Times New Roman" w:cs="Times New Roman"/>
          <w:sz w:val="24"/>
          <w:szCs w:val="24"/>
        </w:rPr>
        <w:t>The Sequell II run produced 942,332 HiFi reads with a mean insert size of 12,513.4 BP (± 3489.3 BP) and generated approximately 60x coverage of the Daphnia pulicaria genome (estimated size 189 MB; Vergilino et al., 2009). Hifiasm produced two separately phased genome assemblies. Haplotype 13B, from the maternal F0 consisted of 185.8 Mb separated across 253 contigs. Haplotype 2X, from the paternal F0 consisted of 179.7 Mb separated across 180 contigs. The assembly statistics for each haplotype are reported in Table 1.</w:t>
      </w:r>
    </w:p>
    <w:p w14:paraId="19175DC4" w14:textId="0D505D11" w:rsidR="002D0D32" w:rsidRPr="002D0D32" w:rsidRDefault="002D0D32" w:rsidP="002D0D32">
      <w:pPr>
        <w:spacing w:line="480" w:lineRule="auto"/>
        <w:rPr>
          <w:rFonts w:ascii="Times New Roman" w:hAnsi="Times New Roman" w:cs="Times New Roman"/>
          <w:i/>
          <w:iCs/>
          <w:sz w:val="24"/>
          <w:szCs w:val="24"/>
        </w:rPr>
      </w:pPr>
      <w:r w:rsidRPr="002D0D32">
        <w:rPr>
          <w:rFonts w:ascii="Times New Roman" w:hAnsi="Times New Roman" w:cs="Times New Roman"/>
          <w:i/>
          <w:iCs/>
          <w:sz w:val="24"/>
          <w:szCs w:val="24"/>
        </w:rPr>
        <w:t>Genetic map, scaffolding and recombination landscapes</w:t>
      </w:r>
      <w:r>
        <w:rPr>
          <w:rFonts w:ascii="Times New Roman" w:hAnsi="Times New Roman" w:cs="Times New Roman"/>
          <w:i/>
          <w:iCs/>
          <w:sz w:val="24"/>
          <w:szCs w:val="24"/>
        </w:rPr>
        <w:t>:</w:t>
      </w:r>
    </w:p>
    <w:p w14:paraId="5360E326" w14:textId="5F0F2041" w:rsidR="003A5B5B" w:rsidRDefault="002D0D32" w:rsidP="002D0D32">
      <w:pPr>
        <w:spacing w:line="480" w:lineRule="auto"/>
        <w:rPr>
          <w:rFonts w:ascii="Times New Roman" w:hAnsi="Times New Roman" w:cs="Times New Roman"/>
          <w:sz w:val="24"/>
          <w:szCs w:val="24"/>
        </w:rPr>
      </w:pPr>
      <w:r w:rsidRPr="002D0D32">
        <w:rPr>
          <w:rFonts w:ascii="Times New Roman" w:hAnsi="Times New Roman" w:cs="Times New Roman"/>
          <w:sz w:val="24"/>
          <w:szCs w:val="24"/>
        </w:rPr>
        <w:t xml:space="preserve">We generated 103 successful Illumina libraries yielding sequences for both F0 genotypes, the F1 and 100 F2 genotypes. These libraries produced mean coverage of approximately 20× across all individuals (i.e., range of 15–50× per lineage). Alignment of the 100 F2, the F1 and the two F0 </w:t>
      </w:r>
      <w:r w:rsidRPr="002D0D32">
        <w:rPr>
          <w:rFonts w:ascii="Times New Roman" w:hAnsi="Times New Roman" w:cs="Times New Roman"/>
          <w:sz w:val="24"/>
          <w:szCs w:val="24"/>
        </w:rPr>
        <w:lastRenderedPageBreak/>
        <w:t>libraries to the 13B haplotype yielded 34,481,582 called variants consisting of SNPs and small Indels. After quality filtering, 1,088,069 variants remained. The Parentcall2 module of Lepmap3 (Rastas, 2017), further filtered these for segregation distortion to a set of 530,717 variants that were subsequently used to construct the map. After running Lepmap3, we constructed a linkage map consisting of 515,836 markers assigned to 12 linkage groups (LGs), ranging in size from 128,717 to 16,426 markers. See Table 2 for a full list of marker numbers included in each LG. After ordering, we generated and inspected the plot from the Lmplot module and after finding no apparent errors, we proceeded to use our map to construct scaffolds. Most individuals experienced 2–3 crossovers per chromosome ranging from 7 (LG 1) to 0 (all LGs but 1 and 6; Figure S1).</w:t>
      </w:r>
    </w:p>
    <w:p w14:paraId="6255379A" w14:textId="576DA22E" w:rsidR="002D0D32" w:rsidRDefault="005E46FA" w:rsidP="00685D97">
      <w:pPr>
        <w:spacing w:line="480" w:lineRule="auto"/>
        <w:ind w:firstLine="720"/>
        <w:rPr>
          <w:rFonts w:ascii="Times New Roman" w:hAnsi="Times New Roman" w:cs="Times New Roman"/>
          <w:sz w:val="24"/>
          <w:szCs w:val="24"/>
        </w:rPr>
      </w:pPr>
      <w:r w:rsidRPr="005E46FA">
        <w:rPr>
          <w:rFonts w:ascii="Times New Roman" w:hAnsi="Times New Roman" w:cs="Times New Roman"/>
          <w:sz w:val="24"/>
          <w:szCs w:val="24"/>
        </w:rPr>
        <w:t>Scaffolding using Lepanchor (Rastas, 2020), generated 12 scaffolds from the 12 LGs designated in the map, nine of which are clearly chromosome-scale. Ultimately, 178.578 Mb (~96.4% of 185.227 Mb) of the primary assembly were placed into these 12 scaffolds which ranged in size from 43.5 Mb (LG 1) to 3.2 Mb (LG 12). See Tables 1 and 2 for additional assembly statistics and map details, respectively. Approximately 6 Mb across 148 contigs of the final assembly remained unplaced with respect to the scaffolds. After running Lepanchor, we reran the Ordermarkers2 module of Lepmap3 to finalize the genetic map. The outputs of which were parsed to develop files to plot Marey Maps (Chakravarti, 1991) to estimate recombination rates for both the male and female specific maps (Figure 1: panels 1–12). Our procedure generated LGs that ranged in size from 203.3 to 39.6 cM and 158.7 to 53.7 cM for male and female maps, respectively (Table 2). It is important to note that sex-specific maps can be compared directly in Daphnia because they do not have sex chromosomes.</w:t>
      </w:r>
    </w:p>
    <w:p w14:paraId="25A89D63" w14:textId="4521CCB1" w:rsidR="001B7550" w:rsidRPr="001B7550" w:rsidRDefault="001B7550" w:rsidP="00685D97">
      <w:pPr>
        <w:spacing w:line="480" w:lineRule="auto"/>
        <w:ind w:firstLine="720"/>
        <w:rPr>
          <w:rFonts w:ascii="Times New Roman" w:hAnsi="Times New Roman" w:cs="Times New Roman"/>
          <w:sz w:val="24"/>
          <w:szCs w:val="24"/>
        </w:rPr>
      </w:pPr>
      <w:r w:rsidRPr="001B7550">
        <w:rPr>
          <w:rFonts w:ascii="Times New Roman" w:hAnsi="Times New Roman" w:cs="Times New Roman"/>
          <w:sz w:val="24"/>
          <w:szCs w:val="24"/>
        </w:rPr>
        <w:lastRenderedPageBreak/>
        <w:t>The total male map length was longer than the female map length by 82.1 cM, with a total male map length of 1429.3 cM and a total female map length of 1347.2 cM. Estimates of genome-wide recombination rate (GWRR) placed the male-specific recombination at 8.04 cM/Mb and the female-specific recombination rate at 7.57 cM/Mb. GWRR was calculated by taking the ratio of the cumulative map lengths and the total physical length of the genome (Dukić et al., 2016). However, when averaged across all linkage groups, the mean recombination rates for both the male and female lineages were approximately equal at 11.14 cM/Mb and 11.13 cM/Mb, respectively. The overall increase in male map length appears to be driven by higher numbers of crossover events towards the very ends of chromosomes. In two LGs (2 and 12), however, the female map length is longer than the male map length. Visual inspection of the Marey Maps (Figure 1) revealed that all of the chromosome-sized LGs had at least one area of suppressed recombination located either in the centre or towards one end, which consisted of 60%–70% of the total physical length of the LG. However, these regions did not appear to be sex specific. The two largest LGs in terms of physical length (LGs 1 and 6, 43.5 and 24.2 Mb, respectively; Table 2) each had areas of suppressed recombination nearer the ends of the map indicating that suppressed recombination is not restricted to a single centromeric region on these LGs. Each of the smaller subchromosome sized LGs (i.e., LGs 9, 11, and 12; 4.6–3.2 Mb, Table 2) each had consistently high recombination suggesting that the scaffolds may approximate single arms of larger incompletely resolved chromosomes (Figure S2).</w:t>
      </w:r>
    </w:p>
    <w:p w14:paraId="23F3A13E" w14:textId="36B7E0A6" w:rsidR="001B7550" w:rsidRDefault="001B7550" w:rsidP="00685D97">
      <w:pPr>
        <w:spacing w:line="480" w:lineRule="auto"/>
        <w:ind w:firstLine="720"/>
        <w:rPr>
          <w:rFonts w:ascii="Times New Roman" w:hAnsi="Times New Roman" w:cs="Times New Roman"/>
          <w:sz w:val="24"/>
          <w:szCs w:val="24"/>
        </w:rPr>
      </w:pPr>
      <w:r w:rsidRPr="001B7550">
        <w:rPr>
          <w:rFonts w:ascii="Times New Roman" w:hAnsi="Times New Roman" w:cs="Times New Roman"/>
          <w:sz w:val="24"/>
          <w:szCs w:val="24"/>
        </w:rPr>
        <w:t xml:space="preserve">To better understand the factors shaping intrachromosomal recombination landscapes, we estimated recombination rates in cM/Mb for 1 Mb windows stepping 10 Kb along Marey maps. In the same windows, we estimated both coding DNA sequence (CDS) content and content of repeats sequences (e.g., transposons, LTR elements, etc.) along chromosomes. Across both the </w:t>
      </w:r>
      <w:r w:rsidRPr="001B7550">
        <w:rPr>
          <w:rFonts w:ascii="Times New Roman" w:hAnsi="Times New Roman" w:cs="Times New Roman"/>
          <w:sz w:val="24"/>
          <w:szCs w:val="24"/>
        </w:rPr>
        <w:lastRenderedPageBreak/>
        <w:t>male and female maps, higher proportions of repeat content were negatively correlated with recombination rate (rm = −0.207, p &lt; 2.2e-16; rf = −0.251, p &lt; 2.2e-16). Meanwhile, across both maps there was a positive correlation between CDS portion and recombination rates (rm = 0.269, p &lt; 2.2e-16; rf = 0.350, p &lt; 2.2e-16). Figure S3A–D shows the patterns in aggregate across both maps.</w:t>
      </w:r>
    </w:p>
    <w:p w14:paraId="5335058F" w14:textId="2694E663" w:rsidR="00BB349B" w:rsidRPr="00BB349B" w:rsidRDefault="00BB349B" w:rsidP="00BB349B">
      <w:pPr>
        <w:spacing w:line="480" w:lineRule="auto"/>
        <w:rPr>
          <w:rFonts w:ascii="Times New Roman" w:hAnsi="Times New Roman" w:cs="Times New Roman"/>
          <w:i/>
          <w:iCs/>
          <w:sz w:val="24"/>
          <w:szCs w:val="24"/>
        </w:rPr>
      </w:pPr>
      <w:r w:rsidRPr="00BB349B">
        <w:rPr>
          <w:rFonts w:ascii="Times New Roman" w:hAnsi="Times New Roman" w:cs="Times New Roman"/>
          <w:i/>
          <w:iCs/>
          <w:sz w:val="24"/>
          <w:szCs w:val="24"/>
        </w:rPr>
        <w:t>Genome annotation and completeness</w:t>
      </w:r>
      <w:r>
        <w:rPr>
          <w:rFonts w:ascii="Times New Roman" w:hAnsi="Times New Roman" w:cs="Times New Roman"/>
          <w:i/>
          <w:iCs/>
          <w:sz w:val="24"/>
          <w:szCs w:val="24"/>
        </w:rPr>
        <w:t>:</w:t>
      </w:r>
    </w:p>
    <w:p w14:paraId="4412D12E" w14:textId="300FF7A7" w:rsidR="00BB349B" w:rsidRPr="00BB349B" w:rsidRDefault="00BB349B" w:rsidP="00BB349B">
      <w:pPr>
        <w:spacing w:line="480" w:lineRule="auto"/>
        <w:rPr>
          <w:rFonts w:ascii="Times New Roman" w:hAnsi="Times New Roman" w:cs="Times New Roman"/>
          <w:sz w:val="24"/>
          <w:szCs w:val="24"/>
        </w:rPr>
      </w:pPr>
      <w:r w:rsidRPr="00BB349B">
        <w:rPr>
          <w:rFonts w:ascii="Times New Roman" w:hAnsi="Times New Roman" w:cs="Times New Roman"/>
          <w:sz w:val="24"/>
          <w:szCs w:val="24"/>
        </w:rPr>
        <w:t>The D. pulicaria genome hosts a diverse set of elements ranging from DNA transposons to retrotransposons. Tables S2 and S3 show the output of Repeatmasker for each haplotype (13B and 2X). Interestingly, the majority of the repeat content remained unclassified to family (Tables S2 and S3; Figure S4). Surveying the Kimura two-parameter divergence between repeats and the consensus sequence indicated that transposition was active and ongoing, as upwards of 4% of the genome had repeats that were essentially un-diverged from their parental sequences (Figure S4).</w:t>
      </w:r>
    </w:p>
    <w:p w14:paraId="35C18599" w14:textId="20EFB239" w:rsidR="00685D97" w:rsidRDefault="00BB349B" w:rsidP="00BB349B">
      <w:pPr>
        <w:spacing w:line="480" w:lineRule="auto"/>
        <w:ind w:firstLine="720"/>
        <w:rPr>
          <w:rFonts w:ascii="Times New Roman" w:hAnsi="Times New Roman" w:cs="Times New Roman"/>
          <w:sz w:val="24"/>
          <w:szCs w:val="24"/>
        </w:rPr>
      </w:pPr>
      <w:r w:rsidRPr="00BB349B">
        <w:rPr>
          <w:rFonts w:ascii="Times New Roman" w:hAnsi="Times New Roman" w:cs="Times New Roman"/>
          <w:sz w:val="24"/>
          <w:szCs w:val="24"/>
        </w:rPr>
        <w:t>The predicted proteome for the 13B haplotype consisted of 23,373 amino acid sequences of which 20,628 could be given functional annotations based on Interproscan (Jones et al., 2014). We computed 22,959 gene models for the 2X haplotype, 20,295 of which were given functional annotations. Total gene sizes, intron length, exon length, and intergene spaces were consistent across both haplotypes (Table S4). Benchmarking universal single-copy orthologues (BUSCO) analysis (Simão et al., 2015) of both haplotypes indicated that each was highly complete. The 13B haplotype resolved 1001 out of 1013 complete arthropod BUSCOs (C: 98.8%), 982 of which were single copy (S: 96.9%) with 19 duplicated, seven fragmented and five missing BUSCOs (Figure S4). The 2X haplotype resolved 999 complete BUSCOs (C: 98.6%), with 979 of these being present as single copies (S: 96.5%). Similar to the 13B haplotype, haplotype 2X had only nine fragmented and five missing BUSCOs (Figure S5).</w:t>
      </w:r>
    </w:p>
    <w:p w14:paraId="76C979FC" w14:textId="1BDFD40F" w:rsidR="00761BC4" w:rsidRPr="00761BC4" w:rsidRDefault="00761BC4" w:rsidP="00761BC4">
      <w:pPr>
        <w:spacing w:line="480" w:lineRule="auto"/>
        <w:rPr>
          <w:rFonts w:ascii="Times New Roman" w:hAnsi="Times New Roman" w:cs="Times New Roman"/>
          <w:i/>
          <w:iCs/>
          <w:sz w:val="24"/>
          <w:szCs w:val="24"/>
        </w:rPr>
      </w:pPr>
      <w:r w:rsidRPr="00761BC4">
        <w:rPr>
          <w:rFonts w:ascii="Times New Roman" w:hAnsi="Times New Roman" w:cs="Times New Roman"/>
          <w:i/>
          <w:iCs/>
          <w:sz w:val="24"/>
          <w:szCs w:val="24"/>
        </w:rPr>
        <w:lastRenderedPageBreak/>
        <w:t>Speciation genomics</w:t>
      </w:r>
      <w:r>
        <w:rPr>
          <w:rFonts w:ascii="Times New Roman" w:hAnsi="Times New Roman" w:cs="Times New Roman"/>
          <w:i/>
          <w:iCs/>
          <w:sz w:val="24"/>
          <w:szCs w:val="24"/>
        </w:rPr>
        <w:t>:</w:t>
      </w:r>
    </w:p>
    <w:p w14:paraId="21B6CDBD" w14:textId="74D70A8E" w:rsidR="009623EA" w:rsidRDefault="00761BC4" w:rsidP="00761BC4">
      <w:pPr>
        <w:spacing w:line="480" w:lineRule="auto"/>
        <w:rPr>
          <w:rFonts w:ascii="Times New Roman" w:hAnsi="Times New Roman" w:cs="Times New Roman"/>
          <w:sz w:val="24"/>
          <w:szCs w:val="24"/>
        </w:rPr>
      </w:pPr>
      <w:r w:rsidRPr="00761BC4">
        <w:rPr>
          <w:rFonts w:ascii="Times New Roman" w:hAnsi="Times New Roman" w:cs="Times New Roman"/>
          <w:sz w:val="24"/>
          <w:szCs w:val="24"/>
        </w:rPr>
        <w:t>The “single SNP” data set consisted of 32,949 SNPs from across all 159 samples using the one SNP per RADtag option in Stacks. The “all SNPs” data set consisted of 244,020 SNPs from across all 159 samples which omitted the one-SNP option. We found that the D. pulex assembly and our 13B haplotype are largely colinear (see Supporting Information; Figure S30).</w:t>
      </w:r>
    </w:p>
    <w:p w14:paraId="4C2EBB9D" w14:textId="31C168EE" w:rsidR="00761BC4" w:rsidRPr="00761BC4" w:rsidRDefault="00761BC4" w:rsidP="00761BC4">
      <w:pPr>
        <w:spacing w:line="480" w:lineRule="auto"/>
        <w:rPr>
          <w:rFonts w:ascii="Times New Roman" w:hAnsi="Times New Roman" w:cs="Times New Roman"/>
          <w:i/>
          <w:iCs/>
          <w:sz w:val="24"/>
          <w:szCs w:val="24"/>
        </w:rPr>
      </w:pPr>
      <w:r w:rsidRPr="00761BC4">
        <w:rPr>
          <w:rFonts w:ascii="Times New Roman" w:hAnsi="Times New Roman" w:cs="Times New Roman"/>
          <w:i/>
          <w:iCs/>
          <w:sz w:val="24"/>
          <w:szCs w:val="24"/>
        </w:rPr>
        <w:t>Population structure</w:t>
      </w:r>
      <w:r>
        <w:rPr>
          <w:rFonts w:ascii="Times New Roman" w:hAnsi="Times New Roman" w:cs="Times New Roman"/>
          <w:i/>
          <w:iCs/>
          <w:sz w:val="24"/>
          <w:szCs w:val="24"/>
        </w:rPr>
        <w:t>:</w:t>
      </w:r>
    </w:p>
    <w:p w14:paraId="78BCD1E2" w14:textId="63E33FB6" w:rsidR="00761BC4" w:rsidRDefault="00761BC4" w:rsidP="00761BC4">
      <w:pPr>
        <w:spacing w:line="480" w:lineRule="auto"/>
        <w:rPr>
          <w:rFonts w:ascii="Times New Roman" w:hAnsi="Times New Roman" w:cs="Times New Roman"/>
          <w:sz w:val="24"/>
          <w:szCs w:val="24"/>
        </w:rPr>
      </w:pPr>
      <w:r w:rsidRPr="00761BC4">
        <w:rPr>
          <w:rFonts w:ascii="Times New Roman" w:hAnsi="Times New Roman" w:cs="Times New Roman"/>
          <w:sz w:val="24"/>
          <w:szCs w:val="24"/>
        </w:rPr>
        <w:t>Both PCA and fastSTRUCTURE gave consistent results. For PCA, clusters representing “pure” pulicaria and “pure” pulex individuals were clearly delineated along the first two principal axes (Figure 2a). The structure of the pulex-grouping clearly indicated residual structure that could be expressed on other PCs as well. The hybrids appeared as a single clearly delineated central cluster located between the clusters for each of the parents. The results for fastSTRUCTURE (K = 2), are shown in Figure 2b; these results show that population assignment of each parental grouping was highly supported with the F1 hybrids also clearly delineated with approximately 50/50 posterior assignments. Several individuals that were identified in the data set as “admixed” by Clifford (2016), were also delineated clearly in the bar plot as having a greater proportion of ancestry derived from one parental lineage. The direction of backcrossing appears to favor D. pulex, where these individuals appear to have increased proportions of ancestry shared with this parental lineage (Paland et al., 2005).</w:t>
      </w:r>
    </w:p>
    <w:p w14:paraId="25801458" w14:textId="37CA4F3E" w:rsidR="002A290B" w:rsidRPr="002A290B" w:rsidRDefault="002A290B" w:rsidP="002A290B">
      <w:pPr>
        <w:spacing w:line="480" w:lineRule="auto"/>
        <w:rPr>
          <w:rFonts w:ascii="Times New Roman" w:hAnsi="Times New Roman" w:cs="Times New Roman"/>
          <w:i/>
          <w:iCs/>
          <w:sz w:val="24"/>
          <w:szCs w:val="24"/>
        </w:rPr>
      </w:pPr>
      <w:r w:rsidRPr="002A290B">
        <w:rPr>
          <w:rFonts w:ascii="Times New Roman" w:hAnsi="Times New Roman" w:cs="Times New Roman"/>
          <w:i/>
          <w:iCs/>
          <w:sz w:val="24"/>
          <w:szCs w:val="24"/>
        </w:rPr>
        <w:t>Recombination landscape surrounding F</w:t>
      </w:r>
      <w:r w:rsidRPr="002A290B">
        <w:rPr>
          <w:rFonts w:ascii="Times New Roman" w:hAnsi="Times New Roman" w:cs="Times New Roman"/>
          <w:i/>
          <w:iCs/>
          <w:sz w:val="24"/>
          <w:szCs w:val="24"/>
          <w:vertAlign w:val="subscript"/>
        </w:rPr>
        <w:t>ST</w:t>
      </w:r>
      <w:r w:rsidRPr="002A290B">
        <w:rPr>
          <w:rFonts w:ascii="Times New Roman" w:hAnsi="Times New Roman" w:cs="Times New Roman"/>
          <w:i/>
          <w:iCs/>
          <w:sz w:val="24"/>
          <w:szCs w:val="24"/>
        </w:rPr>
        <w:t xml:space="preserve"> outliers</w:t>
      </w:r>
      <w:r>
        <w:rPr>
          <w:rFonts w:ascii="Times New Roman" w:hAnsi="Times New Roman" w:cs="Times New Roman"/>
          <w:i/>
          <w:iCs/>
          <w:sz w:val="24"/>
          <w:szCs w:val="24"/>
        </w:rPr>
        <w:t>:</w:t>
      </w:r>
    </w:p>
    <w:p w14:paraId="20100D60" w14:textId="674EC8F9" w:rsidR="00761BC4" w:rsidRDefault="002A290B" w:rsidP="002A290B">
      <w:pPr>
        <w:spacing w:line="480" w:lineRule="auto"/>
        <w:rPr>
          <w:rFonts w:ascii="Times New Roman" w:hAnsi="Times New Roman" w:cs="Times New Roman"/>
          <w:sz w:val="24"/>
          <w:szCs w:val="24"/>
        </w:rPr>
      </w:pPr>
      <w:r w:rsidRPr="002A290B">
        <w:rPr>
          <w:rFonts w:ascii="Times New Roman" w:hAnsi="Times New Roman" w:cs="Times New Roman"/>
          <w:sz w:val="24"/>
          <w:szCs w:val="24"/>
        </w:rPr>
        <w:t>We found that FST outlier loci did not preferentially fall in regions of low recombination. VCFtools computed F</w:t>
      </w:r>
      <w:r w:rsidRPr="002A290B">
        <w:rPr>
          <w:rFonts w:ascii="Times New Roman" w:hAnsi="Times New Roman" w:cs="Times New Roman"/>
          <w:sz w:val="24"/>
          <w:szCs w:val="24"/>
          <w:vertAlign w:val="subscript"/>
        </w:rPr>
        <w:t>ST</w:t>
      </w:r>
      <w:r w:rsidRPr="002A290B">
        <w:rPr>
          <w:rFonts w:ascii="Times New Roman" w:hAnsi="Times New Roman" w:cs="Times New Roman"/>
          <w:sz w:val="24"/>
          <w:szCs w:val="24"/>
        </w:rPr>
        <w:t xml:space="preserve"> estimates for 30,475 sites between D. pulex and D. pulicaria; we identified 762 outliers that had estimates of F</w:t>
      </w:r>
      <w:r w:rsidRPr="002A290B">
        <w:rPr>
          <w:rFonts w:ascii="Times New Roman" w:hAnsi="Times New Roman" w:cs="Times New Roman"/>
          <w:sz w:val="24"/>
          <w:szCs w:val="24"/>
          <w:vertAlign w:val="subscript"/>
        </w:rPr>
        <w:t xml:space="preserve">ST </w:t>
      </w:r>
      <w:r w:rsidRPr="002A290B">
        <w:rPr>
          <w:rFonts w:ascii="Times New Roman" w:hAnsi="Times New Roman" w:cs="Times New Roman"/>
          <w:sz w:val="24"/>
          <w:szCs w:val="24"/>
        </w:rPr>
        <w:t xml:space="preserve">above the 95th percentile (FST &gt; 0.935). Using </w:t>
      </w:r>
      <w:r w:rsidRPr="002A290B">
        <w:rPr>
          <w:rFonts w:ascii="Times New Roman" w:hAnsi="Times New Roman" w:cs="Times New Roman"/>
          <w:sz w:val="24"/>
          <w:szCs w:val="24"/>
        </w:rPr>
        <w:lastRenderedPageBreak/>
        <w:t xml:space="preserve">permutation tests, we assessed whether outlier SNPs had a greater average recombination rate in 100-kb windows centred on the SNP than 1000 groups of 762 randomly drawn background SNPs. For the male map, we determined that outlier SNPs with a mean recombination rate of 7.52 cM/Mb is not significant at the p = .05 level, nevertheless the observed recombination rate of the outlier SNPs exists in the upper tail of the distribution of the background SNPs (p = .08; Figure 3a). These results were echoed by the female map, where the mean recombination rate for outliers was 7.53 cM/Mb, here only 91 permutations were larger than the outliers (p = .091; Figure 3b). This relationship could be driven by the fact that outlier SNPs appear to be preferentially located in regions of high CDS density (Figure 3c). Calculating the proportion of CDS in the same 100 kb windows centred on the SNPs revealed that outliers had a mean CDS proportion of 0.252, while the 1000 background SNP permutations were surrounded on average by a proportion of CDS of 0.215 (p </w:t>
      </w:r>
      <w:r w:rsidRPr="002A290B">
        <w:rPr>
          <w:rFonts w:ascii="Cambria Math" w:hAnsi="Cambria Math" w:cs="Cambria Math"/>
          <w:sz w:val="24"/>
          <w:szCs w:val="24"/>
        </w:rPr>
        <w:t>≪</w:t>
      </w:r>
      <w:r w:rsidRPr="002A290B">
        <w:rPr>
          <w:rFonts w:ascii="Times New Roman" w:hAnsi="Times New Roman" w:cs="Times New Roman"/>
          <w:sz w:val="24"/>
          <w:szCs w:val="24"/>
        </w:rPr>
        <w:t xml:space="preserve"> .001). Mean FST was moderately elevated (mean = 0.1165 across the 30,475 sites) and the distribution showed a clear pattern that was consistent with outliers in the data (Figure 3d).</w:t>
      </w:r>
    </w:p>
    <w:p w14:paraId="28817F20" w14:textId="37BD572E" w:rsidR="002C6B85" w:rsidRPr="002C6B85" w:rsidRDefault="002C6B85" w:rsidP="002C6B85">
      <w:pPr>
        <w:spacing w:line="480" w:lineRule="auto"/>
        <w:rPr>
          <w:rFonts w:ascii="Times New Roman" w:hAnsi="Times New Roman" w:cs="Times New Roman"/>
          <w:i/>
          <w:iCs/>
          <w:sz w:val="24"/>
          <w:szCs w:val="24"/>
        </w:rPr>
      </w:pPr>
      <w:r w:rsidRPr="002C6B85">
        <w:rPr>
          <w:rFonts w:ascii="Times New Roman" w:hAnsi="Times New Roman" w:cs="Times New Roman"/>
          <w:i/>
          <w:iCs/>
          <w:sz w:val="24"/>
          <w:szCs w:val="24"/>
        </w:rPr>
        <w:t>Patterns of genomic differentiation, divergence and diversity</w:t>
      </w:r>
      <w:r>
        <w:rPr>
          <w:rFonts w:ascii="Times New Roman" w:hAnsi="Times New Roman" w:cs="Times New Roman"/>
          <w:i/>
          <w:iCs/>
          <w:sz w:val="24"/>
          <w:szCs w:val="24"/>
        </w:rPr>
        <w:t>:</w:t>
      </w:r>
    </w:p>
    <w:p w14:paraId="5480F549" w14:textId="549D10F2" w:rsidR="002A290B" w:rsidRDefault="002C6B85" w:rsidP="002C6B85">
      <w:pPr>
        <w:spacing w:line="480" w:lineRule="auto"/>
        <w:rPr>
          <w:rFonts w:ascii="Times New Roman" w:hAnsi="Times New Roman" w:cs="Times New Roman"/>
          <w:sz w:val="24"/>
          <w:szCs w:val="24"/>
        </w:rPr>
      </w:pPr>
      <w:r w:rsidRPr="002C6B85">
        <w:rPr>
          <w:rFonts w:ascii="Times New Roman" w:hAnsi="Times New Roman" w:cs="Times New Roman"/>
          <w:sz w:val="24"/>
          <w:szCs w:val="24"/>
        </w:rPr>
        <w:t>We calculated F</w:t>
      </w:r>
      <w:r w:rsidRPr="002C6B85">
        <w:rPr>
          <w:rFonts w:ascii="Times New Roman" w:hAnsi="Times New Roman" w:cs="Times New Roman"/>
          <w:sz w:val="24"/>
          <w:szCs w:val="24"/>
          <w:vertAlign w:val="subscript"/>
        </w:rPr>
        <w:t>ST</w:t>
      </w:r>
      <w:r w:rsidRPr="002C6B85">
        <w:rPr>
          <w:rFonts w:ascii="Times New Roman" w:hAnsi="Times New Roman" w:cs="Times New Roman"/>
          <w:sz w:val="24"/>
          <w:szCs w:val="24"/>
        </w:rPr>
        <w:t xml:space="preserve"> (relative divergence, aka differentiation), D</w:t>
      </w:r>
      <w:r w:rsidRPr="002C6B85">
        <w:rPr>
          <w:rFonts w:ascii="Times New Roman" w:hAnsi="Times New Roman" w:cs="Times New Roman"/>
          <w:sz w:val="24"/>
          <w:szCs w:val="24"/>
          <w:vertAlign w:val="subscript"/>
        </w:rPr>
        <w:t>xy</w:t>
      </w:r>
      <w:r w:rsidRPr="002C6B85">
        <w:rPr>
          <w:rFonts w:ascii="Times New Roman" w:hAnsi="Times New Roman" w:cs="Times New Roman"/>
          <w:sz w:val="24"/>
          <w:szCs w:val="24"/>
        </w:rPr>
        <w:t xml:space="preserve"> (absolute divergence), π (diversity) and Tajima's D (summary of allele frequency spectrum) in windows along each chromosome using the “all SNPs” data set. The landscape of all four measures along the genome were heterogenous with respect to comparisons between D. pulex and D. pulicaria. Chromosomes typically had two large (range 1–4) regions of high F</w:t>
      </w:r>
      <w:r w:rsidRPr="002C6B85">
        <w:rPr>
          <w:rFonts w:ascii="Times New Roman" w:hAnsi="Times New Roman" w:cs="Times New Roman"/>
          <w:sz w:val="24"/>
          <w:szCs w:val="24"/>
          <w:vertAlign w:val="subscript"/>
        </w:rPr>
        <w:t>ST</w:t>
      </w:r>
      <w:r w:rsidRPr="002C6B85">
        <w:rPr>
          <w:rFonts w:ascii="Times New Roman" w:hAnsi="Times New Roman" w:cs="Times New Roman"/>
          <w:sz w:val="24"/>
          <w:szCs w:val="24"/>
        </w:rPr>
        <w:t>, overall F</w:t>
      </w:r>
      <w:r w:rsidRPr="002C6B85">
        <w:rPr>
          <w:rFonts w:ascii="Times New Roman" w:hAnsi="Times New Roman" w:cs="Times New Roman"/>
          <w:sz w:val="24"/>
          <w:szCs w:val="24"/>
          <w:vertAlign w:val="subscript"/>
        </w:rPr>
        <w:t>ST</w:t>
      </w:r>
      <w:r w:rsidRPr="002C6B85">
        <w:rPr>
          <w:rFonts w:ascii="Times New Roman" w:hAnsi="Times New Roman" w:cs="Times New Roman"/>
          <w:sz w:val="24"/>
          <w:szCs w:val="24"/>
        </w:rPr>
        <w:t xml:space="preserve"> was low with chromosome-wide averages ranging from ~0.1 to 0.35 (LGs 12 and 10, respectively). Chromosome F</w:t>
      </w:r>
      <w:r w:rsidRPr="002C6B85">
        <w:rPr>
          <w:rFonts w:ascii="Times New Roman" w:hAnsi="Times New Roman" w:cs="Times New Roman"/>
          <w:sz w:val="24"/>
          <w:szCs w:val="24"/>
          <w:vertAlign w:val="subscript"/>
        </w:rPr>
        <w:t>ST</w:t>
      </w:r>
      <w:r w:rsidRPr="002C6B85">
        <w:rPr>
          <w:rFonts w:ascii="Times New Roman" w:hAnsi="Times New Roman" w:cs="Times New Roman"/>
          <w:sz w:val="24"/>
          <w:szCs w:val="24"/>
        </w:rPr>
        <w:t xml:space="preserve"> -islands reached a high of 0.5 with most approaching 0.4. Each F</w:t>
      </w:r>
      <w:r w:rsidRPr="002C6B85">
        <w:rPr>
          <w:rFonts w:ascii="Times New Roman" w:hAnsi="Times New Roman" w:cs="Times New Roman"/>
          <w:sz w:val="24"/>
          <w:szCs w:val="24"/>
          <w:vertAlign w:val="subscript"/>
        </w:rPr>
        <w:t>ST</w:t>
      </w:r>
      <w:r w:rsidRPr="002C6B85">
        <w:rPr>
          <w:rFonts w:ascii="Times New Roman" w:hAnsi="Times New Roman" w:cs="Times New Roman"/>
          <w:sz w:val="24"/>
          <w:szCs w:val="24"/>
        </w:rPr>
        <w:t xml:space="preserve"> island corresponded well to regions of high Dxy and indicated that regions of high F</w:t>
      </w:r>
      <w:r w:rsidRPr="002C6B85">
        <w:rPr>
          <w:rFonts w:ascii="Times New Roman" w:hAnsi="Times New Roman" w:cs="Times New Roman"/>
          <w:sz w:val="24"/>
          <w:szCs w:val="24"/>
          <w:vertAlign w:val="subscript"/>
        </w:rPr>
        <w:t>ST</w:t>
      </w:r>
      <w:r w:rsidRPr="002C6B85">
        <w:rPr>
          <w:rFonts w:ascii="Times New Roman" w:hAnsi="Times New Roman" w:cs="Times New Roman"/>
          <w:sz w:val="24"/>
          <w:szCs w:val="24"/>
        </w:rPr>
        <w:t xml:space="preserve"> were also </w:t>
      </w:r>
      <w:r w:rsidRPr="002C6B85">
        <w:rPr>
          <w:rFonts w:ascii="Times New Roman" w:hAnsi="Times New Roman" w:cs="Times New Roman"/>
          <w:sz w:val="24"/>
          <w:szCs w:val="24"/>
        </w:rPr>
        <w:lastRenderedPageBreak/>
        <w:t>regions of reduced gene flow (Cruickshank &amp; Hahn, 2014). Figure 4 shows patterns of recombination, F</w:t>
      </w:r>
      <w:r w:rsidRPr="002C6B85">
        <w:rPr>
          <w:rFonts w:ascii="Times New Roman" w:hAnsi="Times New Roman" w:cs="Times New Roman"/>
          <w:sz w:val="24"/>
          <w:szCs w:val="24"/>
          <w:vertAlign w:val="subscript"/>
        </w:rPr>
        <w:t>ST</w:t>
      </w:r>
      <w:r w:rsidRPr="002C6B85">
        <w:rPr>
          <w:rFonts w:ascii="Times New Roman" w:hAnsi="Times New Roman" w:cs="Times New Roman"/>
          <w:sz w:val="24"/>
          <w:szCs w:val="24"/>
        </w:rPr>
        <w:t>, nucleotide diversity, D</w:t>
      </w:r>
      <w:r w:rsidRPr="002C6B85">
        <w:rPr>
          <w:rFonts w:ascii="Times New Roman" w:hAnsi="Times New Roman" w:cs="Times New Roman"/>
          <w:sz w:val="24"/>
          <w:szCs w:val="24"/>
          <w:vertAlign w:val="subscript"/>
        </w:rPr>
        <w:t>xy</w:t>
      </w:r>
      <w:r w:rsidRPr="002C6B85">
        <w:rPr>
          <w:rFonts w:ascii="Times New Roman" w:hAnsi="Times New Roman" w:cs="Times New Roman"/>
          <w:sz w:val="24"/>
          <w:szCs w:val="24"/>
        </w:rPr>
        <w:t xml:space="preserve">, and element density on LG 1. Chromosome-wide measures of nucleotide diversity (Table S5) were always larger for </w:t>
      </w:r>
      <w:r w:rsidRPr="002C6B85">
        <w:rPr>
          <w:rFonts w:ascii="Times New Roman" w:hAnsi="Times New Roman" w:cs="Times New Roman"/>
          <w:i/>
          <w:iCs/>
          <w:sz w:val="24"/>
          <w:szCs w:val="24"/>
        </w:rPr>
        <w:t>D. pulex</w:t>
      </w:r>
      <w:r w:rsidRPr="002C6B85">
        <w:rPr>
          <w:rFonts w:ascii="Times New Roman" w:hAnsi="Times New Roman" w:cs="Times New Roman"/>
          <w:sz w:val="24"/>
          <w:szCs w:val="24"/>
        </w:rPr>
        <w:t xml:space="preserve"> than for </w:t>
      </w:r>
      <w:r w:rsidRPr="002C6B85">
        <w:rPr>
          <w:rFonts w:ascii="Times New Roman" w:hAnsi="Times New Roman" w:cs="Times New Roman"/>
          <w:i/>
          <w:iCs/>
          <w:sz w:val="24"/>
          <w:szCs w:val="24"/>
        </w:rPr>
        <w:t>D. pulicaria</w:t>
      </w:r>
      <w:r w:rsidRPr="002C6B85">
        <w:rPr>
          <w:rFonts w:ascii="Times New Roman" w:hAnsi="Times New Roman" w:cs="Times New Roman"/>
          <w:sz w:val="24"/>
          <w:szCs w:val="24"/>
        </w:rPr>
        <w:t>, which supports the notion that both lineages differ in effective population size (Ne; Omilian &amp; Lynch, 2009). Regions of high F</w:t>
      </w:r>
      <w:r w:rsidRPr="002C6B85">
        <w:rPr>
          <w:rFonts w:ascii="Times New Roman" w:hAnsi="Times New Roman" w:cs="Times New Roman"/>
          <w:sz w:val="24"/>
          <w:szCs w:val="24"/>
          <w:vertAlign w:val="subscript"/>
        </w:rPr>
        <w:t>ST</w:t>
      </w:r>
      <w:r w:rsidRPr="002C6B85">
        <w:rPr>
          <w:rFonts w:ascii="Times New Roman" w:hAnsi="Times New Roman" w:cs="Times New Roman"/>
          <w:sz w:val="24"/>
          <w:szCs w:val="24"/>
        </w:rPr>
        <w:t xml:space="preserve"> and D</w:t>
      </w:r>
      <w:r w:rsidRPr="002C6B85">
        <w:rPr>
          <w:rFonts w:ascii="Times New Roman" w:hAnsi="Times New Roman" w:cs="Times New Roman"/>
          <w:sz w:val="24"/>
          <w:szCs w:val="24"/>
          <w:vertAlign w:val="subscript"/>
        </w:rPr>
        <w:t>xy</w:t>
      </w:r>
      <w:r w:rsidRPr="002C6B85">
        <w:rPr>
          <w:rFonts w:ascii="Times New Roman" w:hAnsi="Times New Roman" w:cs="Times New Roman"/>
          <w:sz w:val="24"/>
          <w:szCs w:val="24"/>
        </w:rPr>
        <w:t xml:space="preserve"> also generally correspond to troughs in π for </w:t>
      </w:r>
      <w:r w:rsidRPr="002C6B85">
        <w:rPr>
          <w:rFonts w:ascii="Times New Roman" w:hAnsi="Times New Roman" w:cs="Times New Roman"/>
          <w:i/>
          <w:iCs/>
          <w:sz w:val="24"/>
          <w:szCs w:val="24"/>
        </w:rPr>
        <w:t>D. pulicaria</w:t>
      </w:r>
      <w:r w:rsidRPr="002C6B85">
        <w:rPr>
          <w:rFonts w:ascii="Times New Roman" w:hAnsi="Times New Roman" w:cs="Times New Roman"/>
          <w:sz w:val="24"/>
          <w:szCs w:val="24"/>
        </w:rPr>
        <w:t xml:space="preserve">, indicating lineage-specific selection on these regions (Figures S6–S28). These signatures of selection in the sliding window data generally correspond to regions of high gene density (measured as proportion of CDS within the window), indicating that selection is restricted to functional regions of the genome. Genome-wide across both </w:t>
      </w:r>
      <w:r w:rsidRPr="002C6B85">
        <w:rPr>
          <w:rFonts w:ascii="Times New Roman" w:hAnsi="Times New Roman" w:cs="Times New Roman"/>
          <w:i/>
          <w:iCs/>
          <w:sz w:val="24"/>
          <w:szCs w:val="24"/>
        </w:rPr>
        <w:t>D. pulex</w:t>
      </w:r>
      <w:r w:rsidRPr="002C6B85">
        <w:rPr>
          <w:rFonts w:ascii="Times New Roman" w:hAnsi="Times New Roman" w:cs="Times New Roman"/>
          <w:sz w:val="24"/>
          <w:szCs w:val="24"/>
        </w:rPr>
        <w:t xml:space="preserve"> and </w:t>
      </w:r>
      <w:r w:rsidRPr="002C6B85">
        <w:rPr>
          <w:rFonts w:ascii="Times New Roman" w:hAnsi="Times New Roman" w:cs="Times New Roman"/>
          <w:i/>
          <w:iCs/>
          <w:sz w:val="24"/>
          <w:szCs w:val="24"/>
        </w:rPr>
        <w:t>D. pulicaria</w:t>
      </w:r>
      <w:r w:rsidRPr="002C6B85">
        <w:rPr>
          <w:rFonts w:ascii="Times New Roman" w:hAnsi="Times New Roman" w:cs="Times New Roman"/>
          <w:sz w:val="24"/>
          <w:szCs w:val="24"/>
        </w:rPr>
        <w:t xml:space="preserve">, Tajima's D was always negative on average (Table S5) and indicated that both lineages were experiencing population expansion but were more negative on average for </w:t>
      </w:r>
      <w:r w:rsidRPr="002C6B85">
        <w:rPr>
          <w:rFonts w:ascii="Times New Roman" w:hAnsi="Times New Roman" w:cs="Times New Roman"/>
          <w:i/>
          <w:iCs/>
          <w:sz w:val="24"/>
          <w:szCs w:val="24"/>
        </w:rPr>
        <w:t>D. pulex</w:t>
      </w:r>
      <w:r w:rsidRPr="002C6B85">
        <w:rPr>
          <w:rFonts w:ascii="Times New Roman" w:hAnsi="Times New Roman" w:cs="Times New Roman"/>
          <w:sz w:val="24"/>
          <w:szCs w:val="24"/>
        </w:rPr>
        <w:t xml:space="preserve"> (–0.878 vs. –0.632) when compared to </w:t>
      </w:r>
      <w:r w:rsidRPr="002C6B85">
        <w:rPr>
          <w:rFonts w:ascii="Times New Roman" w:hAnsi="Times New Roman" w:cs="Times New Roman"/>
          <w:i/>
          <w:iCs/>
          <w:sz w:val="24"/>
          <w:szCs w:val="24"/>
        </w:rPr>
        <w:t>D. pulicaria</w:t>
      </w:r>
      <w:r w:rsidRPr="002C6B85">
        <w:rPr>
          <w:rFonts w:ascii="Times New Roman" w:hAnsi="Times New Roman" w:cs="Times New Roman"/>
          <w:sz w:val="24"/>
          <w:szCs w:val="24"/>
        </w:rPr>
        <w:t xml:space="preserve"> (Figure S17–S28). Interestingly, troughs in Tajima's D were not aligned with the other signatures of selection in </w:t>
      </w:r>
      <w:r w:rsidRPr="002C6B85">
        <w:rPr>
          <w:rFonts w:ascii="Times New Roman" w:hAnsi="Times New Roman" w:cs="Times New Roman"/>
          <w:i/>
          <w:iCs/>
          <w:sz w:val="24"/>
          <w:szCs w:val="24"/>
        </w:rPr>
        <w:t>D. pulicaria</w:t>
      </w:r>
      <w:r w:rsidRPr="002C6B85">
        <w:rPr>
          <w:rFonts w:ascii="Times New Roman" w:hAnsi="Times New Roman" w:cs="Times New Roman"/>
          <w:sz w:val="24"/>
          <w:szCs w:val="24"/>
        </w:rPr>
        <w:t xml:space="preserve"> and, it is unlikely that these values are statistically significant, as D does not generally surpass ±2.5 (Tajima, 1989). These findings suggest that a better accounting of how demography and selection are jointly shaping the allele frequency spectrum is needed.</w:t>
      </w:r>
    </w:p>
    <w:p w14:paraId="553B1FEC" w14:textId="560DEBD9" w:rsidR="00332E1D" w:rsidRPr="00332E1D" w:rsidRDefault="00332E1D" w:rsidP="00332E1D">
      <w:pPr>
        <w:spacing w:line="480" w:lineRule="auto"/>
        <w:rPr>
          <w:rFonts w:ascii="Times New Roman" w:hAnsi="Times New Roman" w:cs="Times New Roman"/>
          <w:i/>
          <w:iCs/>
          <w:sz w:val="24"/>
          <w:szCs w:val="24"/>
        </w:rPr>
      </w:pPr>
      <w:r w:rsidRPr="00332E1D">
        <w:rPr>
          <w:rFonts w:ascii="Times New Roman" w:hAnsi="Times New Roman" w:cs="Times New Roman"/>
          <w:i/>
          <w:iCs/>
          <w:sz w:val="24"/>
          <w:szCs w:val="24"/>
        </w:rPr>
        <w:t>Demographic history</w:t>
      </w:r>
      <w:r>
        <w:rPr>
          <w:rFonts w:ascii="Times New Roman" w:hAnsi="Times New Roman" w:cs="Times New Roman"/>
          <w:i/>
          <w:iCs/>
          <w:sz w:val="24"/>
          <w:szCs w:val="24"/>
        </w:rPr>
        <w:t>:</w:t>
      </w:r>
    </w:p>
    <w:p w14:paraId="28A0013C" w14:textId="6F1DD5F2" w:rsidR="002C6B85" w:rsidRDefault="00332E1D" w:rsidP="00332E1D">
      <w:pPr>
        <w:spacing w:line="480" w:lineRule="auto"/>
        <w:rPr>
          <w:rFonts w:ascii="Times New Roman" w:hAnsi="Times New Roman" w:cs="Times New Roman"/>
          <w:sz w:val="24"/>
          <w:szCs w:val="24"/>
        </w:rPr>
      </w:pPr>
      <w:r w:rsidRPr="00332E1D">
        <w:rPr>
          <w:rFonts w:ascii="Times New Roman" w:hAnsi="Times New Roman" w:cs="Times New Roman"/>
          <w:sz w:val="24"/>
          <w:szCs w:val="24"/>
        </w:rPr>
        <w:t xml:space="preserve">We found that the ancestral population of modern-pulex/pulicaria had a small effective population size of only 11,313 haploid genome copies. Both </w:t>
      </w:r>
      <w:r w:rsidRPr="00332E1D">
        <w:rPr>
          <w:rFonts w:ascii="Times New Roman" w:hAnsi="Times New Roman" w:cs="Times New Roman"/>
          <w:i/>
          <w:iCs/>
          <w:sz w:val="24"/>
          <w:szCs w:val="24"/>
        </w:rPr>
        <w:t>D. pulicaria</w:t>
      </w:r>
      <w:r w:rsidRPr="00332E1D">
        <w:rPr>
          <w:rFonts w:ascii="Times New Roman" w:hAnsi="Times New Roman" w:cs="Times New Roman"/>
          <w:sz w:val="24"/>
          <w:szCs w:val="24"/>
        </w:rPr>
        <w:t xml:space="preserve"> and </w:t>
      </w:r>
      <w:r w:rsidRPr="00332E1D">
        <w:rPr>
          <w:rFonts w:ascii="Times New Roman" w:hAnsi="Times New Roman" w:cs="Times New Roman"/>
          <w:i/>
          <w:iCs/>
          <w:sz w:val="24"/>
          <w:szCs w:val="24"/>
        </w:rPr>
        <w:t>D. pulex</w:t>
      </w:r>
      <w:r w:rsidRPr="00332E1D">
        <w:rPr>
          <w:rFonts w:ascii="Times New Roman" w:hAnsi="Times New Roman" w:cs="Times New Roman"/>
          <w:sz w:val="24"/>
          <w:szCs w:val="24"/>
        </w:rPr>
        <w:t xml:space="preserve"> have experienced population expansion since their split, but </w:t>
      </w:r>
      <w:r w:rsidRPr="00332E1D">
        <w:rPr>
          <w:rFonts w:ascii="Times New Roman" w:hAnsi="Times New Roman" w:cs="Times New Roman"/>
          <w:i/>
          <w:iCs/>
          <w:sz w:val="24"/>
          <w:szCs w:val="24"/>
        </w:rPr>
        <w:t>D. pulicaria</w:t>
      </w:r>
      <w:r w:rsidRPr="00332E1D">
        <w:rPr>
          <w:rFonts w:ascii="Times New Roman" w:hAnsi="Times New Roman" w:cs="Times New Roman"/>
          <w:sz w:val="24"/>
          <w:szCs w:val="24"/>
        </w:rPr>
        <w:t xml:space="preserve"> has an effective population size (221,377 haploid genome copies) approximately a third that of </w:t>
      </w:r>
      <w:r w:rsidRPr="00332E1D">
        <w:rPr>
          <w:rFonts w:ascii="Times New Roman" w:hAnsi="Times New Roman" w:cs="Times New Roman"/>
          <w:i/>
          <w:iCs/>
          <w:sz w:val="24"/>
          <w:szCs w:val="24"/>
        </w:rPr>
        <w:t>D. pulex</w:t>
      </w:r>
      <w:r w:rsidRPr="00332E1D">
        <w:rPr>
          <w:rFonts w:ascii="Times New Roman" w:hAnsi="Times New Roman" w:cs="Times New Roman"/>
          <w:sz w:val="24"/>
          <w:szCs w:val="24"/>
        </w:rPr>
        <w:t xml:space="preserve"> (764,471 haploid genome copies). Divergence appears to have begun approximately 598,022 generations in the past, or approximately 149,505–119,604 years before present (assuming four to five asexual </w:t>
      </w:r>
      <w:r w:rsidRPr="00332E1D">
        <w:rPr>
          <w:rFonts w:ascii="Times New Roman" w:hAnsi="Times New Roman" w:cs="Times New Roman"/>
          <w:sz w:val="24"/>
          <w:szCs w:val="24"/>
        </w:rPr>
        <w:lastRenderedPageBreak/>
        <w:t xml:space="preserve">generations per year (Omilian &amp; Lynch, 2009)). Effective migration rates are low between species, and asymmetrical. </w:t>
      </w:r>
      <w:r w:rsidRPr="00332E1D">
        <w:rPr>
          <w:rFonts w:ascii="Times New Roman" w:hAnsi="Times New Roman" w:cs="Times New Roman"/>
          <w:i/>
          <w:iCs/>
          <w:sz w:val="24"/>
          <w:szCs w:val="24"/>
        </w:rPr>
        <w:t>D. pulicaria</w:t>
      </w:r>
      <w:r w:rsidRPr="00332E1D">
        <w:rPr>
          <w:rFonts w:ascii="Times New Roman" w:hAnsi="Times New Roman" w:cs="Times New Roman"/>
          <w:sz w:val="24"/>
          <w:szCs w:val="24"/>
        </w:rPr>
        <w:t xml:space="preserve"> receives approximately 9.48 × 10−7 migrants per generation from </w:t>
      </w:r>
      <w:r w:rsidRPr="00332E1D">
        <w:rPr>
          <w:rFonts w:ascii="Times New Roman" w:hAnsi="Times New Roman" w:cs="Times New Roman"/>
          <w:i/>
          <w:iCs/>
          <w:sz w:val="24"/>
          <w:szCs w:val="24"/>
        </w:rPr>
        <w:t>D. pulex</w:t>
      </w:r>
      <w:r w:rsidRPr="00332E1D">
        <w:rPr>
          <w:rFonts w:ascii="Times New Roman" w:hAnsi="Times New Roman" w:cs="Times New Roman"/>
          <w:sz w:val="24"/>
          <w:szCs w:val="24"/>
        </w:rPr>
        <w:t xml:space="preserve">; meanwhile in the other direction </w:t>
      </w:r>
      <w:r w:rsidRPr="00332E1D">
        <w:rPr>
          <w:rFonts w:ascii="Times New Roman" w:hAnsi="Times New Roman" w:cs="Times New Roman"/>
          <w:i/>
          <w:iCs/>
          <w:sz w:val="24"/>
          <w:szCs w:val="24"/>
        </w:rPr>
        <w:t>D. pulex</w:t>
      </w:r>
      <w:r w:rsidRPr="00332E1D">
        <w:rPr>
          <w:rFonts w:ascii="Times New Roman" w:hAnsi="Times New Roman" w:cs="Times New Roman"/>
          <w:sz w:val="24"/>
          <w:szCs w:val="24"/>
        </w:rPr>
        <w:t xml:space="preserve"> receives approximately 3.77 × 10−7 migrants per generation. See Table 3 for parameter estimates and confidence intervals.</w:t>
      </w:r>
    </w:p>
    <w:p w14:paraId="318B2624" w14:textId="1DE0ECC0" w:rsidR="00895221" w:rsidRPr="00895221" w:rsidRDefault="00895221" w:rsidP="00895221">
      <w:pPr>
        <w:spacing w:line="480" w:lineRule="auto"/>
        <w:rPr>
          <w:rFonts w:ascii="Times New Roman" w:hAnsi="Times New Roman" w:cs="Times New Roman"/>
          <w:i/>
          <w:iCs/>
          <w:sz w:val="24"/>
          <w:szCs w:val="24"/>
        </w:rPr>
      </w:pPr>
      <w:r w:rsidRPr="00895221">
        <w:rPr>
          <w:rFonts w:ascii="Times New Roman" w:hAnsi="Times New Roman" w:cs="Times New Roman"/>
          <w:i/>
          <w:iCs/>
          <w:sz w:val="24"/>
          <w:szCs w:val="24"/>
        </w:rPr>
        <w:t>PCAdapt outliers and GO-term enrichment</w:t>
      </w:r>
      <w:r>
        <w:rPr>
          <w:rFonts w:ascii="Times New Roman" w:hAnsi="Times New Roman" w:cs="Times New Roman"/>
          <w:i/>
          <w:iCs/>
          <w:sz w:val="24"/>
          <w:szCs w:val="24"/>
        </w:rPr>
        <w:t>:</w:t>
      </w:r>
    </w:p>
    <w:p w14:paraId="66A59741" w14:textId="7F12CBC6" w:rsidR="00332E1D" w:rsidRDefault="00895221" w:rsidP="00895221">
      <w:pPr>
        <w:spacing w:line="480" w:lineRule="auto"/>
        <w:rPr>
          <w:rFonts w:ascii="Times New Roman" w:hAnsi="Times New Roman" w:cs="Times New Roman"/>
          <w:sz w:val="24"/>
          <w:szCs w:val="24"/>
        </w:rPr>
      </w:pPr>
      <w:r w:rsidRPr="00895221">
        <w:rPr>
          <w:rFonts w:ascii="Times New Roman" w:hAnsi="Times New Roman" w:cs="Times New Roman"/>
          <w:sz w:val="24"/>
          <w:szCs w:val="24"/>
        </w:rPr>
        <w:t>Using single SNP data, which controls for elevated linkage disequilibrium (LD), we found 555 outlier loci using PCAdpat while retaining the first two PCs and after correction for multiple testing using the Bonferroni method (Figure 5a and S29; (Luu et al., 2017; Privé et al., 2020)). The outliers corresponded well with those regions previously identified with the site-wise FST outliers and the F</w:t>
      </w:r>
      <w:r w:rsidRPr="00895221">
        <w:rPr>
          <w:rFonts w:ascii="Times New Roman" w:hAnsi="Times New Roman" w:cs="Times New Roman"/>
          <w:sz w:val="24"/>
          <w:szCs w:val="24"/>
          <w:vertAlign w:val="subscript"/>
        </w:rPr>
        <w:t>ST</w:t>
      </w:r>
      <w:r w:rsidRPr="00895221">
        <w:rPr>
          <w:rFonts w:ascii="Times New Roman" w:hAnsi="Times New Roman" w:cs="Times New Roman"/>
          <w:sz w:val="24"/>
          <w:szCs w:val="24"/>
        </w:rPr>
        <w:t xml:space="preserve"> sliding window estimates. Using BEDtools (Quinlan &amp; Hall, 2010), we extracted 401 genes that surrounded our outliers within 1 kb window centred on the outlier SNPs. Using Fisher's exact tests implemented in Panther (Mi et al., 2021), 43 GO-terms appeared enriched for biological processes in our data set after correcting for multiple testing using the Bonferroni method. We found divergence in genes related to light perception, cell cycle, and several other functions (Figure 5b; Table S6) most of which correspond with well-known environmental differences between ponds and lakes.</w:t>
      </w:r>
    </w:p>
    <w:p w14:paraId="6A63ABC9" w14:textId="6AFCDB42" w:rsidR="00411303" w:rsidRPr="00CF4C86" w:rsidRDefault="00CF4C86" w:rsidP="00411303">
      <w:pPr>
        <w:spacing w:line="480" w:lineRule="auto"/>
        <w:rPr>
          <w:rFonts w:ascii="Times New Roman" w:hAnsi="Times New Roman" w:cs="Times New Roman"/>
          <w:b/>
          <w:bCs/>
          <w:sz w:val="24"/>
          <w:szCs w:val="24"/>
        </w:rPr>
      </w:pPr>
      <w:r>
        <w:rPr>
          <w:rFonts w:ascii="Times New Roman" w:hAnsi="Times New Roman" w:cs="Times New Roman"/>
          <w:b/>
          <w:bCs/>
          <w:sz w:val="24"/>
          <w:szCs w:val="24"/>
        </w:rPr>
        <w:t>Discussion:</w:t>
      </w:r>
    </w:p>
    <w:p w14:paraId="67EDC9AC" w14:textId="0258EAD6" w:rsidR="00411303" w:rsidRPr="00411303" w:rsidRDefault="00411303" w:rsidP="00411303">
      <w:pPr>
        <w:spacing w:line="480" w:lineRule="auto"/>
        <w:rPr>
          <w:rFonts w:ascii="Times New Roman" w:hAnsi="Times New Roman" w:cs="Times New Roman"/>
          <w:sz w:val="24"/>
          <w:szCs w:val="24"/>
        </w:rPr>
      </w:pPr>
      <w:r w:rsidRPr="00411303">
        <w:rPr>
          <w:rFonts w:ascii="Times New Roman" w:hAnsi="Times New Roman" w:cs="Times New Roman"/>
          <w:sz w:val="24"/>
          <w:szCs w:val="24"/>
        </w:rPr>
        <w:t xml:space="preserve">Facilitated by our chromosome-level genome assembly, genetic map, and annotation of </w:t>
      </w:r>
      <w:r w:rsidRPr="00CF4C86">
        <w:rPr>
          <w:rFonts w:ascii="Times New Roman" w:hAnsi="Times New Roman" w:cs="Times New Roman"/>
          <w:i/>
          <w:iCs/>
          <w:sz w:val="24"/>
          <w:szCs w:val="24"/>
        </w:rPr>
        <w:t>Daphnia pulicaria,</w:t>
      </w:r>
      <w:r w:rsidRPr="00411303">
        <w:rPr>
          <w:rFonts w:ascii="Times New Roman" w:hAnsi="Times New Roman" w:cs="Times New Roman"/>
          <w:sz w:val="24"/>
          <w:szCs w:val="24"/>
        </w:rPr>
        <w:t xml:space="preserve"> we investigated the patterns and processes of genomic differentiation present between the ecological sister species </w:t>
      </w:r>
      <w:r w:rsidRPr="00CF4C86">
        <w:rPr>
          <w:rFonts w:ascii="Times New Roman" w:hAnsi="Times New Roman" w:cs="Times New Roman"/>
          <w:i/>
          <w:iCs/>
          <w:sz w:val="24"/>
          <w:szCs w:val="24"/>
        </w:rPr>
        <w:t>D. pulex and D. pulicaria</w:t>
      </w:r>
      <w:r w:rsidRPr="00411303">
        <w:rPr>
          <w:rFonts w:ascii="Times New Roman" w:hAnsi="Times New Roman" w:cs="Times New Roman"/>
          <w:sz w:val="24"/>
          <w:szCs w:val="24"/>
        </w:rPr>
        <w:t xml:space="preserve">. We were able to produce a highly complete phased genome assembly and ultra-dense genetic map showing a dynamic landscape of recombination in the genome of </w:t>
      </w:r>
      <w:r w:rsidRPr="00CF4C86">
        <w:rPr>
          <w:rFonts w:ascii="Times New Roman" w:hAnsi="Times New Roman" w:cs="Times New Roman"/>
          <w:i/>
          <w:iCs/>
          <w:sz w:val="24"/>
          <w:szCs w:val="24"/>
        </w:rPr>
        <w:t>D. pulicaria</w:t>
      </w:r>
      <w:r w:rsidRPr="00411303">
        <w:rPr>
          <w:rFonts w:ascii="Times New Roman" w:hAnsi="Times New Roman" w:cs="Times New Roman"/>
          <w:sz w:val="24"/>
          <w:szCs w:val="24"/>
        </w:rPr>
        <w:t xml:space="preserve">. We applied these resources together with </w:t>
      </w:r>
      <w:r w:rsidRPr="00411303">
        <w:rPr>
          <w:rFonts w:ascii="Times New Roman" w:hAnsi="Times New Roman" w:cs="Times New Roman"/>
          <w:sz w:val="24"/>
          <w:szCs w:val="24"/>
        </w:rPr>
        <w:lastRenderedPageBreak/>
        <w:t xml:space="preserve">previously available data and discovered that regions of the genome that exhibited high divergence and differentiation were largely restricted to portions of chromosomes that harbored high density of genes. These regions exhibit reduced diversity in </w:t>
      </w:r>
      <w:r w:rsidRPr="00CF4C86">
        <w:rPr>
          <w:rFonts w:ascii="Times New Roman" w:hAnsi="Times New Roman" w:cs="Times New Roman"/>
          <w:i/>
          <w:iCs/>
          <w:sz w:val="24"/>
          <w:szCs w:val="24"/>
        </w:rPr>
        <w:t>D. pulicaria</w:t>
      </w:r>
      <w:r w:rsidRPr="00411303">
        <w:rPr>
          <w:rFonts w:ascii="Times New Roman" w:hAnsi="Times New Roman" w:cs="Times New Roman"/>
          <w:sz w:val="24"/>
          <w:szCs w:val="24"/>
        </w:rPr>
        <w:t xml:space="preserve">, supporting the interpretation that selection is acting more strongly on this lineage, which is exploiting a novel lake habitat. In addition, tests for enrichment of biological processes for genes in these regions showed that habitat transition from ponds to lakes was highly polygenic and related to genes with functions important for adaptive phenotypes present in lake populations. Overall, we observed that selection is widespread in the </w:t>
      </w:r>
      <w:r w:rsidRPr="00CF4C86">
        <w:rPr>
          <w:rFonts w:ascii="Times New Roman" w:hAnsi="Times New Roman" w:cs="Times New Roman"/>
          <w:i/>
          <w:iCs/>
          <w:sz w:val="24"/>
          <w:szCs w:val="24"/>
        </w:rPr>
        <w:t>Daphnia pulicaria</w:t>
      </w:r>
      <w:r w:rsidRPr="00411303">
        <w:rPr>
          <w:rFonts w:ascii="Times New Roman" w:hAnsi="Times New Roman" w:cs="Times New Roman"/>
          <w:sz w:val="24"/>
          <w:szCs w:val="24"/>
        </w:rPr>
        <w:t xml:space="preserve"> genome, probably due to the highly polygenic nature of adaptation to its novel lake habitat, driving increased divergence in regions of high gene density and recombination, falsifying our initial hypothesis.</w:t>
      </w:r>
    </w:p>
    <w:p w14:paraId="285EB12A" w14:textId="3020386D" w:rsidR="00411303" w:rsidRPr="00CF4C86" w:rsidRDefault="00411303" w:rsidP="00411303">
      <w:pPr>
        <w:spacing w:line="480" w:lineRule="auto"/>
        <w:rPr>
          <w:rFonts w:ascii="Times New Roman" w:hAnsi="Times New Roman" w:cs="Times New Roman"/>
          <w:i/>
          <w:iCs/>
          <w:sz w:val="24"/>
          <w:szCs w:val="24"/>
        </w:rPr>
      </w:pPr>
      <w:r w:rsidRPr="00CF4C86">
        <w:rPr>
          <w:rFonts w:ascii="Times New Roman" w:hAnsi="Times New Roman" w:cs="Times New Roman"/>
          <w:i/>
          <w:iCs/>
          <w:sz w:val="24"/>
          <w:szCs w:val="24"/>
        </w:rPr>
        <w:t>Recombination is shaped by sequence content and life history</w:t>
      </w:r>
      <w:r w:rsidR="00CF4C86">
        <w:rPr>
          <w:rFonts w:ascii="Times New Roman" w:hAnsi="Times New Roman" w:cs="Times New Roman"/>
          <w:i/>
          <w:iCs/>
          <w:sz w:val="24"/>
          <w:szCs w:val="24"/>
        </w:rPr>
        <w:t>:</w:t>
      </w:r>
    </w:p>
    <w:p w14:paraId="6F94FCC4" w14:textId="3B721ED5" w:rsidR="00411303" w:rsidRPr="00411303" w:rsidRDefault="00411303" w:rsidP="00411303">
      <w:pPr>
        <w:spacing w:line="480" w:lineRule="auto"/>
        <w:rPr>
          <w:rFonts w:ascii="Times New Roman" w:hAnsi="Times New Roman" w:cs="Times New Roman"/>
          <w:sz w:val="24"/>
          <w:szCs w:val="24"/>
        </w:rPr>
      </w:pPr>
      <w:r w:rsidRPr="00CF4C86">
        <w:rPr>
          <w:rFonts w:ascii="Times New Roman" w:hAnsi="Times New Roman" w:cs="Times New Roman"/>
          <w:i/>
          <w:iCs/>
          <w:sz w:val="24"/>
          <w:szCs w:val="24"/>
        </w:rPr>
        <w:t>Daphnia</w:t>
      </w:r>
      <w:r w:rsidRPr="00411303">
        <w:rPr>
          <w:rFonts w:ascii="Times New Roman" w:hAnsi="Times New Roman" w:cs="Times New Roman"/>
          <w:sz w:val="24"/>
          <w:szCs w:val="24"/>
        </w:rPr>
        <w:t xml:space="preserve"> are known to have universally high recombination rates. For example, genetic maps constructed from an F</w:t>
      </w:r>
      <w:r w:rsidRPr="00CF4C86">
        <w:rPr>
          <w:rFonts w:ascii="Times New Roman" w:hAnsi="Times New Roman" w:cs="Times New Roman"/>
          <w:sz w:val="24"/>
          <w:szCs w:val="24"/>
          <w:vertAlign w:val="subscript"/>
        </w:rPr>
        <w:t xml:space="preserve">2 </w:t>
      </w:r>
      <w:r w:rsidRPr="00411303">
        <w:rPr>
          <w:rFonts w:ascii="Times New Roman" w:hAnsi="Times New Roman" w:cs="Times New Roman"/>
          <w:sz w:val="24"/>
          <w:szCs w:val="24"/>
        </w:rPr>
        <w:t xml:space="preserve">panel for </w:t>
      </w:r>
      <w:r w:rsidRPr="00CF4C86">
        <w:rPr>
          <w:rFonts w:ascii="Times New Roman" w:hAnsi="Times New Roman" w:cs="Times New Roman"/>
          <w:i/>
          <w:iCs/>
          <w:sz w:val="24"/>
          <w:szCs w:val="24"/>
        </w:rPr>
        <w:t>Daphnia magna</w:t>
      </w:r>
      <w:r w:rsidRPr="00411303">
        <w:rPr>
          <w:rFonts w:ascii="Times New Roman" w:hAnsi="Times New Roman" w:cs="Times New Roman"/>
          <w:sz w:val="24"/>
          <w:szCs w:val="24"/>
        </w:rPr>
        <w:t xml:space="preserve"> showed universally high recombination near the chromosome ends and suppressed recombination in the chromosome </w:t>
      </w:r>
      <w:r w:rsidR="00CF4C86" w:rsidRPr="00411303">
        <w:rPr>
          <w:rFonts w:ascii="Times New Roman" w:hAnsi="Times New Roman" w:cs="Times New Roman"/>
          <w:sz w:val="24"/>
          <w:szCs w:val="24"/>
        </w:rPr>
        <w:t>centers</w:t>
      </w:r>
      <w:r w:rsidRPr="00411303">
        <w:rPr>
          <w:rFonts w:ascii="Times New Roman" w:hAnsi="Times New Roman" w:cs="Times New Roman"/>
          <w:sz w:val="24"/>
          <w:szCs w:val="24"/>
        </w:rPr>
        <w:t xml:space="preserve"> (Dukić et al., 2016). These results are mirrored in </w:t>
      </w:r>
      <w:r w:rsidRPr="00CF4C86">
        <w:rPr>
          <w:rFonts w:ascii="Times New Roman" w:hAnsi="Times New Roman" w:cs="Times New Roman"/>
          <w:i/>
          <w:iCs/>
          <w:sz w:val="24"/>
          <w:szCs w:val="24"/>
        </w:rPr>
        <w:t>D. pulex</w:t>
      </w:r>
      <w:r w:rsidRPr="00411303">
        <w:rPr>
          <w:rFonts w:ascii="Times New Roman" w:hAnsi="Times New Roman" w:cs="Times New Roman"/>
          <w:sz w:val="24"/>
          <w:szCs w:val="24"/>
        </w:rPr>
        <w:t xml:space="preserve"> for which both population genomic and sperm-based estimates have been produced (Lynch et al., 2020; Xu, Ackerman, et al., 2015). Our results are in general agreement with these previous studies; however, we did find several instances where large parts of linkage group arms exhibited suppressed recombination spanning several megabases (e.g., Figure 1). These differences may be accounted for by our choice of sequencing technology, where both the </w:t>
      </w:r>
      <w:r w:rsidRPr="003E1360">
        <w:rPr>
          <w:rFonts w:ascii="Times New Roman" w:hAnsi="Times New Roman" w:cs="Times New Roman"/>
          <w:i/>
          <w:iCs/>
          <w:sz w:val="24"/>
          <w:szCs w:val="24"/>
        </w:rPr>
        <w:t>D. pulex and D. magna</w:t>
      </w:r>
      <w:r w:rsidRPr="00411303">
        <w:rPr>
          <w:rFonts w:ascii="Times New Roman" w:hAnsi="Times New Roman" w:cs="Times New Roman"/>
          <w:sz w:val="24"/>
          <w:szCs w:val="24"/>
        </w:rPr>
        <w:t xml:space="preserve"> genomes were assembled primarily using short-read technology, which is known to have limitations when assembling highly repetitive regions of the genome (Jiao &amp; Schneeberger, 2017; Michael &amp; VanBuren, 2020; Ye et al., 2017). Analysis of the sequence content within these regions indicated that they were gene poor and </w:t>
      </w:r>
      <w:r w:rsidRPr="00411303">
        <w:rPr>
          <w:rFonts w:ascii="Times New Roman" w:hAnsi="Times New Roman" w:cs="Times New Roman"/>
          <w:sz w:val="24"/>
          <w:szCs w:val="24"/>
        </w:rPr>
        <w:lastRenderedPageBreak/>
        <w:t xml:space="preserve">enriched with repetitive elements (Figure S3). The negative correlation between repeat content and recombination rate is common amongst eukaryotes (Kent et al., 2017). However, the causal relationship remains largely unresolved, as it is unknown whether repeat elements insert preferentially into regions of low recombination or whether their expansion causes reduced recombination. Unfortunately, our analysis does not provide an answer for </w:t>
      </w:r>
      <w:r w:rsidRPr="003E1360">
        <w:rPr>
          <w:rFonts w:ascii="Times New Roman" w:hAnsi="Times New Roman" w:cs="Times New Roman"/>
          <w:i/>
          <w:iCs/>
          <w:sz w:val="24"/>
          <w:szCs w:val="24"/>
        </w:rPr>
        <w:t>Daphnia</w:t>
      </w:r>
      <w:r w:rsidRPr="00411303">
        <w:rPr>
          <w:rFonts w:ascii="Times New Roman" w:hAnsi="Times New Roman" w:cs="Times New Roman"/>
          <w:sz w:val="24"/>
          <w:szCs w:val="24"/>
        </w:rPr>
        <w:t xml:space="preserve">. Our linkage mapping approach does not rule out the possibility of mechanisms other than crossing over to be occurring in these regions. Linkage mapping detects crossing over events, while in pericentromeric regions other mechanisms operate (e.g., gene conversion: Shi et al., 2010). Gene conversion is but one of several mechanisms causing concerted evolution of repeat rich regions of the genome (Elder &amp; Turner, 1995). An analysis of the divergence amongst repeat families indicates that transposition is active and ongoing in the </w:t>
      </w:r>
      <w:r w:rsidRPr="003E1360">
        <w:rPr>
          <w:rFonts w:ascii="Times New Roman" w:hAnsi="Times New Roman" w:cs="Times New Roman"/>
          <w:i/>
          <w:iCs/>
          <w:sz w:val="24"/>
          <w:szCs w:val="24"/>
        </w:rPr>
        <w:t>D. pulicaria</w:t>
      </w:r>
      <w:r w:rsidRPr="00411303">
        <w:rPr>
          <w:rFonts w:ascii="Times New Roman" w:hAnsi="Times New Roman" w:cs="Times New Roman"/>
          <w:sz w:val="24"/>
          <w:szCs w:val="24"/>
        </w:rPr>
        <w:t xml:space="preserve"> genome (Figure S3). Low effective population size (discussed below) is likely to promote the proliferation of deleterious genomic elements (e.g., repetitive elements; Lynch, 2007) and as such, the regions of high repeat density and low recombination may additionally be a consequence of the evolutionary history of D. pulicaria. Future work should include the use of ChIP-seq on centromere specific histone H3 (CENH3), which can resolve the location of centromeric regions (Malik &amp; Henikoff, 2009; Naish et al., 2021). Additionally, using proximity mapping techniques such as HiC will help to identify genomic inversions, which could also be a source of suppressed recombination that has been observed widely across Daphnia species (Jackson et al., 2021).</w:t>
      </w:r>
    </w:p>
    <w:p w14:paraId="5D4298E9" w14:textId="05A3ED13" w:rsidR="00411303" w:rsidRPr="00411303" w:rsidRDefault="00411303" w:rsidP="002768FD">
      <w:pPr>
        <w:spacing w:line="480" w:lineRule="auto"/>
        <w:ind w:firstLine="720"/>
        <w:rPr>
          <w:rFonts w:ascii="Times New Roman" w:hAnsi="Times New Roman" w:cs="Times New Roman"/>
          <w:sz w:val="24"/>
          <w:szCs w:val="24"/>
        </w:rPr>
      </w:pPr>
      <w:r w:rsidRPr="00411303">
        <w:rPr>
          <w:rFonts w:ascii="Times New Roman" w:hAnsi="Times New Roman" w:cs="Times New Roman"/>
          <w:sz w:val="24"/>
          <w:szCs w:val="24"/>
        </w:rPr>
        <w:t xml:space="preserve">Another novel aspect of our study is that we provide the first sex-specific estimates of recombination rates for any cyclical parthenogen. Interestingly, we found that recombination map lengths were higher in the male specific map than the female map (1429.3 cM vs. 1347.2 cM), a pattern that is in contrast to what has been generally observed for eukaryotes (Stapley et </w:t>
      </w:r>
      <w:r w:rsidRPr="00411303">
        <w:rPr>
          <w:rFonts w:ascii="Times New Roman" w:hAnsi="Times New Roman" w:cs="Times New Roman"/>
          <w:sz w:val="24"/>
          <w:szCs w:val="24"/>
        </w:rPr>
        <w:lastRenderedPageBreak/>
        <w:t xml:space="preserve">al., 2017). The male bias in heterochiasmy is not consistent across all LGs. LG 2 and 12 show longer map lengths in females compared to males (Table 2). Additionally, for LG 9 the male “lags” behind the female map until it jumps towards the end. We believe this is an artefact of the stubby nature of the LG representing only an arm of a larger chromosome. For those LGs where male map length is longer, it is longer by several cM compared to the female map. There is only one other case of an organism with environmental sex determination (crocodile; Isberg et al., 2006; Miles et al., 2009) that exhibits heterochiasmy. In the crocodile, the direction of bias is in the female direction at a ratio of 8:1. Additionally, in the only case of a mixed direction of heterochiasmy in an invertebrate (coral: Acropora millepora), the reversal is restricted to a single chromosome where the male length is only slightly longer (Wang et al., 2009). Thus, our result of a near consistent case of male bias in heterochiasmy is striking. One possible explanation for our result is the unique life cycle of </w:t>
      </w:r>
      <w:r w:rsidRPr="002768FD">
        <w:rPr>
          <w:rFonts w:ascii="Times New Roman" w:hAnsi="Times New Roman" w:cs="Times New Roman"/>
          <w:i/>
          <w:iCs/>
          <w:sz w:val="24"/>
          <w:szCs w:val="24"/>
        </w:rPr>
        <w:t>Daphnia</w:t>
      </w:r>
      <w:r w:rsidRPr="00411303">
        <w:rPr>
          <w:rFonts w:ascii="Times New Roman" w:hAnsi="Times New Roman" w:cs="Times New Roman"/>
          <w:sz w:val="24"/>
          <w:szCs w:val="24"/>
        </w:rPr>
        <w:t>.</w:t>
      </w:r>
    </w:p>
    <w:p w14:paraId="5EDF0989" w14:textId="4F8431BC" w:rsidR="00411303" w:rsidRPr="00411303" w:rsidRDefault="00411303" w:rsidP="00A340A7">
      <w:pPr>
        <w:spacing w:line="480" w:lineRule="auto"/>
        <w:ind w:firstLine="720"/>
        <w:rPr>
          <w:rFonts w:ascii="Times New Roman" w:hAnsi="Times New Roman" w:cs="Times New Roman"/>
          <w:sz w:val="24"/>
          <w:szCs w:val="24"/>
        </w:rPr>
      </w:pPr>
      <w:r w:rsidRPr="00411303">
        <w:rPr>
          <w:rFonts w:ascii="Times New Roman" w:hAnsi="Times New Roman" w:cs="Times New Roman"/>
          <w:sz w:val="24"/>
          <w:szCs w:val="24"/>
        </w:rPr>
        <w:t xml:space="preserve">In general, for most of the growing season </w:t>
      </w:r>
      <w:r w:rsidRPr="002768FD">
        <w:rPr>
          <w:rFonts w:ascii="Times New Roman" w:hAnsi="Times New Roman" w:cs="Times New Roman"/>
          <w:i/>
          <w:iCs/>
          <w:sz w:val="24"/>
          <w:szCs w:val="24"/>
        </w:rPr>
        <w:t>Daphnia</w:t>
      </w:r>
      <w:r w:rsidRPr="00411303">
        <w:rPr>
          <w:rFonts w:ascii="Times New Roman" w:hAnsi="Times New Roman" w:cs="Times New Roman"/>
          <w:sz w:val="24"/>
          <w:szCs w:val="24"/>
        </w:rPr>
        <w:t xml:space="preserve"> populations consist of clonal females producing ameiotic female offspring. Males are ephemeral and are produced when cues trigger their production (Kleiven et al., 1992; Spaak, 1995). The production of males and the subsequent engagement of sexual reproduction in </w:t>
      </w:r>
      <w:r w:rsidRPr="002768FD">
        <w:rPr>
          <w:rFonts w:ascii="Times New Roman" w:hAnsi="Times New Roman" w:cs="Times New Roman"/>
          <w:i/>
          <w:iCs/>
          <w:sz w:val="24"/>
          <w:szCs w:val="24"/>
        </w:rPr>
        <w:t>Daphnia</w:t>
      </w:r>
      <w:r w:rsidRPr="00411303">
        <w:rPr>
          <w:rFonts w:ascii="Times New Roman" w:hAnsi="Times New Roman" w:cs="Times New Roman"/>
          <w:sz w:val="24"/>
          <w:szCs w:val="24"/>
        </w:rPr>
        <w:t xml:space="preserve"> is linked to diapause (i.e., the production of resting eggs), and as such, occurs as the population experiences deteriorating environmental conditions, amplifying the benefit of sexual recombination (Gerber et al., 2018). Enhanced recombination rates and male-biased direction of heterochiasmy can be driven by such differences in life-history strategies. Interestingly, Neupane and Xu (2020) noted that there are differences in recombination rates between </w:t>
      </w:r>
      <w:r w:rsidRPr="00A340A7">
        <w:rPr>
          <w:rFonts w:ascii="Times New Roman" w:hAnsi="Times New Roman" w:cs="Times New Roman"/>
          <w:i/>
          <w:iCs/>
          <w:sz w:val="24"/>
          <w:szCs w:val="24"/>
        </w:rPr>
        <w:t>D. pulex and D. pulicaria</w:t>
      </w:r>
      <w:r w:rsidRPr="00411303">
        <w:rPr>
          <w:rFonts w:ascii="Times New Roman" w:hAnsi="Times New Roman" w:cs="Times New Roman"/>
          <w:sz w:val="24"/>
          <w:szCs w:val="24"/>
        </w:rPr>
        <w:t xml:space="preserve"> presumably related to their divergent life histories. Because populations of </w:t>
      </w:r>
      <w:r w:rsidRPr="00A340A7">
        <w:rPr>
          <w:rFonts w:ascii="Times New Roman" w:hAnsi="Times New Roman" w:cs="Times New Roman"/>
          <w:i/>
          <w:iCs/>
          <w:sz w:val="24"/>
          <w:szCs w:val="24"/>
        </w:rPr>
        <w:t>D. pulicaria</w:t>
      </w:r>
      <w:r w:rsidRPr="00411303">
        <w:rPr>
          <w:rFonts w:ascii="Times New Roman" w:hAnsi="Times New Roman" w:cs="Times New Roman"/>
          <w:sz w:val="24"/>
          <w:szCs w:val="24"/>
        </w:rPr>
        <w:t xml:space="preserve"> may undergo many generations of clonal reproduction, hidden genetic variance should build up, and can only be released via bouts </w:t>
      </w:r>
      <w:r w:rsidRPr="00411303">
        <w:rPr>
          <w:rFonts w:ascii="Times New Roman" w:hAnsi="Times New Roman" w:cs="Times New Roman"/>
          <w:sz w:val="24"/>
          <w:szCs w:val="24"/>
        </w:rPr>
        <w:lastRenderedPageBreak/>
        <w:t>of sexual recombination (Lynch &amp; Spitze, 1994). Presumably, the transient nature of males favors them recombining at higher rates because their function in the population is to facilitate the release of the hidden genetic variance in the population via sex. These hypotheses require further testing and would benefit from the development of genetic maps from both sexes in other cyclical parthenogens (e.g., aphids).</w:t>
      </w:r>
    </w:p>
    <w:p w14:paraId="2D7DB479" w14:textId="1D74D982" w:rsidR="00411303" w:rsidRPr="00A340A7" w:rsidRDefault="00411303" w:rsidP="00411303">
      <w:pPr>
        <w:spacing w:line="480" w:lineRule="auto"/>
        <w:rPr>
          <w:rFonts w:ascii="Times New Roman" w:hAnsi="Times New Roman" w:cs="Times New Roman"/>
          <w:i/>
          <w:iCs/>
          <w:sz w:val="24"/>
          <w:szCs w:val="24"/>
        </w:rPr>
      </w:pPr>
      <w:r w:rsidRPr="00A340A7">
        <w:rPr>
          <w:rFonts w:ascii="Times New Roman" w:hAnsi="Times New Roman" w:cs="Times New Roman"/>
          <w:i/>
          <w:iCs/>
          <w:sz w:val="24"/>
          <w:szCs w:val="24"/>
        </w:rPr>
        <w:t>Heterogenous genomic divergence is not restricted to regions of low recombination:</w:t>
      </w:r>
    </w:p>
    <w:p w14:paraId="5CC40F21" w14:textId="70985484" w:rsidR="00411303" w:rsidRPr="00411303" w:rsidRDefault="00411303" w:rsidP="00411303">
      <w:pPr>
        <w:spacing w:line="480" w:lineRule="auto"/>
        <w:rPr>
          <w:rFonts w:ascii="Times New Roman" w:hAnsi="Times New Roman" w:cs="Times New Roman"/>
          <w:sz w:val="24"/>
          <w:szCs w:val="24"/>
        </w:rPr>
      </w:pPr>
      <w:r w:rsidRPr="00411303">
        <w:rPr>
          <w:rFonts w:ascii="Times New Roman" w:hAnsi="Times New Roman" w:cs="Times New Roman"/>
          <w:sz w:val="24"/>
          <w:szCs w:val="24"/>
        </w:rPr>
        <w:t>Here, we present the first genome-wide survey of genomic divergence in pulex-pulicaria in the light of the expectations of “speciation genomics” (Nosil et al., 2009; Ravinet et al., 2017; Wolf &amp; Ellegren, 2017). Our data show that in contrast to theoretical expectations, the pattern of genomic divergence is largely restricted to genic regions undergoing high recombination (Figure 4a–c). Additionally, the sliding window analysis along whole chromosomes showed that regions of high F</w:t>
      </w:r>
      <w:r w:rsidRPr="00A340A7">
        <w:rPr>
          <w:rFonts w:ascii="Times New Roman" w:hAnsi="Times New Roman" w:cs="Times New Roman"/>
          <w:sz w:val="24"/>
          <w:szCs w:val="24"/>
          <w:vertAlign w:val="subscript"/>
        </w:rPr>
        <w:t>st</w:t>
      </w:r>
      <w:r w:rsidRPr="00411303">
        <w:rPr>
          <w:rFonts w:ascii="Times New Roman" w:hAnsi="Times New Roman" w:cs="Times New Roman"/>
          <w:sz w:val="24"/>
          <w:szCs w:val="24"/>
        </w:rPr>
        <w:t xml:space="preserve"> were also regions that exhibited high D</w:t>
      </w:r>
      <w:r w:rsidRPr="00A340A7">
        <w:rPr>
          <w:rFonts w:ascii="Times New Roman" w:hAnsi="Times New Roman" w:cs="Times New Roman"/>
          <w:sz w:val="24"/>
          <w:szCs w:val="24"/>
          <w:vertAlign w:val="subscript"/>
        </w:rPr>
        <w:t>xy</w:t>
      </w:r>
      <w:r w:rsidRPr="00411303">
        <w:rPr>
          <w:rFonts w:ascii="Times New Roman" w:hAnsi="Times New Roman" w:cs="Times New Roman"/>
          <w:sz w:val="24"/>
          <w:szCs w:val="24"/>
        </w:rPr>
        <w:t xml:space="preserve">, an indication that these regions are experiencing lower gene flow than the genome as a whole (Cruickshank &amp; Hahn, 2014). Genetic diversity estimates (π), indicated that these regions were generally less diverse in </w:t>
      </w:r>
      <w:r w:rsidRPr="00A340A7">
        <w:rPr>
          <w:rFonts w:ascii="Times New Roman" w:hAnsi="Times New Roman" w:cs="Times New Roman"/>
          <w:i/>
          <w:iCs/>
          <w:sz w:val="24"/>
          <w:szCs w:val="24"/>
        </w:rPr>
        <w:t>D. pulicaria</w:t>
      </w:r>
      <w:r w:rsidRPr="00411303">
        <w:rPr>
          <w:rFonts w:ascii="Times New Roman" w:hAnsi="Times New Roman" w:cs="Times New Roman"/>
          <w:sz w:val="24"/>
          <w:szCs w:val="24"/>
        </w:rPr>
        <w:t xml:space="preserve">, thus implicating a role for lineage-specific positive selection. These results are in contrast to recent empirical work in other model systems that investigated ecotype divergence. Both Samuk et al. (2017) and Todesco et al. (2020) found that ecotype divergence was largely restricted to areas of low recombination. In sunflowers, Todesco et al. (2020) found that large structural variants (SVs) restricted geneflow and locked coadapted alleles together. Meanwhile, Samuk et al. (2017) using many population pairs of sticklebacks found strong statistical support for low recombination and selection increasing absolute and relative divergence under geneflow. In our study, we did not survey for SVs, nor did we try to specifically look at sympatric lake/pond populations in depth. However, given our results, future studies should leverage the potential for </w:t>
      </w:r>
      <w:r w:rsidRPr="00411303">
        <w:rPr>
          <w:rFonts w:ascii="Times New Roman" w:hAnsi="Times New Roman" w:cs="Times New Roman"/>
          <w:sz w:val="24"/>
          <w:szCs w:val="24"/>
        </w:rPr>
        <w:lastRenderedPageBreak/>
        <w:t>long-read sequencing to survey for SVs and explicitly sample pond and lake systems arrayed sympatrically.</w:t>
      </w:r>
    </w:p>
    <w:p w14:paraId="5DADBB52" w14:textId="6ADAE3CA" w:rsidR="00411303" w:rsidRPr="00411303" w:rsidRDefault="00411303" w:rsidP="00A340A7">
      <w:pPr>
        <w:spacing w:line="480" w:lineRule="auto"/>
        <w:ind w:firstLine="720"/>
        <w:rPr>
          <w:rFonts w:ascii="Times New Roman" w:hAnsi="Times New Roman" w:cs="Times New Roman"/>
          <w:sz w:val="24"/>
          <w:szCs w:val="24"/>
        </w:rPr>
      </w:pPr>
      <w:r w:rsidRPr="00411303">
        <w:rPr>
          <w:rFonts w:ascii="Times New Roman" w:hAnsi="Times New Roman" w:cs="Times New Roman"/>
          <w:sz w:val="24"/>
          <w:szCs w:val="24"/>
        </w:rPr>
        <w:t xml:space="preserve">Our demographic model supports previous work showing that </w:t>
      </w:r>
      <w:r w:rsidRPr="00A340A7">
        <w:rPr>
          <w:rFonts w:ascii="Times New Roman" w:hAnsi="Times New Roman" w:cs="Times New Roman"/>
          <w:i/>
          <w:iCs/>
          <w:sz w:val="24"/>
          <w:szCs w:val="24"/>
        </w:rPr>
        <w:t>D. pulicaria and D. pulex</w:t>
      </w:r>
      <w:r w:rsidRPr="00411303">
        <w:rPr>
          <w:rFonts w:ascii="Times New Roman" w:hAnsi="Times New Roman" w:cs="Times New Roman"/>
          <w:sz w:val="24"/>
          <w:szCs w:val="24"/>
        </w:rPr>
        <w:t xml:space="preserve"> have recently diverged and share low but non-negligible levels of gene flow. Omilian and Lynch (2009) determined that the two species diverged approximately 150–80 kya, have limited gene flow and that D. pulicaria has significantly reduced effective population size. Using genome-wide data, we have shown that the estimate for divergence should be much closer to 150 kya. Our estimates indicated that the mid-Pleistocene Illinoian glaciation, which is estimated to have covered North America from 191 to 130 kya (Richmond &amp; Fullerton, 1986), may have been a contributing factor in the divergence seen in this species complex. What remains unclear is the exact nature of the demographic event that contributed to divergence between these two species. Some authors have argued that divergence between pulex and pulicaria represents rapid and ongoing ecological speciation stemming from </w:t>
      </w:r>
      <w:r w:rsidRPr="00A340A7">
        <w:rPr>
          <w:rFonts w:ascii="Times New Roman" w:hAnsi="Times New Roman" w:cs="Times New Roman"/>
          <w:i/>
          <w:iCs/>
          <w:sz w:val="24"/>
          <w:szCs w:val="24"/>
        </w:rPr>
        <w:t>D. pulicaria</w:t>
      </w:r>
      <w:r w:rsidRPr="00411303">
        <w:rPr>
          <w:rFonts w:ascii="Times New Roman" w:hAnsi="Times New Roman" w:cs="Times New Roman"/>
          <w:sz w:val="24"/>
          <w:szCs w:val="24"/>
        </w:rPr>
        <w:t xml:space="preserve"> invading lake habitats and subsequent dispersal back to ponds (Pfrender et al., 2000). Nevertheless, prior work has not explicitly modeled demographic scenarios. Additionally, there is the potential for extensive reticulation and incomplete lineage sorting to confound signals throughout the genome (Vergilino et al., 2011).</w:t>
      </w:r>
    </w:p>
    <w:p w14:paraId="0581EA0F" w14:textId="0D44F90D" w:rsidR="00411303" w:rsidRPr="00411303" w:rsidRDefault="00411303" w:rsidP="00A340A7">
      <w:pPr>
        <w:spacing w:line="480" w:lineRule="auto"/>
        <w:ind w:firstLine="720"/>
        <w:rPr>
          <w:rFonts w:ascii="Times New Roman" w:hAnsi="Times New Roman" w:cs="Times New Roman"/>
          <w:sz w:val="24"/>
          <w:szCs w:val="24"/>
        </w:rPr>
      </w:pPr>
      <w:r w:rsidRPr="00411303">
        <w:rPr>
          <w:rFonts w:ascii="Times New Roman" w:hAnsi="Times New Roman" w:cs="Times New Roman"/>
          <w:sz w:val="24"/>
          <w:szCs w:val="24"/>
        </w:rPr>
        <w:t xml:space="preserve">The majority of studies reconstructing the diversification of the larger </w:t>
      </w:r>
      <w:r w:rsidRPr="00A340A7">
        <w:rPr>
          <w:rFonts w:ascii="Times New Roman" w:hAnsi="Times New Roman" w:cs="Times New Roman"/>
          <w:i/>
          <w:iCs/>
          <w:sz w:val="24"/>
          <w:szCs w:val="24"/>
        </w:rPr>
        <w:t>D. pulex-</w:t>
      </w:r>
      <w:r w:rsidRPr="00411303">
        <w:rPr>
          <w:rFonts w:ascii="Times New Roman" w:hAnsi="Times New Roman" w:cs="Times New Roman"/>
          <w:sz w:val="24"/>
          <w:szCs w:val="24"/>
        </w:rPr>
        <w:t xml:space="preserve">complex have focused primarily on mitochondrial markers (Colbourne et al., 1998; Weider et al., 1999). However, there is evidence that mitochondrial markers may not fully capture diversification in this species. Specifically, Marková et al. (2013) found evidence of mitonuclear discordance in the species-complex, where European isolates of </w:t>
      </w:r>
      <w:r w:rsidRPr="00A340A7">
        <w:rPr>
          <w:rFonts w:ascii="Times New Roman" w:hAnsi="Times New Roman" w:cs="Times New Roman"/>
          <w:i/>
          <w:iCs/>
          <w:sz w:val="24"/>
          <w:szCs w:val="24"/>
        </w:rPr>
        <w:t>D. pulicaria</w:t>
      </w:r>
      <w:r w:rsidRPr="00411303">
        <w:rPr>
          <w:rFonts w:ascii="Times New Roman" w:hAnsi="Times New Roman" w:cs="Times New Roman"/>
          <w:sz w:val="24"/>
          <w:szCs w:val="24"/>
        </w:rPr>
        <w:t xml:space="preserve"> have distinct mitochondrial genomes but are more closely-related at nuclear markers to North American </w:t>
      </w:r>
      <w:r w:rsidRPr="00A340A7">
        <w:rPr>
          <w:rFonts w:ascii="Times New Roman" w:hAnsi="Times New Roman" w:cs="Times New Roman"/>
          <w:i/>
          <w:iCs/>
          <w:sz w:val="24"/>
          <w:szCs w:val="24"/>
        </w:rPr>
        <w:t>D. pulicaria</w:t>
      </w:r>
      <w:r w:rsidRPr="00411303">
        <w:rPr>
          <w:rFonts w:ascii="Times New Roman" w:hAnsi="Times New Roman" w:cs="Times New Roman"/>
          <w:sz w:val="24"/>
          <w:szCs w:val="24"/>
        </w:rPr>
        <w:t xml:space="preserve">. These </w:t>
      </w:r>
      <w:r w:rsidRPr="00411303">
        <w:rPr>
          <w:rFonts w:ascii="Times New Roman" w:hAnsi="Times New Roman" w:cs="Times New Roman"/>
          <w:sz w:val="24"/>
          <w:szCs w:val="24"/>
        </w:rPr>
        <w:lastRenderedPageBreak/>
        <w:t xml:space="preserve">findings, taken with the presence of genetic variants originating from North </w:t>
      </w:r>
      <w:r w:rsidRPr="00A340A7">
        <w:rPr>
          <w:rFonts w:ascii="Times New Roman" w:hAnsi="Times New Roman" w:cs="Times New Roman"/>
          <w:i/>
          <w:iCs/>
          <w:sz w:val="24"/>
          <w:szCs w:val="24"/>
        </w:rPr>
        <w:t>American D. pulicaria</w:t>
      </w:r>
      <w:r w:rsidRPr="00411303">
        <w:rPr>
          <w:rFonts w:ascii="Times New Roman" w:hAnsi="Times New Roman" w:cs="Times New Roman"/>
          <w:sz w:val="24"/>
          <w:szCs w:val="24"/>
        </w:rPr>
        <w:t xml:space="preserve"> that suppress meiosis when introgressed into the North American </w:t>
      </w:r>
      <w:r w:rsidRPr="00A340A7">
        <w:rPr>
          <w:rFonts w:ascii="Times New Roman" w:hAnsi="Times New Roman" w:cs="Times New Roman"/>
          <w:i/>
          <w:iCs/>
          <w:sz w:val="24"/>
          <w:szCs w:val="24"/>
        </w:rPr>
        <w:t>D. pulex</w:t>
      </w:r>
      <w:r w:rsidRPr="00411303">
        <w:rPr>
          <w:rFonts w:ascii="Times New Roman" w:hAnsi="Times New Roman" w:cs="Times New Roman"/>
          <w:sz w:val="24"/>
          <w:szCs w:val="24"/>
        </w:rPr>
        <w:t xml:space="preserve"> background (Tucker et al., 2013; Xu, Spitze, et al., 2015; Ye et al., 2019), suggests a more complex demographic scenario for </w:t>
      </w:r>
      <w:r w:rsidRPr="00A340A7">
        <w:rPr>
          <w:rFonts w:ascii="Times New Roman" w:hAnsi="Times New Roman" w:cs="Times New Roman"/>
          <w:i/>
          <w:iCs/>
          <w:sz w:val="24"/>
          <w:szCs w:val="24"/>
        </w:rPr>
        <w:t>D. pulex and D. pulicaria</w:t>
      </w:r>
      <w:r w:rsidRPr="00411303">
        <w:rPr>
          <w:rFonts w:ascii="Times New Roman" w:hAnsi="Times New Roman" w:cs="Times New Roman"/>
          <w:sz w:val="24"/>
          <w:szCs w:val="24"/>
        </w:rPr>
        <w:t>.</w:t>
      </w:r>
    </w:p>
    <w:p w14:paraId="7A07FCDF" w14:textId="5BC22889" w:rsidR="00411303" w:rsidRPr="00411303" w:rsidRDefault="00411303" w:rsidP="00A340A7">
      <w:pPr>
        <w:spacing w:line="480" w:lineRule="auto"/>
        <w:ind w:firstLine="720"/>
        <w:rPr>
          <w:rFonts w:ascii="Times New Roman" w:hAnsi="Times New Roman" w:cs="Times New Roman"/>
          <w:sz w:val="24"/>
          <w:szCs w:val="24"/>
        </w:rPr>
      </w:pPr>
      <w:r w:rsidRPr="00411303">
        <w:rPr>
          <w:rFonts w:ascii="Times New Roman" w:hAnsi="Times New Roman" w:cs="Times New Roman"/>
          <w:sz w:val="24"/>
          <w:szCs w:val="24"/>
        </w:rPr>
        <w:t xml:space="preserve">Although we did not test different scenarios explicitly, models of divergence that include the possibility of secondary contact between the two lineages need to be tested. Clearly, such a shallow time divergence and sustained gene flow is likely to be important in shaping the patterns of divergence observed between these two species. Future demographic modelling should include isolates from across the Holarctic to illuminate potential demographic scenarios and resolve the taxonomic status of a number of lineages within the </w:t>
      </w:r>
      <w:r w:rsidRPr="00A340A7">
        <w:rPr>
          <w:rFonts w:ascii="Times New Roman" w:hAnsi="Times New Roman" w:cs="Times New Roman"/>
          <w:i/>
          <w:iCs/>
          <w:sz w:val="24"/>
          <w:szCs w:val="24"/>
        </w:rPr>
        <w:t>Daphnia pulex</w:t>
      </w:r>
      <w:r w:rsidRPr="00411303">
        <w:rPr>
          <w:rFonts w:ascii="Times New Roman" w:hAnsi="Times New Roman" w:cs="Times New Roman"/>
          <w:sz w:val="24"/>
          <w:szCs w:val="24"/>
        </w:rPr>
        <w:t xml:space="preserve"> complex (Ye et al., 2021). Consideration of the recombination landscape present in diverse isolates, including admixed individuals, will also help in determining the source of the curious pattern of genomic divergence and recombination rate noted here.</w:t>
      </w:r>
    </w:p>
    <w:p w14:paraId="1F7CE695" w14:textId="2A7B9ABE" w:rsidR="00411303" w:rsidRPr="00A340A7" w:rsidRDefault="00411303" w:rsidP="00411303">
      <w:pPr>
        <w:spacing w:line="480" w:lineRule="auto"/>
        <w:rPr>
          <w:rFonts w:ascii="Times New Roman" w:hAnsi="Times New Roman" w:cs="Times New Roman"/>
          <w:i/>
          <w:iCs/>
          <w:sz w:val="24"/>
          <w:szCs w:val="24"/>
        </w:rPr>
      </w:pPr>
      <w:r w:rsidRPr="00A340A7">
        <w:rPr>
          <w:rFonts w:ascii="Times New Roman" w:hAnsi="Times New Roman" w:cs="Times New Roman"/>
          <w:i/>
          <w:iCs/>
          <w:sz w:val="24"/>
          <w:szCs w:val="24"/>
        </w:rPr>
        <w:t>D</w:t>
      </w:r>
      <w:r w:rsidR="00A340A7" w:rsidRPr="00A340A7">
        <w:rPr>
          <w:rFonts w:ascii="Times New Roman" w:hAnsi="Times New Roman" w:cs="Times New Roman"/>
          <w:i/>
          <w:iCs/>
          <w:sz w:val="24"/>
          <w:szCs w:val="24"/>
        </w:rPr>
        <w:t>i</w:t>
      </w:r>
      <w:r w:rsidRPr="00A340A7">
        <w:rPr>
          <w:rFonts w:ascii="Times New Roman" w:hAnsi="Times New Roman" w:cs="Times New Roman"/>
          <w:i/>
          <w:iCs/>
          <w:sz w:val="24"/>
          <w:szCs w:val="24"/>
        </w:rPr>
        <w:t>vergent regions host genes related to adaptation to a novel habitat</w:t>
      </w:r>
      <w:r w:rsidR="00A340A7">
        <w:rPr>
          <w:rFonts w:ascii="Times New Roman" w:hAnsi="Times New Roman" w:cs="Times New Roman"/>
          <w:i/>
          <w:iCs/>
          <w:sz w:val="24"/>
          <w:szCs w:val="24"/>
        </w:rPr>
        <w:t>I</w:t>
      </w:r>
    </w:p>
    <w:p w14:paraId="35724E34" w14:textId="36DD1328" w:rsidR="00411303" w:rsidRPr="00411303" w:rsidRDefault="00411303" w:rsidP="00411303">
      <w:pPr>
        <w:spacing w:line="480" w:lineRule="auto"/>
        <w:rPr>
          <w:rFonts w:ascii="Times New Roman" w:hAnsi="Times New Roman" w:cs="Times New Roman"/>
          <w:sz w:val="24"/>
          <w:szCs w:val="24"/>
        </w:rPr>
      </w:pPr>
      <w:r w:rsidRPr="00411303">
        <w:rPr>
          <w:rFonts w:ascii="Times New Roman" w:hAnsi="Times New Roman" w:cs="Times New Roman"/>
          <w:sz w:val="24"/>
          <w:szCs w:val="24"/>
        </w:rPr>
        <w:t>Implementing a more conservative genome scan method than estimating F</w:t>
      </w:r>
      <w:r w:rsidRPr="00A340A7">
        <w:rPr>
          <w:rFonts w:ascii="Times New Roman" w:hAnsi="Times New Roman" w:cs="Times New Roman"/>
          <w:sz w:val="24"/>
          <w:szCs w:val="24"/>
          <w:vertAlign w:val="subscript"/>
        </w:rPr>
        <w:t>ST</w:t>
      </w:r>
      <w:r w:rsidRPr="00411303">
        <w:rPr>
          <w:rFonts w:ascii="Times New Roman" w:hAnsi="Times New Roman" w:cs="Times New Roman"/>
          <w:sz w:val="24"/>
          <w:szCs w:val="24"/>
        </w:rPr>
        <w:t xml:space="preserve"> either site-wise or in sliding windows using PCAdapt, we identified 555 outliers after Bonferroni correction, 207 fewer SNPs than our site-wise FST scan. Regardless, both methods detected outliers in the same regions and corresponded well with the sliding window peaks. Unique genes within 1 kb of outliers (401 in total) appeared to be enriched for 43 GO terms, including several of which that stand out as being plausibly related to key aspects of the habitat transition from ponds to lakes. One of the groupings showed enrichment of genes involved in light detection and phototransduction. One of the key differences between lake and pond </w:t>
      </w:r>
      <w:r w:rsidRPr="0003302E">
        <w:rPr>
          <w:rFonts w:ascii="Times New Roman" w:hAnsi="Times New Roman" w:cs="Times New Roman"/>
          <w:i/>
          <w:iCs/>
          <w:sz w:val="24"/>
          <w:szCs w:val="24"/>
        </w:rPr>
        <w:t xml:space="preserve">Daphnia </w:t>
      </w:r>
      <w:r w:rsidRPr="00411303">
        <w:rPr>
          <w:rFonts w:ascii="Times New Roman" w:hAnsi="Times New Roman" w:cs="Times New Roman"/>
          <w:sz w:val="24"/>
          <w:szCs w:val="24"/>
        </w:rPr>
        <w:t xml:space="preserve">is that lake populations undergo extensive diel vertical migration (DVM – Lampert, 2011). DVM is a critical </w:t>
      </w:r>
      <w:r w:rsidRPr="0003302E">
        <w:rPr>
          <w:rFonts w:ascii="Times New Roman" w:hAnsi="Times New Roman" w:cs="Times New Roman"/>
          <w:i/>
          <w:iCs/>
          <w:sz w:val="24"/>
          <w:szCs w:val="24"/>
        </w:rPr>
        <w:lastRenderedPageBreak/>
        <w:t>Daphnia</w:t>
      </w:r>
      <w:r w:rsidRPr="00411303">
        <w:rPr>
          <w:rFonts w:ascii="Times New Roman" w:hAnsi="Times New Roman" w:cs="Times New Roman"/>
          <w:sz w:val="24"/>
          <w:szCs w:val="24"/>
        </w:rPr>
        <w:t xml:space="preserve"> antipredator </w:t>
      </w:r>
      <w:r w:rsidR="00CD2F0B" w:rsidRPr="00411303">
        <w:rPr>
          <w:rFonts w:ascii="Times New Roman" w:hAnsi="Times New Roman" w:cs="Times New Roman"/>
          <w:sz w:val="24"/>
          <w:szCs w:val="24"/>
        </w:rPr>
        <w:t>defense</w:t>
      </w:r>
      <w:r w:rsidRPr="00411303">
        <w:rPr>
          <w:rFonts w:ascii="Times New Roman" w:hAnsi="Times New Roman" w:cs="Times New Roman"/>
          <w:sz w:val="24"/>
          <w:szCs w:val="24"/>
        </w:rPr>
        <w:t xml:space="preserve"> and shapes many aspects of their physiology and life history (Stich &amp; Lampert, 1981). Given that DVM </w:t>
      </w:r>
      <w:r w:rsidR="00CD2F0B" w:rsidRPr="00411303">
        <w:rPr>
          <w:rFonts w:ascii="Times New Roman" w:hAnsi="Times New Roman" w:cs="Times New Roman"/>
          <w:sz w:val="24"/>
          <w:szCs w:val="24"/>
        </w:rPr>
        <w:t>behavior</w:t>
      </w:r>
      <w:r w:rsidRPr="00411303">
        <w:rPr>
          <w:rFonts w:ascii="Times New Roman" w:hAnsi="Times New Roman" w:cs="Times New Roman"/>
          <w:sz w:val="24"/>
          <w:szCs w:val="24"/>
        </w:rPr>
        <w:t xml:space="preserve"> involves moving deeper in the water column during daylight, the response to light is probably important in </w:t>
      </w:r>
      <w:r w:rsidR="00CD2F0B" w:rsidRPr="00411303">
        <w:rPr>
          <w:rFonts w:ascii="Times New Roman" w:hAnsi="Times New Roman" w:cs="Times New Roman"/>
          <w:sz w:val="24"/>
          <w:szCs w:val="24"/>
        </w:rPr>
        <w:t>signaling</w:t>
      </w:r>
      <w:r w:rsidRPr="00411303">
        <w:rPr>
          <w:rFonts w:ascii="Times New Roman" w:hAnsi="Times New Roman" w:cs="Times New Roman"/>
          <w:sz w:val="24"/>
          <w:szCs w:val="24"/>
        </w:rPr>
        <w:t xml:space="preserve"> this </w:t>
      </w:r>
      <w:r w:rsidR="00CD2F0B" w:rsidRPr="00411303">
        <w:rPr>
          <w:rFonts w:ascii="Times New Roman" w:hAnsi="Times New Roman" w:cs="Times New Roman"/>
          <w:sz w:val="24"/>
          <w:szCs w:val="24"/>
        </w:rPr>
        <w:t>behavioral</w:t>
      </w:r>
      <w:r w:rsidRPr="00411303">
        <w:rPr>
          <w:rFonts w:ascii="Times New Roman" w:hAnsi="Times New Roman" w:cs="Times New Roman"/>
          <w:sz w:val="24"/>
          <w:szCs w:val="24"/>
        </w:rPr>
        <w:t xml:space="preserve"> response. Additionally, </w:t>
      </w:r>
      <w:r w:rsidRPr="0003302E">
        <w:rPr>
          <w:rFonts w:ascii="Times New Roman" w:hAnsi="Times New Roman" w:cs="Times New Roman"/>
          <w:i/>
          <w:iCs/>
          <w:sz w:val="24"/>
          <w:szCs w:val="24"/>
        </w:rPr>
        <w:t>D. pulex and D. pulicaria</w:t>
      </w:r>
      <w:r w:rsidRPr="00411303">
        <w:rPr>
          <w:rFonts w:ascii="Times New Roman" w:hAnsi="Times New Roman" w:cs="Times New Roman"/>
          <w:sz w:val="24"/>
          <w:szCs w:val="24"/>
        </w:rPr>
        <w:t xml:space="preserve"> exhibit different life-history responses to photoperiod (Wen Deng, 1997), which has been hypothesized to contribute to the maintenance of species boundaries as a pre</w:t>
      </w:r>
      <w:r w:rsidR="00CD2F0B">
        <w:rPr>
          <w:rFonts w:ascii="Times New Roman" w:hAnsi="Times New Roman" w:cs="Times New Roman"/>
          <w:sz w:val="24"/>
          <w:szCs w:val="24"/>
        </w:rPr>
        <w:t>-</w:t>
      </w:r>
      <w:r w:rsidRPr="00411303">
        <w:rPr>
          <w:rFonts w:ascii="Times New Roman" w:hAnsi="Times New Roman" w:cs="Times New Roman"/>
          <w:sz w:val="24"/>
          <w:szCs w:val="24"/>
        </w:rPr>
        <w:t>reproductive isolating barrier.</w:t>
      </w:r>
    </w:p>
    <w:p w14:paraId="0B02CFE4" w14:textId="3487DFED" w:rsidR="00411303" w:rsidRPr="00411303" w:rsidRDefault="00411303" w:rsidP="00B934B7">
      <w:pPr>
        <w:spacing w:line="480" w:lineRule="auto"/>
        <w:ind w:firstLine="720"/>
        <w:rPr>
          <w:rFonts w:ascii="Times New Roman" w:hAnsi="Times New Roman" w:cs="Times New Roman"/>
          <w:sz w:val="24"/>
          <w:szCs w:val="24"/>
        </w:rPr>
      </w:pPr>
      <w:r w:rsidRPr="00411303">
        <w:rPr>
          <w:rFonts w:ascii="Times New Roman" w:hAnsi="Times New Roman" w:cs="Times New Roman"/>
          <w:sz w:val="24"/>
          <w:szCs w:val="24"/>
        </w:rPr>
        <w:t xml:space="preserve">Lakes and ponds also often differ in their predation regimes where many lakes that </w:t>
      </w:r>
      <w:r w:rsidR="00CD2F0B" w:rsidRPr="00411303">
        <w:rPr>
          <w:rFonts w:ascii="Times New Roman" w:hAnsi="Times New Roman" w:cs="Times New Roman"/>
          <w:sz w:val="24"/>
          <w:szCs w:val="24"/>
        </w:rPr>
        <w:t>harbor</w:t>
      </w:r>
      <w:r w:rsidRPr="00411303">
        <w:rPr>
          <w:rFonts w:ascii="Times New Roman" w:hAnsi="Times New Roman" w:cs="Times New Roman"/>
          <w:sz w:val="24"/>
          <w:szCs w:val="24"/>
        </w:rPr>
        <w:t xml:space="preserve"> </w:t>
      </w:r>
      <w:r w:rsidRPr="0003302E">
        <w:rPr>
          <w:rFonts w:ascii="Times New Roman" w:hAnsi="Times New Roman" w:cs="Times New Roman"/>
          <w:i/>
          <w:iCs/>
          <w:sz w:val="24"/>
          <w:szCs w:val="24"/>
        </w:rPr>
        <w:t>D. pulicaria</w:t>
      </w:r>
      <w:r w:rsidRPr="00411303">
        <w:rPr>
          <w:rFonts w:ascii="Times New Roman" w:hAnsi="Times New Roman" w:cs="Times New Roman"/>
          <w:sz w:val="24"/>
          <w:szCs w:val="24"/>
        </w:rPr>
        <w:t xml:space="preserve"> populations also contain </w:t>
      </w:r>
      <w:r w:rsidR="00B61BB8" w:rsidRPr="00411303">
        <w:rPr>
          <w:rFonts w:ascii="Times New Roman" w:hAnsi="Times New Roman" w:cs="Times New Roman"/>
          <w:sz w:val="24"/>
          <w:szCs w:val="24"/>
        </w:rPr>
        <w:t>visually oriented</w:t>
      </w:r>
      <w:r w:rsidRPr="00411303">
        <w:rPr>
          <w:rFonts w:ascii="Times New Roman" w:hAnsi="Times New Roman" w:cs="Times New Roman"/>
          <w:sz w:val="24"/>
          <w:szCs w:val="24"/>
        </w:rPr>
        <w:t xml:space="preserve"> fish predators (Brooks &amp; Dodson, 1965; Tessier &amp; Welser, 1991). Meanwhile, many ponds that </w:t>
      </w:r>
      <w:r w:rsidR="00CD2F0B" w:rsidRPr="00411303">
        <w:rPr>
          <w:rFonts w:ascii="Times New Roman" w:hAnsi="Times New Roman" w:cs="Times New Roman"/>
          <w:sz w:val="24"/>
          <w:szCs w:val="24"/>
        </w:rPr>
        <w:t>harbor</w:t>
      </w:r>
      <w:r w:rsidRPr="00411303">
        <w:rPr>
          <w:rFonts w:ascii="Times New Roman" w:hAnsi="Times New Roman" w:cs="Times New Roman"/>
          <w:sz w:val="24"/>
          <w:szCs w:val="24"/>
        </w:rPr>
        <w:t xml:space="preserve"> </w:t>
      </w:r>
      <w:r w:rsidRPr="0003302E">
        <w:rPr>
          <w:rFonts w:ascii="Times New Roman" w:hAnsi="Times New Roman" w:cs="Times New Roman"/>
          <w:i/>
          <w:iCs/>
          <w:sz w:val="24"/>
          <w:szCs w:val="24"/>
        </w:rPr>
        <w:t>D. pulex</w:t>
      </w:r>
      <w:r w:rsidRPr="00411303">
        <w:rPr>
          <w:rFonts w:ascii="Times New Roman" w:hAnsi="Times New Roman" w:cs="Times New Roman"/>
          <w:sz w:val="24"/>
          <w:szCs w:val="24"/>
        </w:rPr>
        <w:t xml:space="preserve"> are fish-less but contain high population densities of gape-limited invertebrate predators such as phantom midge larvae (Chaoborus; Spitze, 1991). These different predator guilds have created contrasting selection pressures on growth rate and neonate body size in the two species where pulex tend to grow and “live” faster than pulicaria (Dudycha, 2004; Dudycha &amp; Tessier, 1999) in order to more rapidly reach a body-size “refuge”. Interestingly, we observed GO term enrichment for several different aspects of the cell cycle and mitosis which we believe may underlie the differences in growth and senescence observed between these two species. Finally, another set of highly enriched GO terms were related to various aspects of metabolism. This could be related to widespread metabolic rewiring related to various aspects of life-history as noted above, and the vast physicochemical and biological differences between ponds and lakes (Søndergaard et al., 2005). Several other enriched GO terms (e.g., vesicle-mediated transport processes) have less obvious connections to the ecology of these two sister species. Clearly, more experiments integrating functional genomics and life-history assays are needed to further investigate these apparent signatures of selection.</w:t>
      </w:r>
    </w:p>
    <w:p w14:paraId="05EE0937" w14:textId="5534100E" w:rsidR="00411303" w:rsidRPr="00B934B7" w:rsidRDefault="00411303" w:rsidP="00411303">
      <w:pPr>
        <w:spacing w:line="480" w:lineRule="auto"/>
        <w:rPr>
          <w:rFonts w:ascii="Times New Roman" w:hAnsi="Times New Roman" w:cs="Times New Roman"/>
          <w:i/>
          <w:iCs/>
          <w:sz w:val="24"/>
          <w:szCs w:val="24"/>
        </w:rPr>
      </w:pPr>
      <w:r w:rsidRPr="00B934B7">
        <w:rPr>
          <w:rFonts w:ascii="Times New Roman" w:hAnsi="Times New Roman" w:cs="Times New Roman"/>
          <w:i/>
          <w:iCs/>
          <w:sz w:val="24"/>
          <w:szCs w:val="24"/>
        </w:rPr>
        <w:lastRenderedPageBreak/>
        <w:t>Conclusions</w:t>
      </w:r>
      <w:r w:rsidR="00B934B7">
        <w:rPr>
          <w:rFonts w:ascii="Times New Roman" w:hAnsi="Times New Roman" w:cs="Times New Roman"/>
          <w:i/>
          <w:iCs/>
          <w:sz w:val="24"/>
          <w:szCs w:val="24"/>
        </w:rPr>
        <w:t>:</w:t>
      </w:r>
    </w:p>
    <w:p w14:paraId="2A040CED" w14:textId="0FAAEA58" w:rsidR="00411303" w:rsidRPr="00411303" w:rsidRDefault="00411303" w:rsidP="00411303">
      <w:pPr>
        <w:spacing w:line="480" w:lineRule="auto"/>
        <w:rPr>
          <w:rFonts w:ascii="Times New Roman" w:hAnsi="Times New Roman" w:cs="Times New Roman"/>
          <w:sz w:val="24"/>
          <w:szCs w:val="24"/>
        </w:rPr>
      </w:pPr>
      <w:r w:rsidRPr="00411303">
        <w:rPr>
          <w:rFonts w:ascii="Times New Roman" w:hAnsi="Times New Roman" w:cs="Times New Roman"/>
          <w:sz w:val="24"/>
          <w:szCs w:val="24"/>
        </w:rPr>
        <w:t xml:space="preserve">We argue that the pattern and process of divergence is dynamic and shaped primarily by the underlying distribution of functional genomic elements rather than low recombination. In particular, lineage-specific selection in </w:t>
      </w:r>
      <w:r w:rsidRPr="00B934B7">
        <w:rPr>
          <w:rFonts w:ascii="Times New Roman" w:hAnsi="Times New Roman" w:cs="Times New Roman"/>
          <w:i/>
          <w:iCs/>
          <w:sz w:val="24"/>
          <w:szCs w:val="24"/>
        </w:rPr>
        <w:t>D. pulicaria</w:t>
      </w:r>
      <w:r w:rsidRPr="00411303">
        <w:rPr>
          <w:rFonts w:ascii="Times New Roman" w:hAnsi="Times New Roman" w:cs="Times New Roman"/>
          <w:sz w:val="24"/>
          <w:szCs w:val="24"/>
        </w:rPr>
        <w:t xml:space="preserve"> prompted by invasion into a novel habitat appears to be shaping the genome-wide patterns of divergence in these sister ecological species. Selection and gene flow ultimately are opposing forces in speciation-with-geneflow, and their complex interplay is shaped by the genetic architecture that underlies adaptive phenotypes (Kautt et al., 2020; Martin et al., 2013). Several lines of evidence support our claims. First, there is broad overlap of our regions of divergence with regions in our genetic map showing high recombination and gene density. While the overlaps are striking, a careful examination of all chromosomes indicates several exceptions (e.g., Figure 4; 25–35 Mb). Why these occur is unclear, but they warrant future investigation. Next, we also observed an association between F</w:t>
      </w:r>
      <w:r w:rsidRPr="00B934B7">
        <w:rPr>
          <w:rFonts w:ascii="Times New Roman" w:hAnsi="Times New Roman" w:cs="Times New Roman"/>
          <w:sz w:val="24"/>
          <w:szCs w:val="24"/>
          <w:vertAlign w:val="subscript"/>
        </w:rPr>
        <w:t>ST</w:t>
      </w:r>
      <w:r w:rsidRPr="00411303">
        <w:rPr>
          <w:rFonts w:ascii="Times New Roman" w:hAnsi="Times New Roman" w:cs="Times New Roman"/>
          <w:sz w:val="24"/>
          <w:szCs w:val="24"/>
        </w:rPr>
        <w:t xml:space="preserve"> outliers and recombination rates, however, our permutation test falls short of statistical significance (at p = .05). However, we must also consider the biological significance of a pattern, and this relationship is nonetheless striking. Especially, when considered in conjunction with the fact that the outlier regions are surrounded by more genes on average than background SNPs.</w:t>
      </w:r>
    </w:p>
    <w:p w14:paraId="158BF587" w14:textId="22535419" w:rsidR="00411303" w:rsidRPr="00411303" w:rsidRDefault="00411303" w:rsidP="00B934B7">
      <w:pPr>
        <w:spacing w:line="480" w:lineRule="auto"/>
        <w:ind w:firstLine="720"/>
        <w:rPr>
          <w:rFonts w:ascii="Times New Roman" w:hAnsi="Times New Roman" w:cs="Times New Roman"/>
          <w:sz w:val="24"/>
          <w:szCs w:val="24"/>
        </w:rPr>
      </w:pPr>
      <w:r w:rsidRPr="00411303">
        <w:rPr>
          <w:rFonts w:ascii="Times New Roman" w:hAnsi="Times New Roman" w:cs="Times New Roman"/>
          <w:sz w:val="24"/>
          <w:szCs w:val="24"/>
        </w:rPr>
        <w:t xml:space="preserve">We also contend that the nature of the habitat transition experienced by </w:t>
      </w:r>
      <w:r w:rsidRPr="00B934B7">
        <w:rPr>
          <w:rFonts w:ascii="Times New Roman" w:hAnsi="Times New Roman" w:cs="Times New Roman"/>
          <w:i/>
          <w:iCs/>
          <w:sz w:val="24"/>
          <w:szCs w:val="24"/>
        </w:rPr>
        <w:t>D. pulicaria</w:t>
      </w:r>
      <w:r w:rsidRPr="00411303">
        <w:rPr>
          <w:rFonts w:ascii="Times New Roman" w:hAnsi="Times New Roman" w:cs="Times New Roman"/>
          <w:sz w:val="24"/>
          <w:szCs w:val="24"/>
        </w:rPr>
        <w:t xml:space="preserve"> must have been highly polygenic and this contributed to the patterns observed. We support this with model-based outlier analysis (PCadapt) and GO-term enrichment analysis. We acknowledge that GO enrichment tests are fraught with difficulties in developing appropriate null distributions for testing. Regardless, such tests are important tools for interrogating biological significance of large gene lists (Dessimoz &amp; Skunca, 2017). While we invoke an adaptive explanation for the large number of outliers, demographic history cannot be ignored. Our demographic modeling </w:t>
      </w:r>
      <w:r w:rsidRPr="00411303">
        <w:rPr>
          <w:rFonts w:ascii="Times New Roman" w:hAnsi="Times New Roman" w:cs="Times New Roman"/>
          <w:sz w:val="24"/>
          <w:szCs w:val="24"/>
        </w:rPr>
        <w:lastRenderedPageBreak/>
        <w:t xml:space="preserve">shows that </w:t>
      </w:r>
      <w:r w:rsidRPr="00B934B7">
        <w:rPr>
          <w:rFonts w:ascii="Times New Roman" w:hAnsi="Times New Roman" w:cs="Times New Roman"/>
          <w:i/>
          <w:iCs/>
          <w:sz w:val="24"/>
          <w:szCs w:val="24"/>
        </w:rPr>
        <w:t>D. pulicaria</w:t>
      </w:r>
      <w:r w:rsidRPr="00411303">
        <w:rPr>
          <w:rFonts w:ascii="Times New Roman" w:hAnsi="Times New Roman" w:cs="Times New Roman"/>
          <w:sz w:val="24"/>
          <w:szCs w:val="24"/>
        </w:rPr>
        <w:t xml:space="preserve"> has low effective population size and may have experienced a bottleneck. Thus, many of these outliers may be due to drift. While this is a plausible explanation, we believe that life-cycle patterns in lake </w:t>
      </w:r>
      <w:r w:rsidRPr="00B934B7">
        <w:rPr>
          <w:rFonts w:ascii="Times New Roman" w:hAnsi="Times New Roman" w:cs="Times New Roman"/>
          <w:i/>
          <w:iCs/>
          <w:sz w:val="24"/>
          <w:szCs w:val="24"/>
        </w:rPr>
        <w:t>D. pulicaria</w:t>
      </w:r>
      <w:r w:rsidRPr="00411303">
        <w:rPr>
          <w:rFonts w:ascii="Times New Roman" w:hAnsi="Times New Roman" w:cs="Times New Roman"/>
          <w:sz w:val="24"/>
          <w:szCs w:val="24"/>
        </w:rPr>
        <w:t xml:space="preserve">, which often include increased clonality and delayed sex (Cáceres &amp; Tessier, 2004; Tessier &amp; Cáceres, 2004), can influence population genetic structure in lake populations by promoting clonal selection (Allen &amp; Lynch, 2012). Further, given the current understanding of metapopulation dynamics for </w:t>
      </w:r>
      <w:r w:rsidRPr="00B934B7">
        <w:rPr>
          <w:rFonts w:ascii="Times New Roman" w:hAnsi="Times New Roman" w:cs="Times New Roman"/>
          <w:i/>
          <w:iCs/>
          <w:sz w:val="24"/>
          <w:szCs w:val="24"/>
        </w:rPr>
        <w:t>Daphnia</w:t>
      </w:r>
      <w:r w:rsidRPr="00411303">
        <w:rPr>
          <w:rFonts w:ascii="Times New Roman" w:hAnsi="Times New Roman" w:cs="Times New Roman"/>
          <w:sz w:val="24"/>
          <w:szCs w:val="24"/>
        </w:rPr>
        <w:t xml:space="preserve"> (De Meester et al., 2006) and the nature of monopolization within lakes (De Meester et al., 2002) it is not surprising that strong clonal selection is at play despite low effective size. Additionally, new and independent evidence (Jackson et al., 2021) which used a novel </w:t>
      </w:r>
      <w:r w:rsidRPr="00B934B7">
        <w:rPr>
          <w:rFonts w:ascii="Times New Roman" w:hAnsi="Times New Roman" w:cs="Times New Roman"/>
          <w:i/>
          <w:iCs/>
          <w:sz w:val="24"/>
          <w:szCs w:val="24"/>
        </w:rPr>
        <w:t>D. pulicaria</w:t>
      </w:r>
      <w:r w:rsidRPr="00411303">
        <w:rPr>
          <w:rFonts w:ascii="Times New Roman" w:hAnsi="Times New Roman" w:cs="Times New Roman"/>
          <w:sz w:val="24"/>
          <w:szCs w:val="24"/>
        </w:rPr>
        <w:t xml:space="preserve"> genome assembly and selection tests confirms a model where widespread polygenic selection is operating in this lake species.</w:t>
      </w:r>
    </w:p>
    <w:p w14:paraId="0F20624B" w14:textId="5606CCE6" w:rsidR="00411303" w:rsidRDefault="00411303" w:rsidP="00B934B7">
      <w:pPr>
        <w:spacing w:line="480" w:lineRule="auto"/>
        <w:ind w:firstLine="720"/>
        <w:rPr>
          <w:rFonts w:ascii="Times New Roman" w:hAnsi="Times New Roman" w:cs="Times New Roman"/>
          <w:sz w:val="24"/>
          <w:szCs w:val="24"/>
        </w:rPr>
      </w:pPr>
      <w:r w:rsidRPr="00411303">
        <w:rPr>
          <w:rFonts w:ascii="Times New Roman" w:hAnsi="Times New Roman" w:cs="Times New Roman"/>
          <w:sz w:val="24"/>
          <w:szCs w:val="24"/>
        </w:rPr>
        <w:t xml:space="preserve">Our findings contribute to a growing body of work that highlights </w:t>
      </w:r>
      <w:r w:rsidRPr="00B934B7">
        <w:rPr>
          <w:rFonts w:ascii="Times New Roman" w:hAnsi="Times New Roman" w:cs="Times New Roman"/>
          <w:i/>
          <w:iCs/>
          <w:sz w:val="24"/>
          <w:szCs w:val="24"/>
        </w:rPr>
        <w:t>Daphnia</w:t>
      </w:r>
      <w:r w:rsidRPr="00411303">
        <w:rPr>
          <w:rFonts w:ascii="Times New Roman" w:hAnsi="Times New Roman" w:cs="Times New Roman"/>
          <w:sz w:val="24"/>
          <w:szCs w:val="24"/>
        </w:rPr>
        <w:t xml:space="preserve"> as an important ecogenomic model that will help revolutionize many aspects of population genomic studies </w:t>
      </w:r>
      <w:r w:rsidR="008145AC" w:rsidRPr="00411303">
        <w:rPr>
          <w:rFonts w:ascii="Times New Roman" w:hAnsi="Times New Roman" w:cs="Times New Roman"/>
          <w:sz w:val="24"/>
          <w:szCs w:val="24"/>
        </w:rPr>
        <w:t>centered</w:t>
      </w:r>
      <w:r w:rsidRPr="00411303">
        <w:rPr>
          <w:rFonts w:ascii="Times New Roman" w:hAnsi="Times New Roman" w:cs="Times New Roman"/>
          <w:sz w:val="24"/>
          <w:szCs w:val="24"/>
        </w:rPr>
        <w:t xml:space="preserve"> on incipient species formation. However, further studies specifically addressing the roles of recombination versus gene density in determining the pattern off heterogenous genomic divergence in systems exhibiting ecological-speciation-with-gene-flow are needed. The sequencing of the first </w:t>
      </w:r>
      <w:r w:rsidRPr="008145AC">
        <w:rPr>
          <w:rFonts w:ascii="Times New Roman" w:hAnsi="Times New Roman" w:cs="Times New Roman"/>
          <w:i/>
          <w:iCs/>
          <w:sz w:val="24"/>
          <w:szCs w:val="24"/>
        </w:rPr>
        <w:t>Daphnia</w:t>
      </w:r>
      <w:r w:rsidRPr="00411303">
        <w:rPr>
          <w:rFonts w:ascii="Times New Roman" w:hAnsi="Times New Roman" w:cs="Times New Roman"/>
          <w:sz w:val="24"/>
          <w:szCs w:val="24"/>
        </w:rPr>
        <w:t xml:space="preserve"> genome (Colbourne et al., 2011) catalysed exciting discoveries in disparate areas of biology (e.g., Miner et al., 2012; Seda &amp; Petrusek, 2011; Tkaczyk et al., 2021). This new high-quality near-chromosome scale phased genome assembly and development of an ultra-dense genetic map should further catalyse research illuminating the dynamic interplay between ecology and evolution across biological scales to understand processes ranging from genes to ecosystems.</w:t>
      </w:r>
    </w:p>
    <w:p w14:paraId="05D2713E" w14:textId="152F1C4D" w:rsidR="00720AA2" w:rsidRPr="00720AA2" w:rsidRDefault="00720AA2" w:rsidP="00720AA2">
      <w:pPr>
        <w:spacing w:line="480" w:lineRule="auto"/>
        <w:rPr>
          <w:rFonts w:ascii="Times New Roman" w:hAnsi="Times New Roman" w:cs="Times New Roman"/>
          <w:b/>
          <w:bCs/>
          <w:sz w:val="24"/>
          <w:szCs w:val="24"/>
        </w:rPr>
      </w:pPr>
      <w:r w:rsidRPr="00720AA2">
        <w:rPr>
          <w:rFonts w:ascii="Times New Roman" w:hAnsi="Times New Roman" w:cs="Times New Roman"/>
          <w:b/>
          <w:bCs/>
          <w:sz w:val="24"/>
          <w:szCs w:val="24"/>
        </w:rPr>
        <w:t>Acknowledgements:</w:t>
      </w:r>
    </w:p>
    <w:p w14:paraId="5DEF71E3" w14:textId="4B5D6B52" w:rsidR="008145AC" w:rsidRDefault="00720AA2" w:rsidP="00720AA2">
      <w:pPr>
        <w:spacing w:line="480" w:lineRule="auto"/>
        <w:rPr>
          <w:rFonts w:ascii="Times New Roman" w:hAnsi="Times New Roman" w:cs="Times New Roman"/>
          <w:sz w:val="24"/>
          <w:szCs w:val="24"/>
        </w:rPr>
      </w:pPr>
      <w:r w:rsidRPr="00720AA2">
        <w:rPr>
          <w:rFonts w:ascii="Times New Roman" w:hAnsi="Times New Roman" w:cs="Times New Roman"/>
          <w:sz w:val="24"/>
          <w:szCs w:val="24"/>
        </w:rPr>
        <w:lastRenderedPageBreak/>
        <w:t xml:space="preserve">The work presented here would not have been possible without the tireless efforts of several generations of Weider laboratory students and post docs, including D. Frisch, P. Morton, B. Culver, R. Hartnett, and E. Kiehnau. Funding for this project was provided by The University of Oklahoma Board of Regents to LJW, and the U.S. National Science Foundation (IOS#0924289 and IOS#1256881 to LJW and IOS#0924401 and IOS#1256867 to PDJ) Any opinions, findings and conclusions or recommendations expressed in this material are those of the authors and do not necessarily reflect the views of the U.S. National Science Foundation or the University of Oklahoma. Computing resources used in this research were provided by the University of Oklahoma’s Oklahoma Supercomputing Center for Education and Research (OU OSCER). This manuscript represents a portion of MJW's doctoral dissertation at The University of Oklahoma. Finally, we dedicate this manuscript to the memory of Professor Dr Winfried Lampert (former Director of the Max-Planck-Institute for Limnology, Plön, Germany), who dedicated his career to developing </w:t>
      </w:r>
      <w:r w:rsidRPr="00720AA2">
        <w:rPr>
          <w:rFonts w:ascii="Times New Roman" w:hAnsi="Times New Roman" w:cs="Times New Roman"/>
          <w:i/>
          <w:iCs/>
          <w:sz w:val="24"/>
          <w:szCs w:val="24"/>
        </w:rPr>
        <w:t>Daphnia</w:t>
      </w:r>
      <w:r w:rsidRPr="00720AA2">
        <w:rPr>
          <w:rFonts w:ascii="Times New Roman" w:hAnsi="Times New Roman" w:cs="Times New Roman"/>
          <w:sz w:val="24"/>
          <w:szCs w:val="24"/>
        </w:rPr>
        <w:t xml:space="preserve"> as an important international model species in the fields of ecophysiology, ecology, and evolution.</w:t>
      </w:r>
    </w:p>
    <w:p w14:paraId="053E8A9B" w14:textId="544E6E25" w:rsidR="00396B9F" w:rsidRPr="00396B9F" w:rsidRDefault="00396B9F" w:rsidP="00396B9F">
      <w:pPr>
        <w:spacing w:line="480" w:lineRule="auto"/>
        <w:rPr>
          <w:rFonts w:ascii="Times New Roman" w:hAnsi="Times New Roman" w:cs="Times New Roman"/>
          <w:b/>
          <w:bCs/>
          <w:sz w:val="24"/>
          <w:szCs w:val="24"/>
        </w:rPr>
      </w:pPr>
      <w:r w:rsidRPr="00396B9F">
        <w:rPr>
          <w:rFonts w:ascii="Times New Roman" w:hAnsi="Times New Roman" w:cs="Times New Roman"/>
          <w:b/>
          <w:bCs/>
          <w:sz w:val="24"/>
          <w:szCs w:val="24"/>
        </w:rPr>
        <w:t>Author Contributions</w:t>
      </w:r>
      <w:r>
        <w:rPr>
          <w:rFonts w:ascii="Times New Roman" w:hAnsi="Times New Roman" w:cs="Times New Roman"/>
          <w:b/>
          <w:bCs/>
          <w:sz w:val="24"/>
          <w:szCs w:val="24"/>
        </w:rPr>
        <w:t>:</w:t>
      </w:r>
    </w:p>
    <w:p w14:paraId="59EB0F37" w14:textId="5FE45F7A" w:rsidR="00720AA2" w:rsidRDefault="00396B9F" w:rsidP="00396B9F">
      <w:pPr>
        <w:spacing w:line="480" w:lineRule="auto"/>
        <w:rPr>
          <w:rFonts w:ascii="Times New Roman" w:hAnsi="Times New Roman" w:cs="Times New Roman"/>
          <w:sz w:val="24"/>
          <w:szCs w:val="24"/>
        </w:rPr>
      </w:pPr>
      <w:r w:rsidRPr="00396B9F">
        <w:rPr>
          <w:rFonts w:ascii="Times New Roman" w:hAnsi="Times New Roman" w:cs="Times New Roman"/>
          <w:sz w:val="24"/>
          <w:szCs w:val="24"/>
        </w:rPr>
        <w:t>PDJ and LJW performed fieldwork and designed and implemented the crossing experiments and F2 panel breeding protocol. RES conducted the Illumina sequencing experiments, which MJW analysed and combined with the long-read PacBio genome sequencing, assembly, and annotation. MJW analysed all data sets and wrote the first draft of the manuscript. All authors contributed to interpretation, editing, and revising subsequent versions of the manuscript.</w:t>
      </w:r>
    </w:p>
    <w:p w14:paraId="001BF980" w14:textId="2F2339A0" w:rsidR="00396B9F" w:rsidRDefault="00396B9F" w:rsidP="00396B9F">
      <w:pPr>
        <w:spacing w:line="480" w:lineRule="auto"/>
        <w:rPr>
          <w:rFonts w:ascii="Times New Roman" w:hAnsi="Times New Roman" w:cs="Times New Roman"/>
          <w:sz w:val="24"/>
          <w:szCs w:val="24"/>
        </w:rPr>
      </w:pPr>
    </w:p>
    <w:p w14:paraId="75668D9B" w14:textId="7A537562" w:rsidR="00396B9F" w:rsidRDefault="00396B9F" w:rsidP="00396B9F">
      <w:pPr>
        <w:spacing w:line="480" w:lineRule="auto"/>
        <w:rPr>
          <w:rFonts w:ascii="Times New Roman" w:hAnsi="Times New Roman" w:cs="Times New Roman"/>
          <w:sz w:val="24"/>
          <w:szCs w:val="24"/>
        </w:rPr>
      </w:pPr>
    </w:p>
    <w:p w14:paraId="5AD2B920" w14:textId="56ECF9B2" w:rsidR="00B33E39" w:rsidRPr="008972ED" w:rsidRDefault="00B33E39" w:rsidP="00B33E39">
      <w:pPr>
        <w:spacing w:line="480" w:lineRule="auto"/>
        <w:rPr>
          <w:rFonts w:ascii="Times New Roman" w:hAnsi="Times New Roman" w:cs="Times New Roman"/>
          <w:b/>
          <w:bCs/>
          <w:sz w:val="24"/>
          <w:szCs w:val="24"/>
        </w:rPr>
      </w:pPr>
      <w:r w:rsidRPr="008972ED">
        <w:rPr>
          <w:rFonts w:ascii="Times New Roman" w:hAnsi="Times New Roman" w:cs="Times New Roman"/>
          <w:b/>
          <w:bCs/>
          <w:sz w:val="24"/>
          <w:szCs w:val="24"/>
        </w:rPr>
        <w:lastRenderedPageBreak/>
        <w:t>Data Availability Statement:</w:t>
      </w:r>
    </w:p>
    <w:p w14:paraId="6ECB1707" w14:textId="51AEB0C0" w:rsidR="00396B9F" w:rsidRDefault="00B33E39" w:rsidP="00B33E39">
      <w:pPr>
        <w:spacing w:line="480" w:lineRule="auto"/>
        <w:rPr>
          <w:rFonts w:ascii="Times New Roman" w:hAnsi="Times New Roman" w:cs="Times New Roman"/>
          <w:sz w:val="24"/>
          <w:szCs w:val="24"/>
        </w:rPr>
      </w:pPr>
      <w:r w:rsidRPr="00B33E39">
        <w:rPr>
          <w:rFonts w:ascii="Times New Roman" w:hAnsi="Times New Roman" w:cs="Times New Roman"/>
          <w:sz w:val="24"/>
          <w:szCs w:val="24"/>
        </w:rPr>
        <w:t>The ddRADseq data set used in this study is archived in the NCBI SRA under study Accession PRJNA288877. The whole genome sequence data from the F0s and F1individuals will be deposited in the NCBI SRA under accessions SAMN07108733, SAMN07108734, SAMN07108731 &amp; SAMN21387128. The sequence data for the F2s will be available from SRA under SAMN25518473-SAMN25518575 after a 6</w:t>
      </w:r>
      <w:r>
        <w:rPr>
          <w:rFonts w:ascii="Times New Roman" w:hAnsi="Times New Roman" w:cs="Times New Roman"/>
          <w:sz w:val="24"/>
          <w:szCs w:val="24"/>
        </w:rPr>
        <w:t>-</w:t>
      </w:r>
      <w:r w:rsidRPr="00B33E39">
        <w:rPr>
          <w:rFonts w:ascii="Times New Roman" w:hAnsi="Times New Roman" w:cs="Times New Roman"/>
          <w:sz w:val="24"/>
          <w:szCs w:val="24"/>
        </w:rPr>
        <w:t>month embargo period. The genome assembly is available on NCBI Genbank under accession SAMN21387128. Metadata for this study is available on the Dryad depository (Wersebe et al., 2021). Scripts used to produce the analyses presented here are available on Github at: www.github.com/mwersebe/Daphnia_pulicaria_F2_genomics. This research is not subject to the Convention on Biological Diversity nor the Nagoya Protocol.</w:t>
      </w:r>
    </w:p>
    <w:p w14:paraId="70E85172" w14:textId="29442D8F" w:rsidR="00D40FA4" w:rsidRDefault="00D40FA4">
      <w:pPr>
        <w:rPr>
          <w:rFonts w:ascii="Times New Roman" w:hAnsi="Times New Roman" w:cs="Times New Roman"/>
          <w:sz w:val="24"/>
          <w:szCs w:val="24"/>
        </w:rPr>
      </w:pPr>
      <w:r>
        <w:rPr>
          <w:rFonts w:ascii="Times New Roman" w:hAnsi="Times New Roman" w:cs="Times New Roman"/>
          <w:sz w:val="24"/>
          <w:szCs w:val="24"/>
        </w:rPr>
        <w:br w:type="page"/>
      </w:r>
    </w:p>
    <w:p w14:paraId="37949C25" w14:textId="0EBC0050" w:rsidR="009623EA" w:rsidRDefault="00900DE6" w:rsidP="00A8505D">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Works Cited:</w:t>
      </w:r>
    </w:p>
    <w:p w14:paraId="2E17D356" w14:textId="0D3D3BD8" w:rsidR="00900DE6" w:rsidRPr="000F4C69" w:rsidRDefault="00900DE6"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Allen, D. E., &amp; Lynch, M. (2012). The effect of variable frequency of sexual reproduction on the genetic structure of natural populations</w:t>
      </w:r>
      <w:r w:rsidR="000F4C69">
        <w:rPr>
          <w:rFonts w:ascii="Times New Roman" w:hAnsi="Times New Roman" w:cs="Times New Roman"/>
          <w:sz w:val="24"/>
          <w:szCs w:val="24"/>
        </w:rPr>
        <w:t xml:space="preserve"> </w:t>
      </w:r>
      <w:r w:rsidRPr="000F4C69">
        <w:rPr>
          <w:rFonts w:ascii="Times New Roman" w:hAnsi="Times New Roman" w:cs="Times New Roman"/>
          <w:sz w:val="24"/>
          <w:szCs w:val="24"/>
        </w:rPr>
        <w:t xml:space="preserve">of a cyclical parthenogen. Evolution, 66(3), 919–926. </w:t>
      </w:r>
      <w:hyperlink r:id="rId20" w:history="1">
        <w:r w:rsidR="00624463" w:rsidRPr="00DC165E">
          <w:rPr>
            <w:rStyle w:val="Hyperlink"/>
            <w:rFonts w:ascii="Times New Roman" w:hAnsi="Times New Roman" w:cs="Times New Roman"/>
            <w:sz w:val="24"/>
            <w:szCs w:val="24"/>
          </w:rPr>
          <w:t>https://doi.org/10.1111/j.1558-5646.2011.01488.x</w:t>
        </w:r>
      </w:hyperlink>
      <w:r w:rsidR="00624463">
        <w:rPr>
          <w:rFonts w:ascii="Times New Roman" w:hAnsi="Times New Roman" w:cs="Times New Roman"/>
          <w:sz w:val="24"/>
          <w:szCs w:val="24"/>
        </w:rPr>
        <w:t xml:space="preserve"> </w:t>
      </w:r>
    </w:p>
    <w:p w14:paraId="1BBF9223" w14:textId="53F02BB9" w:rsidR="00900DE6" w:rsidRPr="000F4C69" w:rsidRDefault="00900DE6"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Alonge, M., Soyk, S., Ramakrishnan, S., Wang, X., Goodwin, S., Sedlazeck,</w:t>
      </w:r>
      <w:r w:rsidR="00E909BF">
        <w:rPr>
          <w:rFonts w:ascii="Times New Roman" w:hAnsi="Times New Roman" w:cs="Times New Roman"/>
          <w:sz w:val="24"/>
          <w:szCs w:val="24"/>
        </w:rPr>
        <w:t xml:space="preserve"> </w:t>
      </w:r>
      <w:r w:rsidRPr="000F4C69">
        <w:rPr>
          <w:rFonts w:ascii="Times New Roman" w:hAnsi="Times New Roman" w:cs="Times New Roman"/>
          <w:sz w:val="24"/>
          <w:szCs w:val="24"/>
        </w:rPr>
        <w:t>F. J., Lippman, Z. B., &amp; Schatz, M. C. (2019). RaGOO: Fast and accurate reference-guided scaffolding of draft genomes. Genome</w:t>
      </w:r>
      <w:r w:rsidR="000F4C69">
        <w:rPr>
          <w:rFonts w:ascii="Times New Roman" w:hAnsi="Times New Roman" w:cs="Times New Roman"/>
          <w:sz w:val="24"/>
          <w:szCs w:val="24"/>
        </w:rPr>
        <w:t xml:space="preserve"> </w:t>
      </w:r>
      <w:r w:rsidRPr="000F4C69">
        <w:rPr>
          <w:rFonts w:ascii="Times New Roman" w:hAnsi="Times New Roman" w:cs="Times New Roman"/>
          <w:sz w:val="24"/>
          <w:szCs w:val="24"/>
        </w:rPr>
        <w:t xml:space="preserve">Biology, 20, 224. </w:t>
      </w:r>
      <w:hyperlink r:id="rId21" w:history="1">
        <w:r w:rsidR="00624463" w:rsidRPr="00DC165E">
          <w:rPr>
            <w:rStyle w:val="Hyperlink"/>
            <w:rFonts w:ascii="Times New Roman" w:hAnsi="Times New Roman" w:cs="Times New Roman"/>
            <w:sz w:val="24"/>
            <w:szCs w:val="24"/>
          </w:rPr>
          <w:t>https://doi.org/10.1186/s13059-019-1829-6</w:t>
        </w:r>
      </w:hyperlink>
      <w:r w:rsidR="00624463">
        <w:rPr>
          <w:rFonts w:ascii="Times New Roman" w:hAnsi="Times New Roman" w:cs="Times New Roman"/>
          <w:sz w:val="24"/>
          <w:szCs w:val="24"/>
        </w:rPr>
        <w:t xml:space="preserve"> </w:t>
      </w:r>
    </w:p>
    <w:p w14:paraId="47E5101A" w14:textId="7EA1E1F1" w:rsidR="00900DE6" w:rsidRPr="000F4C69" w:rsidRDefault="00900DE6"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Athanasio, C. G., Chipman, J. K., Viant, M. R., &amp; Mirbahai, L. (2016).</w:t>
      </w:r>
      <w:r w:rsidR="00E909BF">
        <w:rPr>
          <w:rFonts w:ascii="Times New Roman" w:hAnsi="Times New Roman" w:cs="Times New Roman"/>
          <w:sz w:val="24"/>
          <w:szCs w:val="24"/>
        </w:rPr>
        <w:t xml:space="preserve"> </w:t>
      </w:r>
      <w:r w:rsidRPr="000F4C69">
        <w:rPr>
          <w:rFonts w:ascii="Times New Roman" w:hAnsi="Times New Roman" w:cs="Times New Roman"/>
          <w:sz w:val="24"/>
          <w:szCs w:val="24"/>
        </w:rPr>
        <w:t xml:space="preserve">Optimisation of DNA extraction from the crustacean </w:t>
      </w:r>
      <w:r w:rsidRPr="00624463">
        <w:rPr>
          <w:rFonts w:ascii="Times New Roman" w:hAnsi="Times New Roman" w:cs="Times New Roman"/>
          <w:i/>
          <w:iCs/>
          <w:sz w:val="24"/>
          <w:szCs w:val="24"/>
        </w:rPr>
        <w:t>Daphnia</w:t>
      </w:r>
      <w:r w:rsidRPr="000F4C69">
        <w:rPr>
          <w:rFonts w:ascii="Times New Roman" w:hAnsi="Times New Roman" w:cs="Times New Roman"/>
          <w:sz w:val="24"/>
          <w:szCs w:val="24"/>
        </w:rPr>
        <w:t>.</w:t>
      </w:r>
      <w:r w:rsidR="000F4C69">
        <w:rPr>
          <w:rFonts w:ascii="Times New Roman" w:hAnsi="Times New Roman" w:cs="Times New Roman"/>
          <w:sz w:val="24"/>
          <w:szCs w:val="24"/>
        </w:rPr>
        <w:t xml:space="preserve"> </w:t>
      </w:r>
      <w:r w:rsidRPr="000F4C69">
        <w:rPr>
          <w:rFonts w:ascii="Times New Roman" w:hAnsi="Times New Roman" w:cs="Times New Roman"/>
          <w:sz w:val="24"/>
          <w:szCs w:val="24"/>
        </w:rPr>
        <w:t xml:space="preserve">PeerJ, 4, e2004. </w:t>
      </w:r>
      <w:hyperlink r:id="rId22" w:history="1">
        <w:r w:rsidR="00624463" w:rsidRPr="00DC165E">
          <w:rPr>
            <w:rStyle w:val="Hyperlink"/>
            <w:rFonts w:ascii="Times New Roman" w:hAnsi="Times New Roman" w:cs="Times New Roman"/>
            <w:sz w:val="24"/>
            <w:szCs w:val="24"/>
          </w:rPr>
          <w:t>https://doi.org/10.7717/peerj.2004</w:t>
        </w:r>
      </w:hyperlink>
      <w:r w:rsidR="00624463">
        <w:rPr>
          <w:rFonts w:ascii="Times New Roman" w:hAnsi="Times New Roman" w:cs="Times New Roman"/>
          <w:sz w:val="24"/>
          <w:szCs w:val="24"/>
        </w:rPr>
        <w:t xml:space="preserve"> </w:t>
      </w:r>
    </w:p>
    <w:p w14:paraId="0C35AFE5" w14:textId="6E5929E7" w:rsidR="00900DE6" w:rsidRPr="000F4C69" w:rsidRDefault="00900DE6"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Bao, Z., &amp; Eddy, S. R. (2002). Automated de novo identification of repeat</w:t>
      </w:r>
      <w:r w:rsidR="000F4C69">
        <w:rPr>
          <w:rFonts w:ascii="Times New Roman" w:hAnsi="Times New Roman" w:cs="Times New Roman"/>
          <w:sz w:val="24"/>
          <w:szCs w:val="24"/>
        </w:rPr>
        <w:t xml:space="preserve"> </w:t>
      </w:r>
      <w:r w:rsidRPr="000F4C69">
        <w:rPr>
          <w:rFonts w:ascii="Times New Roman" w:hAnsi="Times New Roman" w:cs="Times New Roman"/>
          <w:sz w:val="24"/>
          <w:szCs w:val="24"/>
        </w:rPr>
        <w:t xml:space="preserve">sequence families in sequenced genomes. Genome Research, 12,1269–1276. </w:t>
      </w:r>
      <w:hyperlink r:id="rId23" w:history="1">
        <w:r w:rsidR="00624463" w:rsidRPr="00DC165E">
          <w:rPr>
            <w:rStyle w:val="Hyperlink"/>
            <w:rFonts w:ascii="Times New Roman" w:hAnsi="Times New Roman" w:cs="Times New Roman"/>
            <w:sz w:val="24"/>
            <w:szCs w:val="24"/>
          </w:rPr>
          <w:t>https://doi.org/10.1101/gr.88502</w:t>
        </w:r>
      </w:hyperlink>
      <w:r w:rsidR="00624463">
        <w:rPr>
          <w:rFonts w:ascii="Times New Roman" w:hAnsi="Times New Roman" w:cs="Times New Roman"/>
          <w:sz w:val="24"/>
          <w:szCs w:val="24"/>
        </w:rPr>
        <w:t xml:space="preserve"> </w:t>
      </w:r>
    </w:p>
    <w:p w14:paraId="3D32638E" w14:textId="447AC190" w:rsidR="00900DE6" w:rsidRPr="000F4C69" w:rsidRDefault="00900DE6"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Brooks, J. L., &amp; Dodson, S. I. (1965). Predation, body size, and composition of plankton. Science, 150, 28–35. </w:t>
      </w:r>
      <w:hyperlink r:id="rId24" w:history="1">
        <w:r w:rsidR="00624463" w:rsidRPr="00DC165E">
          <w:rPr>
            <w:rStyle w:val="Hyperlink"/>
            <w:rFonts w:ascii="Times New Roman" w:hAnsi="Times New Roman" w:cs="Times New Roman"/>
            <w:sz w:val="24"/>
            <w:szCs w:val="24"/>
          </w:rPr>
          <w:t>https://doi.org/10.1126/science.150.3692.28</w:t>
        </w:r>
      </w:hyperlink>
      <w:r w:rsidR="00624463">
        <w:rPr>
          <w:rFonts w:ascii="Times New Roman" w:hAnsi="Times New Roman" w:cs="Times New Roman"/>
          <w:sz w:val="24"/>
          <w:szCs w:val="24"/>
        </w:rPr>
        <w:t xml:space="preserve"> </w:t>
      </w:r>
    </w:p>
    <w:p w14:paraId="508D55A8" w14:textId="6543CAB6" w:rsidR="00900DE6" w:rsidRPr="000F4C69" w:rsidRDefault="00900DE6"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Cáceres, C. E., &amp; Tessier, A. J. (2004). Incidence of diapause varies among</w:t>
      </w:r>
      <w:r w:rsidR="000F4C69">
        <w:rPr>
          <w:rFonts w:ascii="Times New Roman" w:hAnsi="Times New Roman" w:cs="Times New Roman"/>
          <w:sz w:val="24"/>
          <w:szCs w:val="24"/>
        </w:rPr>
        <w:t xml:space="preserve"> </w:t>
      </w:r>
      <w:r w:rsidRPr="000F4C69">
        <w:rPr>
          <w:rFonts w:ascii="Times New Roman" w:hAnsi="Times New Roman" w:cs="Times New Roman"/>
          <w:sz w:val="24"/>
          <w:szCs w:val="24"/>
        </w:rPr>
        <w:t xml:space="preserve">populations of </w:t>
      </w:r>
      <w:r w:rsidRPr="00624463">
        <w:rPr>
          <w:rFonts w:ascii="Times New Roman" w:hAnsi="Times New Roman" w:cs="Times New Roman"/>
          <w:i/>
          <w:iCs/>
          <w:sz w:val="24"/>
          <w:szCs w:val="24"/>
        </w:rPr>
        <w:t>Daphnia pulicaria</w:t>
      </w:r>
      <w:r w:rsidRPr="000F4C69">
        <w:rPr>
          <w:rFonts w:ascii="Times New Roman" w:hAnsi="Times New Roman" w:cs="Times New Roman"/>
          <w:sz w:val="24"/>
          <w:szCs w:val="24"/>
        </w:rPr>
        <w:t>. Oecologia, 141(3), 425–431.</w:t>
      </w:r>
      <w:r w:rsidR="00624463">
        <w:rPr>
          <w:rFonts w:ascii="Times New Roman" w:hAnsi="Times New Roman" w:cs="Times New Roman"/>
          <w:sz w:val="24"/>
          <w:szCs w:val="24"/>
        </w:rPr>
        <w:t xml:space="preserve"> </w:t>
      </w:r>
      <w:hyperlink r:id="rId25" w:history="1">
        <w:r w:rsidR="00624463" w:rsidRPr="00DC165E">
          <w:rPr>
            <w:rStyle w:val="Hyperlink"/>
            <w:rFonts w:ascii="Times New Roman" w:hAnsi="Times New Roman" w:cs="Times New Roman"/>
            <w:sz w:val="24"/>
            <w:szCs w:val="24"/>
          </w:rPr>
          <w:t>https://doi.org/10.1007/s00442-004-16575</w:t>
        </w:r>
      </w:hyperlink>
      <w:r w:rsidR="00624463">
        <w:rPr>
          <w:rFonts w:ascii="Times New Roman" w:hAnsi="Times New Roman" w:cs="Times New Roman"/>
          <w:sz w:val="24"/>
          <w:szCs w:val="24"/>
        </w:rPr>
        <w:t xml:space="preserve">  </w:t>
      </w:r>
    </w:p>
    <w:p w14:paraId="34E2AED4" w14:textId="79898231" w:rsidR="00900DE6" w:rsidRPr="000F4C69" w:rsidRDefault="00900DE6"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Camacho, C., Coulouris, G., Avagyan, V., Ma, N., Papadopoulos,</w:t>
      </w:r>
      <w:r w:rsidR="000F4C69">
        <w:rPr>
          <w:rFonts w:ascii="Times New Roman" w:hAnsi="Times New Roman" w:cs="Times New Roman"/>
          <w:sz w:val="24"/>
          <w:szCs w:val="24"/>
        </w:rPr>
        <w:t xml:space="preserve"> </w:t>
      </w:r>
      <w:r w:rsidRPr="000F4C69">
        <w:rPr>
          <w:rFonts w:ascii="Times New Roman" w:hAnsi="Times New Roman" w:cs="Times New Roman"/>
          <w:sz w:val="24"/>
          <w:szCs w:val="24"/>
        </w:rPr>
        <w:t>J., Bealer, K., &amp; Madden, T. L. (2009). BLAST+: Architecture</w:t>
      </w:r>
      <w:r w:rsidR="000F4C69">
        <w:rPr>
          <w:rFonts w:ascii="Times New Roman" w:hAnsi="Times New Roman" w:cs="Times New Roman"/>
          <w:sz w:val="24"/>
          <w:szCs w:val="24"/>
        </w:rPr>
        <w:t xml:space="preserve"> </w:t>
      </w:r>
      <w:r w:rsidRPr="000F4C69">
        <w:rPr>
          <w:rFonts w:ascii="Times New Roman" w:hAnsi="Times New Roman" w:cs="Times New Roman"/>
          <w:sz w:val="24"/>
          <w:szCs w:val="24"/>
        </w:rPr>
        <w:t xml:space="preserve">and applications. BMC Bioinformatics, 10, 421. </w:t>
      </w:r>
      <w:hyperlink r:id="rId26" w:history="1">
        <w:r w:rsidR="00624463" w:rsidRPr="00DC165E">
          <w:rPr>
            <w:rStyle w:val="Hyperlink"/>
            <w:rFonts w:ascii="Times New Roman" w:hAnsi="Times New Roman" w:cs="Times New Roman"/>
            <w:sz w:val="24"/>
            <w:szCs w:val="24"/>
          </w:rPr>
          <w:t>https://doi.org/10.1186/1471-2105-10-421</w:t>
        </w:r>
      </w:hyperlink>
      <w:r w:rsidR="00624463">
        <w:rPr>
          <w:rFonts w:ascii="Times New Roman" w:hAnsi="Times New Roman" w:cs="Times New Roman"/>
          <w:sz w:val="24"/>
          <w:szCs w:val="24"/>
        </w:rPr>
        <w:t xml:space="preserve"> </w:t>
      </w:r>
    </w:p>
    <w:p w14:paraId="314B4018" w14:textId="5525F9D9" w:rsidR="00900DE6" w:rsidRPr="000F4C69" w:rsidRDefault="00900DE6"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Campbell, C. R., Poelstra, J. W., &amp; Yoder, A. D. (2018). What is speciation</w:t>
      </w:r>
      <w:r w:rsidR="000F4C69">
        <w:rPr>
          <w:rFonts w:ascii="Times New Roman" w:hAnsi="Times New Roman" w:cs="Times New Roman"/>
          <w:sz w:val="24"/>
          <w:szCs w:val="24"/>
        </w:rPr>
        <w:t xml:space="preserve"> </w:t>
      </w:r>
      <w:r w:rsidRPr="000F4C69">
        <w:rPr>
          <w:rFonts w:ascii="Times New Roman" w:hAnsi="Times New Roman" w:cs="Times New Roman"/>
          <w:sz w:val="24"/>
          <w:szCs w:val="24"/>
        </w:rPr>
        <w:t>genomics? The roles of ecology, gene flow, and genomic architecture in the formation of species. Biological Journal of the Linnean</w:t>
      </w:r>
      <w:r w:rsidR="000F4C69">
        <w:rPr>
          <w:rFonts w:ascii="Times New Roman" w:hAnsi="Times New Roman" w:cs="Times New Roman"/>
          <w:sz w:val="24"/>
          <w:szCs w:val="24"/>
        </w:rPr>
        <w:t xml:space="preserve"> </w:t>
      </w:r>
      <w:r w:rsidRPr="000F4C69">
        <w:rPr>
          <w:rFonts w:ascii="Times New Roman" w:hAnsi="Times New Roman" w:cs="Times New Roman"/>
          <w:sz w:val="24"/>
          <w:szCs w:val="24"/>
        </w:rPr>
        <w:t xml:space="preserve">Society, 124, 561–583. </w:t>
      </w:r>
      <w:hyperlink r:id="rId27" w:history="1">
        <w:r w:rsidR="00624463" w:rsidRPr="00DC165E">
          <w:rPr>
            <w:rStyle w:val="Hyperlink"/>
            <w:rFonts w:ascii="Times New Roman" w:hAnsi="Times New Roman" w:cs="Times New Roman"/>
            <w:sz w:val="24"/>
            <w:szCs w:val="24"/>
          </w:rPr>
          <w:t>https://doi.org/10.1093/biolinnean/bly063</w:t>
        </w:r>
      </w:hyperlink>
      <w:r w:rsidR="00624463">
        <w:rPr>
          <w:rFonts w:ascii="Times New Roman" w:hAnsi="Times New Roman" w:cs="Times New Roman"/>
          <w:sz w:val="24"/>
          <w:szCs w:val="24"/>
        </w:rPr>
        <w:t xml:space="preserve"> </w:t>
      </w:r>
    </w:p>
    <w:p w14:paraId="7B067454" w14:textId="6FD8EA34" w:rsidR="00900DE6" w:rsidRPr="000F4C69" w:rsidRDefault="00900DE6" w:rsidP="00624463">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Carneiro, M., Ferrand, N., &amp; Nachman, M. W. (2009). Recombination</w:t>
      </w:r>
      <w:r w:rsidR="000F4C69">
        <w:rPr>
          <w:rFonts w:ascii="Times New Roman" w:hAnsi="Times New Roman" w:cs="Times New Roman"/>
          <w:sz w:val="24"/>
          <w:szCs w:val="24"/>
        </w:rPr>
        <w:t xml:space="preserve"> </w:t>
      </w:r>
      <w:r w:rsidRPr="000F4C69">
        <w:rPr>
          <w:rFonts w:ascii="Times New Roman" w:hAnsi="Times New Roman" w:cs="Times New Roman"/>
          <w:sz w:val="24"/>
          <w:szCs w:val="24"/>
        </w:rPr>
        <w:t>and speciation: Loci near centromeres are more differentiated</w:t>
      </w:r>
      <w:r w:rsidR="000F4C69">
        <w:rPr>
          <w:rFonts w:ascii="Times New Roman" w:hAnsi="Times New Roman" w:cs="Times New Roman"/>
          <w:sz w:val="24"/>
          <w:szCs w:val="24"/>
        </w:rPr>
        <w:t xml:space="preserve"> </w:t>
      </w:r>
      <w:r w:rsidRPr="000F4C69">
        <w:rPr>
          <w:rFonts w:ascii="Times New Roman" w:hAnsi="Times New Roman" w:cs="Times New Roman"/>
          <w:sz w:val="24"/>
          <w:szCs w:val="24"/>
        </w:rPr>
        <w:t>than loci near telomeres between subspecies of the European</w:t>
      </w:r>
      <w:r w:rsidR="00624463">
        <w:rPr>
          <w:rFonts w:ascii="Times New Roman" w:hAnsi="Times New Roman" w:cs="Times New Roman"/>
          <w:sz w:val="24"/>
          <w:szCs w:val="24"/>
        </w:rPr>
        <w:t xml:space="preserve"> </w:t>
      </w:r>
      <w:r w:rsidRPr="000F4C69">
        <w:rPr>
          <w:rFonts w:ascii="Times New Roman" w:hAnsi="Times New Roman" w:cs="Times New Roman"/>
          <w:sz w:val="24"/>
          <w:szCs w:val="24"/>
        </w:rPr>
        <w:t>rabbit (</w:t>
      </w:r>
      <w:r w:rsidRPr="00624463">
        <w:rPr>
          <w:rFonts w:ascii="Times New Roman" w:hAnsi="Times New Roman" w:cs="Times New Roman"/>
          <w:i/>
          <w:iCs/>
          <w:sz w:val="24"/>
          <w:szCs w:val="24"/>
        </w:rPr>
        <w:t>Oryctolagus cuniculus</w:t>
      </w:r>
      <w:r w:rsidRPr="000F4C69">
        <w:rPr>
          <w:rFonts w:ascii="Times New Roman" w:hAnsi="Times New Roman" w:cs="Times New Roman"/>
          <w:sz w:val="24"/>
          <w:szCs w:val="24"/>
        </w:rPr>
        <w:t>). Genetics, 181, 593–606.</w:t>
      </w:r>
      <w:r w:rsidR="0054760E">
        <w:rPr>
          <w:rFonts w:ascii="Times New Roman" w:hAnsi="Times New Roman" w:cs="Times New Roman"/>
          <w:sz w:val="24"/>
          <w:szCs w:val="24"/>
        </w:rPr>
        <w:t xml:space="preserve"> </w:t>
      </w:r>
      <w:hyperlink r:id="rId28" w:history="1">
        <w:r w:rsidR="00624463" w:rsidRPr="00DC165E">
          <w:rPr>
            <w:rStyle w:val="Hyperlink"/>
            <w:rFonts w:ascii="Times New Roman" w:hAnsi="Times New Roman" w:cs="Times New Roman"/>
            <w:sz w:val="24"/>
            <w:szCs w:val="24"/>
          </w:rPr>
          <w:t>https://doi.org/10.1534/genetics.108.096826</w:t>
        </w:r>
      </w:hyperlink>
      <w:r w:rsidR="00624463">
        <w:rPr>
          <w:rFonts w:ascii="Times New Roman" w:hAnsi="Times New Roman" w:cs="Times New Roman"/>
          <w:sz w:val="24"/>
          <w:szCs w:val="24"/>
        </w:rPr>
        <w:t xml:space="preserve"> </w:t>
      </w:r>
    </w:p>
    <w:p w14:paraId="5D64A73F" w14:textId="77391D86" w:rsidR="00900DE6" w:rsidRPr="000F4C69" w:rsidRDefault="00900DE6"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Carpenter, S. R., Kitchell, J. F., Hodgson, J. R., Cochran, P. A., Elser, J. J.,</w:t>
      </w:r>
      <w:r w:rsidR="0054760E">
        <w:rPr>
          <w:rFonts w:ascii="Times New Roman" w:hAnsi="Times New Roman" w:cs="Times New Roman"/>
          <w:sz w:val="24"/>
          <w:szCs w:val="24"/>
        </w:rPr>
        <w:t xml:space="preserve"> </w:t>
      </w:r>
      <w:r w:rsidRPr="000F4C69">
        <w:rPr>
          <w:rFonts w:ascii="Times New Roman" w:hAnsi="Times New Roman" w:cs="Times New Roman"/>
          <w:sz w:val="24"/>
          <w:szCs w:val="24"/>
        </w:rPr>
        <w:t>Elser, M. M., Lodge, D. M., Kretchmer, D., He, X., &amp; von Ende, C. N.</w:t>
      </w:r>
      <w:r w:rsidR="0054760E">
        <w:rPr>
          <w:rFonts w:ascii="Times New Roman" w:hAnsi="Times New Roman" w:cs="Times New Roman"/>
          <w:sz w:val="24"/>
          <w:szCs w:val="24"/>
        </w:rPr>
        <w:t xml:space="preserve"> </w:t>
      </w:r>
      <w:r w:rsidRPr="000F4C69">
        <w:rPr>
          <w:rFonts w:ascii="Times New Roman" w:hAnsi="Times New Roman" w:cs="Times New Roman"/>
          <w:sz w:val="24"/>
          <w:szCs w:val="24"/>
        </w:rPr>
        <w:t xml:space="preserve">(1987). Regulation of lake primary productivity by food web structure. Ecology, 68, 1863–1876. </w:t>
      </w:r>
      <w:hyperlink r:id="rId29" w:history="1">
        <w:r w:rsidRPr="000F4C69">
          <w:rPr>
            <w:rStyle w:val="Hyperlink"/>
            <w:rFonts w:ascii="Times New Roman" w:hAnsi="Times New Roman" w:cs="Times New Roman"/>
            <w:sz w:val="24"/>
            <w:szCs w:val="24"/>
          </w:rPr>
          <w:t>https://doi.org/10.2307/1939878</w:t>
        </w:r>
      </w:hyperlink>
    </w:p>
    <w:p w14:paraId="000F85A0" w14:textId="23F83DC8" w:rsidR="009562BD" w:rsidRPr="000F4C69" w:rsidRDefault="009562B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Catchen, J., Hohenlohe, P. A., Bassham, S., Amores, A., &amp; Cresko, W.</w:t>
      </w:r>
      <w:r w:rsidR="0020542F">
        <w:rPr>
          <w:rFonts w:ascii="Times New Roman" w:hAnsi="Times New Roman" w:cs="Times New Roman"/>
          <w:sz w:val="24"/>
          <w:szCs w:val="24"/>
        </w:rPr>
        <w:t xml:space="preserve"> </w:t>
      </w:r>
      <w:r w:rsidRPr="000F4C69">
        <w:rPr>
          <w:rFonts w:ascii="Times New Roman" w:hAnsi="Times New Roman" w:cs="Times New Roman"/>
          <w:sz w:val="24"/>
          <w:szCs w:val="24"/>
        </w:rPr>
        <w:t>A. (2013). Stacks: An analysis tool set for population genomics. Molecular Ecology, 22, 3124–3140.</w:t>
      </w:r>
      <w:r w:rsidR="0020542F">
        <w:rPr>
          <w:rFonts w:ascii="Times New Roman" w:hAnsi="Times New Roman" w:cs="Times New Roman"/>
          <w:sz w:val="24"/>
          <w:szCs w:val="24"/>
        </w:rPr>
        <w:t xml:space="preserve"> </w:t>
      </w:r>
      <w:hyperlink r:id="rId30" w:history="1">
        <w:r w:rsidR="00624463" w:rsidRPr="00DC165E">
          <w:rPr>
            <w:rStyle w:val="Hyperlink"/>
            <w:rFonts w:ascii="Times New Roman" w:hAnsi="Times New Roman" w:cs="Times New Roman"/>
            <w:sz w:val="24"/>
            <w:szCs w:val="24"/>
          </w:rPr>
          <w:t>https://doi.org/10.1111/mec.12354</w:t>
        </w:r>
      </w:hyperlink>
      <w:r w:rsidR="00624463">
        <w:rPr>
          <w:rFonts w:ascii="Times New Roman" w:hAnsi="Times New Roman" w:cs="Times New Roman"/>
          <w:sz w:val="24"/>
          <w:szCs w:val="24"/>
        </w:rPr>
        <w:t xml:space="preserve"> </w:t>
      </w:r>
    </w:p>
    <w:p w14:paraId="22F0095E" w14:textId="2ED21673" w:rsidR="009562BD" w:rsidRPr="000F4C69" w:rsidRDefault="009562B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Chakravarti, A. (1991). A graphical representation of genetic and physical maps: The Marey map. Genomics, 11, 219–222. </w:t>
      </w:r>
      <w:hyperlink r:id="rId31" w:history="1">
        <w:r w:rsidR="00624463" w:rsidRPr="00DC165E">
          <w:rPr>
            <w:rStyle w:val="Hyperlink"/>
            <w:rFonts w:ascii="Times New Roman" w:hAnsi="Times New Roman" w:cs="Times New Roman"/>
            <w:sz w:val="24"/>
            <w:szCs w:val="24"/>
          </w:rPr>
          <w:t>https://doi.org/10.1016/0888-7543(91)90123-V</w:t>
        </w:r>
      </w:hyperlink>
      <w:r w:rsidR="00624463">
        <w:rPr>
          <w:rFonts w:ascii="Times New Roman" w:hAnsi="Times New Roman" w:cs="Times New Roman"/>
          <w:sz w:val="24"/>
          <w:szCs w:val="24"/>
        </w:rPr>
        <w:t xml:space="preserve"> </w:t>
      </w:r>
    </w:p>
    <w:p w14:paraId="100D0A26" w14:textId="156943E9" w:rsidR="009562BD" w:rsidRPr="000F4C69" w:rsidRDefault="009562B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Cheng, H., Concepcion, G. T., Feng, X., Zhang, H., &amp; Li, H. (2021).</w:t>
      </w:r>
      <w:r w:rsidR="0020542F">
        <w:rPr>
          <w:rFonts w:ascii="Times New Roman" w:hAnsi="Times New Roman" w:cs="Times New Roman"/>
          <w:sz w:val="24"/>
          <w:szCs w:val="24"/>
        </w:rPr>
        <w:t xml:space="preserve"> </w:t>
      </w:r>
      <w:r w:rsidRPr="000F4C69">
        <w:rPr>
          <w:rFonts w:ascii="Times New Roman" w:hAnsi="Times New Roman" w:cs="Times New Roman"/>
          <w:sz w:val="24"/>
          <w:szCs w:val="24"/>
        </w:rPr>
        <w:t>Haplotype-resolved de novo assembly using phased assembly</w:t>
      </w:r>
      <w:r w:rsidR="0020542F">
        <w:rPr>
          <w:rFonts w:ascii="Times New Roman" w:hAnsi="Times New Roman" w:cs="Times New Roman"/>
          <w:sz w:val="24"/>
          <w:szCs w:val="24"/>
        </w:rPr>
        <w:t xml:space="preserve"> </w:t>
      </w:r>
      <w:r w:rsidRPr="000F4C69">
        <w:rPr>
          <w:rFonts w:ascii="Times New Roman" w:hAnsi="Times New Roman" w:cs="Times New Roman"/>
          <w:sz w:val="24"/>
          <w:szCs w:val="24"/>
        </w:rPr>
        <w:t xml:space="preserve">graphs with hifiasm. Nature Methods, 18, 170–175. </w:t>
      </w:r>
      <w:hyperlink r:id="rId32" w:history="1">
        <w:r w:rsidR="00624463" w:rsidRPr="00DC165E">
          <w:rPr>
            <w:rStyle w:val="Hyperlink"/>
            <w:rFonts w:ascii="Times New Roman" w:hAnsi="Times New Roman" w:cs="Times New Roman"/>
            <w:sz w:val="24"/>
            <w:szCs w:val="24"/>
          </w:rPr>
          <w:t>https://doi.org/10.1038/s41592-020-01056-5</w:t>
        </w:r>
      </w:hyperlink>
      <w:r w:rsidR="00624463">
        <w:rPr>
          <w:rFonts w:ascii="Times New Roman" w:hAnsi="Times New Roman" w:cs="Times New Roman"/>
          <w:sz w:val="24"/>
          <w:szCs w:val="24"/>
        </w:rPr>
        <w:t xml:space="preserve"> </w:t>
      </w:r>
    </w:p>
    <w:p w14:paraId="5B82F0EA" w14:textId="6991AFA0" w:rsidR="009562BD" w:rsidRPr="000F4C69" w:rsidRDefault="009562B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lastRenderedPageBreak/>
        <w:t xml:space="preserve">Chin, T. A., Cáceres, C. E., &amp; Cristescu, M. E. (2019). The evolution of reproductive isolation in </w:t>
      </w:r>
      <w:r w:rsidRPr="00624463">
        <w:rPr>
          <w:rFonts w:ascii="Times New Roman" w:hAnsi="Times New Roman" w:cs="Times New Roman"/>
          <w:i/>
          <w:iCs/>
          <w:sz w:val="24"/>
          <w:szCs w:val="24"/>
        </w:rPr>
        <w:t>Daphnia</w:t>
      </w:r>
      <w:r w:rsidRPr="000F4C69">
        <w:rPr>
          <w:rFonts w:ascii="Times New Roman" w:hAnsi="Times New Roman" w:cs="Times New Roman"/>
          <w:sz w:val="24"/>
          <w:szCs w:val="24"/>
        </w:rPr>
        <w:t>. BMC Evolutionary Biology, 19, 1–15.</w:t>
      </w:r>
      <w:r w:rsidR="00624463">
        <w:rPr>
          <w:rFonts w:ascii="Times New Roman" w:hAnsi="Times New Roman" w:cs="Times New Roman"/>
          <w:sz w:val="24"/>
          <w:szCs w:val="24"/>
        </w:rPr>
        <w:t xml:space="preserve"> </w:t>
      </w:r>
      <w:hyperlink r:id="rId33" w:history="1">
        <w:r w:rsidR="00624463" w:rsidRPr="00DC165E">
          <w:rPr>
            <w:rStyle w:val="Hyperlink"/>
            <w:rFonts w:ascii="Times New Roman" w:hAnsi="Times New Roman" w:cs="Times New Roman"/>
            <w:sz w:val="24"/>
            <w:szCs w:val="24"/>
          </w:rPr>
          <w:t>https://doi.org/10.1186/s12862-019-1542-9</w:t>
        </w:r>
      </w:hyperlink>
      <w:r w:rsidR="00624463">
        <w:rPr>
          <w:rFonts w:ascii="Times New Roman" w:hAnsi="Times New Roman" w:cs="Times New Roman"/>
          <w:sz w:val="24"/>
          <w:szCs w:val="24"/>
        </w:rPr>
        <w:t xml:space="preserve"> </w:t>
      </w:r>
    </w:p>
    <w:p w14:paraId="2F6C3031" w14:textId="41708706" w:rsidR="009562BD" w:rsidRPr="000F4C69" w:rsidRDefault="009562B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Chin, T. A., &amp; Cristescu, M. E. (2021). Speciation in </w:t>
      </w:r>
      <w:r w:rsidRPr="00624463">
        <w:rPr>
          <w:rFonts w:ascii="Times New Roman" w:hAnsi="Times New Roman" w:cs="Times New Roman"/>
          <w:i/>
          <w:iCs/>
          <w:sz w:val="24"/>
          <w:szCs w:val="24"/>
        </w:rPr>
        <w:t>Daphnia</w:t>
      </w:r>
      <w:r w:rsidRPr="000F4C69">
        <w:rPr>
          <w:rFonts w:ascii="Times New Roman" w:hAnsi="Times New Roman" w:cs="Times New Roman"/>
          <w:sz w:val="24"/>
          <w:szCs w:val="24"/>
        </w:rPr>
        <w:t>. Molecular</w:t>
      </w:r>
      <w:r w:rsidR="0020542F">
        <w:rPr>
          <w:rFonts w:ascii="Times New Roman" w:hAnsi="Times New Roman" w:cs="Times New Roman"/>
          <w:sz w:val="24"/>
          <w:szCs w:val="24"/>
        </w:rPr>
        <w:t xml:space="preserve"> </w:t>
      </w:r>
      <w:r w:rsidRPr="000F4C69">
        <w:rPr>
          <w:rFonts w:ascii="Times New Roman" w:hAnsi="Times New Roman" w:cs="Times New Roman"/>
          <w:sz w:val="24"/>
          <w:szCs w:val="24"/>
        </w:rPr>
        <w:t xml:space="preserve">Ecology, 30, 1398–1418. </w:t>
      </w:r>
      <w:hyperlink r:id="rId34" w:history="1">
        <w:r w:rsidR="00624463" w:rsidRPr="00DC165E">
          <w:rPr>
            <w:rStyle w:val="Hyperlink"/>
            <w:rFonts w:ascii="Times New Roman" w:hAnsi="Times New Roman" w:cs="Times New Roman"/>
            <w:sz w:val="24"/>
            <w:szCs w:val="24"/>
          </w:rPr>
          <w:t>https://doi.org/10.1111/mec.15824</w:t>
        </w:r>
      </w:hyperlink>
      <w:r w:rsidR="00624463">
        <w:rPr>
          <w:rFonts w:ascii="Times New Roman" w:hAnsi="Times New Roman" w:cs="Times New Roman"/>
          <w:sz w:val="24"/>
          <w:szCs w:val="24"/>
        </w:rPr>
        <w:t xml:space="preserve"> </w:t>
      </w:r>
    </w:p>
    <w:p w14:paraId="1826B23B" w14:textId="0CFAE8A2" w:rsidR="009562BD" w:rsidRPr="000F4C69" w:rsidRDefault="009562B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Clifford, B. J. (2016). Genomic and regulatory divergence between sister</w:t>
      </w:r>
      <w:r w:rsidR="0020542F">
        <w:rPr>
          <w:rFonts w:ascii="Times New Roman" w:hAnsi="Times New Roman" w:cs="Times New Roman"/>
          <w:sz w:val="24"/>
          <w:szCs w:val="24"/>
        </w:rPr>
        <w:t xml:space="preserve"> </w:t>
      </w:r>
      <w:r w:rsidRPr="000F4C69">
        <w:rPr>
          <w:rFonts w:ascii="Times New Roman" w:hAnsi="Times New Roman" w:cs="Times New Roman"/>
          <w:sz w:val="24"/>
          <w:szCs w:val="24"/>
        </w:rPr>
        <w:t xml:space="preserve">species of </w:t>
      </w:r>
      <w:r w:rsidRPr="00624463">
        <w:rPr>
          <w:rFonts w:ascii="Times New Roman" w:hAnsi="Times New Roman" w:cs="Times New Roman"/>
          <w:i/>
          <w:iCs/>
          <w:sz w:val="24"/>
          <w:szCs w:val="24"/>
        </w:rPr>
        <w:t>Daphnia</w:t>
      </w:r>
      <w:r w:rsidRPr="000F4C69">
        <w:rPr>
          <w:rFonts w:ascii="Times New Roman" w:hAnsi="Times New Roman" w:cs="Times New Roman"/>
          <w:sz w:val="24"/>
          <w:szCs w:val="24"/>
        </w:rPr>
        <w:t>. Doctoral Dissertation- University of Notre</w:t>
      </w:r>
      <w:r w:rsidR="0020542F">
        <w:rPr>
          <w:rFonts w:ascii="Times New Roman" w:hAnsi="Times New Roman" w:cs="Times New Roman"/>
          <w:sz w:val="24"/>
          <w:szCs w:val="24"/>
        </w:rPr>
        <w:t xml:space="preserve"> </w:t>
      </w:r>
      <w:r w:rsidRPr="000F4C69">
        <w:rPr>
          <w:rFonts w:ascii="Times New Roman" w:hAnsi="Times New Roman" w:cs="Times New Roman"/>
          <w:sz w:val="24"/>
          <w:szCs w:val="24"/>
        </w:rPr>
        <w:t xml:space="preserve">Dame. Retrieved from </w:t>
      </w:r>
      <w:hyperlink r:id="rId35" w:history="1">
        <w:r w:rsidR="00624463" w:rsidRPr="00DC165E">
          <w:rPr>
            <w:rStyle w:val="Hyperlink"/>
            <w:rFonts w:ascii="Times New Roman" w:hAnsi="Times New Roman" w:cs="Times New Roman"/>
            <w:sz w:val="24"/>
            <w:szCs w:val="24"/>
          </w:rPr>
          <w:t>https://curate.nd.edu/show/t722h70577s</w:t>
        </w:r>
      </w:hyperlink>
      <w:r w:rsidR="00624463">
        <w:rPr>
          <w:rFonts w:ascii="Times New Roman" w:hAnsi="Times New Roman" w:cs="Times New Roman"/>
          <w:sz w:val="24"/>
          <w:szCs w:val="24"/>
        </w:rPr>
        <w:t xml:space="preserve"> </w:t>
      </w:r>
    </w:p>
    <w:p w14:paraId="036D80E5" w14:textId="456D6DE2" w:rsidR="009562BD" w:rsidRPr="000F4C69" w:rsidRDefault="009562BD" w:rsidP="00624463">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Colbourne, J. K., Crease, T. J., Weider, L. J., Hebert, P. D. N., Duferesne,</w:t>
      </w:r>
      <w:r w:rsidR="0020542F">
        <w:rPr>
          <w:rFonts w:ascii="Times New Roman" w:hAnsi="Times New Roman" w:cs="Times New Roman"/>
          <w:sz w:val="24"/>
          <w:szCs w:val="24"/>
        </w:rPr>
        <w:t xml:space="preserve"> </w:t>
      </w:r>
      <w:r w:rsidRPr="000F4C69">
        <w:rPr>
          <w:rFonts w:ascii="Times New Roman" w:hAnsi="Times New Roman" w:cs="Times New Roman"/>
          <w:sz w:val="24"/>
          <w:szCs w:val="24"/>
        </w:rPr>
        <w:t xml:space="preserve">F., &amp; Hobaek, A. (1998). Phylogenetics and evolution of a circumarctic species complex (Cladocera: </w:t>
      </w:r>
      <w:r w:rsidRPr="00624463">
        <w:rPr>
          <w:rFonts w:ascii="Times New Roman" w:hAnsi="Times New Roman" w:cs="Times New Roman"/>
          <w:i/>
          <w:iCs/>
          <w:sz w:val="24"/>
          <w:szCs w:val="24"/>
        </w:rPr>
        <w:t>Daphnia pulex</w:t>
      </w:r>
      <w:r w:rsidRPr="000F4C69">
        <w:rPr>
          <w:rFonts w:ascii="Times New Roman" w:hAnsi="Times New Roman" w:cs="Times New Roman"/>
          <w:sz w:val="24"/>
          <w:szCs w:val="24"/>
        </w:rPr>
        <w:t>). Biological Journal</w:t>
      </w:r>
      <w:r w:rsidR="0020542F">
        <w:rPr>
          <w:rFonts w:ascii="Times New Roman" w:hAnsi="Times New Roman" w:cs="Times New Roman"/>
          <w:sz w:val="24"/>
          <w:szCs w:val="24"/>
        </w:rPr>
        <w:t xml:space="preserve"> </w:t>
      </w:r>
      <w:r w:rsidRPr="000F4C69">
        <w:rPr>
          <w:rFonts w:ascii="Times New Roman" w:hAnsi="Times New Roman" w:cs="Times New Roman"/>
          <w:sz w:val="24"/>
          <w:szCs w:val="24"/>
        </w:rPr>
        <w:t xml:space="preserve">of the Linnean Society, 65, 347–365. </w:t>
      </w:r>
      <w:hyperlink r:id="rId36" w:history="1">
        <w:r w:rsidR="00624463" w:rsidRPr="00DC165E">
          <w:rPr>
            <w:rStyle w:val="Hyperlink"/>
            <w:rFonts w:ascii="Times New Roman" w:hAnsi="Times New Roman" w:cs="Times New Roman"/>
            <w:sz w:val="24"/>
            <w:szCs w:val="24"/>
          </w:rPr>
          <w:t>https://doi.org/10.1111/j.1095-8312.1998.tb01146.x</w:t>
        </w:r>
      </w:hyperlink>
      <w:r w:rsidR="00624463">
        <w:rPr>
          <w:rFonts w:ascii="Times New Roman" w:hAnsi="Times New Roman" w:cs="Times New Roman"/>
          <w:sz w:val="24"/>
          <w:szCs w:val="24"/>
        </w:rPr>
        <w:t xml:space="preserve"> </w:t>
      </w:r>
    </w:p>
    <w:p w14:paraId="08C5479D" w14:textId="2CFF7B4C" w:rsidR="009562BD" w:rsidRPr="000F4C69" w:rsidRDefault="009562B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Colbourne, J. K., Pfrender, M. E., Gilbert, D., Thomas, W. K., Tucker,</w:t>
      </w:r>
      <w:r w:rsidR="0020542F">
        <w:rPr>
          <w:rFonts w:ascii="Times New Roman" w:hAnsi="Times New Roman" w:cs="Times New Roman"/>
          <w:sz w:val="24"/>
          <w:szCs w:val="24"/>
        </w:rPr>
        <w:t xml:space="preserve"> </w:t>
      </w:r>
      <w:r w:rsidRPr="000F4C69">
        <w:rPr>
          <w:rFonts w:ascii="Times New Roman" w:hAnsi="Times New Roman" w:cs="Times New Roman"/>
          <w:sz w:val="24"/>
          <w:szCs w:val="24"/>
        </w:rPr>
        <w:t>A., Oakley, T. H., Tokishita, S., Aerts, A., Arnold, G. J., Basu, M. K.,</w:t>
      </w:r>
      <w:r w:rsidR="0020542F">
        <w:rPr>
          <w:rFonts w:ascii="Times New Roman" w:hAnsi="Times New Roman" w:cs="Times New Roman"/>
          <w:sz w:val="24"/>
          <w:szCs w:val="24"/>
        </w:rPr>
        <w:t xml:space="preserve"> </w:t>
      </w:r>
      <w:r w:rsidRPr="000F4C69">
        <w:rPr>
          <w:rFonts w:ascii="Times New Roman" w:hAnsi="Times New Roman" w:cs="Times New Roman"/>
          <w:sz w:val="24"/>
          <w:szCs w:val="24"/>
        </w:rPr>
        <w:t>Bauer, D. J., Cáceres, C. E., Carmel, L., Casola, C., Choi, J.-H., Detter,</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J. C., Dong, Q., Dusheyko, S., Eads, B. D., … Boore, J. L. (2011). The</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ecoresponsive genome of </w:t>
      </w:r>
      <w:r w:rsidRPr="00624463">
        <w:rPr>
          <w:rFonts w:ascii="Times New Roman" w:hAnsi="Times New Roman" w:cs="Times New Roman"/>
          <w:i/>
          <w:iCs/>
          <w:sz w:val="24"/>
          <w:szCs w:val="24"/>
        </w:rPr>
        <w:t>Daphnia pulex</w:t>
      </w:r>
      <w:r w:rsidRPr="000F4C69">
        <w:rPr>
          <w:rFonts w:ascii="Times New Roman" w:hAnsi="Times New Roman" w:cs="Times New Roman"/>
          <w:sz w:val="24"/>
          <w:szCs w:val="24"/>
        </w:rPr>
        <w:t xml:space="preserve">. Science (80), 331, 555–561. </w:t>
      </w:r>
      <w:hyperlink r:id="rId37" w:history="1">
        <w:r w:rsidR="00624463" w:rsidRPr="00DC165E">
          <w:rPr>
            <w:rStyle w:val="Hyperlink"/>
            <w:rFonts w:ascii="Times New Roman" w:hAnsi="Times New Roman" w:cs="Times New Roman"/>
            <w:sz w:val="24"/>
            <w:szCs w:val="24"/>
          </w:rPr>
          <w:t>https://doi.org/10.1126/science.1197761</w:t>
        </w:r>
      </w:hyperlink>
      <w:r w:rsidR="00624463">
        <w:rPr>
          <w:rFonts w:ascii="Times New Roman" w:hAnsi="Times New Roman" w:cs="Times New Roman"/>
          <w:sz w:val="24"/>
          <w:szCs w:val="24"/>
        </w:rPr>
        <w:t xml:space="preserve"> </w:t>
      </w:r>
    </w:p>
    <w:p w14:paraId="051BF850" w14:textId="6AAC0E9E" w:rsidR="009562BD" w:rsidRPr="000F4C69" w:rsidRDefault="009562B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Crease, T. J. (1999). The complete sequence of the mitochondrial genome</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of </w:t>
      </w:r>
      <w:r w:rsidRPr="00624463">
        <w:rPr>
          <w:rFonts w:ascii="Times New Roman" w:hAnsi="Times New Roman" w:cs="Times New Roman"/>
          <w:i/>
          <w:iCs/>
          <w:sz w:val="24"/>
          <w:szCs w:val="24"/>
        </w:rPr>
        <w:t>Daphnia pulex</w:t>
      </w:r>
      <w:r w:rsidRPr="000F4C69">
        <w:rPr>
          <w:rFonts w:ascii="Times New Roman" w:hAnsi="Times New Roman" w:cs="Times New Roman"/>
          <w:sz w:val="24"/>
          <w:szCs w:val="24"/>
        </w:rPr>
        <w:t xml:space="preserve"> (Cladocera: Crustacea). Gene, 233, 89–99. </w:t>
      </w:r>
      <w:hyperlink r:id="rId38" w:history="1">
        <w:r w:rsidR="00624463" w:rsidRPr="00DC165E">
          <w:rPr>
            <w:rStyle w:val="Hyperlink"/>
            <w:rFonts w:ascii="Times New Roman" w:hAnsi="Times New Roman" w:cs="Times New Roman"/>
            <w:sz w:val="24"/>
            <w:szCs w:val="24"/>
          </w:rPr>
          <w:t>https://doi.org/10.1016/S0378-1119(99)00151-1</w:t>
        </w:r>
      </w:hyperlink>
      <w:r w:rsidR="00624463">
        <w:rPr>
          <w:rFonts w:ascii="Times New Roman" w:hAnsi="Times New Roman" w:cs="Times New Roman"/>
          <w:sz w:val="24"/>
          <w:szCs w:val="24"/>
        </w:rPr>
        <w:t xml:space="preserve"> </w:t>
      </w:r>
    </w:p>
    <w:p w14:paraId="651BC40B" w14:textId="6D44B2E7" w:rsidR="009562BD" w:rsidRPr="000F4C69" w:rsidRDefault="009562B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Crease, T. J., Floyd, R., Cristescu, M. E., &amp; Innes, D. (2011). Evolutionary</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factors affecting Lactate dehydrogenase A and B variation in the</w:t>
      </w:r>
      <w:r w:rsidR="00425A26">
        <w:rPr>
          <w:rFonts w:ascii="Times New Roman" w:hAnsi="Times New Roman" w:cs="Times New Roman"/>
          <w:sz w:val="24"/>
          <w:szCs w:val="24"/>
        </w:rPr>
        <w:t xml:space="preserve"> </w:t>
      </w:r>
      <w:r w:rsidRPr="00624463">
        <w:rPr>
          <w:rFonts w:ascii="Times New Roman" w:hAnsi="Times New Roman" w:cs="Times New Roman"/>
          <w:i/>
          <w:iCs/>
          <w:sz w:val="24"/>
          <w:szCs w:val="24"/>
        </w:rPr>
        <w:t>Daphnia pulex</w:t>
      </w:r>
      <w:r w:rsidRPr="000F4C69">
        <w:rPr>
          <w:rFonts w:ascii="Times New Roman" w:hAnsi="Times New Roman" w:cs="Times New Roman"/>
          <w:sz w:val="24"/>
          <w:szCs w:val="24"/>
        </w:rPr>
        <w:t xml:space="preserve"> species complex. BMC Evolutionary Biology, 11, 212.</w:t>
      </w:r>
      <w:r w:rsidR="00425A26">
        <w:rPr>
          <w:rFonts w:ascii="Times New Roman" w:hAnsi="Times New Roman" w:cs="Times New Roman"/>
          <w:sz w:val="24"/>
          <w:szCs w:val="24"/>
        </w:rPr>
        <w:t xml:space="preserve"> </w:t>
      </w:r>
      <w:hyperlink r:id="rId39" w:history="1">
        <w:r w:rsidR="00624463" w:rsidRPr="00DC165E">
          <w:rPr>
            <w:rStyle w:val="Hyperlink"/>
            <w:rFonts w:ascii="Times New Roman" w:hAnsi="Times New Roman" w:cs="Times New Roman"/>
            <w:sz w:val="24"/>
            <w:szCs w:val="24"/>
          </w:rPr>
          <w:t>https://doi.org/10.1186/1471-2148-11-212</w:t>
        </w:r>
      </w:hyperlink>
      <w:r w:rsidR="00624463">
        <w:rPr>
          <w:rFonts w:ascii="Times New Roman" w:hAnsi="Times New Roman" w:cs="Times New Roman"/>
          <w:sz w:val="24"/>
          <w:szCs w:val="24"/>
        </w:rPr>
        <w:t xml:space="preserve"> </w:t>
      </w:r>
    </w:p>
    <w:p w14:paraId="34C56BA6" w14:textId="4BFA53D5" w:rsidR="009562BD" w:rsidRPr="000F4C69" w:rsidRDefault="009562B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Crease, T. J., Omilian, A. R., Costanzo, K. S., &amp; Taylor, D. J. (2012).</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Transcontinental phylogeography of the </w:t>
      </w:r>
      <w:r w:rsidRPr="00624463">
        <w:rPr>
          <w:rFonts w:ascii="Times New Roman" w:hAnsi="Times New Roman" w:cs="Times New Roman"/>
          <w:i/>
          <w:iCs/>
          <w:sz w:val="24"/>
          <w:szCs w:val="24"/>
        </w:rPr>
        <w:t>Daphnia pulex</w:t>
      </w:r>
      <w:r w:rsidRPr="000F4C69">
        <w:rPr>
          <w:rFonts w:ascii="Times New Roman" w:hAnsi="Times New Roman" w:cs="Times New Roman"/>
          <w:sz w:val="24"/>
          <w:szCs w:val="24"/>
        </w:rPr>
        <w:t xml:space="preserve"> species</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complex K.A. Crandall [ed.]. PLoS One, 7, e46620. </w:t>
      </w:r>
      <w:hyperlink r:id="rId40" w:history="1">
        <w:r w:rsidR="00624463" w:rsidRPr="00DC165E">
          <w:rPr>
            <w:rStyle w:val="Hyperlink"/>
            <w:rFonts w:ascii="Times New Roman" w:hAnsi="Times New Roman" w:cs="Times New Roman"/>
            <w:sz w:val="24"/>
            <w:szCs w:val="24"/>
          </w:rPr>
          <w:t>https://doi.org/10.1371/journal.pone.0046620</w:t>
        </w:r>
      </w:hyperlink>
      <w:r w:rsidR="00624463">
        <w:rPr>
          <w:rFonts w:ascii="Times New Roman" w:hAnsi="Times New Roman" w:cs="Times New Roman"/>
          <w:sz w:val="24"/>
          <w:szCs w:val="24"/>
        </w:rPr>
        <w:t xml:space="preserve"> </w:t>
      </w:r>
    </w:p>
    <w:p w14:paraId="1A2C3EE3" w14:textId="0B606038" w:rsidR="009562BD" w:rsidRPr="000F4C69" w:rsidRDefault="009562B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Cristescu, M. E., Constantin, A., Bock, D. G., Cáceres, C. E., &amp; Crease,</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T. J. (2012). Speciation with gene flow and the genetics of habitat transitions. Molecular Ecology, 21, 1411–1422. </w:t>
      </w:r>
      <w:hyperlink r:id="rId41" w:history="1">
        <w:r w:rsidR="00624463" w:rsidRPr="00DC165E">
          <w:rPr>
            <w:rStyle w:val="Hyperlink"/>
            <w:rFonts w:ascii="Times New Roman" w:hAnsi="Times New Roman" w:cs="Times New Roman"/>
            <w:sz w:val="24"/>
            <w:szCs w:val="24"/>
          </w:rPr>
          <w:t>https://doi.org/10.1111/j.1365-294X.2011.05465.x</w:t>
        </w:r>
      </w:hyperlink>
      <w:r w:rsidR="00624463">
        <w:rPr>
          <w:rFonts w:ascii="Times New Roman" w:hAnsi="Times New Roman" w:cs="Times New Roman"/>
          <w:sz w:val="24"/>
          <w:szCs w:val="24"/>
        </w:rPr>
        <w:t xml:space="preserve"> </w:t>
      </w:r>
    </w:p>
    <w:p w14:paraId="668D8D6A" w14:textId="1CA34354" w:rsidR="009562BD" w:rsidRPr="000F4C69" w:rsidRDefault="009562B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Cruickshank, T. E., &amp; Hahn, M. W. (2014). Reanalysis suggests that genomic islands of speciation are due to reduced diversity, not reduced gene flow. Molecular Ecology, 23, 3133–3157. </w:t>
      </w:r>
      <w:hyperlink r:id="rId42" w:history="1">
        <w:r w:rsidR="00624463" w:rsidRPr="00DC165E">
          <w:rPr>
            <w:rStyle w:val="Hyperlink"/>
            <w:rFonts w:ascii="Times New Roman" w:hAnsi="Times New Roman" w:cs="Times New Roman"/>
            <w:sz w:val="24"/>
            <w:szCs w:val="24"/>
          </w:rPr>
          <w:t>https://doi.org/10.1111/mec.12796</w:t>
        </w:r>
      </w:hyperlink>
      <w:r w:rsidR="00624463">
        <w:rPr>
          <w:rFonts w:ascii="Times New Roman" w:hAnsi="Times New Roman" w:cs="Times New Roman"/>
          <w:sz w:val="24"/>
          <w:szCs w:val="24"/>
        </w:rPr>
        <w:t xml:space="preserve"> </w:t>
      </w:r>
    </w:p>
    <w:p w14:paraId="55A917A5" w14:textId="65E43E74" w:rsidR="009562BD" w:rsidRPr="000F4C69" w:rsidRDefault="009562B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Danecek, P., Auton, A., Abecasis, G., Albers, C. A., Banks, E., DePristo, M.</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A., Handsaker, R. E., Lunter, G., Marth, G. T., Sherry, S. T., McVean,</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G., &amp; Durbin, R. (2011). The variant call format and VCFtools.</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Bioinformatics, 27, 2156–2158. </w:t>
      </w:r>
      <w:hyperlink r:id="rId43" w:history="1">
        <w:r w:rsidR="00624463" w:rsidRPr="00DC165E">
          <w:rPr>
            <w:rStyle w:val="Hyperlink"/>
            <w:rFonts w:ascii="Times New Roman" w:hAnsi="Times New Roman" w:cs="Times New Roman"/>
            <w:sz w:val="24"/>
            <w:szCs w:val="24"/>
          </w:rPr>
          <w:t>https://doi.org/10.1093/bioinforma tics/btr330</w:t>
        </w:r>
      </w:hyperlink>
      <w:r w:rsidR="00624463">
        <w:rPr>
          <w:rFonts w:ascii="Times New Roman" w:hAnsi="Times New Roman" w:cs="Times New Roman"/>
          <w:sz w:val="24"/>
          <w:szCs w:val="24"/>
        </w:rPr>
        <w:t xml:space="preserve"> </w:t>
      </w:r>
    </w:p>
    <w:p w14:paraId="02CE1089" w14:textId="6BA50A5F" w:rsidR="009562BD" w:rsidRPr="000F4C69" w:rsidRDefault="009562B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De Meester, L., Gómez, A., Okamura, B., &amp; Schwenk, K. (2002). The</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Monopolization Hypothesis and the dispersal-gene flow paradox</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in aquatic organisms. Acta Oecologica, 23(3), 121–135. </w:t>
      </w:r>
      <w:hyperlink r:id="rId44" w:history="1">
        <w:r w:rsidR="00624463" w:rsidRPr="00DC165E">
          <w:rPr>
            <w:rStyle w:val="Hyperlink"/>
            <w:rFonts w:ascii="Times New Roman" w:hAnsi="Times New Roman" w:cs="Times New Roman"/>
            <w:sz w:val="24"/>
            <w:szCs w:val="24"/>
          </w:rPr>
          <w:t>https://doi.org/10.1016/S1146-609X(02)01145-1</w:t>
        </w:r>
      </w:hyperlink>
      <w:r w:rsidR="00624463">
        <w:rPr>
          <w:rFonts w:ascii="Times New Roman" w:hAnsi="Times New Roman" w:cs="Times New Roman"/>
          <w:sz w:val="24"/>
          <w:szCs w:val="24"/>
        </w:rPr>
        <w:t xml:space="preserve"> </w:t>
      </w:r>
    </w:p>
    <w:p w14:paraId="2279E1A9" w14:textId="24E57E3D" w:rsidR="009562BD" w:rsidRPr="000F4C69" w:rsidRDefault="009562BD" w:rsidP="00624463">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lastRenderedPageBreak/>
        <w:t>De Meester, L., Vanoverbeke, J., De Gelas, K., Ortells, R., &amp; Spaak, P.</w:t>
      </w:r>
      <w:r w:rsidR="00624463">
        <w:rPr>
          <w:rFonts w:ascii="Times New Roman" w:hAnsi="Times New Roman" w:cs="Times New Roman"/>
          <w:sz w:val="24"/>
          <w:szCs w:val="24"/>
        </w:rPr>
        <w:t xml:space="preserve"> </w:t>
      </w:r>
      <w:r w:rsidRPr="000F4C69">
        <w:rPr>
          <w:rFonts w:ascii="Times New Roman" w:hAnsi="Times New Roman" w:cs="Times New Roman"/>
          <w:sz w:val="24"/>
          <w:szCs w:val="24"/>
        </w:rPr>
        <w:t>(2006). Genetic structure of cyclic parthenogenetic zooplankton</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populations-a conceptual framework. Archiv Fur Hydrobiologie, 167,</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1–4. </w:t>
      </w:r>
      <w:hyperlink r:id="rId45" w:history="1">
        <w:r w:rsidR="00624463" w:rsidRPr="00DC165E">
          <w:rPr>
            <w:rStyle w:val="Hyperlink"/>
            <w:rFonts w:ascii="Times New Roman" w:hAnsi="Times New Roman" w:cs="Times New Roman"/>
            <w:sz w:val="24"/>
            <w:szCs w:val="24"/>
          </w:rPr>
          <w:t>https://doi.org/10.1127/0003-9136/2006/0167-0217</w:t>
        </w:r>
      </w:hyperlink>
      <w:r w:rsidR="00624463">
        <w:rPr>
          <w:rFonts w:ascii="Times New Roman" w:hAnsi="Times New Roman" w:cs="Times New Roman"/>
          <w:sz w:val="24"/>
          <w:szCs w:val="24"/>
        </w:rPr>
        <w:t xml:space="preserve"> </w:t>
      </w:r>
    </w:p>
    <w:p w14:paraId="2DB1DCB3" w14:textId="5E9F7D58" w:rsidR="00900DE6" w:rsidRPr="000F4C69" w:rsidRDefault="009562B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Dessimoz, C., &amp; Škunca, N. (2017). The gene ontology handbook. Springer</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Nature.</w:t>
      </w:r>
    </w:p>
    <w:p w14:paraId="39613B9B" w14:textId="7E46018B"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Doyle, J. J., &amp; Doyle, J. L. (1987). A rapid DNA isolation procedure for</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small quantities of fresh leaf tissue. Phytochemical Bulletin, 19(1),</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11–15.</w:t>
      </w:r>
    </w:p>
    <w:p w14:paraId="292F46F7" w14:textId="3BE45EAB"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Dudycha, J. L. (2004). Mortality dynamics of </w:t>
      </w:r>
      <w:r w:rsidRPr="00EF0FFC">
        <w:rPr>
          <w:rFonts w:ascii="Times New Roman" w:hAnsi="Times New Roman" w:cs="Times New Roman"/>
          <w:i/>
          <w:iCs/>
          <w:sz w:val="24"/>
          <w:szCs w:val="24"/>
        </w:rPr>
        <w:t>Daphnia</w:t>
      </w:r>
      <w:r w:rsidRPr="000F4C69">
        <w:rPr>
          <w:rFonts w:ascii="Times New Roman" w:hAnsi="Times New Roman" w:cs="Times New Roman"/>
          <w:sz w:val="24"/>
          <w:szCs w:val="24"/>
        </w:rPr>
        <w:t xml:space="preserve"> in contrasting habitats and their role in ecological divergence. Freshwater Biology, 49,</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505–514. </w:t>
      </w:r>
      <w:hyperlink r:id="rId46" w:history="1">
        <w:r w:rsidR="00624463" w:rsidRPr="00DC165E">
          <w:rPr>
            <w:rStyle w:val="Hyperlink"/>
            <w:rFonts w:ascii="Times New Roman" w:hAnsi="Times New Roman" w:cs="Times New Roman"/>
            <w:sz w:val="24"/>
            <w:szCs w:val="24"/>
          </w:rPr>
          <w:t>https://doi.org/10.1111/j.1365-2427.2004.01201.x</w:t>
        </w:r>
      </w:hyperlink>
      <w:r w:rsidR="00624463">
        <w:rPr>
          <w:rFonts w:ascii="Times New Roman" w:hAnsi="Times New Roman" w:cs="Times New Roman"/>
          <w:sz w:val="24"/>
          <w:szCs w:val="24"/>
        </w:rPr>
        <w:t xml:space="preserve"> </w:t>
      </w:r>
    </w:p>
    <w:p w14:paraId="4C675F5E" w14:textId="29C5A043"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Dudycha, J. L., &amp; Tessier, A. J. (1999). Natural genetic variation of life</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span, reproduction, and juvenile growth in </w:t>
      </w:r>
      <w:r w:rsidRPr="00EF0FFC">
        <w:rPr>
          <w:rFonts w:ascii="Times New Roman" w:hAnsi="Times New Roman" w:cs="Times New Roman"/>
          <w:i/>
          <w:iCs/>
          <w:sz w:val="24"/>
          <w:szCs w:val="24"/>
        </w:rPr>
        <w:t>Daphnia</w:t>
      </w:r>
      <w:r w:rsidRPr="000F4C69">
        <w:rPr>
          <w:rFonts w:ascii="Times New Roman" w:hAnsi="Times New Roman" w:cs="Times New Roman"/>
          <w:sz w:val="24"/>
          <w:szCs w:val="24"/>
        </w:rPr>
        <w:t xml:space="preserve">. Evolution (N.Y.), 53, 1744–1756. </w:t>
      </w:r>
      <w:hyperlink r:id="rId47" w:history="1">
        <w:r w:rsidR="00624463" w:rsidRPr="00DC165E">
          <w:rPr>
            <w:rStyle w:val="Hyperlink"/>
            <w:rFonts w:ascii="Times New Roman" w:hAnsi="Times New Roman" w:cs="Times New Roman"/>
            <w:sz w:val="24"/>
            <w:szCs w:val="24"/>
          </w:rPr>
          <w:t>https://doi.org/10.1111/j.1558-5646.1999.tb04559.x</w:t>
        </w:r>
      </w:hyperlink>
      <w:r w:rsidR="00624463">
        <w:rPr>
          <w:rFonts w:ascii="Times New Roman" w:hAnsi="Times New Roman" w:cs="Times New Roman"/>
          <w:sz w:val="24"/>
          <w:szCs w:val="24"/>
        </w:rPr>
        <w:t xml:space="preserve"> </w:t>
      </w:r>
    </w:p>
    <w:p w14:paraId="579E84DE" w14:textId="426715AC"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Dufresne, F., &amp; Hebert, P. D. N. (1997). Pleistocene glaciations and polyphyletic origins of polyploidy in an arctic cladoceran. Proceedings</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of the Royal Society B-Biological Sciences, 264, 201–206. </w:t>
      </w:r>
      <w:hyperlink r:id="rId48" w:history="1">
        <w:r w:rsidR="00624463" w:rsidRPr="00DC165E">
          <w:rPr>
            <w:rStyle w:val="Hyperlink"/>
            <w:rFonts w:ascii="Times New Roman" w:hAnsi="Times New Roman" w:cs="Times New Roman"/>
            <w:sz w:val="24"/>
            <w:szCs w:val="24"/>
          </w:rPr>
          <w:t>https://doi.org/10.1098/rspb.1997.0028</w:t>
        </w:r>
      </w:hyperlink>
      <w:r w:rsidR="00624463">
        <w:rPr>
          <w:rFonts w:ascii="Times New Roman" w:hAnsi="Times New Roman" w:cs="Times New Roman"/>
          <w:sz w:val="24"/>
          <w:szCs w:val="24"/>
        </w:rPr>
        <w:t xml:space="preserve"> </w:t>
      </w:r>
    </w:p>
    <w:p w14:paraId="65DFF4C7" w14:textId="56A5BFC6"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Dukić, M., Berner, D., Roesti, M., Haag, C. R., &amp; Ebert, D. (2016). A highdensity genetic map reveals variation in recombination rate across</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the genome of </w:t>
      </w:r>
      <w:r w:rsidRPr="00EF0FFC">
        <w:rPr>
          <w:rFonts w:ascii="Times New Roman" w:hAnsi="Times New Roman" w:cs="Times New Roman"/>
          <w:i/>
          <w:iCs/>
          <w:sz w:val="24"/>
          <w:szCs w:val="24"/>
        </w:rPr>
        <w:t>Daphnia magna</w:t>
      </w:r>
      <w:r w:rsidRPr="000F4C69">
        <w:rPr>
          <w:rFonts w:ascii="Times New Roman" w:hAnsi="Times New Roman" w:cs="Times New Roman"/>
          <w:sz w:val="24"/>
          <w:szCs w:val="24"/>
        </w:rPr>
        <w:t xml:space="preserve">. BMC Genetics, 17, 137. </w:t>
      </w:r>
      <w:hyperlink r:id="rId49" w:history="1">
        <w:r w:rsidR="00624463" w:rsidRPr="00DC165E">
          <w:rPr>
            <w:rStyle w:val="Hyperlink"/>
            <w:rFonts w:ascii="Times New Roman" w:hAnsi="Times New Roman" w:cs="Times New Roman"/>
            <w:sz w:val="24"/>
            <w:szCs w:val="24"/>
          </w:rPr>
          <w:t>https://doi.org/10.1186/s12863-016-0445-7</w:t>
        </w:r>
      </w:hyperlink>
      <w:r w:rsidR="00624463">
        <w:rPr>
          <w:rFonts w:ascii="Times New Roman" w:hAnsi="Times New Roman" w:cs="Times New Roman"/>
          <w:sz w:val="24"/>
          <w:szCs w:val="24"/>
        </w:rPr>
        <w:t xml:space="preserve"> </w:t>
      </w:r>
    </w:p>
    <w:p w14:paraId="257599B6" w14:textId="2457FE66"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Elder, J. F., &amp; Turner, B. J. (1995). Concerted Evolution of repetitive DNA</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sequences in eukaryotes. The Quarterly Review of Biology, 70(3),</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297–320. </w:t>
      </w:r>
      <w:hyperlink r:id="rId50" w:history="1">
        <w:r w:rsidR="00624463" w:rsidRPr="00DC165E">
          <w:rPr>
            <w:rStyle w:val="Hyperlink"/>
            <w:rFonts w:ascii="Times New Roman" w:hAnsi="Times New Roman" w:cs="Times New Roman"/>
            <w:sz w:val="24"/>
            <w:szCs w:val="24"/>
          </w:rPr>
          <w:t>https://doi.org/10.1086/419073</w:t>
        </w:r>
      </w:hyperlink>
      <w:r w:rsidR="00624463">
        <w:rPr>
          <w:rFonts w:ascii="Times New Roman" w:hAnsi="Times New Roman" w:cs="Times New Roman"/>
          <w:sz w:val="24"/>
          <w:szCs w:val="24"/>
        </w:rPr>
        <w:t xml:space="preserve"> </w:t>
      </w:r>
    </w:p>
    <w:p w14:paraId="288F3E32" w14:textId="60839DD2"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Excoffier, L., Dupanloup, I., Huerta-Sánchez, E., Sousa, V. C., &amp; Foll, M.</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(2013). Robust demographic inference from genomic and SNP</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data. PLoS Genetics, 9, 1003905. </w:t>
      </w:r>
      <w:hyperlink r:id="rId51" w:history="1">
        <w:r w:rsidR="00624463" w:rsidRPr="00DC165E">
          <w:rPr>
            <w:rStyle w:val="Hyperlink"/>
            <w:rFonts w:ascii="Times New Roman" w:hAnsi="Times New Roman" w:cs="Times New Roman"/>
            <w:sz w:val="24"/>
            <w:szCs w:val="24"/>
          </w:rPr>
          <w:t>https://doi.org/10.1371/journal.pgen.1003905</w:t>
        </w:r>
      </w:hyperlink>
      <w:r w:rsidR="00624463">
        <w:rPr>
          <w:rFonts w:ascii="Times New Roman" w:hAnsi="Times New Roman" w:cs="Times New Roman"/>
          <w:sz w:val="24"/>
          <w:szCs w:val="24"/>
        </w:rPr>
        <w:t xml:space="preserve"> </w:t>
      </w:r>
    </w:p>
    <w:p w14:paraId="4C5ADC1C" w14:textId="5EB6DFD6"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Feder, J. L., Egan, S. P., &amp; Nosil, P. (2012). The genomics of speciation</w:t>
      </w:r>
      <w:r w:rsidR="00EF0FFC">
        <w:rPr>
          <w:rFonts w:ascii="Times New Roman" w:hAnsi="Times New Roman" w:cs="Times New Roman"/>
          <w:sz w:val="24"/>
          <w:szCs w:val="24"/>
        </w:rPr>
        <w:t xml:space="preserve"> </w:t>
      </w:r>
      <w:r w:rsidRPr="000F4C69">
        <w:rPr>
          <w:rFonts w:ascii="Times New Roman" w:hAnsi="Times New Roman" w:cs="Times New Roman"/>
          <w:sz w:val="24"/>
          <w:szCs w:val="24"/>
        </w:rPr>
        <w:t xml:space="preserve">with-gene-flow. Trends in Genetics, 28, 342–350. </w:t>
      </w:r>
      <w:hyperlink r:id="rId52" w:history="1">
        <w:r w:rsidR="00624463" w:rsidRPr="00DC165E">
          <w:rPr>
            <w:rStyle w:val="Hyperlink"/>
            <w:rFonts w:ascii="Times New Roman" w:hAnsi="Times New Roman" w:cs="Times New Roman"/>
            <w:sz w:val="24"/>
            <w:szCs w:val="24"/>
          </w:rPr>
          <w:t>https://doi.org/10.1016/j.tig.2012.03.009</w:t>
        </w:r>
      </w:hyperlink>
      <w:r w:rsidR="00624463">
        <w:rPr>
          <w:rFonts w:ascii="Times New Roman" w:hAnsi="Times New Roman" w:cs="Times New Roman"/>
          <w:sz w:val="24"/>
          <w:szCs w:val="24"/>
        </w:rPr>
        <w:t xml:space="preserve"> </w:t>
      </w:r>
    </w:p>
    <w:p w14:paraId="26F3F84B" w14:textId="381A62C3"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Feder, J. L., &amp; Nosil, P. (2010). The efficacy of divergence hitchhiking in generating genomic islands during ecological speciation. Evolution (N. Y.), 64, 1729–1747. </w:t>
      </w:r>
      <w:hyperlink r:id="rId53" w:history="1">
        <w:r w:rsidR="00624463" w:rsidRPr="00DC165E">
          <w:rPr>
            <w:rStyle w:val="Hyperlink"/>
            <w:rFonts w:ascii="Times New Roman" w:hAnsi="Times New Roman" w:cs="Times New Roman"/>
            <w:sz w:val="24"/>
            <w:szCs w:val="24"/>
          </w:rPr>
          <w:t>https://doi.org/10.1111/j.1558-5646.2009.00943.x</w:t>
        </w:r>
      </w:hyperlink>
      <w:r w:rsidR="00624463">
        <w:rPr>
          <w:rFonts w:ascii="Times New Roman" w:hAnsi="Times New Roman" w:cs="Times New Roman"/>
          <w:sz w:val="24"/>
          <w:szCs w:val="24"/>
        </w:rPr>
        <w:t xml:space="preserve"> </w:t>
      </w:r>
    </w:p>
    <w:p w14:paraId="1DCF3C5B" w14:textId="274AA793"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Felsenstein, J. (1981). Skepticism towards Santa Rosalia, or why are there</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so few kinds of animals? Evolution (N. Y), 35, 124–138. </w:t>
      </w:r>
      <w:hyperlink r:id="rId54" w:history="1">
        <w:r w:rsidR="00EF0FFC" w:rsidRPr="00DC165E">
          <w:rPr>
            <w:rStyle w:val="Hyperlink"/>
            <w:rFonts w:ascii="Times New Roman" w:hAnsi="Times New Roman" w:cs="Times New Roman"/>
            <w:sz w:val="24"/>
            <w:szCs w:val="24"/>
          </w:rPr>
          <w:t>https://doi.org/10.2307/2407946</w:t>
        </w:r>
      </w:hyperlink>
      <w:r w:rsidR="00EF0FFC">
        <w:rPr>
          <w:rFonts w:ascii="Times New Roman" w:hAnsi="Times New Roman" w:cs="Times New Roman"/>
          <w:sz w:val="24"/>
          <w:szCs w:val="24"/>
        </w:rPr>
        <w:t xml:space="preserve"> </w:t>
      </w:r>
    </w:p>
    <w:p w14:paraId="72851809" w14:textId="5EF78570"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Flynn, J. M., Hubley, R., Goubert, C., Rosen, J., Clark, A. G., Feschotte, C.,</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&amp; Smit, A. F. (2020). RepeatModeler2 for automated genomic discovery of transposable element families. Proceedings of the National</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Academy of Sciences of the United States of America, 117, 9451–9457.</w:t>
      </w:r>
      <w:r w:rsidR="00EF0FFC">
        <w:rPr>
          <w:rFonts w:ascii="Times New Roman" w:hAnsi="Times New Roman" w:cs="Times New Roman"/>
          <w:sz w:val="24"/>
          <w:szCs w:val="24"/>
        </w:rPr>
        <w:t xml:space="preserve"> </w:t>
      </w:r>
      <w:hyperlink r:id="rId55" w:history="1">
        <w:r w:rsidR="00EF0FFC" w:rsidRPr="00DC165E">
          <w:rPr>
            <w:rStyle w:val="Hyperlink"/>
            <w:rFonts w:ascii="Times New Roman" w:hAnsi="Times New Roman" w:cs="Times New Roman"/>
            <w:sz w:val="24"/>
            <w:szCs w:val="24"/>
          </w:rPr>
          <w:t>https://doi.org/10.1073/pnas.1921046117</w:t>
        </w:r>
      </w:hyperlink>
      <w:r w:rsidR="00EF0FFC">
        <w:rPr>
          <w:rFonts w:ascii="Times New Roman" w:hAnsi="Times New Roman" w:cs="Times New Roman"/>
          <w:sz w:val="24"/>
          <w:szCs w:val="24"/>
        </w:rPr>
        <w:t xml:space="preserve">  </w:t>
      </w:r>
    </w:p>
    <w:p w14:paraId="2DB9F96F" w14:textId="06EE67AD" w:rsidR="002F3350" w:rsidRPr="000F4C69" w:rsidRDefault="002F3350" w:rsidP="00EF0FFC">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Frisch, D., Morton, P. K., Chowdhury, P. R., Culver, B. W., Colbourne, J. K.,</w:t>
      </w:r>
      <w:r w:rsidR="00EF0FFC">
        <w:rPr>
          <w:rFonts w:ascii="Times New Roman" w:hAnsi="Times New Roman" w:cs="Times New Roman"/>
          <w:sz w:val="24"/>
          <w:szCs w:val="24"/>
        </w:rPr>
        <w:t xml:space="preserve"> </w:t>
      </w:r>
      <w:r w:rsidRPr="000F4C69">
        <w:rPr>
          <w:rFonts w:ascii="Times New Roman" w:hAnsi="Times New Roman" w:cs="Times New Roman"/>
          <w:sz w:val="24"/>
          <w:szCs w:val="24"/>
        </w:rPr>
        <w:t>Weider, L. J., &amp; Jeyasingh, P. D. (2014). A millennial-scale chronicle</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of evolutionary responses to cultural eutrophication in </w:t>
      </w:r>
      <w:r w:rsidRPr="001D4A72">
        <w:rPr>
          <w:rFonts w:ascii="Times New Roman" w:hAnsi="Times New Roman" w:cs="Times New Roman"/>
          <w:i/>
          <w:iCs/>
          <w:sz w:val="24"/>
          <w:szCs w:val="24"/>
        </w:rPr>
        <w:t>Daphnia</w:t>
      </w:r>
      <w:r w:rsidR="001D4A72">
        <w:rPr>
          <w:rFonts w:ascii="Times New Roman" w:hAnsi="Times New Roman" w:cs="Times New Roman"/>
          <w:sz w:val="24"/>
          <w:szCs w:val="24"/>
        </w:rPr>
        <w:t>.</w:t>
      </w:r>
      <w:r w:rsidRPr="000F4C69">
        <w:rPr>
          <w:rFonts w:ascii="Times New Roman" w:hAnsi="Times New Roman" w:cs="Times New Roman"/>
          <w:sz w:val="24"/>
          <w:szCs w:val="24"/>
        </w:rPr>
        <w:t xml:space="preserve"> D.</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Post [ed.]. Ecology Letters, 17, 360–368. </w:t>
      </w:r>
      <w:hyperlink r:id="rId56" w:history="1">
        <w:r w:rsidR="00EF0FFC" w:rsidRPr="00DC165E">
          <w:rPr>
            <w:rStyle w:val="Hyperlink"/>
            <w:rFonts w:ascii="Times New Roman" w:hAnsi="Times New Roman" w:cs="Times New Roman"/>
            <w:sz w:val="24"/>
            <w:szCs w:val="24"/>
          </w:rPr>
          <w:t>https://doi.org/10.1111/ele.12237</w:t>
        </w:r>
      </w:hyperlink>
      <w:r w:rsidR="00EF0FFC">
        <w:rPr>
          <w:rFonts w:ascii="Times New Roman" w:hAnsi="Times New Roman" w:cs="Times New Roman"/>
          <w:sz w:val="24"/>
          <w:szCs w:val="24"/>
        </w:rPr>
        <w:t xml:space="preserve"> </w:t>
      </w:r>
    </w:p>
    <w:p w14:paraId="1DBDAB8B" w14:textId="451A87DE"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lastRenderedPageBreak/>
        <w:t>Frisch, D., Morton, P. K., Culver, B. W., Edlund, M. B., Jeyasingh, P. D., &amp;</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Weider, L. J. (2017). Paleogenetic records of </w:t>
      </w:r>
      <w:r w:rsidRPr="001D4A72">
        <w:rPr>
          <w:rFonts w:ascii="Times New Roman" w:hAnsi="Times New Roman" w:cs="Times New Roman"/>
          <w:i/>
          <w:iCs/>
          <w:sz w:val="24"/>
          <w:szCs w:val="24"/>
        </w:rPr>
        <w:t>Daphnia pulicaria</w:t>
      </w:r>
      <w:r w:rsidRPr="000F4C69">
        <w:rPr>
          <w:rFonts w:ascii="Times New Roman" w:hAnsi="Times New Roman" w:cs="Times New Roman"/>
          <w:sz w:val="24"/>
          <w:szCs w:val="24"/>
        </w:rPr>
        <w:t xml:space="preserve"> in</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 xml:space="preserve">two North American lakes reveal the impact of cultural eutrophication. Global Change Biology, 23, 708–718. </w:t>
      </w:r>
      <w:hyperlink r:id="rId57" w:history="1">
        <w:r w:rsidR="001D4A72" w:rsidRPr="00DC165E">
          <w:rPr>
            <w:rStyle w:val="Hyperlink"/>
            <w:rFonts w:ascii="Times New Roman" w:hAnsi="Times New Roman" w:cs="Times New Roman"/>
            <w:sz w:val="24"/>
            <w:szCs w:val="24"/>
          </w:rPr>
          <w:t>https://doi.org/10.1111/gcb.13445</w:t>
        </w:r>
      </w:hyperlink>
      <w:r w:rsidR="001D4A72">
        <w:rPr>
          <w:rFonts w:ascii="Times New Roman" w:hAnsi="Times New Roman" w:cs="Times New Roman"/>
          <w:sz w:val="24"/>
          <w:szCs w:val="24"/>
        </w:rPr>
        <w:t xml:space="preserve"> </w:t>
      </w:r>
    </w:p>
    <w:p w14:paraId="0D13D7C8" w14:textId="095A5B99"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Fu, H., Park, W., Yan, X., Zheng, Z., Shen, B., &amp; Dooner, H. K. (2001).</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The highly</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recombinogenic bz locus lies in an unusually gene-rich</w:t>
      </w:r>
      <w:r w:rsidR="00425A26">
        <w:rPr>
          <w:rFonts w:ascii="Times New Roman" w:hAnsi="Times New Roman" w:cs="Times New Roman"/>
          <w:sz w:val="24"/>
          <w:szCs w:val="24"/>
        </w:rPr>
        <w:t xml:space="preserve"> </w:t>
      </w:r>
      <w:r w:rsidRPr="000F4C69">
        <w:rPr>
          <w:rFonts w:ascii="Times New Roman" w:hAnsi="Times New Roman" w:cs="Times New Roman"/>
          <w:sz w:val="24"/>
          <w:szCs w:val="24"/>
        </w:rPr>
        <w:t>region of the maize genome. Proceedings of the National Academy of</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 xml:space="preserve">Sciences of the United States of America, 98, 8903–8908. </w:t>
      </w:r>
      <w:hyperlink r:id="rId58" w:history="1">
        <w:r w:rsidR="001D4A72" w:rsidRPr="00DC165E">
          <w:rPr>
            <w:rStyle w:val="Hyperlink"/>
            <w:rFonts w:ascii="Times New Roman" w:hAnsi="Times New Roman" w:cs="Times New Roman"/>
            <w:sz w:val="24"/>
            <w:szCs w:val="24"/>
          </w:rPr>
          <w:t>https://doi.org/10.1073/pnas.141221898</w:t>
        </w:r>
      </w:hyperlink>
      <w:r w:rsidR="001D4A72">
        <w:rPr>
          <w:rFonts w:ascii="Times New Roman" w:hAnsi="Times New Roman" w:cs="Times New Roman"/>
          <w:sz w:val="24"/>
          <w:szCs w:val="24"/>
        </w:rPr>
        <w:t xml:space="preserve"> </w:t>
      </w:r>
    </w:p>
    <w:p w14:paraId="4342066C" w14:textId="486FE239"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Garrison, E., &amp; Marth, G. (2012). Haplotype-based variant detection from</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 xml:space="preserve">short-read sequencing. arXiv:1207.3907. Retrieved from </w:t>
      </w:r>
      <w:hyperlink r:id="rId59" w:history="1">
        <w:r w:rsidR="001D4A72" w:rsidRPr="00DC165E">
          <w:rPr>
            <w:rStyle w:val="Hyperlink"/>
            <w:rFonts w:ascii="Times New Roman" w:hAnsi="Times New Roman" w:cs="Times New Roman"/>
            <w:sz w:val="24"/>
            <w:szCs w:val="24"/>
          </w:rPr>
          <w:t>http://arxiv.org/abs/1207.3907</w:t>
        </w:r>
      </w:hyperlink>
      <w:r w:rsidR="001D4A72">
        <w:rPr>
          <w:rFonts w:ascii="Times New Roman" w:hAnsi="Times New Roman" w:cs="Times New Roman"/>
          <w:sz w:val="24"/>
          <w:szCs w:val="24"/>
        </w:rPr>
        <w:t xml:space="preserve"> </w:t>
      </w:r>
    </w:p>
    <w:p w14:paraId="1216620D" w14:textId="2404E1EA"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Gerber, N., Kokko, H., Ebert, D., &amp; Booksmythe, I. (2018). </w:t>
      </w:r>
      <w:r w:rsidRPr="001D4A72">
        <w:rPr>
          <w:rFonts w:ascii="Times New Roman" w:hAnsi="Times New Roman" w:cs="Times New Roman"/>
          <w:i/>
          <w:iCs/>
          <w:sz w:val="24"/>
          <w:szCs w:val="24"/>
        </w:rPr>
        <w:t>Daphnia</w:t>
      </w:r>
      <w:r w:rsidRPr="000F4C69">
        <w:rPr>
          <w:rFonts w:ascii="Times New Roman" w:hAnsi="Times New Roman" w:cs="Times New Roman"/>
          <w:sz w:val="24"/>
          <w:szCs w:val="24"/>
        </w:rPr>
        <w:t xml:space="preserve"> invest in sexual</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reproduction when its relative costs are reduced.</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Proceedings of the Royal Society B-Biological Sciences, 285, 20172176.</w:t>
      </w:r>
      <w:r w:rsidR="00BF17B2">
        <w:rPr>
          <w:rFonts w:ascii="Times New Roman" w:hAnsi="Times New Roman" w:cs="Times New Roman"/>
          <w:sz w:val="24"/>
          <w:szCs w:val="24"/>
        </w:rPr>
        <w:t xml:space="preserve"> </w:t>
      </w:r>
      <w:hyperlink r:id="rId60" w:history="1">
        <w:r w:rsidR="001D4A72" w:rsidRPr="00DC165E">
          <w:rPr>
            <w:rStyle w:val="Hyperlink"/>
            <w:rFonts w:ascii="Times New Roman" w:hAnsi="Times New Roman" w:cs="Times New Roman"/>
            <w:sz w:val="24"/>
            <w:szCs w:val="24"/>
          </w:rPr>
          <w:t>https://doi.org/10.1098/rspb.2017.2176</w:t>
        </w:r>
      </w:hyperlink>
      <w:r w:rsidR="001D4A72">
        <w:rPr>
          <w:rFonts w:ascii="Times New Roman" w:hAnsi="Times New Roman" w:cs="Times New Roman"/>
          <w:sz w:val="24"/>
          <w:szCs w:val="24"/>
        </w:rPr>
        <w:t xml:space="preserve"> </w:t>
      </w:r>
    </w:p>
    <w:p w14:paraId="36C3F1ED" w14:textId="2DA60C0C" w:rsidR="009562BD"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Gremme, G., Brendel, V., Sparks, M. E., &amp; Kurtz, S. (2005). Engineering</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a software tool for gene structure prediction in higher organisms.</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 xml:space="preserve">Information and Software Technology, 47, 965–978. </w:t>
      </w:r>
      <w:hyperlink r:id="rId61" w:history="1">
        <w:r w:rsidR="001D4A72" w:rsidRPr="00DC165E">
          <w:rPr>
            <w:rStyle w:val="Hyperlink"/>
            <w:rFonts w:ascii="Times New Roman" w:hAnsi="Times New Roman" w:cs="Times New Roman"/>
            <w:sz w:val="24"/>
            <w:szCs w:val="24"/>
          </w:rPr>
          <w:t>https://doi.org/10.1016/j.infsof.2005.09.005</w:t>
        </w:r>
      </w:hyperlink>
      <w:r w:rsidR="001D4A72">
        <w:rPr>
          <w:rFonts w:ascii="Times New Roman" w:hAnsi="Times New Roman" w:cs="Times New Roman"/>
          <w:sz w:val="24"/>
          <w:szCs w:val="24"/>
        </w:rPr>
        <w:t xml:space="preserve"> </w:t>
      </w:r>
    </w:p>
    <w:p w14:paraId="0C68A63C" w14:textId="26B10177" w:rsidR="002F3350" w:rsidRPr="000F4C69" w:rsidRDefault="002F3350" w:rsidP="001D4A72">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Heier, C. R., &amp; Dudycha, J. L. (2009). Ecological speciation in a cyclic parthenogen: Sexual capability of experimental hybrids</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 xml:space="preserve">between </w:t>
      </w:r>
      <w:r w:rsidRPr="001D4A72">
        <w:rPr>
          <w:rFonts w:ascii="Times New Roman" w:hAnsi="Times New Roman" w:cs="Times New Roman"/>
          <w:i/>
          <w:iCs/>
          <w:sz w:val="24"/>
          <w:szCs w:val="24"/>
        </w:rPr>
        <w:t>Daphnia pulex</w:t>
      </w:r>
      <w:r w:rsidRPr="000F4C69">
        <w:rPr>
          <w:rFonts w:ascii="Times New Roman" w:hAnsi="Times New Roman" w:cs="Times New Roman"/>
          <w:sz w:val="24"/>
          <w:szCs w:val="24"/>
        </w:rPr>
        <w:t xml:space="preserve"> and </w:t>
      </w:r>
      <w:r w:rsidRPr="001D4A72">
        <w:rPr>
          <w:rFonts w:ascii="Times New Roman" w:hAnsi="Times New Roman" w:cs="Times New Roman"/>
          <w:i/>
          <w:iCs/>
          <w:sz w:val="24"/>
          <w:szCs w:val="24"/>
        </w:rPr>
        <w:t>Daphnia pulicaria</w:t>
      </w:r>
      <w:r w:rsidRPr="000F4C69">
        <w:rPr>
          <w:rFonts w:ascii="Times New Roman" w:hAnsi="Times New Roman" w:cs="Times New Roman"/>
          <w:sz w:val="24"/>
          <w:szCs w:val="24"/>
        </w:rPr>
        <w:t>. Limnology</w:t>
      </w:r>
      <w:r w:rsidR="001D4A72">
        <w:rPr>
          <w:rFonts w:ascii="Times New Roman" w:hAnsi="Times New Roman" w:cs="Times New Roman"/>
          <w:sz w:val="24"/>
          <w:szCs w:val="24"/>
        </w:rPr>
        <w:t xml:space="preserve"> </w:t>
      </w:r>
      <w:r w:rsidRPr="000F4C69">
        <w:rPr>
          <w:rFonts w:ascii="Times New Roman" w:hAnsi="Times New Roman" w:cs="Times New Roman"/>
          <w:sz w:val="24"/>
          <w:szCs w:val="24"/>
        </w:rPr>
        <w:t xml:space="preserve">and Oceanography, 54, 492–502. </w:t>
      </w:r>
      <w:hyperlink r:id="rId62" w:history="1">
        <w:r w:rsidR="001D4A72" w:rsidRPr="00DC165E">
          <w:rPr>
            <w:rStyle w:val="Hyperlink"/>
            <w:rFonts w:ascii="Times New Roman" w:hAnsi="Times New Roman" w:cs="Times New Roman"/>
            <w:sz w:val="24"/>
            <w:szCs w:val="24"/>
          </w:rPr>
          <w:t>https://doi.org/10.4319/lo.2009.54.2.0492</w:t>
        </w:r>
      </w:hyperlink>
      <w:r w:rsidR="001D4A72">
        <w:rPr>
          <w:rFonts w:ascii="Times New Roman" w:hAnsi="Times New Roman" w:cs="Times New Roman"/>
          <w:sz w:val="24"/>
          <w:szCs w:val="24"/>
        </w:rPr>
        <w:t xml:space="preserve"> </w:t>
      </w:r>
    </w:p>
    <w:p w14:paraId="42ED2176" w14:textId="6745F5D2" w:rsidR="002F3350" w:rsidRPr="000F4C69" w:rsidRDefault="002F3350" w:rsidP="001D4A72">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Hejase, H. A., Salman-Minkov, A., Campagna, L., Hubisz, M. J., Lovette,</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I. J., Gronau, I., &amp; Siepel, A. (2020). Genomic islands of differentiation in a rapid avian radiation have been driven by recent selective sweeps. Proceedings of the National Academy of Sciences</w:t>
      </w:r>
      <w:r w:rsidR="005A5EC2">
        <w:rPr>
          <w:rFonts w:ascii="Times New Roman" w:hAnsi="Times New Roman" w:cs="Times New Roman"/>
          <w:sz w:val="24"/>
          <w:szCs w:val="24"/>
        </w:rPr>
        <w:t xml:space="preserve"> </w:t>
      </w:r>
      <w:r w:rsidRPr="000F4C69">
        <w:rPr>
          <w:rFonts w:ascii="Times New Roman" w:hAnsi="Times New Roman" w:cs="Times New Roman"/>
          <w:sz w:val="24"/>
          <w:szCs w:val="24"/>
        </w:rPr>
        <w:t>of the United States of America, 117, 30554–30565.</w:t>
      </w:r>
      <w:r w:rsidR="005A5EC2">
        <w:rPr>
          <w:rFonts w:ascii="Times New Roman" w:hAnsi="Times New Roman" w:cs="Times New Roman"/>
          <w:sz w:val="24"/>
          <w:szCs w:val="24"/>
        </w:rPr>
        <w:t xml:space="preserve"> </w:t>
      </w:r>
      <w:hyperlink r:id="rId63" w:history="1">
        <w:r w:rsidR="005A5EC2" w:rsidRPr="00DC165E">
          <w:rPr>
            <w:rStyle w:val="Hyperlink"/>
            <w:rFonts w:ascii="Times New Roman" w:hAnsi="Times New Roman" w:cs="Times New Roman"/>
            <w:sz w:val="24"/>
            <w:szCs w:val="24"/>
          </w:rPr>
          <w:t>https://doi.org/10.1073/pnas.2015987117</w:t>
        </w:r>
      </w:hyperlink>
      <w:r w:rsidR="005A5EC2">
        <w:rPr>
          <w:rFonts w:ascii="Times New Roman" w:hAnsi="Times New Roman" w:cs="Times New Roman"/>
          <w:sz w:val="24"/>
          <w:szCs w:val="24"/>
        </w:rPr>
        <w:t xml:space="preserve"> </w:t>
      </w:r>
    </w:p>
    <w:p w14:paraId="442884F0" w14:textId="5355395A"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Hoff, K. J., &amp; Stanke, M. (2018). Predicting genes in single genomes with</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 xml:space="preserve">AUGUSTUS. Current Protocols in Bioinformatics, 65, e57. </w:t>
      </w:r>
      <w:hyperlink r:id="rId64" w:history="1">
        <w:r w:rsidR="005A5EC2" w:rsidRPr="00DC165E">
          <w:rPr>
            <w:rStyle w:val="Hyperlink"/>
            <w:rFonts w:ascii="Times New Roman" w:hAnsi="Times New Roman" w:cs="Times New Roman"/>
            <w:sz w:val="24"/>
            <w:szCs w:val="24"/>
          </w:rPr>
          <w:t>https://doi.org/10.1002/cpbi.57</w:t>
        </w:r>
      </w:hyperlink>
      <w:r w:rsidR="005A5EC2">
        <w:rPr>
          <w:rFonts w:ascii="Times New Roman" w:hAnsi="Times New Roman" w:cs="Times New Roman"/>
          <w:sz w:val="24"/>
          <w:szCs w:val="24"/>
        </w:rPr>
        <w:t xml:space="preserve"> </w:t>
      </w:r>
    </w:p>
    <w:p w14:paraId="4D2CD8DE" w14:textId="71B4F503"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Isberg, S. R., Johnston, S. M., Chen, Y., &amp; Moran, C. (2006). First evidence</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of higher female recombination in a species with temperaturedependent sex determination: The saltwater crocodile. Journal</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 xml:space="preserve">of Heredity, 97(6), 599–602. </w:t>
      </w:r>
      <w:hyperlink r:id="rId65" w:history="1">
        <w:r w:rsidR="005A5EC2" w:rsidRPr="00DC165E">
          <w:rPr>
            <w:rStyle w:val="Hyperlink"/>
            <w:rFonts w:ascii="Times New Roman" w:hAnsi="Times New Roman" w:cs="Times New Roman"/>
            <w:sz w:val="24"/>
            <w:szCs w:val="24"/>
          </w:rPr>
          <w:t>https://doi.org/10.1093/JHERED/ESL035</w:t>
        </w:r>
      </w:hyperlink>
      <w:r w:rsidR="005A5EC2">
        <w:rPr>
          <w:rFonts w:ascii="Times New Roman" w:hAnsi="Times New Roman" w:cs="Times New Roman"/>
          <w:sz w:val="24"/>
          <w:szCs w:val="24"/>
        </w:rPr>
        <w:t xml:space="preserve"> </w:t>
      </w:r>
    </w:p>
    <w:p w14:paraId="7CCD4D83" w14:textId="53448ADC"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Jackson,</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C. E., Xu, S., Ye, Z., Pfrender, M. E., Lynch, M., Colbourne, J. K., &amp;</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Shaw, J. R. (2021). Chromosomal rearrangements preserve adaptive</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divergence in ecological speciation. BioRxiv, 2021.08.20.457158.</w:t>
      </w:r>
      <w:r w:rsidR="00BF17B2">
        <w:rPr>
          <w:rFonts w:ascii="Times New Roman" w:hAnsi="Times New Roman" w:cs="Times New Roman"/>
          <w:sz w:val="24"/>
          <w:szCs w:val="24"/>
        </w:rPr>
        <w:t xml:space="preserve"> </w:t>
      </w:r>
      <w:hyperlink r:id="rId66" w:history="1">
        <w:r w:rsidR="005A5EC2" w:rsidRPr="00DC165E">
          <w:rPr>
            <w:rStyle w:val="Hyperlink"/>
            <w:rFonts w:ascii="Times New Roman" w:hAnsi="Times New Roman" w:cs="Times New Roman"/>
            <w:sz w:val="24"/>
            <w:szCs w:val="24"/>
          </w:rPr>
          <w:t>https://doi.org/10.1101/2021.08.20.457158</w:t>
        </w:r>
      </w:hyperlink>
      <w:r w:rsidR="005A5EC2">
        <w:rPr>
          <w:rFonts w:ascii="Times New Roman" w:hAnsi="Times New Roman" w:cs="Times New Roman"/>
          <w:sz w:val="24"/>
          <w:szCs w:val="24"/>
        </w:rPr>
        <w:t xml:space="preserve"> </w:t>
      </w:r>
    </w:p>
    <w:p w14:paraId="50636A94" w14:textId="75041ED5"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Jiao, W. B., &amp; Schneeberger, K. (2017). The impact of third generation genomic technologies on plant genome assembly. Current Opinion in</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 xml:space="preserve">Plant Biology, 36, 64–70. </w:t>
      </w:r>
      <w:hyperlink r:id="rId67" w:history="1">
        <w:r w:rsidR="00851366" w:rsidRPr="00DC165E">
          <w:rPr>
            <w:rStyle w:val="Hyperlink"/>
            <w:rFonts w:ascii="Times New Roman" w:hAnsi="Times New Roman" w:cs="Times New Roman"/>
            <w:sz w:val="24"/>
            <w:szCs w:val="24"/>
          </w:rPr>
          <w:t>https://doi.org/10.1016/j.pbi.2017.02.002</w:t>
        </w:r>
      </w:hyperlink>
      <w:r w:rsidR="00851366">
        <w:rPr>
          <w:rFonts w:ascii="Times New Roman" w:hAnsi="Times New Roman" w:cs="Times New Roman"/>
          <w:sz w:val="24"/>
          <w:szCs w:val="24"/>
        </w:rPr>
        <w:t xml:space="preserve"> </w:t>
      </w:r>
    </w:p>
    <w:p w14:paraId="43BC0B08" w14:textId="5580AADB"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Jombart, T. (2008). adegenet: A R package for the multivariate analysis of genetic markers. Bioinformatics, 24, 1403–1405. </w:t>
      </w:r>
      <w:hyperlink r:id="rId68" w:history="1">
        <w:r w:rsidR="00851366" w:rsidRPr="00DC165E">
          <w:rPr>
            <w:rStyle w:val="Hyperlink"/>
            <w:rFonts w:ascii="Times New Roman" w:hAnsi="Times New Roman" w:cs="Times New Roman"/>
            <w:sz w:val="24"/>
            <w:szCs w:val="24"/>
          </w:rPr>
          <w:t>https://doi.org/10.1093/bioinformatics/btn129</w:t>
        </w:r>
      </w:hyperlink>
      <w:r w:rsidR="00851366">
        <w:rPr>
          <w:rFonts w:ascii="Times New Roman" w:hAnsi="Times New Roman" w:cs="Times New Roman"/>
          <w:sz w:val="24"/>
          <w:szCs w:val="24"/>
        </w:rPr>
        <w:t xml:space="preserve"> </w:t>
      </w:r>
    </w:p>
    <w:p w14:paraId="4A6F5EA8" w14:textId="07F44884"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Jones, P., Binns, D., Chang, H.-Y., Fraser, M., Li, W., McAnulla, C.,</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McWilliam, H., Maslen, J., Mitchell, A., Nuka, G., Pesseat, S., Quinn,</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A. F., Sangrador-Vegas, A., Scheremetjew, M., Yong, S.-Y., Lopez,</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R., &amp; Hunter, S. (2014). InterProScan 5: Genome-scale protein</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lastRenderedPageBreak/>
        <w:t>function classification. Bioinformatics, 30, 1236–1240.</w:t>
      </w:r>
      <w:r w:rsidR="005709F0">
        <w:rPr>
          <w:rFonts w:ascii="Times New Roman" w:hAnsi="Times New Roman" w:cs="Times New Roman"/>
          <w:sz w:val="24"/>
          <w:szCs w:val="24"/>
        </w:rPr>
        <w:t xml:space="preserve"> </w:t>
      </w:r>
      <w:hyperlink r:id="rId69" w:history="1">
        <w:r w:rsidR="005709F0" w:rsidRPr="00DC165E">
          <w:rPr>
            <w:rStyle w:val="Hyperlink"/>
            <w:rFonts w:ascii="Times New Roman" w:hAnsi="Times New Roman" w:cs="Times New Roman"/>
            <w:sz w:val="24"/>
            <w:szCs w:val="24"/>
          </w:rPr>
          <w:t>https://doi.org/10.1093/bioinformatics/btu031</w:t>
        </w:r>
      </w:hyperlink>
      <w:r w:rsidR="00851366">
        <w:rPr>
          <w:rFonts w:ascii="Times New Roman" w:hAnsi="Times New Roman" w:cs="Times New Roman"/>
          <w:sz w:val="24"/>
          <w:szCs w:val="24"/>
        </w:rPr>
        <w:t xml:space="preserve"> </w:t>
      </w:r>
    </w:p>
    <w:p w14:paraId="7F6D043A" w14:textId="33C058E2"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Kautt, A. F., Kratochwil, C. F., Nater, A., Machado-Schiaffino, G., Olave, M.,</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Henning, F., Torres-Dowdall, J., Härer, A., Hulsey, C. D., Franchini, P.,</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Pippel, M., Myers, E. W., &amp; Meyer, A. (2020). Contrasting signatures</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 xml:space="preserve">of genomic divergence during sympatric speciation. Nature, 588, 106–111. </w:t>
      </w:r>
      <w:hyperlink r:id="rId70" w:history="1">
        <w:r w:rsidR="005709F0" w:rsidRPr="00DC165E">
          <w:rPr>
            <w:rStyle w:val="Hyperlink"/>
            <w:rFonts w:ascii="Times New Roman" w:hAnsi="Times New Roman" w:cs="Times New Roman"/>
            <w:sz w:val="24"/>
            <w:szCs w:val="24"/>
          </w:rPr>
          <w:t>https://doi.org/10.1038/s41586-020-2845-0</w:t>
        </w:r>
      </w:hyperlink>
      <w:r w:rsidR="005709F0">
        <w:rPr>
          <w:rFonts w:ascii="Times New Roman" w:hAnsi="Times New Roman" w:cs="Times New Roman"/>
          <w:sz w:val="24"/>
          <w:szCs w:val="24"/>
        </w:rPr>
        <w:t xml:space="preserve"> </w:t>
      </w:r>
    </w:p>
    <w:p w14:paraId="178A68F7" w14:textId="1FC821B7"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Keith, N., Tucker, A. E., Jackson, C. E., Sung, W., Lucas Lledó, J. I., Schrider,</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 xml:space="preserve">D. R., Schaack, S., Dudycha, J. L., Ackerman, M., Younge, A. J., Shaw,J. R., &amp; Lynch, M. (2016). High mutational rates of large-scale duplication and deletion in </w:t>
      </w:r>
      <w:r w:rsidRPr="005709F0">
        <w:rPr>
          <w:rFonts w:ascii="Times New Roman" w:hAnsi="Times New Roman" w:cs="Times New Roman"/>
          <w:i/>
          <w:iCs/>
          <w:sz w:val="24"/>
          <w:szCs w:val="24"/>
        </w:rPr>
        <w:t>Daphnia pulex</w:t>
      </w:r>
      <w:r w:rsidRPr="000F4C69">
        <w:rPr>
          <w:rFonts w:ascii="Times New Roman" w:hAnsi="Times New Roman" w:cs="Times New Roman"/>
          <w:sz w:val="24"/>
          <w:szCs w:val="24"/>
        </w:rPr>
        <w:t>. Genome Research, 26, 60–69.</w:t>
      </w:r>
      <w:r w:rsidR="00BF17B2">
        <w:rPr>
          <w:rFonts w:ascii="Times New Roman" w:hAnsi="Times New Roman" w:cs="Times New Roman"/>
          <w:sz w:val="24"/>
          <w:szCs w:val="24"/>
        </w:rPr>
        <w:t xml:space="preserve"> </w:t>
      </w:r>
      <w:hyperlink r:id="rId71" w:history="1">
        <w:r w:rsidR="005709F0" w:rsidRPr="00DC165E">
          <w:rPr>
            <w:rStyle w:val="Hyperlink"/>
            <w:rFonts w:ascii="Times New Roman" w:hAnsi="Times New Roman" w:cs="Times New Roman"/>
            <w:sz w:val="24"/>
            <w:szCs w:val="24"/>
          </w:rPr>
          <w:t>https://doi.org/10.1101/gr.191338.115</w:t>
        </w:r>
      </w:hyperlink>
      <w:r w:rsidR="005709F0">
        <w:rPr>
          <w:rFonts w:ascii="Times New Roman" w:hAnsi="Times New Roman" w:cs="Times New Roman"/>
          <w:sz w:val="24"/>
          <w:szCs w:val="24"/>
        </w:rPr>
        <w:t xml:space="preserve"> </w:t>
      </w:r>
    </w:p>
    <w:p w14:paraId="5A2A49BC" w14:textId="1788EE14"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Kent, T. V., Uzunović, J., &amp; Wright, S. I. (2017). Coevolution between transposable elements and recombination. Philosophical Transactions of</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 xml:space="preserve">the Royal Society B: Biological Sciences, 372, 20160458. </w:t>
      </w:r>
      <w:hyperlink r:id="rId72" w:history="1">
        <w:r w:rsidR="005709F0" w:rsidRPr="00DC165E">
          <w:rPr>
            <w:rStyle w:val="Hyperlink"/>
            <w:rFonts w:ascii="Times New Roman" w:hAnsi="Times New Roman" w:cs="Times New Roman"/>
            <w:sz w:val="24"/>
            <w:szCs w:val="24"/>
          </w:rPr>
          <w:t>https://doi.org/10.1098/rstb.2016.0458</w:t>
        </w:r>
      </w:hyperlink>
      <w:r w:rsidR="005709F0">
        <w:rPr>
          <w:rFonts w:ascii="Times New Roman" w:hAnsi="Times New Roman" w:cs="Times New Roman"/>
          <w:sz w:val="24"/>
          <w:szCs w:val="24"/>
        </w:rPr>
        <w:t xml:space="preserve"> </w:t>
      </w:r>
    </w:p>
    <w:p w14:paraId="6527D57D" w14:textId="6B506511"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Kimura, M. (1980). A simple method for estimating evolutionary rates of</w:t>
      </w:r>
      <w:r w:rsidR="00BF17B2">
        <w:rPr>
          <w:rFonts w:ascii="Times New Roman" w:hAnsi="Times New Roman" w:cs="Times New Roman"/>
          <w:sz w:val="24"/>
          <w:szCs w:val="24"/>
        </w:rPr>
        <w:t xml:space="preserve"> </w:t>
      </w:r>
      <w:r w:rsidRPr="000F4C69">
        <w:rPr>
          <w:rFonts w:ascii="Times New Roman" w:hAnsi="Times New Roman" w:cs="Times New Roman"/>
          <w:sz w:val="24"/>
          <w:szCs w:val="24"/>
        </w:rPr>
        <w:t xml:space="preserve">base substitutions through comparative studies of nucleotide sequences. Journal of Molecular Evolution, 16(2), 111–120. </w:t>
      </w:r>
      <w:hyperlink r:id="rId73" w:history="1">
        <w:r w:rsidR="00230877" w:rsidRPr="00DC165E">
          <w:rPr>
            <w:rStyle w:val="Hyperlink"/>
            <w:rFonts w:ascii="Times New Roman" w:hAnsi="Times New Roman" w:cs="Times New Roman"/>
            <w:sz w:val="24"/>
            <w:szCs w:val="24"/>
          </w:rPr>
          <w:t>https://doi.org/10.1007/BF01731581</w:t>
        </w:r>
      </w:hyperlink>
      <w:r w:rsidR="00230877">
        <w:rPr>
          <w:rFonts w:ascii="Times New Roman" w:hAnsi="Times New Roman" w:cs="Times New Roman"/>
          <w:sz w:val="24"/>
          <w:szCs w:val="24"/>
        </w:rPr>
        <w:t xml:space="preserve"> </w:t>
      </w:r>
    </w:p>
    <w:p w14:paraId="66CA14AF" w14:textId="0C8C570E"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Kleiven, O. T., Larsson, P., Hobæk, A., &amp; Hobaek, A. (1992). Sexual reproduction in </w:t>
      </w:r>
      <w:r w:rsidRPr="00230877">
        <w:rPr>
          <w:rFonts w:ascii="Times New Roman" w:hAnsi="Times New Roman" w:cs="Times New Roman"/>
          <w:i/>
          <w:iCs/>
          <w:sz w:val="24"/>
          <w:szCs w:val="24"/>
        </w:rPr>
        <w:t>Daphnia</w:t>
      </w:r>
      <w:r w:rsidRPr="000F4C69">
        <w:rPr>
          <w:rFonts w:ascii="Times New Roman" w:hAnsi="Times New Roman" w:cs="Times New Roman"/>
          <w:sz w:val="24"/>
          <w:szCs w:val="24"/>
        </w:rPr>
        <w:t xml:space="preserve"> magna requires three stimuli. Oikos, 65, 197–206. </w:t>
      </w:r>
      <w:hyperlink r:id="rId74" w:history="1">
        <w:r w:rsidR="00230877" w:rsidRPr="00DC165E">
          <w:rPr>
            <w:rStyle w:val="Hyperlink"/>
            <w:rFonts w:ascii="Times New Roman" w:hAnsi="Times New Roman" w:cs="Times New Roman"/>
            <w:sz w:val="24"/>
            <w:szCs w:val="24"/>
          </w:rPr>
          <w:t>https://doi.org/10.2307/3545010</w:t>
        </w:r>
      </w:hyperlink>
      <w:r w:rsidR="00230877">
        <w:rPr>
          <w:rFonts w:ascii="Times New Roman" w:hAnsi="Times New Roman" w:cs="Times New Roman"/>
          <w:sz w:val="24"/>
          <w:szCs w:val="24"/>
        </w:rPr>
        <w:t xml:space="preserve"> </w:t>
      </w:r>
    </w:p>
    <w:p w14:paraId="5520542A" w14:textId="278FF261"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Kriventseva, E. V., Kuznetsov, D., Tegenfeldt, F., Manni, M., Dias, R.,</w:t>
      </w:r>
      <w:r w:rsidR="00993E79">
        <w:rPr>
          <w:rFonts w:ascii="Times New Roman" w:hAnsi="Times New Roman" w:cs="Times New Roman"/>
          <w:sz w:val="24"/>
          <w:szCs w:val="24"/>
        </w:rPr>
        <w:t xml:space="preserve"> </w:t>
      </w:r>
      <w:r w:rsidRPr="000F4C69">
        <w:rPr>
          <w:rFonts w:ascii="Times New Roman" w:hAnsi="Times New Roman" w:cs="Times New Roman"/>
          <w:sz w:val="24"/>
          <w:szCs w:val="24"/>
        </w:rPr>
        <w:t>Simão, F. A., &amp; Zdobnov, E. M. (2019). OrthoDB v10: Sampling the</w:t>
      </w:r>
      <w:r w:rsidR="00993E79">
        <w:rPr>
          <w:rFonts w:ascii="Times New Roman" w:hAnsi="Times New Roman" w:cs="Times New Roman"/>
          <w:sz w:val="24"/>
          <w:szCs w:val="24"/>
        </w:rPr>
        <w:t xml:space="preserve"> </w:t>
      </w:r>
      <w:r w:rsidRPr="000F4C69">
        <w:rPr>
          <w:rFonts w:ascii="Times New Roman" w:hAnsi="Times New Roman" w:cs="Times New Roman"/>
          <w:sz w:val="24"/>
          <w:szCs w:val="24"/>
        </w:rPr>
        <w:t>diversity of animal, plant, fungal, protist, bacterial and viral genomes for evolutionary and functional annotations of orthologs.</w:t>
      </w:r>
      <w:r w:rsidR="00993E79">
        <w:rPr>
          <w:rFonts w:ascii="Times New Roman" w:hAnsi="Times New Roman" w:cs="Times New Roman"/>
          <w:sz w:val="24"/>
          <w:szCs w:val="24"/>
        </w:rPr>
        <w:t xml:space="preserve"> </w:t>
      </w:r>
      <w:r w:rsidRPr="000F4C69">
        <w:rPr>
          <w:rFonts w:ascii="Times New Roman" w:hAnsi="Times New Roman" w:cs="Times New Roman"/>
          <w:sz w:val="24"/>
          <w:szCs w:val="24"/>
        </w:rPr>
        <w:t xml:space="preserve">Nucleic Acids Research, 47, D807–D811. </w:t>
      </w:r>
      <w:hyperlink r:id="rId75" w:history="1">
        <w:r w:rsidR="00230877" w:rsidRPr="00DC165E">
          <w:rPr>
            <w:rStyle w:val="Hyperlink"/>
            <w:rFonts w:ascii="Times New Roman" w:hAnsi="Times New Roman" w:cs="Times New Roman"/>
            <w:sz w:val="24"/>
            <w:szCs w:val="24"/>
          </w:rPr>
          <w:t>https://doi.org/10.1093/nar/gky1053</w:t>
        </w:r>
      </w:hyperlink>
      <w:r w:rsidR="00230877">
        <w:rPr>
          <w:rFonts w:ascii="Times New Roman" w:hAnsi="Times New Roman" w:cs="Times New Roman"/>
          <w:sz w:val="24"/>
          <w:szCs w:val="24"/>
        </w:rPr>
        <w:t xml:space="preserve"> </w:t>
      </w:r>
    </w:p>
    <w:p w14:paraId="29CC0B8A" w14:textId="47881645"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Lampert, W. (2011). </w:t>
      </w:r>
      <w:r w:rsidRPr="00230877">
        <w:rPr>
          <w:rFonts w:ascii="Times New Roman" w:hAnsi="Times New Roman" w:cs="Times New Roman"/>
          <w:i/>
          <w:iCs/>
          <w:sz w:val="24"/>
          <w:szCs w:val="24"/>
        </w:rPr>
        <w:t>Daphnia</w:t>
      </w:r>
      <w:r w:rsidRPr="000F4C69">
        <w:rPr>
          <w:rFonts w:ascii="Times New Roman" w:hAnsi="Times New Roman" w:cs="Times New Roman"/>
          <w:sz w:val="24"/>
          <w:szCs w:val="24"/>
        </w:rPr>
        <w:t>: Development of a model organism in ecology</w:t>
      </w:r>
      <w:r w:rsidR="00993E79">
        <w:rPr>
          <w:rFonts w:ascii="Times New Roman" w:hAnsi="Times New Roman" w:cs="Times New Roman"/>
          <w:sz w:val="24"/>
          <w:szCs w:val="24"/>
        </w:rPr>
        <w:t xml:space="preserve"> </w:t>
      </w:r>
      <w:r w:rsidRPr="000F4C69">
        <w:rPr>
          <w:rFonts w:ascii="Times New Roman" w:hAnsi="Times New Roman" w:cs="Times New Roman"/>
          <w:sz w:val="24"/>
          <w:szCs w:val="24"/>
        </w:rPr>
        <w:t>and evolution. International Ecology Institute (ECI).</w:t>
      </w:r>
    </w:p>
    <w:p w14:paraId="62316C5A" w14:textId="74285BCA" w:rsidR="002F3350" w:rsidRPr="000F4C69" w:rsidRDefault="002F3350"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Lampert, W., &amp; Sommer, U. (2007). Limnoecology: The ecology of lakes and</w:t>
      </w:r>
      <w:r w:rsidR="00993E79">
        <w:rPr>
          <w:rFonts w:ascii="Times New Roman" w:hAnsi="Times New Roman" w:cs="Times New Roman"/>
          <w:sz w:val="24"/>
          <w:szCs w:val="24"/>
        </w:rPr>
        <w:t xml:space="preserve"> </w:t>
      </w:r>
      <w:r w:rsidRPr="000F4C69">
        <w:rPr>
          <w:rFonts w:ascii="Times New Roman" w:hAnsi="Times New Roman" w:cs="Times New Roman"/>
          <w:sz w:val="24"/>
          <w:szCs w:val="24"/>
        </w:rPr>
        <w:t>streams, 2nd ed. Oxford University Press.</w:t>
      </w:r>
    </w:p>
    <w:p w14:paraId="434D6951" w14:textId="2C8D8800"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Langmead, B., &amp; Salzberg, S. L. (2012). Fast gapped-read alignment with</w:t>
      </w:r>
      <w:r w:rsidR="00993E79">
        <w:rPr>
          <w:rFonts w:ascii="Times New Roman" w:hAnsi="Times New Roman" w:cs="Times New Roman"/>
          <w:sz w:val="24"/>
          <w:szCs w:val="24"/>
        </w:rPr>
        <w:t xml:space="preserve"> </w:t>
      </w:r>
      <w:r w:rsidRPr="000F4C69">
        <w:rPr>
          <w:rFonts w:ascii="Times New Roman" w:hAnsi="Times New Roman" w:cs="Times New Roman"/>
          <w:sz w:val="24"/>
          <w:szCs w:val="24"/>
        </w:rPr>
        <w:t xml:space="preserve">Bowtie 2. Nature Methods, 9, 357–359. </w:t>
      </w:r>
      <w:hyperlink r:id="rId76" w:history="1">
        <w:r w:rsidR="00230877" w:rsidRPr="00DC165E">
          <w:rPr>
            <w:rStyle w:val="Hyperlink"/>
            <w:rFonts w:ascii="Times New Roman" w:hAnsi="Times New Roman" w:cs="Times New Roman"/>
            <w:sz w:val="24"/>
            <w:szCs w:val="24"/>
          </w:rPr>
          <w:t>https://doi.org/10.1038/nmeth.1923</w:t>
        </w:r>
      </w:hyperlink>
      <w:r w:rsidR="00230877">
        <w:rPr>
          <w:rFonts w:ascii="Times New Roman" w:hAnsi="Times New Roman" w:cs="Times New Roman"/>
          <w:sz w:val="24"/>
          <w:szCs w:val="24"/>
        </w:rPr>
        <w:t xml:space="preserve"> </w:t>
      </w:r>
    </w:p>
    <w:p w14:paraId="3E693D34" w14:textId="19A0671B"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Li, H., &amp; Durbin, R. (2009). Fast and accurate short read alignment</w:t>
      </w:r>
      <w:r w:rsidR="00643CC7">
        <w:rPr>
          <w:rFonts w:ascii="Times New Roman" w:hAnsi="Times New Roman" w:cs="Times New Roman"/>
          <w:sz w:val="24"/>
          <w:szCs w:val="24"/>
        </w:rPr>
        <w:t xml:space="preserve"> </w:t>
      </w:r>
      <w:r w:rsidRPr="000F4C69">
        <w:rPr>
          <w:rFonts w:ascii="Times New Roman" w:hAnsi="Times New Roman" w:cs="Times New Roman"/>
          <w:sz w:val="24"/>
          <w:szCs w:val="24"/>
        </w:rPr>
        <w:t>with Burrows-Wheeler transform. Bioinformatics, 25, 1754–1760.</w:t>
      </w:r>
      <w:r w:rsidR="00643CC7">
        <w:rPr>
          <w:rFonts w:ascii="Times New Roman" w:hAnsi="Times New Roman" w:cs="Times New Roman"/>
          <w:sz w:val="24"/>
          <w:szCs w:val="24"/>
        </w:rPr>
        <w:t xml:space="preserve"> </w:t>
      </w:r>
      <w:hyperlink r:id="rId77" w:history="1">
        <w:r w:rsidR="00366D49" w:rsidRPr="00DC165E">
          <w:rPr>
            <w:rStyle w:val="Hyperlink"/>
            <w:rFonts w:ascii="Times New Roman" w:hAnsi="Times New Roman" w:cs="Times New Roman"/>
            <w:sz w:val="24"/>
            <w:szCs w:val="24"/>
          </w:rPr>
          <w:t>https://doi.org/10.1093/bioinformatics/btp324</w:t>
        </w:r>
      </w:hyperlink>
      <w:r w:rsidR="00366D49">
        <w:rPr>
          <w:rFonts w:ascii="Times New Roman" w:hAnsi="Times New Roman" w:cs="Times New Roman"/>
          <w:sz w:val="24"/>
          <w:szCs w:val="24"/>
        </w:rPr>
        <w:t xml:space="preserve"> </w:t>
      </w:r>
    </w:p>
    <w:p w14:paraId="45B0F56A" w14:textId="3C9DA914"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Li, H., Handsaker, B., Wysoker, A., Fennell, T., Ruan, J., Homer, N., Marth,</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G., Abecasis, G., &amp; Durbin, R. (2009). The sequence Alignment/Map</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 xml:space="preserve">format and SAMtools. Bioinformatics, 25, 2078–2079. </w:t>
      </w:r>
      <w:hyperlink r:id="rId78" w:history="1">
        <w:r w:rsidR="00366D49" w:rsidRPr="00DC165E">
          <w:rPr>
            <w:rStyle w:val="Hyperlink"/>
            <w:rFonts w:ascii="Times New Roman" w:hAnsi="Times New Roman" w:cs="Times New Roman"/>
            <w:sz w:val="24"/>
            <w:szCs w:val="24"/>
          </w:rPr>
          <w:t>https://doi.org/10.1093/bioinformatics/btp352</w:t>
        </w:r>
      </w:hyperlink>
      <w:r w:rsidR="00366D49">
        <w:rPr>
          <w:rFonts w:ascii="Times New Roman" w:hAnsi="Times New Roman" w:cs="Times New Roman"/>
          <w:sz w:val="24"/>
          <w:szCs w:val="24"/>
        </w:rPr>
        <w:t xml:space="preserve"> </w:t>
      </w:r>
    </w:p>
    <w:p w14:paraId="0D288D59" w14:textId="2DF88B51"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Luu, K., Bazin, E., &amp; Blum, M. G. B. (2017). pcadapt: An R package to</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perform genome scans for selection based on principal component</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analysis. Molecular Ecology Resources, 17, 67–77.</w:t>
      </w:r>
    </w:p>
    <w:p w14:paraId="67C34DD2" w14:textId="77777777"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Lynch, M. (2007). The origins of genome architecture. Sinauer Associates.</w:t>
      </w:r>
    </w:p>
    <w:p w14:paraId="129E4F74" w14:textId="42BC9F9C"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lastRenderedPageBreak/>
        <w:t>Lynch, M., &amp; Spitze, K. (1994). Evolutionary genetics of Daphnia. In L.Real (Eds.), Ecological Genetics (pp. 109–128). Princeton University</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Press.</w:t>
      </w:r>
    </w:p>
    <w:p w14:paraId="4AA2152A" w14:textId="32441589"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Lynch, M., Ye, Z., &amp; Maruki, T. (2020). The Recombinational Landscape</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 xml:space="preserve">in </w:t>
      </w:r>
      <w:r w:rsidRPr="00A27F3A">
        <w:rPr>
          <w:rFonts w:ascii="Times New Roman" w:hAnsi="Times New Roman" w:cs="Times New Roman"/>
          <w:i/>
          <w:iCs/>
          <w:sz w:val="24"/>
          <w:szCs w:val="24"/>
        </w:rPr>
        <w:t>Daphnia pulex</w:t>
      </w:r>
      <w:r w:rsidRPr="000F4C69">
        <w:rPr>
          <w:rFonts w:ascii="Times New Roman" w:hAnsi="Times New Roman" w:cs="Times New Roman"/>
          <w:sz w:val="24"/>
          <w:szCs w:val="24"/>
        </w:rPr>
        <w:t xml:space="preserve">. bioRxiv 2020.03.03.974485. </w:t>
      </w:r>
      <w:hyperlink r:id="rId79" w:history="1">
        <w:r w:rsidR="00A27F3A" w:rsidRPr="00DC165E">
          <w:rPr>
            <w:rStyle w:val="Hyperlink"/>
            <w:rFonts w:ascii="Times New Roman" w:hAnsi="Times New Roman" w:cs="Times New Roman"/>
            <w:sz w:val="24"/>
            <w:szCs w:val="24"/>
          </w:rPr>
          <w:t>https://doi.org/10.1101/2020.03.03.974485</w:t>
        </w:r>
      </w:hyperlink>
      <w:r w:rsidR="00A27F3A">
        <w:rPr>
          <w:rFonts w:ascii="Times New Roman" w:hAnsi="Times New Roman" w:cs="Times New Roman"/>
          <w:sz w:val="24"/>
          <w:szCs w:val="24"/>
        </w:rPr>
        <w:t xml:space="preserve"> </w:t>
      </w:r>
    </w:p>
    <w:p w14:paraId="707C45A2" w14:textId="74CA483C"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Malik, H. S., &amp; Henikoff, S. (2009). Major evolutionary transitions in</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 xml:space="preserve">centromere complexity. Cell, 138(6), 1067–1082. </w:t>
      </w:r>
      <w:hyperlink r:id="rId80" w:history="1">
        <w:r w:rsidR="00A27F3A" w:rsidRPr="00DC165E">
          <w:rPr>
            <w:rStyle w:val="Hyperlink"/>
            <w:rFonts w:ascii="Times New Roman" w:hAnsi="Times New Roman" w:cs="Times New Roman"/>
            <w:sz w:val="24"/>
            <w:szCs w:val="24"/>
          </w:rPr>
          <w:t>https://doi.org/10.1016/J.CELL.2009.08.036</w:t>
        </w:r>
      </w:hyperlink>
      <w:r w:rsidR="00A27F3A">
        <w:rPr>
          <w:rFonts w:ascii="Times New Roman" w:hAnsi="Times New Roman" w:cs="Times New Roman"/>
          <w:sz w:val="24"/>
          <w:szCs w:val="24"/>
        </w:rPr>
        <w:t xml:space="preserve"> </w:t>
      </w:r>
    </w:p>
    <w:p w14:paraId="0119FB71" w14:textId="2930A585"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Marçais, G., Delcher, A. L., Phillippy, A. M., Coston, R., Salzberg, S. L.,</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&amp; Zimin, A. (2018). MUMmer4: A fast and versatile genome alignment system A.E. Darling [ed.]. PLOS</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 xml:space="preserve">Computational Biology, 14,e1005944. </w:t>
      </w:r>
      <w:hyperlink r:id="rId81" w:history="1">
        <w:r w:rsidR="00A27F3A" w:rsidRPr="00DC165E">
          <w:rPr>
            <w:rStyle w:val="Hyperlink"/>
            <w:rFonts w:ascii="Times New Roman" w:hAnsi="Times New Roman" w:cs="Times New Roman"/>
            <w:sz w:val="24"/>
            <w:szCs w:val="24"/>
          </w:rPr>
          <w:t>https://doi.org/10.1371/journal.pcbi.1005944</w:t>
        </w:r>
      </w:hyperlink>
      <w:r w:rsidR="00A27F3A">
        <w:rPr>
          <w:rFonts w:ascii="Times New Roman" w:hAnsi="Times New Roman" w:cs="Times New Roman"/>
          <w:sz w:val="24"/>
          <w:szCs w:val="24"/>
        </w:rPr>
        <w:t xml:space="preserve"> </w:t>
      </w:r>
    </w:p>
    <w:p w14:paraId="342A722E" w14:textId="53AA25ED"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Marková, S., Dufresne, F., Manca, M., &amp; Kotlík, P. (2013). Mitochondrial</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capture misleads about ecological speciation in the Daphnia pulex</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 xml:space="preserve">complex D. Fontaneto [ed.]. PLoS One, 8, e69497. </w:t>
      </w:r>
      <w:hyperlink r:id="rId82" w:history="1">
        <w:r w:rsidR="00A27F3A" w:rsidRPr="00DC165E">
          <w:rPr>
            <w:rStyle w:val="Hyperlink"/>
            <w:rFonts w:ascii="Times New Roman" w:hAnsi="Times New Roman" w:cs="Times New Roman"/>
            <w:sz w:val="24"/>
            <w:szCs w:val="24"/>
          </w:rPr>
          <w:t>https://doi.org/10.1371/journal.pone.0069497</w:t>
        </w:r>
      </w:hyperlink>
      <w:r w:rsidR="00A27F3A">
        <w:rPr>
          <w:rFonts w:ascii="Times New Roman" w:hAnsi="Times New Roman" w:cs="Times New Roman"/>
          <w:sz w:val="24"/>
          <w:szCs w:val="24"/>
        </w:rPr>
        <w:t xml:space="preserve"> </w:t>
      </w:r>
    </w:p>
    <w:p w14:paraId="6C6DF34A" w14:textId="0B6BAE2F"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Martin, S. H., Dasmahapatra, K. K., Nadeau, N. J., Salazar, C., Walters,</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J. R., Simpson, F., Blaxter, M., Manica, A., Mallet, J., &amp; Jiggins, C.</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D. (2013). Genome-wide evidence for speciation with gene flow in</w:t>
      </w:r>
      <w:r w:rsidR="003F4A7C">
        <w:rPr>
          <w:rFonts w:ascii="Times New Roman" w:hAnsi="Times New Roman" w:cs="Times New Roman"/>
          <w:sz w:val="24"/>
          <w:szCs w:val="24"/>
        </w:rPr>
        <w:t xml:space="preserve"> </w:t>
      </w:r>
      <w:r w:rsidRPr="00EB65D9">
        <w:rPr>
          <w:rFonts w:ascii="Times New Roman" w:hAnsi="Times New Roman" w:cs="Times New Roman"/>
          <w:i/>
          <w:iCs/>
          <w:sz w:val="24"/>
          <w:szCs w:val="24"/>
        </w:rPr>
        <w:t>Heliconius</w:t>
      </w:r>
      <w:r w:rsidRPr="000F4C69">
        <w:rPr>
          <w:rFonts w:ascii="Times New Roman" w:hAnsi="Times New Roman" w:cs="Times New Roman"/>
          <w:sz w:val="24"/>
          <w:szCs w:val="24"/>
        </w:rPr>
        <w:t xml:space="preserve"> butterflies. Genome Research, 23, 1817–1828. </w:t>
      </w:r>
      <w:hyperlink r:id="rId83" w:history="1">
        <w:r w:rsidR="00EB65D9" w:rsidRPr="00DC165E">
          <w:rPr>
            <w:rStyle w:val="Hyperlink"/>
            <w:rFonts w:ascii="Times New Roman" w:hAnsi="Times New Roman" w:cs="Times New Roman"/>
            <w:sz w:val="24"/>
            <w:szCs w:val="24"/>
          </w:rPr>
          <w:t>https://doi.org/10.1101/gr.159426.113</w:t>
        </w:r>
      </w:hyperlink>
      <w:r w:rsidR="00EB65D9">
        <w:rPr>
          <w:rFonts w:ascii="Times New Roman" w:hAnsi="Times New Roman" w:cs="Times New Roman"/>
          <w:sz w:val="24"/>
          <w:szCs w:val="24"/>
        </w:rPr>
        <w:t xml:space="preserve"> </w:t>
      </w:r>
    </w:p>
    <w:p w14:paraId="5605334B" w14:textId="5656ADA5"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Mergeay, J., Verschuren, D., &amp; De Meester, L. (2006). Invasion of an asexual American water flea clone throughout Africa and rapid displacement of a native sibling species. Proceedings of the Royal Society</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B-Biological Sciences, 273, 2839–2844.</w:t>
      </w:r>
      <w:r w:rsidR="00EB65D9">
        <w:rPr>
          <w:rFonts w:ascii="Times New Roman" w:hAnsi="Times New Roman" w:cs="Times New Roman"/>
          <w:sz w:val="24"/>
          <w:szCs w:val="24"/>
        </w:rPr>
        <w:t xml:space="preserve"> </w:t>
      </w:r>
      <w:r w:rsidRPr="008E300E">
        <w:rPr>
          <w:rFonts w:ascii="Times New Roman" w:hAnsi="Times New Roman" w:cs="Times New Roman"/>
          <w:color w:val="4472C4" w:themeColor="accent1"/>
          <w:sz w:val="24"/>
          <w:szCs w:val="24"/>
          <w:u w:val="single"/>
          <w:shd w:val="clear" w:color="auto" w:fill="FFFFFF" w:themeFill="background1"/>
        </w:rPr>
        <w:t>https://doi.org/10.1098/</w:t>
      </w:r>
      <w:r w:rsidR="003F4A7C" w:rsidRPr="008E300E">
        <w:rPr>
          <w:rFonts w:ascii="Times New Roman" w:hAnsi="Times New Roman" w:cs="Times New Roman"/>
          <w:color w:val="4472C4" w:themeColor="accent1"/>
          <w:sz w:val="24"/>
          <w:szCs w:val="24"/>
          <w:u w:val="single"/>
          <w:shd w:val="clear" w:color="auto" w:fill="FFFFFF" w:themeFill="background1"/>
        </w:rPr>
        <w:t xml:space="preserve"> </w:t>
      </w:r>
      <w:r w:rsidRPr="008E300E">
        <w:rPr>
          <w:rFonts w:ascii="Times New Roman" w:hAnsi="Times New Roman" w:cs="Times New Roman"/>
          <w:color w:val="4472C4" w:themeColor="accent1"/>
          <w:sz w:val="24"/>
          <w:szCs w:val="24"/>
          <w:u w:val="single"/>
          <w:shd w:val="clear" w:color="auto" w:fill="FFFFFF" w:themeFill="background1"/>
        </w:rPr>
        <w:t>rspb.2006.366</w:t>
      </w:r>
      <w:r w:rsidR="00EB65D9" w:rsidRPr="008E300E">
        <w:rPr>
          <w:rFonts w:ascii="Times New Roman" w:hAnsi="Times New Roman" w:cs="Times New Roman"/>
          <w:color w:val="4472C4" w:themeColor="accent1"/>
          <w:sz w:val="24"/>
          <w:szCs w:val="24"/>
          <w:u w:val="single"/>
          <w:shd w:val="clear" w:color="auto" w:fill="FFFFFF" w:themeFill="background1"/>
        </w:rPr>
        <w:t>1</w:t>
      </w:r>
      <w:r w:rsidR="00EB65D9" w:rsidRPr="008E300E">
        <w:rPr>
          <w:rFonts w:ascii="Times New Roman" w:hAnsi="Times New Roman" w:cs="Times New Roman"/>
          <w:color w:val="4472C4" w:themeColor="accent1"/>
          <w:sz w:val="24"/>
          <w:szCs w:val="24"/>
        </w:rPr>
        <w:t xml:space="preserve">   </w:t>
      </w:r>
    </w:p>
    <w:p w14:paraId="1314E4EC" w14:textId="4EF1A7A9" w:rsidR="00DF2627" w:rsidRPr="000F4C69" w:rsidRDefault="00DF2627" w:rsidP="008E300E">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Mi, H., Ebert, D., Muruganujan, A., Mills, C., Albou, L. P., Mushayamaha,</w:t>
      </w:r>
      <w:r w:rsidR="008E300E">
        <w:rPr>
          <w:rFonts w:ascii="Times New Roman" w:hAnsi="Times New Roman" w:cs="Times New Roman"/>
          <w:sz w:val="24"/>
          <w:szCs w:val="24"/>
        </w:rPr>
        <w:t xml:space="preserve"> </w:t>
      </w:r>
      <w:r w:rsidRPr="000F4C69">
        <w:rPr>
          <w:rFonts w:ascii="Times New Roman" w:hAnsi="Times New Roman" w:cs="Times New Roman"/>
          <w:sz w:val="24"/>
          <w:szCs w:val="24"/>
        </w:rPr>
        <w:t>T., &amp; Thomas, P. D. (2021). PANTHER version 16: A revised family</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classification, tree-based classification tool, enhancer regions and</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 xml:space="preserve">extensive API. Nucleic Acids Research, 49, D394–D403. </w:t>
      </w:r>
      <w:hyperlink r:id="rId84" w:history="1">
        <w:r w:rsidR="008E300E" w:rsidRPr="00DC165E">
          <w:rPr>
            <w:rStyle w:val="Hyperlink"/>
            <w:rFonts w:ascii="Times New Roman" w:hAnsi="Times New Roman" w:cs="Times New Roman"/>
            <w:sz w:val="24"/>
            <w:szCs w:val="24"/>
          </w:rPr>
          <w:t>https://doi.org/10.1093/nar/gkaa1106</w:t>
        </w:r>
      </w:hyperlink>
      <w:r w:rsidR="008E300E">
        <w:rPr>
          <w:rFonts w:ascii="Times New Roman" w:hAnsi="Times New Roman" w:cs="Times New Roman"/>
          <w:sz w:val="24"/>
          <w:szCs w:val="24"/>
        </w:rPr>
        <w:t xml:space="preserve"> </w:t>
      </w:r>
    </w:p>
    <w:p w14:paraId="21FA1839" w14:textId="136C8956"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Michael, T. P., &amp; VanBuren, R. (2020). Building near-complete plant genomes. Current Opinion in Plant Biology, 54, 26–33. </w:t>
      </w:r>
      <w:hyperlink r:id="rId85" w:history="1">
        <w:r w:rsidR="008E300E" w:rsidRPr="00DC165E">
          <w:rPr>
            <w:rStyle w:val="Hyperlink"/>
            <w:rFonts w:ascii="Times New Roman" w:hAnsi="Times New Roman" w:cs="Times New Roman"/>
            <w:sz w:val="24"/>
            <w:szCs w:val="24"/>
          </w:rPr>
          <w:t>https://doi.org/10.1016/j.pbi.2019.12.009</w:t>
        </w:r>
      </w:hyperlink>
      <w:r w:rsidR="008E300E">
        <w:rPr>
          <w:rFonts w:ascii="Times New Roman" w:hAnsi="Times New Roman" w:cs="Times New Roman"/>
          <w:sz w:val="24"/>
          <w:szCs w:val="24"/>
        </w:rPr>
        <w:t xml:space="preserve"> </w:t>
      </w:r>
    </w:p>
    <w:p w14:paraId="0EE1FE81" w14:textId="1BB0689F"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Miles, L. G., Isberg, S. R., Glenn, T. C., Lance, S. L., Dalzell, P., Thomson,</w:t>
      </w:r>
      <w:r w:rsidR="003F4A7C">
        <w:rPr>
          <w:rFonts w:ascii="Times New Roman" w:hAnsi="Times New Roman" w:cs="Times New Roman"/>
          <w:sz w:val="24"/>
          <w:szCs w:val="24"/>
        </w:rPr>
        <w:t xml:space="preserve"> </w:t>
      </w:r>
      <w:r w:rsidRPr="000F4C69">
        <w:rPr>
          <w:rFonts w:ascii="Times New Roman" w:hAnsi="Times New Roman" w:cs="Times New Roman"/>
          <w:sz w:val="24"/>
          <w:szCs w:val="24"/>
        </w:rPr>
        <w:t>P. C., &amp; Moran, C. (2009). A genetic linkage map for the saltwater</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 xml:space="preserve">crocodile (Crocodylus porosus). BMC Genomics, 10(1), 1–11. </w:t>
      </w:r>
      <w:hyperlink r:id="rId86" w:history="1">
        <w:r w:rsidR="008E300E" w:rsidRPr="00DC165E">
          <w:rPr>
            <w:rStyle w:val="Hyperlink"/>
            <w:rFonts w:ascii="Times New Roman" w:hAnsi="Times New Roman" w:cs="Times New Roman"/>
            <w:sz w:val="24"/>
            <w:szCs w:val="24"/>
          </w:rPr>
          <w:t>https://doi.org/10.1186/1471-2164-10-339</w:t>
        </w:r>
      </w:hyperlink>
      <w:r w:rsidR="008E300E">
        <w:rPr>
          <w:rFonts w:ascii="Times New Roman" w:hAnsi="Times New Roman" w:cs="Times New Roman"/>
          <w:sz w:val="24"/>
          <w:szCs w:val="24"/>
        </w:rPr>
        <w:t xml:space="preserve"> </w:t>
      </w:r>
    </w:p>
    <w:p w14:paraId="71A72015" w14:textId="300A7037"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Miner, B. E., de Meester, L., Pfrender, M. E., Lampert, W., &amp; Hairston,</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N. G. (2012). Linking genes to communities and ecosystems:</w:t>
      </w:r>
      <w:r w:rsidR="00D46292">
        <w:rPr>
          <w:rFonts w:ascii="Times New Roman" w:hAnsi="Times New Roman" w:cs="Times New Roman"/>
          <w:sz w:val="24"/>
          <w:szCs w:val="24"/>
        </w:rPr>
        <w:t xml:space="preserve"> </w:t>
      </w:r>
      <w:r w:rsidRPr="00F024E1">
        <w:rPr>
          <w:rFonts w:ascii="Times New Roman" w:hAnsi="Times New Roman" w:cs="Times New Roman"/>
          <w:i/>
          <w:iCs/>
          <w:sz w:val="24"/>
          <w:szCs w:val="24"/>
        </w:rPr>
        <w:t>Daphnia</w:t>
      </w:r>
      <w:r w:rsidRPr="000F4C69">
        <w:rPr>
          <w:rFonts w:ascii="Times New Roman" w:hAnsi="Times New Roman" w:cs="Times New Roman"/>
          <w:sz w:val="24"/>
          <w:szCs w:val="24"/>
        </w:rPr>
        <w:t xml:space="preserve"> as an ecogenomic model. Proceedings of the Royal Society</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 xml:space="preserve">B-Biological Sciences, 279, 1873–1882. </w:t>
      </w:r>
      <w:hyperlink r:id="rId87" w:history="1">
        <w:r w:rsidR="008E300E" w:rsidRPr="00DC165E">
          <w:rPr>
            <w:rStyle w:val="Hyperlink"/>
            <w:rFonts w:ascii="Times New Roman" w:hAnsi="Times New Roman" w:cs="Times New Roman"/>
            <w:sz w:val="24"/>
            <w:szCs w:val="24"/>
          </w:rPr>
          <w:t>https://doi.org/10.1098/rspb.2011.2404</w:t>
        </w:r>
      </w:hyperlink>
      <w:r w:rsidR="008E300E">
        <w:rPr>
          <w:rFonts w:ascii="Times New Roman" w:hAnsi="Times New Roman" w:cs="Times New Roman"/>
          <w:sz w:val="24"/>
          <w:szCs w:val="24"/>
        </w:rPr>
        <w:t xml:space="preserve"> </w:t>
      </w:r>
    </w:p>
    <w:p w14:paraId="60F7042B" w14:textId="7CF1E6D4"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Nachman, M. W., &amp; Payseur, B. A. (2012). Recombination rate variation</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and speciation: Theoretical predictions and empirical results from</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 xml:space="preserve">rabbits and mice. Philosophical Transactions of the Royal SocietyB: Biological Sciences, 367, 409–421. </w:t>
      </w:r>
      <w:hyperlink r:id="rId88" w:history="1">
        <w:r w:rsidR="008E300E" w:rsidRPr="00DC165E">
          <w:rPr>
            <w:rStyle w:val="Hyperlink"/>
            <w:rFonts w:ascii="Times New Roman" w:hAnsi="Times New Roman" w:cs="Times New Roman"/>
            <w:sz w:val="24"/>
            <w:szCs w:val="24"/>
          </w:rPr>
          <w:t>https://doi.org/10.1098/rstb.2011.0249</w:t>
        </w:r>
      </w:hyperlink>
      <w:r w:rsidR="008E300E">
        <w:rPr>
          <w:rFonts w:ascii="Times New Roman" w:hAnsi="Times New Roman" w:cs="Times New Roman"/>
          <w:sz w:val="24"/>
          <w:szCs w:val="24"/>
        </w:rPr>
        <w:t xml:space="preserve"> </w:t>
      </w:r>
    </w:p>
    <w:p w14:paraId="395FCFE0" w14:textId="08A6D2C3" w:rsidR="00DF2627" w:rsidRPr="000F4C69" w:rsidRDefault="00DF262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Naish, M., Alonge, M., Wlodzimierz, P., Tock, A. J., Abramson, B.</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 xml:space="preserve">W., Schmücker, A., &amp; Henderson, I. R. (2021). The genetic and epigenetic landscape of the </w:t>
      </w:r>
      <w:r w:rsidRPr="00F024E1">
        <w:rPr>
          <w:rFonts w:ascii="Times New Roman" w:hAnsi="Times New Roman" w:cs="Times New Roman"/>
          <w:i/>
          <w:iCs/>
          <w:sz w:val="24"/>
          <w:szCs w:val="24"/>
        </w:rPr>
        <w:t>Arabidopsis</w:t>
      </w:r>
      <w:r w:rsidRPr="000F4C69">
        <w:rPr>
          <w:rFonts w:ascii="Times New Roman" w:hAnsi="Times New Roman" w:cs="Times New Roman"/>
          <w:sz w:val="24"/>
          <w:szCs w:val="24"/>
        </w:rPr>
        <w:t xml:space="preserve"> centromeres. Science,</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374(6569), eabi7489.</w:t>
      </w:r>
    </w:p>
    <w:p w14:paraId="5E3F0AC5" w14:textId="24906C05" w:rsidR="00CC4839" w:rsidRPr="000F4C69" w:rsidRDefault="00CC4839"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lastRenderedPageBreak/>
        <w:t>Neupane, S., &amp; Xu, S. (2020). Adaptive divergence of meiotic recombination rate in ecological speciation C. Baer [ed.]. Genome Biology and</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Evolution, 12, 1869–1881.</w:t>
      </w:r>
      <w:r w:rsidR="00D46292">
        <w:rPr>
          <w:rFonts w:ascii="Times New Roman" w:hAnsi="Times New Roman" w:cs="Times New Roman"/>
          <w:sz w:val="24"/>
          <w:szCs w:val="24"/>
        </w:rPr>
        <w:t xml:space="preserve"> </w:t>
      </w:r>
      <w:hyperlink r:id="rId89" w:history="1">
        <w:r w:rsidR="00F024E1" w:rsidRPr="00DC165E">
          <w:rPr>
            <w:rStyle w:val="Hyperlink"/>
            <w:rFonts w:ascii="Times New Roman" w:hAnsi="Times New Roman" w:cs="Times New Roman"/>
            <w:sz w:val="24"/>
            <w:szCs w:val="24"/>
          </w:rPr>
          <w:t>https://doi.org/10.1093/gbe/evaa182</w:t>
        </w:r>
      </w:hyperlink>
      <w:r w:rsidR="00F024E1">
        <w:rPr>
          <w:rFonts w:ascii="Times New Roman" w:hAnsi="Times New Roman" w:cs="Times New Roman"/>
          <w:sz w:val="24"/>
          <w:szCs w:val="24"/>
        </w:rPr>
        <w:t xml:space="preserve"> </w:t>
      </w:r>
    </w:p>
    <w:p w14:paraId="48330E23" w14:textId="4B521427" w:rsidR="00CC4839" w:rsidRPr="000F4C69" w:rsidRDefault="00CC4839"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Nielsen, R., &amp; Wakeley, J. (2001). Distinguishing migration from isolation: A Markov chain Monte Carlo approach. Genetics, 158(2),</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885–896.</w:t>
      </w:r>
    </w:p>
    <w:p w14:paraId="72E4A394" w14:textId="2C28EB6B" w:rsidR="00CC4839" w:rsidRPr="000F4C69" w:rsidRDefault="00CC4839"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Nosil, P., Funk, D. J., &amp; Ortiz-Barrientos, D. (2009). Divergent selection</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and heterogeneous genomic divergence. Molecular Ecology, 18,</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 xml:space="preserve">375–402. </w:t>
      </w:r>
      <w:hyperlink r:id="rId90" w:history="1">
        <w:r w:rsidR="004C20EB" w:rsidRPr="00DC165E">
          <w:rPr>
            <w:rStyle w:val="Hyperlink"/>
            <w:rFonts w:ascii="Times New Roman" w:hAnsi="Times New Roman" w:cs="Times New Roman"/>
            <w:sz w:val="24"/>
            <w:szCs w:val="24"/>
          </w:rPr>
          <w:t>https://doi.org/10.1111/j.1365-294X.2008.03946.x</w:t>
        </w:r>
      </w:hyperlink>
      <w:r w:rsidR="004C20EB">
        <w:rPr>
          <w:rFonts w:ascii="Times New Roman" w:hAnsi="Times New Roman" w:cs="Times New Roman"/>
          <w:sz w:val="24"/>
          <w:szCs w:val="24"/>
        </w:rPr>
        <w:t xml:space="preserve"> </w:t>
      </w:r>
    </w:p>
    <w:p w14:paraId="4ED2CC38" w14:textId="33B73320" w:rsidR="00CC4839" w:rsidRPr="000F4C69" w:rsidRDefault="00CC4839"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Omilian, A. R., &amp; Lynch, M. (2009). Patterns of intraspecific DNA variation in the </w:t>
      </w:r>
      <w:r w:rsidRPr="004C20EB">
        <w:rPr>
          <w:rFonts w:ascii="Times New Roman" w:hAnsi="Times New Roman" w:cs="Times New Roman"/>
          <w:i/>
          <w:iCs/>
          <w:sz w:val="24"/>
          <w:szCs w:val="24"/>
        </w:rPr>
        <w:t>Daphnia</w:t>
      </w:r>
      <w:r w:rsidRPr="000F4C69">
        <w:rPr>
          <w:rFonts w:ascii="Times New Roman" w:hAnsi="Times New Roman" w:cs="Times New Roman"/>
          <w:sz w:val="24"/>
          <w:szCs w:val="24"/>
        </w:rPr>
        <w:t xml:space="preserve"> nuclear genome. Genetics, 182, 325–336.</w:t>
      </w:r>
      <w:r w:rsidR="00D46292">
        <w:rPr>
          <w:rFonts w:ascii="Times New Roman" w:hAnsi="Times New Roman" w:cs="Times New Roman"/>
          <w:sz w:val="24"/>
          <w:szCs w:val="24"/>
        </w:rPr>
        <w:t xml:space="preserve"> </w:t>
      </w:r>
      <w:hyperlink r:id="rId91" w:history="1">
        <w:r w:rsidR="004C20EB" w:rsidRPr="00DC165E">
          <w:rPr>
            <w:rStyle w:val="Hyperlink"/>
            <w:rFonts w:ascii="Times New Roman" w:hAnsi="Times New Roman" w:cs="Times New Roman"/>
            <w:sz w:val="24"/>
            <w:szCs w:val="24"/>
          </w:rPr>
          <w:t>https://doi.org/10.1534/genetics.108.099549</w:t>
        </w:r>
      </w:hyperlink>
      <w:r w:rsidR="004C20EB">
        <w:rPr>
          <w:rFonts w:ascii="Times New Roman" w:hAnsi="Times New Roman" w:cs="Times New Roman"/>
          <w:sz w:val="24"/>
          <w:szCs w:val="24"/>
        </w:rPr>
        <w:t xml:space="preserve"> </w:t>
      </w:r>
    </w:p>
    <w:p w14:paraId="36CE63B4" w14:textId="61EAB4FD" w:rsidR="00CC4839" w:rsidRPr="000F4C69" w:rsidRDefault="00CC4839"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Orsini, L., Andrew, R., &amp; Eizaguirre, C. (2013). Evolutionary ecological</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 xml:space="preserve">genomics. Molecular Ecology, 22, 527–531. </w:t>
      </w:r>
      <w:hyperlink r:id="rId92" w:history="1">
        <w:r w:rsidR="004C20EB" w:rsidRPr="00DC165E">
          <w:rPr>
            <w:rStyle w:val="Hyperlink"/>
            <w:rFonts w:ascii="Times New Roman" w:hAnsi="Times New Roman" w:cs="Times New Roman"/>
            <w:sz w:val="24"/>
            <w:szCs w:val="24"/>
          </w:rPr>
          <w:t>https://doi.org/10.1111/mec.12177</w:t>
        </w:r>
      </w:hyperlink>
      <w:r w:rsidR="004C20EB">
        <w:rPr>
          <w:rFonts w:ascii="Times New Roman" w:hAnsi="Times New Roman" w:cs="Times New Roman"/>
          <w:sz w:val="24"/>
          <w:szCs w:val="24"/>
        </w:rPr>
        <w:t xml:space="preserve"> </w:t>
      </w:r>
    </w:p>
    <w:p w14:paraId="2A20A7C1" w14:textId="3BFDA5AB" w:rsidR="00CC4839" w:rsidRPr="000F4C69" w:rsidRDefault="00CC4839"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Paland, S., Colbourne, J. K., &amp; Lynch, M. (2005). Evolutionary history of</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 xml:space="preserve">contagious asexuality in </w:t>
      </w:r>
      <w:r w:rsidRPr="001C6B59">
        <w:rPr>
          <w:rFonts w:ascii="Times New Roman" w:hAnsi="Times New Roman" w:cs="Times New Roman"/>
          <w:i/>
          <w:iCs/>
          <w:sz w:val="24"/>
          <w:szCs w:val="24"/>
        </w:rPr>
        <w:t>Daphnia pulex</w:t>
      </w:r>
      <w:r w:rsidRPr="000F4C69">
        <w:rPr>
          <w:rFonts w:ascii="Times New Roman" w:hAnsi="Times New Roman" w:cs="Times New Roman"/>
          <w:sz w:val="24"/>
          <w:szCs w:val="24"/>
        </w:rPr>
        <w:t xml:space="preserve">. Evolution (N. Y.), 59, 800–813. </w:t>
      </w:r>
      <w:hyperlink r:id="rId93" w:history="1">
        <w:r w:rsidR="004C20EB" w:rsidRPr="00DC165E">
          <w:rPr>
            <w:rStyle w:val="Hyperlink"/>
            <w:rFonts w:ascii="Times New Roman" w:hAnsi="Times New Roman" w:cs="Times New Roman"/>
            <w:sz w:val="24"/>
            <w:szCs w:val="24"/>
          </w:rPr>
          <w:t>https://doi.org/10.1111/j.0014-3820.2005.tb01754.x</w:t>
        </w:r>
      </w:hyperlink>
      <w:r w:rsidR="004C20EB">
        <w:rPr>
          <w:rFonts w:ascii="Times New Roman" w:hAnsi="Times New Roman" w:cs="Times New Roman"/>
          <w:sz w:val="24"/>
          <w:szCs w:val="24"/>
        </w:rPr>
        <w:t xml:space="preserve"> </w:t>
      </w:r>
    </w:p>
    <w:p w14:paraId="11CF805F" w14:textId="52608F36" w:rsidR="00CC4839" w:rsidRPr="000F4C69" w:rsidRDefault="00CC4839" w:rsidP="001C6B59">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Peterson, B. K., Weber, J. N., Kay, E. H., Fisher, H. S., &amp; Hoekstra, H.</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E. (2012). Double digest RADseq: An inexpensive method for De</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Novo SNP discovery and genotyping in model and non-model</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 xml:space="preserve">species. PLoS One, 7(5), e37135. </w:t>
      </w:r>
      <w:hyperlink r:id="rId94" w:history="1">
        <w:r w:rsidR="001C6B59" w:rsidRPr="00DC165E">
          <w:rPr>
            <w:rStyle w:val="Hyperlink"/>
            <w:rFonts w:ascii="Times New Roman" w:hAnsi="Times New Roman" w:cs="Times New Roman"/>
            <w:sz w:val="24"/>
            <w:szCs w:val="24"/>
          </w:rPr>
          <w:t>https://doi.org/10.1371/journal.pone.003713</w:t>
        </w:r>
      </w:hyperlink>
      <w:r w:rsidR="001C6B59">
        <w:rPr>
          <w:rFonts w:ascii="Times New Roman" w:hAnsi="Times New Roman" w:cs="Times New Roman"/>
          <w:sz w:val="24"/>
          <w:szCs w:val="24"/>
        </w:rPr>
        <w:t xml:space="preserve"> </w:t>
      </w:r>
    </w:p>
    <w:p w14:paraId="35ECB58D" w14:textId="68598218" w:rsidR="00CC4839" w:rsidRPr="000F4C69" w:rsidRDefault="00CC4839" w:rsidP="001C6B59">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Pfrender, M. E., Spitze, K., &amp; Lehman, N. (2000). Multi-locus genetic evidence for rapid ecologically based speciation</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 xml:space="preserve">in </w:t>
      </w:r>
      <w:r w:rsidRPr="001C6B59">
        <w:rPr>
          <w:rFonts w:ascii="Times New Roman" w:hAnsi="Times New Roman" w:cs="Times New Roman"/>
          <w:i/>
          <w:iCs/>
          <w:sz w:val="24"/>
          <w:szCs w:val="24"/>
        </w:rPr>
        <w:t>Daphnia</w:t>
      </w:r>
      <w:r w:rsidRPr="000F4C69">
        <w:rPr>
          <w:rFonts w:ascii="Times New Roman" w:hAnsi="Times New Roman" w:cs="Times New Roman"/>
          <w:sz w:val="24"/>
          <w:szCs w:val="24"/>
        </w:rPr>
        <w:t xml:space="preserve">. Molecular Ecology, 9, 1717–1735. </w:t>
      </w:r>
      <w:hyperlink r:id="rId95" w:history="1">
        <w:r w:rsidR="001C6B59" w:rsidRPr="00DC165E">
          <w:rPr>
            <w:rStyle w:val="Hyperlink"/>
            <w:rFonts w:ascii="Times New Roman" w:hAnsi="Times New Roman" w:cs="Times New Roman"/>
            <w:sz w:val="24"/>
            <w:szCs w:val="24"/>
          </w:rPr>
          <w:t>https://doi.org/10.1046/j.1365-294X.2000.01062.x</w:t>
        </w:r>
      </w:hyperlink>
      <w:r w:rsidR="001C6B59">
        <w:rPr>
          <w:rFonts w:ascii="Times New Roman" w:hAnsi="Times New Roman" w:cs="Times New Roman"/>
          <w:sz w:val="24"/>
          <w:szCs w:val="24"/>
        </w:rPr>
        <w:t xml:space="preserve"> </w:t>
      </w:r>
    </w:p>
    <w:p w14:paraId="04F4228C" w14:textId="2A0C6F0A" w:rsidR="00CC4839" w:rsidRPr="000F4C69" w:rsidRDefault="00CC4839"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Price, A. L., Jones, N. C., &amp; Pevzner, P. A. (2005). De novo identification</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of repeat families in large genomes. Bioinformatics, 21, i351–i358.</w:t>
      </w:r>
      <w:r w:rsidR="00D46292">
        <w:rPr>
          <w:rFonts w:ascii="Times New Roman" w:hAnsi="Times New Roman" w:cs="Times New Roman"/>
          <w:sz w:val="24"/>
          <w:szCs w:val="24"/>
        </w:rPr>
        <w:t xml:space="preserve"> </w:t>
      </w:r>
      <w:hyperlink r:id="rId96" w:history="1">
        <w:r w:rsidR="001C6B59" w:rsidRPr="00DC165E">
          <w:rPr>
            <w:rStyle w:val="Hyperlink"/>
            <w:rFonts w:ascii="Times New Roman" w:hAnsi="Times New Roman" w:cs="Times New Roman"/>
            <w:sz w:val="24"/>
            <w:szCs w:val="24"/>
          </w:rPr>
          <w:t>https://doi.org/10.1093/bioinformatics/bti1018</w:t>
        </w:r>
      </w:hyperlink>
      <w:r w:rsidR="001C6B59">
        <w:rPr>
          <w:rFonts w:ascii="Times New Roman" w:hAnsi="Times New Roman" w:cs="Times New Roman"/>
          <w:sz w:val="24"/>
          <w:szCs w:val="24"/>
        </w:rPr>
        <w:t xml:space="preserve"> </w:t>
      </w:r>
    </w:p>
    <w:p w14:paraId="55729BD8" w14:textId="114A3285" w:rsidR="00CC4839" w:rsidRPr="000F4C69" w:rsidRDefault="00CC4839"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Privé, F., Luu, K., Vilhjálmsson, B. J., Blum, M. G. B., &amp; Rosenberg, M.</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(2020). Performing highly efficient genome scans for local adaptation with R package pcadapt version 4. Molecular Biology</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 xml:space="preserve">and Evolution, 37, 2153–2154. </w:t>
      </w:r>
      <w:hyperlink r:id="rId97" w:history="1">
        <w:r w:rsidR="001C6B59" w:rsidRPr="00DC165E">
          <w:rPr>
            <w:rStyle w:val="Hyperlink"/>
            <w:rFonts w:ascii="Times New Roman" w:hAnsi="Times New Roman" w:cs="Times New Roman"/>
            <w:sz w:val="24"/>
            <w:szCs w:val="24"/>
          </w:rPr>
          <w:t>https://doi.org/10.1093/molbev/msaa053</w:t>
        </w:r>
      </w:hyperlink>
      <w:r w:rsidR="001C6B59">
        <w:rPr>
          <w:rFonts w:ascii="Times New Roman" w:hAnsi="Times New Roman" w:cs="Times New Roman"/>
          <w:sz w:val="24"/>
          <w:szCs w:val="24"/>
        </w:rPr>
        <w:t xml:space="preserve"> </w:t>
      </w:r>
    </w:p>
    <w:p w14:paraId="088B9B86" w14:textId="1BCB38B4" w:rsidR="00CC4839" w:rsidRPr="000F4C69" w:rsidRDefault="00CC4839"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Quinlan, A. R., &amp; Hall, I. M. (2010). BEDTools: A flexible suite of utilities for comparing genomic features. Bioinformatics, 26, 841–842.</w:t>
      </w:r>
      <w:r w:rsidR="00D46292">
        <w:rPr>
          <w:rFonts w:ascii="Times New Roman" w:hAnsi="Times New Roman" w:cs="Times New Roman"/>
          <w:sz w:val="24"/>
          <w:szCs w:val="24"/>
        </w:rPr>
        <w:t xml:space="preserve"> </w:t>
      </w:r>
      <w:hyperlink r:id="rId98" w:history="1">
        <w:r w:rsidR="001C6B59" w:rsidRPr="00DC165E">
          <w:rPr>
            <w:rStyle w:val="Hyperlink"/>
            <w:rFonts w:ascii="Times New Roman" w:hAnsi="Times New Roman" w:cs="Times New Roman"/>
            <w:sz w:val="24"/>
            <w:szCs w:val="24"/>
          </w:rPr>
          <w:t>https://doi.org/10.1093/bioinformatics/btq033</w:t>
        </w:r>
      </w:hyperlink>
      <w:r w:rsidR="001C6B59">
        <w:rPr>
          <w:rFonts w:ascii="Times New Roman" w:hAnsi="Times New Roman" w:cs="Times New Roman"/>
          <w:sz w:val="24"/>
          <w:szCs w:val="24"/>
        </w:rPr>
        <w:t xml:space="preserve"> </w:t>
      </w:r>
    </w:p>
    <w:p w14:paraId="3C3EA5E8" w14:textId="3504C5B1" w:rsidR="00CC4839" w:rsidRPr="000F4C69" w:rsidRDefault="00CC4839"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Raj, A., Stephens, M., &amp; Pritchard, J. K. (2014). FastSTRUCTURE:</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Variational inference of population structure in large SNP data</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 xml:space="preserve">sets. Genetics, 197, 573–589. </w:t>
      </w:r>
      <w:hyperlink r:id="rId99" w:history="1">
        <w:r w:rsidR="001C6B59" w:rsidRPr="00DC165E">
          <w:rPr>
            <w:rStyle w:val="Hyperlink"/>
            <w:rFonts w:ascii="Times New Roman" w:hAnsi="Times New Roman" w:cs="Times New Roman"/>
            <w:sz w:val="24"/>
            <w:szCs w:val="24"/>
          </w:rPr>
          <w:t>https://doi.org/10.1534/genetics.114.164350</w:t>
        </w:r>
      </w:hyperlink>
      <w:r w:rsidR="001C6B59">
        <w:rPr>
          <w:rFonts w:ascii="Times New Roman" w:hAnsi="Times New Roman" w:cs="Times New Roman"/>
          <w:sz w:val="24"/>
          <w:szCs w:val="24"/>
        </w:rPr>
        <w:t xml:space="preserve"> </w:t>
      </w:r>
    </w:p>
    <w:p w14:paraId="34D269EF" w14:textId="252B08B2" w:rsidR="00CC4839" w:rsidRPr="000F4C69" w:rsidRDefault="00CC4839"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Rastas, P. (2017). Lep-MAP3: Robust linkage mapping even for low</w:t>
      </w:r>
      <w:r w:rsidR="001C6B59">
        <w:rPr>
          <w:rFonts w:ascii="Times New Roman" w:hAnsi="Times New Roman" w:cs="Times New Roman"/>
          <w:sz w:val="24"/>
          <w:szCs w:val="24"/>
        </w:rPr>
        <w:t xml:space="preserve"> </w:t>
      </w:r>
      <w:r w:rsidRPr="000F4C69">
        <w:rPr>
          <w:rFonts w:ascii="Times New Roman" w:hAnsi="Times New Roman" w:cs="Times New Roman"/>
          <w:sz w:val="24"/>
          <w:szCs w:val="24"/>
        </w:rPr>
        <w:t xml:space="preserve">coverage whole genome sequencing data. Bioinformatics, 33, 3726–3732. </w:t>
      </w:r>
      <w:hyperlink r:id="rId100" w:history="1">
        <w:r w:rsidR="001C6B59" w:rsidRPr="00DC165E">
          <w:rPr>
            <w:rStyle w:val="Hyperlink"/>
            <w:rFonts w:ascii="Times New Roman" w:hAnsi="Times New Roman" w:cs="Times New Roman"/>
            <w:sz w:val="24"/>
            <w:szCs w:val="24"/>
          </w:rPr>
          <w:t>https://doi.org/10.1093/bioinformatics/btx494</w:t>
        </w:r>
      </w:hyperlink>
      <w:r w:rsidR="001C6B59">
        <w:rPr>
          <w:rFonts w:ascii="Times New Roman" w:hAnsi="Times New Roman" w:cs="Times New Roman"/>
          <w:sz w:val="24"/>
          <w:szCs w:val="24"/>
        </w:rPr>
        <w:t xml:space="preserve"> </w:t>
      </w:r>
    </w:p>
    <w:p w14:paraId="235DA002" w14:textId="15187F5E" w:rsidR="00CC4839" w:rsidRPr="000F4C69" w:rsidRDefault="00CC4839"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lastRenderedPageBreak/>
        <w:t>Rastas, P. (2020). Lep-Anchor: Automated construction of linkage map</w:t>
      </w:r>
      <w:r w:rsidR="00D46292">
        <w:rPr>
          <w:rFonts w:ascii="Times New Roman" w:hAnsi="Times New Roman" w:cs="Times New Roman"/>
          <w:sz w:val="24"/>
          <w:szCs w:val="24"/>
        </w:rPr>
        <w:t xml:space="preserve"> </w:t>
      </w:r>
      <w:r w:rsidRPr="000F4C69">
        <w:rPr>
          <w:rFonts w:ascii="Times New Roman" w:hAnsi="Times New Roman" w:cs="Times New Roman"/>
          <w:sz w:val="24"/>
          <w:szCs w:val="24"/>
        </w:rPr>
        <w:t xml:space="preserve">anchored haploid genomes. Bioinformatics, 36, 2359–2364. </w:t>
      </w:r>
      <w:hyperlink r:id="rId101" w:history="1">
        <w:r w:rsidR="001C6B59" w:rsidRPr="00DC165E">
          <w:rPr>
            <w:rStyle w:val="Hyperlink"/>
            <w:rFonts w:ascii="Times New Roman" w:hAnsi="Times New Roman" w:cs="Times New Roman"/>
            <w:sz w:val="24"/>
            <w:szCs w:val="24"/>
          </w:rPr>
          <w:t>https://doi.org/10.1093/bioinformatics/btz978</w:t>
        </w:r>
      </w:hyperlink>
      <w:r w:rsidR="001C6B59">
        <w:rPr>
          <w:rFonts w:ascii="Times New Roman" w:hAnsi="Times New Roman" w:cs="Times New Roman"/>
          <w:sz w:val="24"/>
          <w:szCs w:val="24"/>
        </w:rPr>
        <w:t xml:space="preserve"> </w:t>
      </w:r>
    </w:p>
    <w:p w14:paraId="28269ED0" w14:textId="6B8888AE" w:rsidR="00CC4839" w:rsidRPr="000F4C69" w:rsidRDefault="00CC4839" w:rsidP="001C6B59">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Ravinet, M., Faria, R., Butlin, R. K., Galindo, J., Bierne, N., Rafajlović, M.,</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Noor, M. A. F., Mehlig, B., &amp; Westram, A. M. (2017). Interpreting the</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genomic landscape of speciation: A road map for finding barriers to</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gene flow. Journal of Evolutionary Biology, 30, 1450–1477. </w:t>
      </w:r>
      <w:hyperlink r:id="rId102" w:history="1">
        <w:r w:rsidR="001C6B59" w:rsidRPr="00DC165E">
          <w:rPr>
            <w:rStyle w:val="Hyperlink"/>
            <w:rFonts w:ascii="Times New Roman" w:hAnsi="Times New Roman" w:cs="Times New Roman"/>
            <w:sz w:val="24"/>
            <w:szCs w:val="24"/>
          </w:rPr>
          <w:t>https://doi.org/10.1111/jeb.13047</w:t>
        </w:r>
      </w:hyperlink>
      <w:r w:rsidR="001C6B59">
        <w:rPr>
          <w:rFonts w:ascii="Times New Roman" w:hAnsi="Times New Roman" w:cs="Times New Roman"/>
          <w:sz w:val="24"/>
          <w:szCs w:val="24"/>
        </w:rPr>
        <w:t xml:space="preserve"> </w:t>
      </w:r>
    </w:p>
    <w:p w14:paraId="40F8BF87" w14:textId="4F74F4BE" w:rsidR="00CC4839" w:rsidRPr="000F4C69" w:rsidRDefault="00CC4839" w:rsidP="001C6B59">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Richmond, G. M., &amp; Fullerton, D. S. (1986). Summation of quaternary glaciations in the United States of America.</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Quaternary Science Reviews, 5, 183–196. </w:t>
      </w:r>
      <w:hyperlink r:id="rId103" w:history="1">
        <w:r w:rsidR="001C6B59" w:rsidRPr="00DC165E">
          <w:rPr>
            <w:rStyle w:val="Hyperlink"/>
            <w:rFonts w:ascii="Times New Roman" w:hAnsi="Times New Roman" w:cs="Times New Roman"/>
            <w:sz w:val="24"/>
            <w:szCs w:val="24"/>
          </w:rPr>
          <w:t>https://doi.org/10.1016/0277-3791(86)90184-8</w:t>
        </w:r>
      </w:hyperlink>
      <w:r w:rsidR="001C6B59">
        <w:rPr>
          <w:rFonts w:ascii="Times New Roman" w:hAnsi="Times New Roman" w:cs="Times New Roman"/>
          <w:sz w:val="24"/>
          <w:szCs w:val="24"/>
        </w:rPr>
        <w:t xml:space="preserve"> </w:t>
      </w:r>
    </w:p>
    <w:p w14:paraId="06DDFD66" w14:textId="77E9502D" w:rsidR="00CC4839" w:rsidRPr="000F4C69" w:rsidRDefault="00CC4839"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Rundle, H. D., &amp; Nosil, P. (2005). Ecological speciation. Ecology Letters, 8,</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336–352. </w:t>
      </w:r>
      <w:hyperlink r:id="rId104" w:history="1">
        <w:r w:rsidR="001C6B59" w:rsidRPr="00DC165E">
          <w:rPr>
            <w:rStyle w:val="Hyperlink"/>
            <w:rFonts w:ascii="Times New Roman" w:hAnsi="Times New Roman" w:cs="Times New Roman"/>
            <w:sz w:val="24"/>
            <w:szCs w:val="24"/>
          </w:rPr>
          <w:t>https://doi.org/10.1111/j.1461-0248.2004.00715.x</w:t>
        </w:r>
      </w:hyperlink>
      <w:r w:rsidR="001C6B59">
        <w:rPr>
          <w:rFonts w:ascii="Times New Roman" w:hAnsi="Times New Roman" w:cs="Times New Roman"/>
          <w:sz w:val="24"/>
          <w:szCs w:val="24"/>
        </w:rPr>
        <w:t xml:space="preserve"> </w:t>
      </w:r>
    </w:p>
    <w:p w14:paraId="06E443E3" w14:textId="0DE591AE" w:rsidR="00CC4839" w:rsidRPr="000F4C69" w:rsidRDefault="00CC4839"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Samuk, K., Owens, G. L., Delmore, K. E., Miller, S. E., Rennison, D. J., &amp;</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Schluter, D. (2017). Gene flow and selection interact to promote</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adaptive divergence in regions of low recombination. Molecular</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Ecology, 26(17), 4378–4390. </w:t>
      </w:r>
      <w:hyperlink r:id="rId105" w:history="1">
        <w:r w:rsidRPr="000F4C69">
          <w:rPr>
            <w:rStyle w:val="Hyperlink"/>
            <w:rFonts w:ascii="Times New Roman" w:hAnsi="Times New Roman" w:cs="Times New Roman"/>
            <w:sz w:val="24"/>
            <w:szCs w:val="24"/>
          </w:rPr>
          <w:t>https://doi.org/10.1111/MEC.14226</w:t>
        </w:r>
      </w:hyperlink>
    </w:p>
    <w:p w14:paraId="2357AED4" w14:textId="22FCC74E" w:rsidR="002A6FBB" w:rsidRPr="000F4C69" w:rsidRDefault="002A6FBB"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Schluter, D. (2009). Evidence for ecological speciation and its alternative. Science (80-), 323, 737–741. </w:t>
      </w:r>
      <w:hyperlink r:id="rId106" w:history="1">
        <w:r w:rsidR="001C6B59" w:rsidRPr="00DC165E">
          <w:rPr>
            <w:rStyle w:val="Hyperlink"/>
            <w:rFonts w:ascii="Times New Roman" w:hAnsi="Times New Roman" w:cs="Times New Roman"/>
            <w:sz w:val="24"/>
            <w:szCs w:val="24"/>
          </w:rPr>
          <w:t>https://doi.org/10.1126/science.1160006</w:t>
        </w:r>
      </w:hyperlink>
      <w:r w:rsidR="001C6B59">
        <w:rPr>
          <w:rFonts w:ascii="Times New Roman" w:hAnsi="Times New Roman" w:cs="Times New Roman"/>
          <w:sz w:val="24"/>
          <w:szCs w:val="24"/>
        </w:rPr>
        <w:t xml:space="preserve"> </w:t>
      </w:r>
    </w:p>
    <w:p w14:paraId="76FF3C8E" w14:textId="29C93A40" w:rsidR="002A6FBB" w:rsidRPr="000F4C69" w:rsidRDefault="002A6FBB" w:rsidP="001C6B59">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Schubert, M., Lindgreen, S., &amp; Orlando, L. (2016). AdapterRemovalv2: Rapid adapter trimming, identification, and read merging. BMC Research Notes, 9, 88. </w:t>
      </w:r>
      <w:hyperlink r:id="rId107" w:history="1">
        <w:r w:rsidR="001C6B59" w:rsidRPr="00DC165E">
          <w:rPr>
            <w:rStyle w:val="Hyperlink"/>
            <w:rFonts w:ascii="Times New Roman" w:hAnsi="Times New Roman" w:cs="Times New Roman"/>
            <w:sz w:val="24"/>
            <w:szCs w:val="24"/>
          </w:rPr>
          <w:t>https://doi.org/10.1186/s13104-016-1900-2</w:t>
        </w:r>
      </w:hyperlink>
      <w:r w:rsidR="001C6B59">
        <w:rPr>
          <w:rFonts w:ascii="Times New Roman" w:hAnsi="Times New Roman" w:cs="Times New Roman"/>
          <w:sz w:val="24"/>
          <w:szCs w:val="24"/>
        </w:rPr>
        <w:t xml:space="preserve"> </w:t>
      </w:r>
    </w:p>
    <w:p w14:paraId="51C94E9C" w14:textId="05B5EA84" w:rsidR="002A6FBB" w:rsidRPr="000F4C69" w:rsidRDefault="002A6FBB"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Seda, J., &amp; Petrusek, A. (2011). Daphnia as a model organism in limnology</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and aquatic biology: Introductory remarks. Journal of Limnology, 70,</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337–344.</w:t>
      </w:r>
      <w:r w:rsidR="00A8505D">
        <w:rPr>
          <w:rFonts w:ascii="Times New Roman" w:hAnsi="Times New Roman" w:cs="Times New Roman"/>
          <w:sz w:val="24"/>
          <w:szCs w:val="24"/>
        </w:rPr>
        <w:t xml:space="preserve"> </w:t>
      </w:r>
      <w:hyperlink r:id="rId108" w:history="1">
        <w:r w:rsidR="001C6B59" w:rsidRPr="00DC165E">
          <w:rPr>
            <w:rStyle w:val="Hyperlink"/>
            <w:rFonts w:ascii="Times New Roman" w:hAnsi="Times New Roman" w:cs="Times New Roman"/>
            <w:sz w:val="24"/>
            <w:szCs w:val="24"/>
          </w:rPr>
          <w:t>https://doi.org/10.4081/JLIMNOL.2011.337</w:t>
        </w:r>
      </w:hyperlink>
      <w:r w:rsidR="001C6B59">
        <w:rPr>
          <w:rFonts w:ascii="Times New Roman" w:hAnsi="Times New Roman" w:cs="Times New Roman"/>
          <w:sz w:val="24"/>
          <w:szCs w:val="24"/>
        </w:rPr>
        <w:t xml:space="preserve"> </w:t>
      </w:r>
    </w:p>
    <w:p w14:paraId="05729C67" w14:textId="2A81E0FF" w:rsidR="002A6FBB" w:rsidRPr="000F4C69" w:rsidRDefault="002A6FBB"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Sherman, R. E., Hartnett, R., Kiehnau, E. L., Weider, L. J., &amp; Jeyasingh, P.</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D. (2021). Quantitative genetics of phosphorus content in the freshwater herbivore, Daphnia pulicaria S. Plaistow [ed.]. Journal of Animal</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Ecology, 90, 909–916. </w:t>
      </w:r>
      <w:hyperlink r:id="rId109" w:history="1">
        <w:r w:rsidR="001C6B59" w:rsidRPr="00DC165E">
          <w:rPr>
            <w:rStyle w:val="Hyperlink"/>
            <w:rFonts w:ascii="Times New Roman" w:hAnsi="Times New Roman" w:cs="Times New Roman"/>
            <w:sz w:val="24"/>
            <w:szCs w:val="24"/>
          </w:rPr>
          <w:t>https://doi.org/10.1111/1365-2656.13419</w:t>
        </w:r>
      </w:hyperlink>
      <w:r w:rsidR="001C6B59">
        <w:rPr>
          <w:rFonts w:ascii="Times New Roman" w:hAnsi="Times New Roman" w:cs="Times New Roman"/>
          <w:sz w:val="24"/>
          <w:szCs w:val="24"/>
        </w:rPr>
        <w:t xml:space="preserve"> </w:t>
      </w:r>
    </w:p>
    <w:p w14:paraId="57FF4589" w14:textId="243C4842" w:rsidR="002A6FBB" w:rsidRPr="000F4C69" w:rsidRDefault="002A6FBB"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Shi, J., Wolf, S. E., Burke, J. M., Presting, G. G., Ross-Ibarra, J., &amp; Dawe,</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R. K. (2010). Widespread gene conversion in centromere cores.</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PLOS Biology, 8(3), e1000327. </w:t>
      </w:r>
      <w:hyperlink r:id="rId110" w:history="1">
        <w:r w:rsidR="001C6B59" w:rsidRPr="00DC165E">
          <w:rPr>
            <w:rStyle w:val="Hyperlink"/>
            <w:rFonts w:ascii="Times New Roman" w:hAnsi="Times New Roman" w:cs="Times New Roman"/>
            <w:sz w:val="24"/>
            <w:szCs w:val="24"/>
          </w:rPr>
          <w:t>https://doi.org/10.1371/journal.pbio.1000327</w:t>
        </w:r>
      </w:hyperlink>
      <w:r w:rsidR="001C6B59">
        <w:rPr>
          <w:rFonts w:ascii="Times New Roman" w:hAnsi="Times New Roman" w:cs="Times New Roman"/>
          <w:sz w:val="24"/>
          <w:szCs w:val="24"/>
        </w:rPr>
        <w:t xml:space="preserve"> </w:t>
      </w:r>
    </w:p>
    <w:p w14:paraId="70C96129" w14:textId="2E7E7802" w:rsidR="002A6FBB" w:rsidRPr="000F4C69" w:rsidRDefault="002A6FBB"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Simão, F. A., Waterhouse, R. M., Ioannidis, P., Kriventseva, E. V., &amp;</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Zdobnov, E. M. (2015). BUSCO: Assessing genome assembly and annotation completeness with single-copy orthologs. Bioinformatics,</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31, 3210–3212. </w:t>
      </w:r>
      <w:hyperlink r:id="rId111" w:history="1">
        <w:r w:rsidR="001C6B59" w:rsidRPr="00DC165E">
          <w:rPr>
            <w:rStyle w:val="Hyperlink"/>
            <w:rFonts w:ascii="Times New Roman" w:hAnsi="Times New Roman" w:cs="Times New Roman"/>
            <w:sz w:val="24"/>
            <w:szCs w:val="24"/>
          </w:rPr>
          <w:t>https://doi.org/10.1093/bioinformatics/btv351</w:t>
        </w:r>
      </w:hyperlink>
      <w:r w:rsidR="001C6B59">
        <w:rPr>
          <w:rFonts w:ascii="Times New Roman" w:hAnsi="Times New Roman" w:cs="Times New Roman"/>
          <w:sz w:val="24"/>
          <w:szCs w:val="24"/>
        </w:rPr>
        <w:t xml:space="preserve"> </w:t>
      </w:r>
    </w:p>
    <w:p w14:paraId="6593CDDA" w14:textId="7BEC4D8D" w:rsidR="002A6FBB" w:rsidRPr="000F4C69" w:rsidRDefault="002A6FBB"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Søndergaard, M., Jeppesen, E., Jensen, J., &amp; Peder. (2005). Pond or lake:</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Does it make any difference? Archiv Für Hydrobiologie, 162(2), 143–165. </w:t>
      </w:r>
      <w:hyperlink r:id="rId112" w:history="1">
        <w:r w:rsidR="001C6B59" w:rsidRPr="00DC165E">
          <w:rPr>
            <w:rStyle w:val="Hyperlink"/>
            <w:rFonts w:ascii="Times New Roman" w:hAnsi="Times New Roman" w:cs="Times New Roman"/>
            <w:sz w:val="24"/>
            <w:szCs w:val="24"/>
          </w:rPr>
          <w:t>https://doi.org/10.1127/0003-9136/2005/0162-0143</w:t>
        </w:r>
      </w:hyperlink>
      <w:r w:rsidR="001C6B59">
        <w:rPr>
          <w:rFonts w:ascii="Times New Roman" w:hAnsi="Times New Roman" w:cs="Times New Roman"/>
          <w:sz w:val="24"/>
          <w:szCs w:val="24"/>
        </w:rPr>
        <w:t xml:space="preserve"> </w:t>
      </w:r>
    </w:p>
    <w:p w14:paraId="11EDAC16" w14:textId="17CEF68E" w:rsidR="002A6FBB" w:rsidRPr="000F4C69" w:rsidRDefault="002A6FBB"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Spaak, P. (1995). Sexual reproduction in </w:t>
      </w:r>
      <w:r w:rsidRPr="00593E0A">
        <w:rPr>
          <w:rFonts w:ascii="Times New Roman" w:hAnsi="Times New Roman" w:cs="Times New Roman"/>
          <w:i/>
          <w:iCs/>
          <w:sz w:val="24"/>
          <w:szCs w:val="24"/>
        </w:rPr>
        <w:t>Daphnia</w:t>
      </w:r>
      <w:r w:rsidRPr="000F4C69">
        <w:rPr>
          <w:rFonts w:ascii="Times New Roman" w:hAnsi="Times New Roman" w:cs="Times New Roman"/>
          <w:sz w:val="24"/>
          <w:szCs w:val="24"/>
        </w:rPr>
        <w:t xml:space="preserve">: Interspecific differences in a hybrid species complex. Oecologia, 104, 501–507. </w:t>
      </w:r>
      <w:hyperlink r:id="rId113" w:history="1">
        <w:r w:rsidR="001C6B59" w:rsidRPr="00DC165E">
          <w:rPr>
            <w:rStyle w:val="Hyperlink"/>
            <w:rFonts w:ascii="Times New Roman" w:hAnsi="Times New Roman" w:cs="Times New Roman"/>
            <w:sz w:val="24"/>
            <w:szCs w:val="24"/>
          </w:rPr>
          <w:t>https://doi.org/10.1007/BF00341348</w:t>
        </w:r>
      </w:hyperlink>
      <w:r w:rsidR="001C6B59">
        <w:rPr>
          <w:rFonts w:ascii="Times New Roman" w:hAnsi="Times New Roman" w:cs="Times New Roman"/>
          <w:sz w:val="24"/>
          <w:szCs w:val="24"/>
        </w:rPr>
        <w:t xml:space="preserve"> </w:t>
      </w:r>
    </w:p>
    <w:p w14:paraId="49748BE0" w14:textId="24C56C3E" w:rsidR="002A6FBB" w:rsidRPr="000F4C69" w:rsidRDefault="002A6FBB"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lastRenderedPageBreak/>
        <w:t>Spitze, K. (1991). Chaoborus predation and life-history evolution in</w:t>
      </w:r>
      <w:r w:rsidR="00A8505D">
        <w:rPr>
          <w:rFonts w:ascii="Times New Roman" w:hAnsi="Times New Roman" w:cs="Times New Roman"/>
          <w:sz w:val="24"/>
          <w:szCs w:val="24"/>
        </w:rPr>
        <w:t xml:space="preserve"> </w:t>
      </w:r>
      <w:r w:rsidRPr="00593E0A">
        <w:rPr>
          <w:rFonts w:ascii="Times New Roman" w:hAnsi="Times New Roman" w:cs="Times New Roman"/>
          <w:i/>
          <w:iCs/>
          <w:sz w:val="24"/>
          <w:szCs w:val="24"/>
        </w:rPr>
        <w:t>Daphnia pulex</w:t>
      </w:r>
      <w:r w:rsidRPr="000F4C69">
        <w:rPr>
          <w:rFonts w:ascii="Times New Roman" w:hAnsi="Times New Roman" w:cs="Times New Roman"/>
          <w:sz w:val="24"/>
          <w:szCs w:val="24"/>
        </w:rPr>
        <w:t>: Temporal pattern of population diversity, fitness,</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and mean life history. Evolution (N. Y.), 45, 82–92. </w:t>
      </w:r>
      <w:hyperlink r:id="rId114" w:history="1">
        <w:r w:rsidR="00593E0A" w:rsidRPr="00DC165E">
          <w:rPr>
            <w:rStyle w:val="Hyperlink"/>
            <w:rFonts w:ascii="Times New Roman" w:hAnsi="Times New Roman" w:cs="Times New Roman"/>
            <w:sz w:val="24"/>
            <w:szCs w:val="24"/>
          </w:rPr>
          <w:t>https://doi.org/10.1111/j.1558-5646.1991.tb05268.x</w:t>
        </w:r>
      </w:hyperlink>
      <w:r w:rsidR="00593E0A">
        <w:rPr>
          <w:rFonts w:ascii="Times New Roman" w:hAnsi="Times New Roman" w:cs="Times New Roman"/>
          <w:sz w:val="24"/>
          <w:szCs w:val="24"/>
        </w:rPr>
        <w:t xml:space="preserve"> </w:t>
      </w:r>
    </w:p>
    <w:p w14:paraId="5D71077C" w14:textId="0987662D" w:rsidR="002A6FBB" w:rsidRPr="000F4C69" w:rsidRDefault="002A6FBB"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Stanke, M., Keller, O., Gunduz, I., Hayes, A., Waack, S., &amp; Morgenstern, B.</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(2006). AUGUSTUS: Ab initio prediction of alternative transcripts.</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Nucleic Acids Research, 34, W435–W439. </w:t>
      </w:r>
      <w:hyperlink r:id="rId115" w:history="1">
        <w:r w:rsidR="00593E0A" w:rsidRPr="00DC165E">
          <w:rPr>
            <w:rStyle w:val="Hyperlink"/>
            <w:rFonts w:ascii="Times New Roman" w:hAnsi="Times New Roman" w:cs="Times New Roman"/>
            <w:sz w:val="24"/>
            <w:szCs w:val="24"/>
          </w:rPr>
          <w:t>https://doi.org/10.1093/nar/gkl200</w:t>
        </w:r>
      </w:hyperlink>
      <w:r w:rsidR="00593E0A">
        <w:rPr>
          <w:rFonts w:ascii="Times New Roman" w:hAnsi="Times New Roman" w:cs="Times New Roman"/>
          <w:sz w:val="24"/>
          <w:szCs w:val="24"/>
        </w:rPr>
        <w:t xml:space="preserve"> </w:t>
      </w:r>
    </w:p>
    <w:p w14:paraId="5927109C" w14:textId="26410981" w:rsidR="002A6FBB" w:rsidRPr="000F4C69" w:rsidRDefault="002A6FBB"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Stapley, J., Feulner, P. G. D., Johnston, S. E., Santure, A. W., &amp; Smadja,</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C. M. (2017). Variation in recombination frequency and distribution across eukaryotes: Patterns and processes. Philosophical</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Transactions of the Royal Society B: Biological Sciences, 372,</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20160455. </w:t>
      </w:r>
      <w:hyperlink r:id="rId116" w:history="1">
        <w:r w:rsidR="00593E0A" w:rsidRPr="00DC165E">
          <w:rPr>
            <w:rStyle w:val="Hyperlink"/>
            <w:rFonts w:ascii="Times New Roman" w:hAnsi="Times New Roman" w:cs="Times New Roman"/>
            <w:sz w:val="24"/>
            <w:szCs w:val="24"/>
          </w:rPr>
          <w:t>https://doi.org/10.1098/rstb.2016.0455</w:t>
        </w:r>
      </w:hyperlink>
      <w:r w:rsidR="00593E0A">
        <w:rPr>
          <w:rFonts w:ascii="Times New Roman" w:hAnsi="Times New Roman" w:cs="Times New Roman"/>
          <w:sz w:val="24"/>
          <w:szCs w:val="24"/>
        </w:rPr>
        <w:t xml:space="preserve"> </w:t>
      </w:r>
    </w:p>
    <w:p w14:paraId="4A60F46B" w14:textId="5341B42F" w:rsidR="002A6FBB" w:rsidRPr="000F4C69" w:rsidRDefault="002A6FBB"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Stich, H.-B., &amp; Lampert, W. (1981). Predator evasion as an explanation of</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diurnal vertical migration by zooplankton. Nature, 293, 396–398.</w:t>
      </w:r>
      <w:r w:rsidR="00A8505D">
        <w:rPr>
          <w:rFonts w:ascii="Times New Roman" w:hAnsi="Times New Roman" w:cs="Times New Roman"/>
          <w:sz w:val="24"/>
          <w:szCs w:val="24"/>
        </w:rPr>
        <w:t xml:space="preserve"> </w:t>
      </w:r>
      <w:hyperlink r:id="rId117" w:history="1">
        <w:r w:rsidR="002B08BC" w:rsidRPr="00DC165E">
          <w:rPr>
            <w:rStyle w:val="Hyperlink"/>
            <w:rFonts w:ascii="Times New Roman" w:hAnsi="Times New Roman" w:cs="Times New Roman"/>
            <w:sz w:val="24"/>
            <w:szCs w:val="24"/>
          </w:rPr>
          <w:t>https://doi.org/10.1038/293396a0</w:t>
        </w:r>
      </w:hyperlink>
      <w:r w:rsidR="002B08BC">
        <w:rPr>
          <w:rFonts w:ascii="Times New Roman" w:hAnsi="Times New Roman" w:cs="Times New Roman"/>
          <w:sz w:val="24"/>
          <w:szCs w:val="24"/>
        </w:rPr>
        <w:t xml:space="preserve"> </w:t>
      </w:r>
    </w:p>
    <w:p w14:paraId="6114C12B" w14:textId="0FDFEEB2" w:rsidR="002A6FBB" w:rsidRPr="000F4C69" w:rsidRDefault="002A6FBB"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Supek, F., Bošnjak, M., Škunca, N., &amp; Šmuc, T. (2011). REVIGO summarizes</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and visualizes long lists of gene ontology terms C. Gibas [ed.]. PLoS</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One, 6, e21800.</w:t>
      </w:r>
      <w:r w:rsidR="00A8505D">
        <w:rPr>
          <w:rFonts w:ascii="Times New Roman" w:hAnsi="Times New Roman" w:cs="Times New Roman"/>
          <w:sz w:val="24"/>
          <w:szCs w:val="24"/>
        </w:rPr>
        <w:t xml:space="preserve"> </w:t>
      </w:r>
      <w:hyperlink r:id="rId118" w:history="1">
        <w:r w:rsidR="002B08BC" w:rsidRPr="00DC165E">
          <w:rPr>
            <w:rStyle w:val="Hyperlink"/>
            <w:rFonts w:ascii="Times New Roman" w:hAnsi="Times New Roman" w:cs="Times New Roman"/>
            <w:sz w:val="24"/>
            <w:szCs w:val="24"/>
          </w:rPr>
          <w:t>https://doi.org/10.1371/journal.pone.0021800</w:t>
        </w:r>
      </w:hyperlink>
      <w:r w:rsidR="002B08BC">
        <w:rPr>
          <w:rFonts w:ascii="Times New Roman" w:hAnsi="Times New Roman" w:cs="Times New Roman"/>
          <w:sz w:val="24"/>
          <w:szCs w:val="24"/>
        </w:rPr>
        <w:t xml:space="preserve"> </w:t>
      </w:r>
    </w:p>
    <w:p w14:paraId="5E2FCD4E" w14:textId="4358EA29" w:rsidR="002A6FBB" w:rsidRPr="000F4C69" w:rsidRDefault="002A6FBB"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Tajima, F. (1989). Statistical method for testing the neutral mutation hypothesis by DNA polymorphism. Genetics, 12(3), 585–595. </w:t>
      </w:r>
      <w:hyperlink r:id="rId119" w:history="1">
        <w:r w:rsidR="002B08BC" w:rsidRPr="00DC165E">
          <w:rPr>
            <w:rStyle w:val="Hyperlink"/>
            <w:rFonts w:ascii="Times New Roman" w:hAnsi="Times New Roman" w:cs="Times New Roman"/>
            <w:sz w:val="24"/>
            <w:szCs w:val="24"/>
          </w:rPr>
          <w:t>https://doi.org/10.1093/genetics/123.3.585</w:t>
        </w:r>
      </w:hyperlink>
      <w:r w:rsidR="002B08BC">
        <w:rPr>
          <w:rFonts w:ascii="Times New Roman" w:hAnsi="Times New Roman" w:cs="Times New Roman"/>
          <w:sz w:val="24"/>
          <w:szCs w:val="24"/>
        </w:rPr>
        <w:t xml:space="preserve"> </w:t>
      </w:r>
    </w:p>
    <w:p w14:paraId="5FE5602F" w14:textId="670EC0DE" w:rsidR="002A6FBB" w:rsidRPr="000F4C69" w:rsidRDefault="002A6FBB"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Tessier, A. J., &amp; Cáceres, C. E. (2004). Differentiation in sex investment</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by clones and populations of </w:t>
      </w:r>
      <w:r w:rsidRPr="002B08BC">
        <w:rPr>
          <w:rFonts w:ascii="Times New Roman" w:hAnsi="Times New Roman" w:cs="Times New Roman"/>
          <w:i/>
          <w:iCs/>
          <w:sz w:val="24"/>
          <w:szCs w:val="24"/>
        </w:rPr>
        <w:t>Daphnia</w:t>
      </w:r>
      <w:r w:rsidRPr="000F4C69">
        <w:rPr>
          <w:rFonts w:ascii="Times New Roman" w:hAnsi="Times New Roman" w:cs="Times New Roman"/>
          <w:sz w:val="24"/>
          <w:szCs w:val="24"/>
        </w:rPr>
        <w:t xml:space="preserve">. Ecology Letters, 7(8), 695–703. </w:t>
      </w:r>
      <w:hyperlink r:id="rId120" w:history="1">
        <w:r w:rsidR="002B08BC" w:rsidRPr="00DC165E">
          <w:rPr>
            <w:rStyle w:val="Hyperlink"/>
            <w:rFonts w:ascii="Times New Roman" w:hAnsi="Times New Roman" w:cs="Times New Roman"/>
            <w:sz w:val="24"/>
            <w:szCs w:val="24"/>
          </w:rPr>
          <w:t>https://doi.org/10.1111/j.1461-0248.2004.00627.x</w:t>
        </w:r>
      </w:hyperlink>
      <w:r w:rsidR="002B08BC">
        <w:rPr>
          <w:rFonts w:ascii="Times New Roman" w:hAnsi="Times New Roman" w:cs="Times New Roman"/>
          <w:sz w:val="24"/>
          <w:szCs w:val="24"/>
        </w:rPr>
        <w:t xml:space="preserve"> </w:t>
      </w:r>
    </w:p>
    <w:p w14:paraId="22582859" w14:textId="447319EE" w:rsidR="002A6FBB" w:rsidRPr="000F4C69" w:rsidRDefault="002A6FBB" w:rsidP="002B08BC">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Tessier, A. J., &amp; Welser, J. (1991). Cladoceran assemblages, seasonal succession and the importance of a hypolimnetic refuge. Freshwater</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Biology, 25, 85–93. </w:t>
      </w:r>
      <w:hyperlink r:id="rId121" w:history="1">
        <w:r w:rsidR="002B08BC" w:rsidRPr="00DC165E">
          <w:rPr>
            <w:rStyle w:val="Hyperlink"/>
            <w:rFonts w:ascii="Times New Roman" w:hAnsi="Times New Roman" w:cs="Times New Roman"/>
            <w:sz w:val="24"/>
            <w:szCs w:val="24"/>
          </w:rPr>
          <w:t>https://doi.org/10.1111/j.1365-2427.1991.tb00475.x</w:t>
        </w:r>
      </w:hyperlink>
      <w:r w:rsidR="002B08BC">
        <w:rPr>
          <w:rFonts w:ascii="Times New Roman" w:hAnsi="Times New Roman" w:cs="Times New Roman"/>
          <w:sz w:val="24"/>
          <w:szCs w:val="24"/>
        </w:rPr>
        <w:t xml:space="preserve"> </w:t>
      </w:r>
    </w:p>
    <w:p w14:paraId="03D43290" w14:textId="1161E5AC" w:rsidR="002A6FBB" w:rsidRPr="000F4C69" w:rsidRDefault="002A6FBB"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Tkaczyk, A., Bownik, A., Dudka, J., Kowal, K., &amp; Ślaska, B. (2021). </w:t>
      </w:r>
      <w:r w:rsidRPr="002B08BC">
        <w:rPr>
          <w:rFonts w:ascii="Times New Roman" w:hAnsi="Times New Roman" w:cs="Times New Roman"/>
          <w:i/>
          <w:iCs/>
          <w:sz w:val="24"/>
          <w:szCs w:val="24"/>
        </w:rPr>
        <w:t>Daphnia</w:t>
      </w:r>
      <w:r w:rsidR="00A8505D" w:rsidRPr="002B08BC">
        <w:rPr>
          <w:rFonts w:ascii="Times New Roman" w:hAnsi="Times New Roman" w:cs="Times New Roman"/>
          <w:i/>
          <w:iCs/>
          <w:sz w:val="24"/>
          <w:szCs w:val="24"/>
        </w:rPr>
        <w:t xml:space="preserve"> </w:t>
      </w:r>
      <w:r w:rsidRPr="002B08BC">
        <w:rPr>
          <w:rFonts w:ascii="Times New Roman" w:hAnsi="Times New Roman" w:cs="Times New Roman"/>
          <w:i/>
          <w:iCs/>
          <w:sz w:val="24"/>
          <w:szCs w:val="24"/>
        </w:rPr>
        <w:t>magna</w:t>
      </w:r>
      <w:r w:rsidRPr="000F4C69">
        <w:rPr>
          <w:rFonts w:ascii="Times New Roman" w:hAnsi="Times New Roman" w:cs="Times New Roman"/>
          <w:sz w:val="24"/>
          <w:szCs w:val="24"/>
        </w:rPr>
        <w:t xml:space="preserve"> model in the toxicity assessment of pharmaceuticals: A review. Science of the Total Environment, 763, 143038. </w:t>
      </w:r>
      <w:hyperlink r:id="rId122" w:history="1">
        <w:r w:rsidR="002B08BC" w:rsidRPr="00DC165E">
          <w:rPr>
            <w:rStyle w:val="Hyperlink"/>
            <w:rFonts w:ascii="Times New Roman" w:hAnsi="Times New Roman" w:cs="Times New Roman"/>
            <w:sz w:val="24"/>
            <w:szCs w:val="24"/>
          </w:rPr>
          <w:t>https://doi.org/10.1016/J.SCITOTENV.2020.143038</w:t>
        </w:r>
      </w:hyperlink>
      <w:r w:rsidR="002B08BC">
        <w:rPr>
          <w:rFonts w:ascii="Times New Roman" w:hAnsi="Times New Roman" w:cs="Times New Roman"/>
          <w:sz w:val="24"/>
          <w:szCs w:val="24"/>
        </w:rPr>
        <w:t xml:space="preserve"> </w:t>
      </w:r>
    </w:p>
    <w:p w14:paraId="3F5F96D2" w14:textId="0743818F" w:rsidR="000374F7" w:rsidRPr="000F4C69" w:rsidRDefault="002A6FBB"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Todesco, M., Owens, G. L., Bercovich, N., Légaré, J.-S., Soudi, S., Burge,</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D. O., Huang, K., Ostevik, K. L., Drummond, E. B. M., Imerovski,</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I., Lande, K., Pascual-Robles, M. A., Nanavati, M., Jahani, M.,</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Cheung, W., Staton, S. E., Muños, S., Nielsen, R., Donovan, L. A.,</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Rieseberg, L. H. (2020). Massive haplotypes underlie ecotypic</w:t>
      </w:r>
      <w:r w:rsidR="000374F7" w:rsidRPr="000F4C69">
        <w:rPr>
          <w:rFonts w:ascii="Times New Roman" w:hAnsi="Times New Roman" w:cs="Times New Roman"/>
          <w:sz w:val="24"/>
          <w:szCs w:val="24"/>
        </w:rPr>
        <w:t xml:space="preserve"> differentiation in sunflowers. Nature,</w:t>
      </w:r>
      <w:r w:rsidR="00A8505D">
        <w:rPr>
          <w:rFonts w:ascii="Times New Roman" w:hAnsi="Times New Roman" w:cs="Times New Roman"/>
          <w:sz w:val="24"/>
          <w:szCs w:val="24"/>
        </w:rPr>
        <w:t xml:space="preserve"> </w:t>
      </w:r>
      <w:r w:rsidR="000374F7" w:rsidRPr="000F4C69">
        <w:rPr>
          <w:rFonts w:ascii="Times New Roman" w:hAnsi="Times New Roman" w:cs="Times New Roman"/>
          <w:sz w:val="24"/>
          <w:szCs w:val="24"/>
        </w:rPr>
        <w:t xml:space="preserve">584(7822), 602–607. </w:t>
      </w:r>
      <w:hyperlink r:id="rId123" w:history="1">
        <w:r w:rsidR="002B08BC" w:rsidRPr="00DC165E">
          <w:rPr>
            <w:rStyle w:val="Hyperlink"/>
            <w:rFonts w:ascii="Times New Roman" w:hAnsi="Times New Roman" w:cs="Times New Roman"/>
            <w:sz w:val="24"/>
            <w:szCs w:val="24"/>
          </w:rPr>
          <w:t>https://doi.org/10.1038/s41586-020-2467-6</w:t>
        </w:r>
      </w:hyperlink>
      <w:r w:rsidR="002B08BC">
        <w:rPr>
          <w:rFonts w:ascii="Times New Roman" w:hAnsi="Times New Roman" w:cs="Times New Roman"/>
          <w:sz w:val="24"/>
          <w:szCs w:val="24"/>
        </w:rPr>
        <w:t xml:space="preserve"> </w:t>
      </w:r>
    </w:p>
    <w:p w14:paraId="7B47DA1F" w14:textId="3B0FAADC" w:rsidR="000374F7" w:rsidRPr="000F4C69" w:rsidRDefault="000374F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Tucker, A. E., Ackerman, M. S., Eads, B. D., Xu, S., &amp; Lynch, M. (2013).</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Population-genomic insights into the evolutionary origin and fate</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of obligately asexual </w:t>
      </w:r>
      <w:r w:rsidRPr="002B08BC">
        <w:rPr>
          <w:rFonts w:ascii="Times New Roman" w:hAnsi="Times New Roman" w:cs="Times New Roman"/>
          <w:i/>
          <w:iCs/>
          <w:sz w:val="24"/>
          <w:szCs w:val="24"/>
        </w:rPr>
        <w:t>Daphnia pulex</w:t>
      </w:r>
      <w:r w:rsidRPr="000F4C69">
        <w:rPr>
          <w:rFonts w:ascii="Times New Roman" w:hAnsi="Times New Roman" w:cs="Times New Roman"/>
          <w:sz w:val="24"/>
          <w:szCs w:val="24"/>
        </w:rPr>
        <w:t>. Proceedings of the National</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Academy of Sciences of the United States of America, 110, 15740–15745. </w:t>
      </w:r>
      <w:hyperlink r:id="rId124" w:history="1">
        <w:r w:rsidR="002B08BC" w:rsidRPr="00DC165E">
          <w:rPr>
            <w:rStyle w:val="Hyperlink"/>
            <w:rFonts w:ascii="Times New Roman" w:hAnsi="Times New Roman" w:cs="Times New Roman"/>
            <w:sz w:val="24"/>
            <w:szCs w:val="24"/>
          </w:rPr>
          <w:t>https://doi.org/10.1073/pnas.1313388110</w:t>
        </w:r>
      </w:hyperlink>
      <w:r w:rsidR="002B08BC">
        <w:rPr>
          <w:rFonts w:ascii="Times New Roman" w:hAnsi="Times New Roman" w:cs="Times New Roman"/>
          <w:sz w:val="24"/>
          <w:szCs w:val="24"/>
        </w:rPr>
        <w:t xml:space="preserve"> </w:t>
      </w:r>
    </w:p>
    <w:p w14:paraId="5E10ABFF" w14:textId="2BAA66CC" w:rsidR="000374F7" w:rsidRPr="000F4C69" w:rsidRDefault="000374F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Turelli, M., Barton, N. H., &amp; Coyne, J. A. (2001). Theory and speciation.</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Trends in Ecology &amp; Evolution, 16, 330–343. </w:t>
      </w:r>
      <w:hyperlink r:id="rId125" w:history="1">
        <w:r w:rsidR="002B08BC" w:rsidRPr="00DC165E">
          <w:rPr>
            <w:rStyle w:val="Hyperlink"/>
            <w:rFonts w:ascii="Times New Roman" w:hAnsi="Times New Roman" w:cs="Times New Roman"/>
            <w:sz w:val="24"/>
            <w:szCs w:val="24"/>
          </w:rPr>
          <w:t>https://doi.org/10.1016/S0169-5347(01)02177-2</w:t>
        </w:r>
      </w:hyperlink>
      <w:r w:rsidR="002B08BC">
        <w:rPr>
          <w:rFonts w:ascii="Times New Roman" w:hAnsi="Times New Roman" w:cs="Times New Roman"/>
          <w:sz w:val="24"/>
          <w:szCs w:val="24"/>
        </w:rPr>
        <w:t xml:space="preserve"> </w:t>
      </w:r>
    </w:p>
    <w:p w14:paraId="1EFB57B2" w14:textId="2548AB2D" w:rsidR="000374F7" w:rsidRPr="000F4C69" w:rsidRDefault="000374F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Turner, T. L., Hahn, M. W., &amp; Nuzhdin, S. V. (2005). Genomic islands</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of speciation in </w:t>
      </w:r>
      <w:r w:rsidRPr="002B08BC">
        <w:rPr>
          <w:rFonts w:ascii="Times New Roman" w:hAnsi="Times New Roman" w:cs="Times New Roman"/>
          <w:i/>
          <w:iCs/>
          <w:sz w:val="24"/>
          <w:szCs w:val="24"/>
        </w:rPr>
        <w:t>Anopheles gambiae</w:t>
      </w:r>
      <w:r w:rsidRPr="000F4C69">
        <w:rPr>
          <w:rFonts w:ascii="Times New Roman" w:hAnsi="Times New Roman" w:cs="Times New Roman"/>
          <w:sz w:val="24"/>
          <w:szCs w:val="24"/>
        </w:rPr>
        <w:t>. PLoS Biology, 3, 1572–1578.</w:t>
      </w:r>
      <w:r w:rsidR="00A8505D">
        <w:rPr>
          <w:rFonts w:ascii="Times New Roman" w:hAnsi="Times New Roman" w:cs="Times New Roman"/>
          <w:sz w:val="24"/>
          <w:szCs w:val="24"/>
        </w:rPr>
        <w:t xml:space="preserve"> </w:t>
      </w:r>
      <w:hyperlink r:id="rId126" w:history="1">
        <w:r w:rsidR="002B08BC" w:rsidRPr="00DC165E">
          <w:rPr>
            <w:rStyle w:val="Hyperlink"/>
            <w:rFonts w:ascii="Times New Roman" w:hAnsi="Times New Roman" w:cs="Times New Roman"/>
            <w:sz w:val="24"/>
            <w:szCs w:val="24"/>
          </w:rPr>
          <w:t>https://doi.org/10.1371/journal.pbio.0030285</w:t>
        </w:r>
      </w:hyperlink>
      <w:r w:rsidR="002B08BC">
        <w:rPr>
          <w:rFonts w:ascii="Times New Roman" w:hAnsi="Times New Roman" w:cs="Times New Roman"/>
          <w:sz w:val="24"/>
          <w:szCs w:val="24"/>
        </w:rPr>
        <w:t xml:space="preserve"> </w:t>
      </w:r>
    </w:p>
    <w:p w14:paraId="61693544" w14:textId="28D4659B" w:rsidR="000374F7" w:rsidRPr="000F4C69" w:rsidRDefault="000374F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lastRenderedPageBreak/>
        <w:t>Ungerer, M. C., Johnson, L. C., &amp; Herman, M. A. (2008). Ecological genomics: understanding gene and genome function in the natural</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environment. Heredity, 100, 178–183. </w:t>
      </w:r>
      <w:hyperlink r:id="rId127" w:history="1">
        <w:r w:rsidR="004A6A53" w:rsidRPr="00DC165E">
          <w:rPr>
            <w:rStyle w:val="Hyperlink"/>
            <w:rFonts w:ascii="Times New Roman" w:hAnsi="Times New Roman" w:cs="Times New Roman"/>
            <w:sz w:val="24"/>
            <w:szCs w:val="24"/>
          </w:rPr>
          <w:t>https://doi.org/10.1038/sj.hdy.6800992</w:t>
        </w:r>
      </w:hyperlink>
      <w:r w:rsidR="004A6A53">
        <w:rPr>
          <w:rFonts w:ascii="Times New Roman" w:hAnsi="Times New Roman" w:cs="Times New Roman"/>
          <w:sz w:val="24"/>
          <w:szCs w:val="24"/>
        </w:rPr>
        <w:t xml:space="preserve"> </w:t>
      </w:r>
    </w:p>
    <w:p w14:paraId="772F53CD" w14:textId="15051352" w:rsidR="000374F7" w:rsidRPr="000F4C69" w:rsidRDefault="000374F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Vergilino, R., Belzile, C., &amp; Dufresne, F. (2009). Genome size evolution andpolyploidy in the </w:t>
      </w:r>
      <w:r w:rsidRPr="004A6A53">
        <w:rPr>
          <w:rFonts w:ascii="Times New Roman" w:hAnsi="Times New Roman" w:cs="Times New Roman"/>
          <w:i/>
          <w:iCs/>
          <w:sz w:val="24"/>
          <w:szCs w:val="24"/>
        </w:rPr>
        <w:t>Daphnia pulex</w:t>
      </w:r>
      <w:r w:rsidRPr="000F4C69">
        <w:rPr>
          <w:rFonts w:ascii="Times New Roman" w:hAnsi="Times New Roman" w:cs="Times New Roman"/>
          <w:sz w:val="24"/>
          <w:szCs w:val="24"/>
        </w:rPr>
        <w:t xml:space="preserve"> complex (Cladocera: Daphniidae).</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Biological Journal of the Linnean Society, 97(1), 68–79. </w:t>
      </w:r>
      <w:hyperlink r:id="rId128" w:history="1">
        <w:r w:rsidR="004A6A53" w:rsidRPr="00DC165E">
          <w:rPr>
            <w:rStyle w:val="Hyperlink"/>
            <w:rFonts w:ascii="Times New Roman" w:hAnsi="Times New Roman" w:cs="Times New Roman"/>
            <w:sz w:val="24"/>
            <w:szCs w:val="24"/>
          </w:rPr>
          <w:t>https://doi.org/10.1111/j.1095-8312.2008.01185.x</w:t>
        </w:r>
      </w:hyperlink>
      <w:r w:rsidR="004A6A53">
        <w:rPr>
          <w:rFonts w:ascii="Times New Roman" w:hAnsi="Times New Roman" w:cs="Times New Roman"/>
          <w:sz w:val="24"/>
          <w:szCs w:val="24"/>
        </w:rPr>
        <w:t xml:space="preserve"> </w:t>
      </w:r>
    </w:p>
    <w:p w14:paraId="7CB62C1B" w14:textId="21B203E0" w:rsidR="000374F7" w:rsidRPr="000F4C69" w:rsidRDefault="000374F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Vergilino, R., Markova, S., Ventura, M., Manca, M., &amp; Dufresne, F. (2011).</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Reticulate evolution of the Daphnia pulex complex as revealed by</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nuclear markers. Molecular Ecology, 20, 1191–1207. https://doi.org/10.1111/j.1365-294X.2011.05004.x</w:t>
      </w:r>
    </w:p>
    <w:p w14:paraId="5005D66A" w14:textId="47B9A4F2" w:rsidR="000374F7" w:rsidRPr="000F4C69" w:rsidRDefault="000374F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Via, S. (2009). Natural selection in action during speciation. Proceedings</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of the National Academy of Sciences of the United States of America,</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106(Suppl 1), 9939–9946. </w:t>
      </w:r>
      <w:hyperlink r:id="rId129" w:history="1">
        <w:r w:rsidR="004A6A53" w:rsidRPr="00DC165E">
          <w:rPr>
            <w:rStyle w:val="Hyperlink"/>
            <w:rFonts w:ascii="Times New Roman" w:hAnsi="Times New Roman" w:cs="Times New Roman"/>
            <w:sz w:val="24"/>
            <w:szCs w:val="24"/>
          </w:rPr>
          <w:t>https://doi.org/10.1073/pnas.0901397106</w:t>
        </w:r>
      </w:hyperlink>
      <w:r w:rsidR="004A6A53">
        <w:rPr>
          <w:rFonts w:ascii="Times New Roman" w:hAnsi="Times New Roman" w:cs="Times New Roman"/>
          <w:sz w:val="24"/>
          <w:szCs w:val="24"/>
        </w:rPr>
        <w:t xml:space="preserve"> </w:t>
      </w:r>
    </w:p>
    <w:p w14:paraId="522FC967" w14:textId="493AC96B" w:rsidR="000374F7" w:rsidRPr="000F4C69" w:rsidRDefault="000374F7" w:rsidP="004A6A53">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Walsh, J. R., Carpenter, S. R., &amp; Vander Zanden, M. J. (2016). Invasive</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species triggers a massive loss of ecosystem services through a trophic cascade. Proceedings of the National Academy of Sciences of the</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United States of America, 113, 4081–4085. </w:t>
      </w:r>
      <w:hyperlink r:id="rId130" w:history="1">
        <w:r w:rsidR="004A6A53" w:rsidRPr="00DC165E">
          <w:rPr>
            <w:rStyle w:val="Hyperlink"/>
            <w:rFonts w:ascii="Times New Roman" w:hAnsi="Times New Roman" w:cs="Times New Roman"/>
            <w:sz w:val="24"/>
            <w:szCs w:val="24"/>
          </w:rPr>
          <w:t>https://doi.org/10.1073/pnas.1600366113</w:t>
        </w:r>
      </w:hyperlink>
      <w:r w:rsidR="004A6A53">
        <w:rPr>
          <w:rFonts w:ascii="Times New Roman" w:hAnsi="Times New Roman" w:cs="Times New Roman"/>
          <w:sz w:val="24"/>
          <w:szCs w:val="24"/>
        </w:rPr>
        <w:t xml:space="preserve"> </w:t>
      </w:r>
    </w:p>
    <w:p w14:paraId="477028DD" w14:textId="71A8632A" w:rsidR="000374F7" w:rsidRPr="000F4C69" w:rsidRDefault="000374F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Wang, S., Zhang, L., Meyer, E., &amp; Matz, M. V. (2009). Construction of a</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high-resolution genetic linkage map and comparative genome analysis for the reef-building coral </w:t>
      </w:r>
      <w:r w:rsidRPr="003275BA">
        <w:rPr>
          <w:rFonts w:ascii="Times New Roman" w:hAnsi="Times New Roman" w:cs="Times New Roman"/>
          <w:i/>
          <w:iCs/>
          <w:sz w:val="24"/>
          <w:szCs w:val="24"/>
        </w:rPr>
        <w:t>Acropora millepora</w:t>
      </w:r>
      <w:r w:rsidRPr="000F4C69">
        <w:rPr>
          <w:rFonts w:ascii="Times New Roman" w:hAnsi="Times New Roman" w:cs="Times New Roman"/>
          <w:sz w:val="24"/>
          <w:szCs w:val="24"/>
        </w:rPr>
        <w:t>. Genome Biology,</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10(11), 1–17. </w:t>
      </w:r>
      <w:hyperlink r:id="rId131" w:history="1">
        <w:r w:rsidR="004A6A53" w:rsidRPr="00DC165E">
          <w:rPr>
            <w:rStyle w:val="Hyperlink"/>
            <w:rFonts w:ascii="Times New Roman" w:hAnsi="Times New Roman" w:cs="Times New Roman"/>
            <w:sz w:val="24"/>
            <w:szCs w:val="24"/>
          </w:rPr>
          <w:t>https://doi.org/10.1186/GB-2009-10-11-R126/FIGURES/5</w:t>
        </w:r>
      </w:hyperlink>
      <w:r w:rsidR="004A6A53">
        <w:rPr>
          <w:rFonts w:ascii="Times New Roman" w:hAnsi="Times New Roman" w:cs="Times New Roman"/>
          <w:sz w:val="24"/>
          <w:szCs w:val="24"/>
        </w:rPr>
        <w:t xml:space="preserve"> </w:t>
      </w:r>
    </w:p>
    <w:p w14:paraId="14C0C1E3" w14:textId="473FCD20" w:rsidR="000374F7" w:rsidRPr="000F4C69" w:rsidRDefault="000374F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Weider, L. J., Hobaek, A., Colbourne, J. K., Crease, T. J., Dufresne, F.,</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&amp; Hebert, P. D. N. (1999). Holarctic phylogeography of an asexual</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species complex I. Mitochondrial DNA variation in Arctic </w:t>
      </w:r>
      <w:r w:rsidRPr="003275BA">
        <w:rPr>
          <w:rFonts w:ascii="Times New Roman" w:hAnsi="Times New Roman" w:cs="Times New Roman"/>
          <w:i/>
          <w:iCs/>
          <w:sz w:val="24"/>
          <w:szCs w:val="24"/>
        </w:rPr>
        <w:t>Daphnia</w:t>
      </w:r>
      <w:r w:rsidRPr="000F4C69">
        <w:rPr>
          <w:rFonts w:ascii="Times New Roman" w:hAnsi="Times New Roman" w:cs="Times New Roman"/>
          <w:sz w:val="24"/>
          <w:szCs w:val="24"/>
        </w:rPr>
        <w:t>.</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Evolution, 53, 777–792. </w:t>
      </w:r>
      <w:hyperlink r:id="rId132" w:history="1">
        <w:r w:rsidR="0049027F" w:rsidRPr="00DC165E">
          <w:rPr>
            <w:rStyle w:val="Hyperlink"/>
            <w:rFonts w:ascii="Times New Roman" w:hAnsi="Times New Roman" w:cs="Times New Roman"/>
            <w:sz w:val="24"/>
            <w:szCs w:val="24"/>
          </w:rPr>
          <w:t>https://doi.org/10.2307/2640718</w:t>
        </w:r>
      </w:hyperlink>
      <w:r w:rsidR="0049027F">
        <w:rPr>
          <w:rFonts w:ascii="Times New Roman" w:hAnsi="Times New Roman" w:cs="Times New Roman"/>
          <w:sz w:val="24"/>
          <w:szCs w:val="24"/>
        </w:rPr>
        <w:t xml:space="preserve"> </w:t>
      </w:r>
    </w:p>
    <w:p w14:paraId="08F3437F" w14:textId="5F16D215" w:rsidR="000374F7" w:rsidRPr="000F4C69" w:rsidRDefault="000374F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Weir, B. S., &amp; Cockerham, C. C. (1984). Estimating F-statistics for the</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analysis of population structure. Evolution (N. Y.), 38, 1358–1370.</w:t>
      </w:r>
      <w:r w:rsidR="00A8505D">
        <w:rPr>
          <w:rFonts w:ascii="Times New Roman" w:hAnsi="Times New Roman" w:cs="Times New Roman"/>
          <w:sz w:val="24"/>
          <w:szCs w:val="24"/>
        </w:rPr>
        <w:t xml:space="preserve"> </w:t>
      </w:r>
      <w:hyperlink r:id="rId133" w:history="1">
        <w:r w:rsidR="003275BA" w:rsidRPr="00DC165E">
          <w:rPr>
            <w:rStyle w:val="Hyperlink"/>
            <w:rFonts w:ascii="Times New Roman" w:hAnsi="Times New Roman" w:cs="Times New Roman"/>
            <w:sz w:val="24"/>
            <w:szCs w:val="24"/>
          </w:rPr>
          <w:t>https://doi.org/10.2307/2408641</w:t>
        </w:r>
      </w:hyperlink>
      <w:r w:rsidR="003275BA">
        <w:rPr>
          <w:rFonts w:ascii="Times New Roman" w:hAnsi="Times New Roman" w:cs="Times New Roman"/>
          <w:sz w:val="24"/>
          <w:szCs w:val="24"/>
        </w:rPr>
        <w:t xml:space="preserve"> </w:t>
      </w:r>
    </w:p>
    <w:p w14:paraId="497090DC" w14:textId="3E76FBA1" w:rsidR="000374F7" w:rsidRPr="000F4C69" w:rsidRDefault="000374F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Wen Deng, H. (1997). Photoperiodic response of sexual reproduction in the </w:t>
      </w:r>
      <w:r w:rsidRPr="0049027F">
        <w:rPr>
          <w:rFonts w:ascii="Times New Roman" w:hAnsi="Times New Roman" w:cs="Times New Roman"/>
          <w:i/>
          <w:iCs/>
          <w:sz w:val="24"/>
          <w:szCs w:val="24"/>
        </w:rPr>
        <w:t>Daphnia pulex</w:t>
      </w:r>
      <w:r w:rsidRPr="000F4C69">
        <w:rPr>
          <w:rFonts w:ascii="Times New Roman" w:hAnsi="Times New Roman" w:cs="Times New Roman"/>
          <w:sz w:val="24"/>
          <w:szCs w:val="24"/>
        </w:rPr>
        <w:t xml:space="preserve"> group is reversed in two distinct habitats. Limnology and Oceanography, 42, 609–611. </w:t>
      </w:r>
      <w:hyperlink r:id="rId134" w:history="1">
        <w:r w:rsidR="0049027F" w:rsidRPr="00DC165E">
          <w:rPr>
            <w:rStyle w:val="Hyperlink"/>
            <w:rFonts w:ascii="Times New Roman" w:hAnsi="Times New Roman" w:cs="Times New Roman"/>
            <w:sz w:val="24"/>
            <w:szCs w:val="24"/>
          </w:rPr>
          <w:t>https://doi.org/10.4319/lo.1997.42.3.0609</w:t>
        </w:r>
      </w:hyperlink>
      <w:r w:rsidR="0049027F">
        <w:rPr>
          <w:rFonts w:ascii="Times New Roman" w:hAnsi="Times New Roman" w:cs="Times New Roman"/>
          <w:sz w:val="24"/>
          <w:szCs w:val="24"/>
        </w:rPr>
        <w:t xml:space="preserve"> </w:t>
      </w:r>
    </w:p>
    <w:p w14:paraId="05914D43" w14:textId="32E8020C" w:rsidR="000374F7" w:rsidRPr="000F4C69" w:rsidRDefault="000374F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Wersebe, M., Sherman, R., Jeyasingh, P. D., &amp; Weider, L. J. (2021). Data</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For: The roles of recombination and selection in shaping genomic</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divergence in an incipient ecological species complex</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Dryad Data</w:t>
      </w:r>
      <w:r w:rsidR="0049027F">
        <w:rPr>
          <w:rFonts w:ascii="Times New Roman" w:hAnsi="Times New Roman" w:cs="Times New Roman"/>
          <w:sz w:val="24"/>
          <w:szCs w:val="24"/>
        </w:rPr>
        <w:t xml:space="preserve"> </w:t>
      </w:r>
      <w:r w:rsidRPr="000F4C69">
        <w:rPr>
          <w:rFonts w:ascii="Times New Roman" w:hAnsi="Times New Roman" w:cs="Times New Roman"/>
          <w:sz w:val="24"/>
          <w:szCs w:val="24"/>
        </w:rPr>
        <w:t xml:space="preserve">Repository. </w:t>
      </w:r>
      <w:hyperlink r:id="rId135" w:history="1">
        <w:r w:rsidR="0049027F" w:rsidRPr="00DC165E">
          <w:rPr>
            <w:rStyle w:val="Hyperlink"/>
            <w:rFonts w:ascii="Times New Roman" w:hAnsi="Times New Roman" w:cs="Times New Roman"/>
            <w:sz w:val="24"/>
            <w:szCs w:val="24"/>
          </w:rPr>
          <w:t>https://doi.org/10.5061/dryad.xksn02vhs</w:t>
        </w:r>
      </w:hyperlink>
      <w:r w:rsidR="0049027F">
        <w:rPr>
          <w:rFonts w:ascii="Times New Roman" w:hAnsi="Times New Roman" w:cs="Times New Roman"/>
          <w:sz w:val="24"/>
          <w:szCs w:val="24"/>
        </w:rPr>
        <w:t xml:space="preserve"> </w:t>
      </w:r>
    </w:p>
    <w:p w14:paraId="2212D035" w14:textId="1F12D0AD" w:rsidR="000374F7" w:rsidRPr="000F4C69" w:rsidRDefault="000374F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Wolf, J. B. W., &amp; Ellegren, H. (2017). Making sense of genomic islands of</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differentiation in light of speciation. Nature Reviews Genetics, 18,</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87–100. </w:t>
      </w:r>
      <w:hyperlink r:id="rId136" w:history="1">
        <w:r w:rsidR="000C57B3" w:rsidRPr="00DC165E">
          <w:rPr>
            <w:rStyle w:val="Hyperlink"/>
            <w:rFonts w:ascii="Times New Roman" w:hAnsi="Times New Roman" w:cs="Times New Roman"/>
            <w:sz w:val="24"/>
            <w:szCs w:val="24"/>
          </w:rPr>
          <w:t>https://doi.org/10.1038/nrg.2016.133</w:t>
        </w:r>
      </w:hyperlink>
      <w:r w:rsidR="000C57B3">
        <w:rPr>
          <w:rFonts w:ascii="Times New Roman" w:hAnsi="Times New Roman" w:cs="Times New Roman"/>
          <w:sz w:val="24"/>
          <w:szCs w:val="24"/>
        </w:rPr>
        <w:t xml:space="preserve"> </w:t>
      </w:r>
    </w:p>
    <w:p w14:paraId="20BD2AF0" w14:textId="3ECB5579" w:rsidR="000374F7" w:rsidRPr="000F4C69" w:rsidRDefault="000374F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Xu, S., Ackerman, M. S., Long, H., Bright, L., Spitze, K., Ramsdell, J. S.,</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Thomas, W. K., &amp; Lynch, M. (2015). A male-specific genetic map</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of the microcrustacean </w:t>
      </w:r>
      <w:r w:rsidRPr="000C57B3">
        <w:rPr>
          <w:rFonts w:ascii="Times New Roman" w:hAnsi="Times New Roman" w:cs="Times New Roman"/>
          <w:i/>
          <w:iCs/>
          <w:sz w:val="24"/>
          <w:szCs w:val="24"/>
        </w:rPr>
        <w:t>Daphnia pulex</w:t>
      </w:r>
      <w:r w:rsidRPr="000F4C69">
        <w:rPr>
          <w:rFonts w:ascii="Times New Roman" w:hAnsi="Times New Roman" w:cs="Times New Roman"/>
          <w:sz w:val="24"/>
          <w:szCs w:val="24"/>
        </w:rPr>
        <w:t xml:space="preserve"> based on single-sperm</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whole-genome sequencing. Genetics, 201, 31–38. </w:t>
      </w:r>
      <w:hyperlink r:id="rId137" w:history="1">
        <w:r w:rsidR="00624463" w:rsidRPr="00DC165E">
          <w:rPr>
            <w:rStyle w:val="Hyperlink"/>
            <w:rFonts w:ascii="Times New Roman" w:hAnsi="Times New Roman" w:cs="Times New Roman"/>
            <w:sz w:val="24"/>
            <w:szCs w:val="24"/>
          </w:rPr>
          <w:t>https://doi.org/10.1534/genetics.115.179028</w:t>
        </w:r>
      </w:hyperlink>
      <w:r w:rsidR="00624463">
        <w:rPr>
          <w:rFonts w:ascii="Times New Roman" w:hAnsi="Times New Roman" w:cs="Times New Roman"/>
          <w:sz w:val="24"/>
          <w:szCs w:val="24"/>
        </w:rPr>
        <w:t xml:space="preserve"> </w:t>
      </w:r>
    </w:p>
    <w:p w14:paraId="57DF7C04" w14:textId="73BC1CD7" w:rsidR="00CC4839" w:rsidRPr="000F4C69" w:rsidRDefault="000374F7"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Xu, S., Spitze, K., Ackerman, M. S., Bright, L., Keith, N., Jackson, C. E.,</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Shaw, J. R., &amp; Lynch, M. (2015). Hybridization and the origin of contagious asexuality in </w:t>
      </w:r>
      <w:r w:rsidRPr="000C57B3">
        <w:rPr>
          <w:rFonts w:ascii="Times New Roman" w:hAnsi="Times New Roman" w:cs="Times New Roman"/>
          <w:i/>
          <w:iCs/>
          <w:sz w:val="24"/>
          <w:szCs w:val="24"/>
        </w:rPr>
        <w:t>Daphnia pulex</w:t>
      </w:r>
      <w:r w:rsidRPr="000F4C69">
        <w:rPr>
          <w:rFonts w:ascii="Times New Roman" w:hAnsi="Times New Roman" w:cs="Times New Roman"/>
          <w:sz w:val="24"/>
          <w:szCs w:val="24"/>
        </w:rPr>
        <w:t xml:space="preserve">. </w:t>
      </w:r>
      <w:r w:rsidRPr="000F4C69">
        <w:rPr>
          <w:rFonts w:ascii="Times New Roman" w:hAnsi="Times New Roman" w:cs="Times New Roman"/>
          <w:sz w:val="24"/>
          <w:szCs w:val="24"/>
        </w:rPr>
        <w:lastRenderedPageBreak/>
        <w:t>Molecular Biology and Evolution,</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32, 3215–3225. </w:t>
      </w:r>
      <w:hyperlink r:id="rId138" w:history="1">
        <w:r w:rsidRPr="000F4C69">
          <w:rPr>
            <w:rStyle w:val="Hyperlink"/>
            <w:rFonts w:ascii="Times New Roman" w:hAnsi="Times New Roman" w:cs="Times New Roman"/>
            <w:sz w:val="24"/>
            <w:szCs w:val="24"/>
          </w:rPr>
          <w:t>https://doi.org/10.1093/molbev/msv190</w:t>
        </w:r>
      </w:hyperlink>
    </w:p>
    <w:p w14:paraId="632105CD" w14:textId="76A8C88F" w:rsidR="009E10FD" w:rsidRPr="000F4C69" w:rsidRDefault="009E10F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 xml:space="preserve">Ye, Z., Molinier, C., Zhao, C., Haag, C. R., &amp; Lynch, M. (2019). Genetic control of male production in </w:t>
      </w:r>
      <w:r w:rsidRPr="000C57B3">
        <w:rPr>
          <w:rFonts w:ascii="Times New Roman" w:hAnsi="Times New Roman" w:cs="Times New Roman"/>
          <w:i/>
          <w:iCs/>
          <w:sz w:val="24"/>
          <w:szCs w:val="24"/>
        </w:rPr>
        <w:t>Daphnia pulex</w:t>
      </w:r>
      <w:r w:rsidRPr="000F4C69">
        <w:rPr>
          <w:rFonts w:ascii="Times New Roman" w:hAnsi="Times New Roman" w:cs="Times New Roman"/>
          <w:sz w:val="24"/>
          <w:szCs w:val="24"/>
        </w:rPr>
        <w:t>. Proceedings of the National</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Academy of Sciences of the United States of America, 116, 15602–15609. </w:t>
      </w:r>
      <w:hyperlink r:id="rId139" w:history="1">
        <w:r w:rsidR="00624463" w:rsidRPr="00DC165E">
          <w:rPr>
            <w:rStyle w:val="Hyperlink"/>
            <w:rFonts w:ascii="Times New Roman" w:hAnsi="Times New Roman" w:cs="Times New Roman"/>
            <w:sz w:val="24"/>
            <w:szCs w:val="24"/>
          </w:rPr>
          <w:t>https://doi.org/10.1073/pnas.1903553116</w:t>
        </w:r>
      </w:hyperlink>
      <w:r w:rsidR="00624463">
        <w:rPr>
          <w:rFonts w:ascii="Times New Roman" w:hAnsi="Times New Roman" w:cs="Times New Roman"/>
          <w:sz w:val="24"/>
          <w:szCs w:val="24"/>
        </w:rPr>
        <w:t xml:space="preserve"> </w:t>
      </w:r>
    </w:p>
    <w:p w14:paraId="2B5153F6" w14:textId="67CAFDB0" w:rsidR="009E10FD" w:rsidRPr="000F4C69" w:rsidRDefault="009E10FD" w:rsidP="00A8505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Ye, Z., Williams, E., Zhao, C., Burns, C. W., &amp; Lynch, M. (2021). The rapid,</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mass invasion of New Zealand by North American </w:t>
      </w:r>
      <w:r w:rsidRPr="000C57B3">
        <w:rPr>
          <w:rFonts w:ascii="Times New Roman" w:hAnsi="Times New Roman" w:cs="Times New Roman"/>
          <w:i/>
          <w:iCs/>
          <w:sz w:val="24"/>
          <w:szCs w:val="24"/>
        </w:rPr>
        <w:t>Daphnia “pulex”</w:t>
      </w:r>
      <w:r w:rsidRPr="000F4C69">
        <w:rPr>
          <w:rFonts w:ascii="Times New Roman" w:hAnsi="Times New Roman" w:cs="Times New Roman"/>
          <w:sz w:val="24"/>
          <w:szCs w:val="24"/>
        </w:rPr>
        <w:t>.</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Limnology and Oceanography, 9999, 1–12. </w:t>
      </w:r>
      <w:hyperlink r:id="rId140" w:history="1">
        <w:r w:rsidR="00624463" w:rsidRPr="00DC165E">
          <w:rPr>
            <w:rStyle w:val="Hyperlink"/>
            <w:rFonts w:ascii="Times New Roman" w:hAnsi="Times New Roman" w:cs="Times New Roman"/>
            <w:sz w:val="24"/>
            <w:szCs w:val="24"/>
          </w:rPr>
          <w:t>https://doi.org/10.1002/lno.11780</w:t>
        </w:r>
      </w:hyperlink>
      <w:r w:rsidR="00624463">
        <w:rPr>
          <w:rFonts w:ascii="Times New Roman" w:hAnsi="Times New Roman" w:cs="Times New Roman"/>
          <w:sz w:val="24"/>
          <w:szCs w:val="24"/>
        </w:rPr>
        <w:t xml:space="preserve"> </w:t>
      </w:r>
    </w:p>
    <w:p w14:paraId="7B97B643" w14:textId="5460F73C" w:rsidR="00A8505D" w:rsidRDefault="009E10FD" w:rsidP="0003439D">
      <w:pPr>
        <w:spacing w:line="240" w:lineRule="auto"/>
        <w:ind w:left="720" w:hanging="720"/>
        <w:rPr>
          <w:rFonts w:ascii="Times New Roman" w:hAnsi="Times New Roman" w:cs="Times New Roman"/>
          <w:sz w:val="24"/>
          <w:szCs w:val="24"/>
        </w:rPr>
      </w:pPr>
      <w:r w:rsidRPr="000F4C69">
        <w:rPr>
          <w:rFonts w:ascii="Times New Roman" w:hAnsi="Times New Roman" w:cs="Times New Roman"/>
          <w:sz w:val="24"/>
          <w:szCs w:val="24"/>
        </w:rPr>
        <w:t>Ye, Z., Xu, S., Spitze, K., Asselman, J., Jiang, X., Ackerman, M. S., Lopez,</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J., Harker, B., Raborn, R. T., Thomas, W. K., Ramsdell, J., Pfrender,</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M. E., &amp; Lynch, M. (2017). A new reference genome assembly for</w:t>
      </w:r>
      <w:r w:rsidR="00A8505D">
        <w:rPr>
          <w:rFonts w:ascii="Times New Roman" w:hAnsi="Times New Roman" w:cs="Times New Roman"/>
          <w:sz w:val="24"/>
          <w:szCs w:val="24"/>
        </w:rPr>
        <w:t xml:space="preserve"> </w:t>
      </w:r>
      <w:r w:rsidRPr="000F4C69">
        <w:rPr>
          <w:rFonts w:ascii="Times New Roman" w:hAnsi="Times New Roman" w:cs="Times New Roman"/>
          <w:sz w:val="24"/>
          <w:szCs w:val="24"/>
        </w:rPr>
        <w:t xml:space="preserve">the microcrustacean </w:t>
      </w:r>
      <w:r w:rsidRPr="0003439D">
        <w:rPr>
          <w:rFonts w:ascii="Times New Roman" w:hAnsi="Times New Roman" w:cs="Times New Roman"/>
          <w:i/>
          <w:iCs/>
          <w:sz w:val="24"/>
          <w:szCs w:val="24"/>
        </w:rPr>
        <w:t>Daphnia pulex</w:t>
      </w:r>
      <w:r w:rsidRPr="000F4C69">
        <w:rPr>
          <w:rFonts w:ascii="Times New Roman" w:hAnsi="Times New Roman" w:cs="Times New Roman"/>
          <w:sz w:val="24"/>
          <w:szCs w:val="24"/>
        </w:rPr>
        <w:t>. G3 (Bethesda), 7, 1405–1416.</w:t>
      </w:r>
      <w:r w:rsidR="00624463">
        <w:rPr>
          <w:rFonts w:ascii="Times New Roman" w:hAnsi="Times New Roman" w:cs="Times New Roman"/>
          <w:sz w:val="24"/>
          <w:szCs w:val="24"/>
        </w:rPr>
        <w:t xml:space="preserve"> </w:t>
      </w:r>
      <w:hyperlink r:id="rId141" w:history="1">
        <w:r w:rsidR="00624463" w:rsidRPr="00DC165E">
          <w:rPr>
            <w:rStyle w:val="Hyperlink"/>
            <w:rFonts w:ascii="Times New Roman" w:hAnsi="Times New Roman" w:cs="Times New Roman"/>
            <w:sz w:val="24"/>
            <w:szCs w:val="24"/>
          </w:rPr>
          <w:t>https://doi.org/10.1534/g3.116.038638</w:t>
        </w:r>
      </w:hyperlink>
    </w:p>
    <w:p w14:paraId="26F9ADD6" w14:textId="538EB9F1" w:rsidR="0003439D" w:rsidRDefault="0003439D" w:rsidP="0003439D">
      <w:pPr>
        <w:spacing w:line="240" w:lineRule="auto"/>
        <w:ind w:left="720" w:hanging="720"/>
        <w:rPr>
          <w:rFonts w:ascii="Times New Roman" w:hAnsi="Times New Roman" w:cs="Times New Roman"/>
          <w:sz w:val="24"/>
          <w:szCs w:val="24"/>
        </w:rPr>
      </w:pPr>
    </w:p>
    <w:p w14:paraId="25802C2B" w14:textId="412B2A63" w:rsidR="0003439D" w:rsidRDefault="0003439D" w:rsidP="0003439D">
      <w:pPr>
        <w:spacing w:line="240" w:lineRule="auto"/>
        <w:ind w:left="720" w:hanging="720"/>
        <w:rPr>
          <w:rFonts w:ascii="Times New Roman" w:hAnsi="Times New Roman" w:cs="Times New Roman"/>
          <w:sz w:val="24"/>
          <w:szCs w:val="24"/>
        </w:rPr>
      </w:pPr>
    </w:p>
    <w:p w14:paraId="3005FDB8" w14:textId="70E348F1" w:rsidR="0003439D" w:rsidRDefault="0003439D" w:rsidP="0003439D">
      <w:pPr>
        <w:spacing w:line="240" w:lineRule="auto"/>
        <w:ind w:left="720" w:hanging="720"/>
        <w:rPr>
          <w:rFonts w:ascii="Times New Roman" w:hAnsi="Times New Roman" w:cs="Times New Roman"/>
          <w:sz w:val="24"/>
          <w:szCs w:val="24"/>
        </w:rPr>
      </w:pPr>
    </w:p>
    <w:p w14:paraId="5A72423B" w14:textId="6C63B4DC" w:rsidR="0003439D" w:rsidRDefault="0003439D" w:rsidP="0003439D">
      <w:pPr>
        <w:spacing w:line="240" w:lineRule="auto"/>
        <w:ind w:left="720" w:hanging="720"/>
        <w:rPr>
          <w:rFonts w:ascii="Times New Roman" w:hAnsi="Times New Roman" w:cs="Times New Roman"/>
          <w:sz w:val="24"/>
          <w:szCs w:val="24"/>
        </w:rPr>
      </w:pPr>
    </w:p>
    <w:p w14:paraId="481E5D8C" w14:textId="4FF7A6FD" w:rsidR="0003439D" w:rsidRDefault="0003439D" w:rsidP="0003439D">
      <w:pPr>
        <w:spacing w:line="240" w:lineRule="auto"/>
        <w:ind w:left="720" w:hanging="720"/>
        <w:rPr>
          <w:rFonts w:ascii="Times New Roman" w:hAnsi="Times New Roman" w:cs="Times New Roman"/>
          <w:sz w:val="24"/>
          <w:szCs w:val="24"/>
        </w:rPr>
      </w:pPr>
    </w:p>
    <w:p w14:paraId="6ACE1DA9" w14:textId="0054CFDD" w:rsidR="0003439D" w:rsidRDefault="0003439D" w:rsidP="0003439D">
      <w:pPr>
        <w:spacing w:line="240" w:lineRule="auto"/>
        <w:ind w:left="720" w:hanging="720"/>
        <w:rPr>
          <w:rFonts w:ascii="Times New Roman" w:hAnsi="Times New Roman" w:cs="Times New Roman"/>
          <w:sz w:val="24"/>
          <w:szCs w:val="24"/>
        </w:rPr>
      </w:pPr>
    </w:p>
    <w:p w14:paraId="50B70150" w14:textId="79DE0A6B" w:rsidR="0003439D" w:rsidRDefault="0003439D" w:rsidP="0003439D">
      <w:pPr>
        <w:spacing w:line="240" w:lineRule="auto"/>
        <w:ind w:left="720" w:hanging="720"/>
        <w:rPr>
          <w:rFonts w:ascii="Times New Roman" w:hAnsi="Times New Roman" w:cs="Times New Roman"/>
          <w:sz w:val="24"/>
          <w:szCs w:val="24"/>
        </w:rPr>
      </w:pPr>
    </w:p>
    <w:p w14:paraId="5642B5B6" w14:textId="426551A8" w:rsidR="00A0579C" w:rsidRDefault="00A0579C" w:rsidP="0003439D">
      <w:pPr>
        <w:spacing w:line="240" w:lineRule="auto"/>
        <w:ind w:left="720" w:hanging="720"/>
        <w:rPr>
          <w:rFonts w:ascii="Times New Roman" w:hAnsi="Times New Roman" w:cs="Times New Roman"/>
          <w:sz w:val="24"/>
          <w:szCs w:val="24"/>
        </w:rPr>
      </w:pPr>
    </w:p>
    <w:p w14:paraId="43FA64E2" w14:textId="77777777" w:rsidR="00A0579C" w:rsidRDefault="00A0579C">
      <w:pPr>
        <w:rPr>
          <w:rFonts w:ascii="Times New Roman" w:hAnsi="Times New Roman" w:cs="Times New Roman"/>
          <w:sz w:val="24"/>
          <w:szCs w:val="24"/>
        </w:rPr>
      </w:pPr>
      <w:r>
        <w:rPr>
          <w:rFonts w:ascii="Times New Roman" w:hAnsi="Times New Roman" w:cs="Times New Roman"/>
          <w:sz w:val="24"/>
          <w:szCs w:val="24"/>
        </w:rPr>
        <w:br w:type="page"/>
      </w:r>
    </w:p>
    <w:p w14:paraId="7DC77E51" w14:textId="55E37B71" w:rsidR="004B20AC" w:rsidRPr="004B20AC" w:rsidRDefault="004B20AC" w:rsidP="0003439D">
      <w:pPr>
        <w:spacing w:line="240" w:lineRule="auto"/>
        <w:ind w:left="720" w:hanging="720"/>
        <w:rPr>
          <w:rFonts w:ascii="Times New Roman" w:hAnsi="Times New Roman" w:cs="Times New Roman"/>
          <w:b/>
          <w:bCs/>
          <w:noProof/>
          <w:sz w:val="24"/>
          <w:szCs w:val="24"/>
        </w:rPr>
      </w:pPr>
      <w:r w:rsidRPr="004B20AC">
        <w:rPr>
          <w:rFonts w:ascii="Times New Roman" w:hAnsi="Times New Roman" w:cs="Times New Roman"/>
          <w:b/>
          <w:bCs/>
          <w:noProof/>
          <w:sz w:val="24"/>
          <w:szCs w:val="24"/>
        </w:rPr>
        <w:lastRenderedPageBreak/>
        <w:t>Figures &amp; Tables:</w:t>
      </w:r>
    </w:p>
    <w:p w14:paraId="75B88222" w14:textId="1BA40103" w:rsidR="00A0579C" w:rsidRDefault="00A0579C" w:rsidP="0003439D">
      <w:pPr>
        <w:spacing w:line="240" w:lineRule="auto"/>
        <w:ind w:left="720" w:hanging="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E32C1A" wp14:editId="5D3FF068">
            <wp:extent cx="5005756" cy="591375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013224" cy="5922578"/>
                    </a:xfrm>
                    <a:prstGeom prst="rect">
                      <a:avLst/>
                    </a:prstGeom>
                    <a:noFill/>
                  </pic:spPr>
                </pic:pic>
              </a:graphicData>
            </a:graphic>
          </wp:inline>
        </w:drawing>
      </w:r>
    </w:p>
    <w:p w14:paraId="2919DFA4" w14:textId="2D6211FA" w:rsidR="00A0579C" w:rsidRDefault="006424F6" w:rsidP="006424F6">
      <w:pPr>
        <w:spacing w:line="240" w:lineRule="auto"/>
        <w:rPr>
          <w:rFonts w:ascii="Times New Roman" w:hAnsi="Times New Roman" w:cs="Times New Roman"/>
          <w:sz w:val="24"/>
          <w:szCs w:val="24"/>
        </w:rPr>
      </w:pPr>
      <w:r w:rsidRPr="00924B48">
        <w:rPr>
          <w:rFonts w:ascii="Times New Roman" w:hAnsi="Times New Roman" w:cs="Times New Roman"/>
          <w:b/>
          <w:bCs/>
          <w:sz w:val="24"/>
          <w:szCs w:val="24"/>
        </w:rPr>
        <w:t>Figure 1:</w:t>
      </w:r>
      <w:r w:rsidRPr="006424F6">
        <w:rPr>
          <w:rFonts w:ascii="Times New Roman" w:hAnsi="Times New Roman" w:cs="Times New Roman"/>
          <w:sz w:val="24"/>
          <w:szCs w:val="24"/>
        </w:rPr>
        <w:t xml:space="preserve"> Linkage group (LG) Marey maps. The number of each LG map corresponds with the chromosome number assigned by LepMap3 and does not reflect reordering by total length. In each panel, the </w:t>
      </w:r>
      <w:r w:rsidRPr="006424F6">
        <w:rPr>
          <w:rFonts w:ascii="Times New Roman" w:hAnsi="Times New Roman" w:cs="Times New Roman"/>
          <w:i/>
          <w:iCs/>
          <w:sz w:val="24"/>
          <w:szCs w:val="24"/>
        </w:rPr>
        <w:t>x</w:t>
      </w:r>
      <w:r w:rsidRPr="006424F6">
        <w:rPr>
          <w:rFonts w:ascii="Times New Roman" w:hAnsi="Times New Roman" w:cs="Times New Roman"/>
          <w:sz w:val="24"/>
          <w:szCs w:val="24"/>
        </w:rPr>
        <w:t>-axis is the physical position (in base pairs) of markers along the chromosome and the </w:t>
      </w:r>
      <w:r w:rsidRPr="006424F6">
        <w:rPr>
          <w:rFonts w:ascii="Times New Roman" w:hAnsi="Times New Roman" w:cs="Times New Roman"/>
          <w:i/>
          <w:iCs/>
          <w:sz w:val="24"/>
          <w:szCs w:val="24"/>
        </w:rPr>
        <w:t>y</w:t>
      </w:r>
      <w:r w:rsidRPr="006424F6">
        <w:rPr>
          <w:rFonts w:ascii="Times New Roman" w:hAnsi="Times New Roman" w:cs="Times New Roman"/>
          <w:sz w:val="24"/>
          <w:szCs w:val="24"/>
        </w:rPr>
        <w:t>-axis represents the marker's corresponding genetic position (in cM). The color of the two lines corresponds to the sex-specific female (dark red) and male (light blue) maps. Marey maps are used to estimate the recombination rates along chromosomes by determining the slope of the line formed by plotting genetic and physical position of markers. Areas of positive slopes indicate regions of high recombination (e.g., LG2 ends), whereas regions of zero slopes indicate regions of suppressed recombination (e.g., LG2 center)</w:t>
      </w:r>
    </w:p>
    <w:p w14:paraId="26586A8E" w14:textId="77777777" w:rsidR="006424F6" w:rsidRPr="006424F6" w:rsidRDefault="006424F6" w:rsidP="006424F6">
      <w:pPr>
        <w:spacing w:line="240" w:lineRule="auto"/>
        <w:rPr>
          <w:rFonts w:ascii="Times New Roman" w:hAnsi="Times New Roman" w:cs="Times New Roman"/>
          <w:sz w:val="24"/>
          <w:szCs w:val="24"/>
        </w:rPr>
      </w:pPr>
    </w:p>
    <w:p w14:paraId="5FE14865" w14:textId="60A32940" w:rsidR="0003439D" w:rsidRDefault="0003439D" w:rsidP="0003439D">
      <w:pPr>
        <w:spacing w:line="240" w:lineRule="auto"/>
        <w:ind w:left="720" w:hanging="720"/>
        <w:rPr>
          <w:rFonts w:ascii="Times New Roman" w:hAnsi="Times New Roman" w:cs="Times New Roman"/>
          <w:sz w:val="24"/>
          <w:szCs w:val="24"/>
        </w:rPr>
      </w:pPr>
    </w:p>
    <w:p w14:paraId="2BE1A07D" w14:textId="77777777" w:rsidR="00C80F83" w:rsidRDefault="00C80F8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A81B6B" wp14:editId="5C185EC4">
            <wp:extent cx="5956300" cy="4022182"/>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969105" cy="4030829"/>
                    </a:xfrm>
                    <a:prstGeom prst="rect">
                      <a:avLst/>
                    </a:prstGeom>
                    <a:noFill/>
                  </pic:spPr>
                </pic:pic>
              </a:graphicData>
            </a:graphic>
          </wp:inline>
        </w:drawing>
      </w:r>
    </w:p>
    <w:p w14:paraId="77F4CB13" w14:textId="77777777" w:rsidR="00640C98" w:rsidRDefault="00640C98" w:rsidP="00640C98">
      <w:pPr>
        <w:rPr>
          <w:rFonts w:ascii="Times New Roman" w:hAnsi="Times New Roman" w:cs="Times New Roman"/>
          <w:sz w:val="24"/>
          <w:szCs w:val="24"/>
        </w:rPr>
      </w:pPr>
      <w:r w:rsidRPr="00924B48">
        <w:rPr>
          <w:rFonts w:ascii="Times New Roman" w:hAnsi="Times New Roman" w:cs="Times New Roman"/>
          <w:b/>
          <w:bCs/>
          <w:sz w:val="24"/>
          <w:szCs w:val="24"/>
        </w:rPr>
        <w:t>Figure 2:</w:t>
      </w:r>
      <w:r>
        <w:rPr>
          <w:rFonts w:ascii="Times New Roman" w:hAnsi="Times New Roman" w:cs="Times New Roman"/>
          <w:sz w:val="24"/>
          <w:szCs w:val="24"/>
        </w:rPr>
        <w:t xml:space="preserve"> </w:t>
      </w:r>
      <w:r w:rsidRPr="00640C98">
        <w:rPr>
          <w:rFonts w:ascii="Times New Roman" w:hAnsi="Times New Roman" w:cs="Times New Roman"/>
          <w:sz w:val="24"/>
          <w:szCs w:val="24"/>
        </w:rPr>
        <w:t>Population genetic structure of Daphnia pulex, Daphnia pulicaria, and their hybrids based on RADseq derived SNP genotypes. In all cases, SNP set analysed was pruned to include only one SNP per RAD locus to control for linkage disequilibrium. (a) Principal components analysis (PCA) biplot of sample genetic structure calculated using the R package Adegenet (Jombart, 2008). Ellipses indicated 95% confidence limits for groupings. (b) Bar plot of Bayesian posterior assignment probabilities of population using K = 2 for all samples calculated using Faststructure (Raj et al., 2014). (c) Sample collection locations (redrawn from Clifford (2016)). Lakes and ponds are denoted by the pink and blue dots respectively. Samples are primarily derived from the midwestern USA and the southern Canadian Provinces bordering the USA</w:t>
      </w:r>
    </w:p>
    <w:p w14:paraId="274EFEAA" w14:textId="77777777" w:rsidR="00640C98" w:rsidRDefault="00640C98" w:rsidP="00640C98">
      <w:pPr>
        <w:rPr>
          <w:rFonts w:ascii="Times New Roman" w:hAnsi="Times New Roman" w:cs="Times New Roman"/>
          <w:sz w:val="24"/>
          <w:szCs w:val="24"/>
        </w:rPr>
      </w:pPr>
    </w:p>
    <w:p w14:paraId="56B70DBB" w14:textId="77777777" w:rsidR="00640C98" w:rsidRDefault="00640C98" w:rsidP="00640C98">
      <w:pPr>
        <w:rPr>
          <w:rFonts w:ascii="Times New Roman" w:hAnsi="Times New Roman" w:cs="Times New Roman"/>
          <w:sz w:val="24"/>
          <w:szCs w:val="24"/>
        </w:rPr>
      </w:pPr>
    </w:p>
    <w:p w14:paraId="784D0BA4" w14:textId="77777777" w:rsidR="00640C98" w:rsidRDefault="00640C98" w:rsidP="00640C98">
      <w:pPr>
        <w:rPr>
          <w:rFonts w:ascii="Times New Roman" w:hAnsi="Times New Roman" w:cs="Times New Roman"/>
          <w:sz w:val="24"/>
          <w:szCs w:val="24"/>
        </w:rPr>
      </w:pPr>
    </w:p>
    <w:p w14:paraId="149F073C" w14:textId="77777777" w:rsidR="00640C98" w:rsidRDefault="00640C98" w:rsidP="00640C98">
      <w:pPr>
        <w:rPr>
          <w:rFonts w:ascii="Times New Roman" w:hAnsi="Times New Roman" w:cs="Times New Roman"/>
          <w:sz w:val="24"/>
          <w:szCs w:val="24"/>
        </w:rPr>
      </w:pPr>
    </w:p>
    <w:p w14:paraId="7BDBBFE2" w14:textId="77777777" w:rsidR="00640C98" w:rsidRDefault="00640C98" w:rsidP="00640C98">
      <w:pPr>
        <w:rPr>
          <w:rFonts w:ascii="Times New Roman" w:hAnsi="Times New Roman" w:cs="Times New Roman"/>
          <w:sz w:val="24"/>
          <w:szCs w:val="24"/>
        </w:rPr>
      </w:pPr>
    </w:p>
    <w:p w14:paraId="6C688176" w14:textId="77777777" w:rsidR="00640C98" w:rsidRDefault="00640C98" w:rsidP="00640C98">
      <w:pPr>
        <w:rPr>
          <w:rFonts w:ascii="Times New Roman" w:hAnsi="Times New Roman" w:cs="Times New Roman"/>
          <w:sz w:val="24"/>
          <w:szCs w:val="24"/>
        </w:rPr>
      </w:pPr>
    </w:p>
    <w:p w14:paraId="07A47E6D" w14:textId="77777777" w:rsidR="00640C98" w:rsidRDefault="00640C98" w:rsidP="00640C98">
      <w:pPr>
        <w:rPr>
          <w:rFonts w:ascii="Times New Roman" w:hAnsi="Times New Roman" w:cs="Times New Roman"/>
          <w:sz w:val="24"/>
          <w:szCs w:val="24"/>
        </w:rPr>
      </w:pPr>
    </w:p>
    <w:p w14:paraId="100ED60D" w14:textId="77777777" w:rsidR="001F0BD0" w:rsidRDefault="001F0BD0" w:rsidP="00640C9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3D9AAC" wp14:editId="51619D0C">
            <wp:extent cx="3895725" cy="52081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903478" cy="5218554"/>
                    </a:xfrm>
                    <a:prstGeom prst="rect">
                      <a:avLst/>
                    </a:prstGeom>
                    <a:noFill/>
                  </pic:spPr>
                </pic:pic>
              </a:graphicData>
            </a:graphic>
          </wp:inline>
        </w:drawing>
      </w:r>
    </w:p>
    <w:p w14:paraId="75AC99BD" w14:textId="1D543864" w:rsidR="00880ED3" w:rsidRDefault="001F0BD0" w:rsidP="00931043">
      <w:pPr>
        <w:rPr>
          <w:rFonts w:ascii="Times New Roman" w:hAnsi="Times New Roman" w:cs="Times New Roman"/>
          <w:sz w:val="24"/>
          <w:szCs w:val="24"/>
        </w:rPr>
      </w:pPr>
      <w:r w:rsidRPr="00924B48">
        <w:rPr>
          <w:rFonts w:ascii="Times New Roman" w:hAnsi="Times New Roman" w:cs="Times New Roman"/>
          <w:b/>
          <w:bCs/>
          <w:sz w:val="24"/>
          <w:szCs w:val="24"/>
        </w:rPr>
        <w:t>Figure 3:</w:t>
      </w:r>
      <w:r>
        <w:rPr>
          <w:rFonts w:ascii="Times New Roman" w:hAnsi="Times New Roman" w:cs="Times New Roman"/>
          <w:sz w:val="24"/>
          <w:szCs w:val="24"/>
        </w:rPr>
        <w:t xml:space="preserve"> </w:t>
      </w:r>
      <w:r w:rsidRPr="001F0BD0">
        <w:rPr>
          <w:rFonts w:ascii="Times New Roman" w:hAnsi="Times New Roman" w:cs="Times New Roman"/>
          <w:sz w:val="24"/>
          <w:szCs w:val="24"/>
        </w:rPr>
        <w:t>SNP outlier status and recombination or gene-density backgrounds. (a) Histogram of mean recombination rate surrounding 1000 permutations of 762 random background SNPs according to the male genetic map. Vertical red line indicates the mean recombination rate surrounding 762 outlier SNPs identified by VCFtools site-wise FST scan (Danecek et al., 2011). 80 of 1000 permutations are greater than the outlier SNPs. (b) Histogram of mean recombination rate surrounding 1000 permutations of 762 random background SNPs according to the female genetic map. Vertical red line indicates the mean recombination rate surrounding 762 outlier SNPs identified by VCFtools site-wise F</w:t>
      </w:r>
      <w:r w:rsidRPr="001F0BD0">
        <w:rPr>
          <w:rFonts w:ascii="Times New Roman" w:hAnsi="Times New Roman" w:cs="Times New Roman"/>
          <w:sz w:val="24"/>
          <w:szCs w:val="24"/>
          <w:vertAlign w:val="subscript"/>
        </w:rPr>
        <w:t>ST</w:t>
      </w:r>
      <w:r w:rsidRPr="001F0BD0">
        <w:rPr>
          <w:rFonts w:ascii="Times New Roman" w:hAnsi="Times New Roman" w:cs="Times New Roman"/>
          <w:sz w:val="24"/>
          <w:szCs w:val="24"/>
        </w:rPr>
        <w:t xml:space="preserve"> scan. 91 of 1000 permutations are greater than the outlier SNPs. (c) Histogram of mean coding DNA sequence (CDS) content around 1000 permutations of 762 randomly selected background SNPs. Vertical red line indicates the mean surrounding the 762 FST outlier SNPs. No permutation was larger than the observed outlier value. (d) Wright's FST distribution between </w:t>
      </w:r>
      <w:r w:rsidRPr="001F0BD0">
        <w:rPr>
          <w:rFonts w:ascii="Times New Roman" w:hAnsi="Times New Roman" w:cs="Times New Roman"/>
          <w:i/>
          <w:iCs/>
          <w:sz w:val="24"/>
          <w:szCs w:val="24"/>
        </w:rPr>
        <w:t>D. pulex</w:t>
      </w:r>
      <w:r w:rsidRPr="001F0BD0">
        <w:rPr>
          <w:rFonts w:ascii="Times New Roman" w:hAnsi="Times New Roman" w:cs="Times New Roman"/>
          <w:sz w:val="24"/>
          <w:szCs w:val="24"/>
        </w:rPr>
        <w:t xml:space="preserve"> and </w:t>
      </w:r>
      <w:r w:rsidRPr="001F0BD0">
        <w:rPr>
          <w:rFonts w:ascii="Times New Roman" w:hAnsi="Times New Roman" w:cs="Times New Roman"/>
          <w:i/>
          <w:iCs/>
          <w:sz w:val="24"/>
          <w:szCs w:val="24"/>
        </w:rPr>
        <w:t>D. pulicaria</w:t>
      </w:r>
      <w:r w:rsidRPr="001F0BD0">
        <w:rPr>
          <w:rFonts w:ascii="Times New Roman" w:hAnsi="Times New Roman" w:cs="Times New Roman"/>
          <w:sz w:val="24"/>
          <w:szCs w:val="24"/>
        </w:rPr>
        <w:t xml:space="preserve"> from all SNPs included in the single-SNP data se</w:t>
      </w:r>
      <w:r w:rsidR="00880ED3">
        <w:rPr>
          <w:rFonts w:ascii="Times New Roman" w:hAnsi="Times New Roman" w:cs="Times New Roman"/>
          <w:sz w:val="24"/>
          <w:szCs w:val="24"/>
        </w:rPr>
        <w:t>ts.</w:t>
      </w:r>
    </w:p>
    <w:p w14:paraId="43041DE8" w14:textId="55EB80BD" w:rsidR="00880ED3" w:rsidRDefault="00880ED3">
      <w:pPr>
        <w:rPr>
          <w:rFonts w:ascii="Times New Roman" w:hAnsi="Times New Roman" w:cs="Times New Roman"/>
          <w:sz w:val="24"/>
          <w:szCs w:val="24"/>
        </w:rPr>
      </w:pPr>
      <w:r>
        <w:rPr>
          <w:rFonts w:ascii="Times New Roman" w:hAnsi="Times New Roman" w:cs="Times New Roman"/>
          <w:sz w:val="24"/>
          <w:szCs w:val="24"/>
        </w:rPr>
        <w:br w:type="page"/>
      </w:r>
      <w:r w:rsidR="00D124BF">
        <w:rPr>
          <w:rFonts w:ascii="Times New Roman" w:hAnsi="Times New Roman" w:cs="Times New Roman"/>
          <w:noProof/>
          <w:sz w:val="24"/>
          <w:szCs w:val="24"/>
        </w:rPr>
        <w:lastRenderedPageBreak/>
        <w:drawing>
          <wp:inline distT="0" distB="0" distL="0" distR="0" wp14:anchorId="68F85882" wp14:editId="7814ED96">
            <wp:extent cx="5257800" cy="5163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260193" cy="5165510"/>
                    </a:xfrm>
                    <a:prstGeom prst="rect">
                      <a:avLst/>
                    </a:prstGeom>
                    <a:noFill/>
                  </pic:spPr>
                </pic:pic>
              </a:graphicData>
            </a:graphic>
          </wp:inline>
        </w:drawing>
      </w:r>
    </w:p>
    <w:p w14:paraId="46B6A635" w14:textId="60A8A189" w:rsidR="00D124BF" w:rsidRDefault="000908D0">
      <w:pPr>
        <w:rPr>
          <w:rFonts w:ascii="Times New Roman" w:hAnsi="Times New Roman" w:cs="Times New Roman"/>
          <w:sz w:val="24"/>
          <w:szCs w:val="24"/>
        </w:rPr>
      </w:pPr>
      <w:r w:rsidRPr="00924B48">
        <w:rPr>
          <w:rFonts w:ascii="Times New Roman" w:hAnsi="Times New Roman" w:cs="Times New Roman"/>
          <w:b/>
          <w:bCs/>
          <w:sz w:val="24"/>
          <w:szCs w:val="24"/>
        </w:rPr>
        <w:t>Figure 4:</w:t>
      </w:r>
      <w:r>
        <w:rPr>
          <w:rFonts w:ascii="Times New Roman" w:hAnsi="Times New Roman" w:cs="Times New Roman"/>
          <w:sz w:val="24"/>
          <w:szCs w:val="24"/>
        </w:rPr>
        <w:t xml:space="preserve"> </w:t>
      </w:r>
      <w:r w:rsidRPr="000908D0">
        <w:rPr>
          <w:rFonts w:ascii="Times New Roman" w:hAnsi="Times New Roman" w:cs="Times New Roman"/>
          <w:sz w:val="24"/>
          <w:szCs w:val="24"/>
        </w:rPr>
        <w:t>Sliding window analysis of linkage group (LG)-1 landscapes. Top: Recombination landscape in 1-Mb windows stepping 10 kb along the LG. Colours reflect the male (blue) and female (red) map positions. Second from top: Sliding window </w:t>
      </w:r>
      <w:r w:rsidRPr="000908D0">
        <w:rPr>
          <w:rFonts w:ascii="Times New Roman" w:hAnsi="Times New Roman" w:cs="Times New Roman"/>
          <w:i/>
          <w:iCs/>
          <w:sz w:val="24"/>
          <w:szCs w:val="24"/>
        </w:rPr>
        <w:t>F</w:t>
      </w:r>
      <w:r w:rsidRPr="000908D0">
        <w:rPr>
          <w:rFonts w:ascii="Times New Roman" w:hAnsi="Times New Roman" w:cs="Times New Roman"/>
          <w:sz w:val="24"/>
          <w:szCs w:val="24"/>
          <w:vertAlign w:val="subscript"/>
        </w:rPr>
        <w:t>ST</w:t>
      </w:r>
      <w:r w:rsidRPr="000908D0">
        <w:rPr>
          <w:rFonts w:ascii="Times New Roman" w:hAnsi="Times New Roman" w:cs="Times New Roman"/>
          <w:sz w:val="24"/>
          <w:szCs w:val="24"/>
        </w:rPr>
        <w:t> (relative differentiation) calculated between </w:t>
      </w:r>
      <w:r w:rsidRPr="000908D0">
        <w:rPr>
          <w:rFonts w:ascii="Times New Roman" w:hAnsi="Times New Roman" w:cs="Times New Roman"/>
          <w:i/>
          <w:iCs/>
          <w:sz w:val="24"/>
          <w:szCs w:val="24"/>
        </w:rPr>
        <w:t>D</w:t>
      </w:r>
      <w:r w:rsidRPr="000908D0">
        <w:rPr>
          <w:rFonts w:ascii="Times New Roman" w:hAnsi="Times New Roman" w:cs="Times New Roman"/>
          <w:sz w:val="24"/>
          <w:szCs w:val="24"/>
        </w:rPr>
        <w:t>. </w:t>
      </w:r>
      <w:r w:rsidRPr="000908D0">
        <w:rPr>
          <w:rFonts w:ascii="Times New Roman" w:hAnsi="Times New Roman" w:cs="Times New Roman"/>
          <w:i/>
          <w:iCs/>
          <w:sz w:val="24"/>
          <w:szCs w:val="24"/>
        </w:rPr>
        <w:t>pulicaria</w:t>
      </w:r>
      <w:r w:rsidRPr="000908D0">
        <w:rPr>
          <w:rFonts w:ascii="Times New Roman" w:hAnsi="Times New Roman" w:cs="Times New Roman"/>
          <w:sz w:val="24"/>
          <w:szCs w:val="24"/>
        </w:rPr>
        <w:t> and </w:t>
      </w:r>
      <w:r w:rsidRPr="000908D0">
        <w:rPr>
          <w:rFonts w:ascii="Times New Roman" w:hAnsi="Times New Roman" w:cs="Times New Roman"/>
          <w:i/>
          <w:iCs/>
          <w:sz w:val="24"/>
          <w:szCs w:val="24"/>
        </w:rPr>
        <w:t>D</w:t>
      </w:r>
      <w:r w:rsidRPr="000908D0">
        <w:rPr>
          <w:rFonts w:ascii="Times New Roman" w:hAnsi="Times New Roman" w:cs="Times New Roman"/>
          <w:sz w:val="24"/>
          <w:szCs w:val="24"/>
        </w:rPr>
        <w:t>. </w:t>
      </w:r>
      <w:r w:rsidRPr="000908D0">
        <w:rPr>
          <w:rFonts w:ascii="Times New Roman" w:hAnsi="Times New Roman" w:cs="Times New Roman"/>
          <w:i/>
          <w:iCs/>
          <w:sz w:val="24"/>
          <w:szCs w:val="24"/>
        </w:rPr>
        <w:t>pulex</w:t>
      </w:r>
      <w:r w:rsidRPr="000908D0">
        <w:rPr>
          <w:rFonts w:ascii="Times New Roman" w:hAnsi="Times New Roman" w:cs="Times New Roman"/>
          <w:sz w:val="24"/>
          <w:szCs w:val="24"/>
        </w:rPr>
        <w:t> in 1 Mb windows stepping 10 kb along the LG. Third from top: Sliding window π (nucleotide diversity) calculated for both </w:t>
      </w:r>
      <w:r w:rsidRPr="000908D0">
        <w:rPr>
          <w:rFonts w:ascii="Times New Roman" w:hAnsi="Times New Roman" w:cs="Times New Roman"/>
          <w:i/>
          <w:iCs/>
          <w:sz w:val="24"/>
          <w:szCs w:val="24"/>
        </w:rPr>
        <w:t>D</w:t>
      </w:r>
      <w:r w:rsidRPr="000908D0">
        <w:rPr>
          <w:rFonts w:ascii="Times New Roman" w:hAnsi="Times New Roman" w:cs="Times New Roman"/>
          <w:sz w:val="24"/>
          <w:szCs w:val="24"/>
        </w:rPr>
        <w:t>. </w:t>
      </w:r>
      <w:r w:rsidRPr="000908D0">
        <w:rPr>
          <w:rFonts w:ascii="Times New Roman" w:hAnsi="Times New Roman" w:cs="Times New Roman"/>
          <w:i/>
          <w:iCs/>
          <w:sz w:val="24"/>
          <w:szCs w:val="24"/>
        </w:rPr>
        <w:t>pulex</w:t>
      </w:r>
      <w:r w:rsidRPr="000908D0">
        <w:rPr>
          <w:rFonts w:ascii="Times New Roman" w:hAnsi="Times New Roman" w:cs="Times New Roman"/>
          <w:sz w:val="24"/>
          <w:szCs w:val="24"/>
        </w:rPr>
        <w:t> (red) and </w:t>
      </w:r>
      <w:r w:rsidRPr="000908D0">
        <w:rPr>
          <w:rFonts w:ascii="Times New Roman" w:hAnsi="Times New Roman" w:cs="Times New Roman"/>
          <w:i/>
          <w:iCs/>
          <w:sz w:val="24"/>
          <w:szCs w:val="24"/>
        </w:rPr>
        <w:t>D</w:t>
      </w:r>
      <w:r w:rsidRPr="000908D0">
        <w:rPr>
          <w:rFonts w:ascii="Times New Roman" w:hAnsi="Times New Roman" w:cs="Times New Roman"/>
          <w:sz w:val="24"/>
          <w:szCs w:val="24"/>
        </w:rPr>
        <w:t>. </w:t>
      </w:r>
      <w:r w:rsidRPr="000908D0">
        <w:rPr>
          <w:rFonts w:ascii="Times New Roman" w:hAnsi="Times New Roman" w:cs="Times New Roman"/>
          <w:i/>
          <w:iCs/>
          <w:sz w:val="24"/>
          <w:szCs w:val="24"/>
        </w:rPr>
        <w:t>pulicaria</w:t>
      </w:r>
      <w:r w:rsidRPr="000908D0">
        <w:rPr>
          <w:rFonts w:ascii="Times New Roman" w:hAnsi="Times New Roman" w:cs="Times New Roman"/>
          <w:sz w:val="24"/>
          <w:szCs w:val="24"/>
        </w:rPr>
        <w:t> (blue) in the 1 Mb windows stepping 10 kb along the LG. Fourth from top: Sliding window D</w:t>
      </w:r>
      <w:r w:rsidRPr="000908D0">
        <w:rPr>
          <w:rFonts w:ascii="Times New Roman" w:hAnsi="Times New Roman" w:cs="Times New Roman"/>
          <w:sz w:val="24"/>
          <w:szCs w:val="24"/>
          <w:vertAlign w:val="subscript"/>
        </w:rPr>
        <w:t>xy</w:t>
      </w:r>
      <w:r w:rsidRPr="000908D0">
        <w:rPr>
          <w:rFonts w:ascii="Times New Roman" w:hAnsi="Times New Roman" w:cs="Times New Roman"/>
          <w:sz w:val="24"/>
          <w:szCs w:val="24"/>
        </w:rPr>
        <w:t> (absolute divergence) calculated between </w:t>
      </w:r>
      <w:r w:rsidRPr="000908D0">
        <w:rPr>
          <w:rFonts w:ascii="Times New Roman" w:hAnsi="Times New Roman" w:cs="Times New Roman"/>
          <w:i/>
          <w:iCs/>
          <w:sz w:val="24"/>
          <w:szCs w:val="24"/>
        </w:rPr>
        <w:t>D</w:t>
      </w:r>
      <w:r w:rsidRPr="000908D0">
        <w:rPr>
          <w:rFonts w:ascii="Times New Roman" w:hAnsi="Times New Roman" w:cs="Times New Roman"/>
          <w:sz w:val="24"/>
          <w:szCs w:val="24"/>
        </w:rPr>
        <w:t>. </w:t>
      </w:r>
      <w:r w:rsidRPr="000908D0">
        <w:rPr>
          <w:rFonts w:ascii="Times New Roman" w:hAnsi="Times New Roman" w:cs="Times New Roman"/>
          <w:i/>
          <w:iCs/>
          <w:sz w:val="24"/>
          <w:szCs w:val="24"/>
        </w:rPr>
        <w:t>pulicaria</w:t>
      </w:r>
      <w:r w:rsidRPr="000908D0">
        <w:rPr>
          <w:rFonts w:ascii="Times New Roman" w:hAnsi="Times New Roman" w:cs="Times New Roman"/>
          <w:sz w:val="24"/>
          <w:szCs w:val="24"/>
        </w:rPr>
        <w:t> and </w:t>
      </w:r>
      <w:r w:rsidRPr="000908D0">
        <w:rPr>
          <w:rFonts w:ascii="Times New Roman" w:hAnsi="Times New Roman" w:cs="Times New Roman"/>
          <w:i/>
          <w:iCs/>
          <w:sz w:val="24"/>
          <w:szCs w:val="24"/>
        </w:rPr>
        <w:t>D</w:t>
      </w:r>
      <w:r w:rsidRPr="000908D0">
        <w:rPr>
          <w:rFonts w:ascii="Times New Roman" w:hAnsi="Times New Roman" w:cs="Times New Roman"/>
          <w:sz w:val="24"/>
          <w:szCs w:val="24"/>
        </w:rPr>
        <w:t>. </w:t>
      </w:r>
      <w:r w:rsidRPr="000908D0">
        <w:rPr>
          <w:rFonts w:ascii="Times New Roman" w:hAnsi="Times New Roman" w:cs="Times New Roman"/>
          <w:i/>
          <w:iCs/>
          <w:sz w:val="24"/>
          <w:szCs w:val="24"/>
        </w:rPr>
        <w:t>pulex</w:t>
      </w:r>
      <w:r w:rsidRPr="000908D0">
        <w:rPr>
          <w:rFonts w:ascii="Times New Roman" w:hAnsi="Times New Roman" w:cs="Times New Roman"/>
          <w:sz w:val="24"/>
          <w:szCs w:val="24"/>
        </w:rPr>
        <w:t> in the 1 Mb windows stepping 10 kb along the LG. Bottom: Sliding window analysis of DNA sequence features along LG 1 in 1 Mb windows stepping 10 kb. The black line is coding DNA sequence (CDS) content, blue indicates the DNA transposons content, green long interspersed nuclear elements (LINEs) content and red indicates long terminal repeats (LTR) contents. Large highly differentiated and divergent regions (e.g., islands centred at ~11 and ~40 Mb) appear to align with regions of high recombination, high gene density, and low diversity in </w:t>
      </w:r>
      <w:r w:rsidRPr="000908D0">
        <w:rPr>
          <w:rFonts w:ascii="Times New Roman" w:hAnsi="Times New Roman" w:cs="Times New Roman"/>
          <w:i/>
          <w:iCs/>
          <w:sz w:val="24"/>
          <w:szCs w:val="24"/>
        </w:rPr>
        <w:t>D</w:t>
      </w:r>
      <w:r w:rsidRPr="000908D0">
        <w:rPr>
          <w:rFonts w:ascii="Times New Roman" w:hAnsi="Times New Roman" w:cs="Times New Roman"/>
          <w:sz w:val="24"/>
          <w:szCs w:val="24"/>
        </w:rPr>
        <w:t>. </w:t>
      </w:r>
      <w:r w:rsidRPr="000908D0">
        <w:rPr>
          <w:rFonts w:ascii="Times New Roman" w:hAnsi="Times New Roman" w:cs="Times New Roman"/>
          <w:i/>
          <w:iCs/>
          <w:sz w:val="24"/>
          <w:szCs w:val="24"/>
        </w:rPr>
        <w:t>pulicaria</w:t>
      </w:r>
      <w:r w:rsidRPr="000908D0">
        <w:rPr>
          <w:rFonts w:ascii="Times New Roman" w:hAnsi="Times New Roman" w:cs="Times New Roman"/>
          <w:sz w:val="24"/>
          <w:szCs w:val="24"/>
        </w:rPr>
        <w:t>. Smaller regions are more variable (e.g., island centred ~30 Mb) where gene density is high, but high repeat content probably is suppressing recombination</w:t>
      </w:r>
      <w:r>
        <w:rPr>
          <w:rFonts w:ascii="Times New Roman" w:hAnsi="Times New Roman" w:cs="Times New Roman"/>
          <w:sz w:val="24"/>
          <w:szCs w:val="24"/>
        </w:rPr>
        <w:t>.</w:t>
      </w:r>
    </w:p>
    <w:p w14:paraId="4049FEFA" w14:textId="1AEF843C" w:rsidR="000908D0" w:rsidRDefault="00197065">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354D171" wp14:editId="7C7D8F98">
            <wp:extent cx="5943600" cy="2531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993971" cy="2553433"/>
                    </a:xfrm>
                    <a:prstGeom prst="rect">
                      <a:avLst/>
                    </a:prstGeom>
                    <a:noFill/>
                  </pic:spPr>
                </pic:pic>
              </a:graphicData>
            </a:graphic>
          </wp:inline>
        </w:drawing>
      </w:r>
    </w:p>
    <w:p w14:paraId="71B0AA11" w14:textId="5BBD5940" w:rsidR="00197065" w:rsidRDefault="00197065">
      <w:pPr>
        <w:rPr>
          <w:rFonts w:ascii="Times New Roman" w:hAnsi="Times New Roman" w:cs="Times New Roman"/>
          <w:sz w:val="24"/>
          <w:szCs w:val="24"/>
        </w:rPr>
      </w:pPr>
      <w:r w:rsidRPr="00924B48">
        <w:rPr>
          <w:rFonts w:ascii="Times New Roman" w:hAnsi="Times New Roman" w:cs="Times New Roman"/>
          <w:b/>
          <w:bCs/>
          <w:sz w:val="24"/>
          <w:szCs w:val="24"/>
        </w:rPr>
        <w:t>Figure 5:</w:t>
      </w:r>
      <w:r>
        <w:rPr>
          <w:rFonts w:ascii="Times New Roman" w:hAnsi="Times New Roman" w:cs="Times New Roman"/>
          <w:sz w:val="24"/>
          <w:szCs w:val="24"/>
        </w:rPr>
        <w:t xml:space="preserve"> </w:t>
      </w:r>
      <w:r w:rsidRPr="00197065">
        <w:rPr>
          <w:rFonts w:ascii="Times New Roman" w:hAnsi="Times New Roman" w:cs="Times New Roman"/>
          <w:sz w:val="24"/>
          <w:szCs w:val="24"/>
        </w:rPr>
        <w:t>Statistical outlier analysis and gene ontology (GO) term enrichment. (a) PCAdapt Manhattan plot showing distribution of outliers throughout the genome. Locations of outliers correspond well with those detected via other methods (i.e., site-wise and sliding window </w:t>
      </w:r>
      <w:r w:rsidRPr="00197065">
        <w:rPr>
          <w:rFonts w:ascii="Times New Roman" w:hAnsi="Times New Roman" w:cs="Times New Roman"/>
          <w:i/>
          <w:iCs/>
          <w:sz w:val="24"/>
          <w:szCs w:val="24"/>
        </w:rPr>
        <w:t>F</w:t>
      </w:r>
      <w:r w:rsidRPr="00197065">
        <w:rPr>
          <w:rFonts w:ascii="Times New Roman" w:hAnsi="Times New Roman" w:cs="Times New Roman"/>
          <w:sz w:val="24"/>
          <w:szCs w:val="24"/>
          <w:vertAlign w:val="subscript"/>
        </w:rPr>
        <w:t>ST</w:t>
      </w:r>
      <w:r w:rsidRPr="00197065">
        <w:rPr>
          <w:rFonts w:ascii="Times New Roman" w:hAnsi="Times New Roman" w:cs="Times New Roman"/>
          <w:sz w:val="24"/>
          <w:szCs w:val="24"/>
        </w:rPr>
        <w:t>). Note: chromosome 13 is made up of all 6 Mb of unplaced scaffolds. (b) REVIGO (Supek et al., </w:t>
      </w:r>
      <w:r>
        <w:rPr>
          <w:rFonts w:ascii="Times New Roman" w:hAnsi="Times New Roman" w:cs="Times New Roman"/>
          <w:sz w:val="24"/>
          <w:szCs w:val="24"/>
        </w:rPr>
        <w:t>2011</w:t>
      </w:r>
      <w:r w:rsidRPr="00197065">
        <w:rPr>
          <w:rFonts w:ascii="Times New Roman" w:hAnsi="Times New Roman" w:cs="Times New Roman"/>
          <w:sz w:val="24"/>
          <w:szCs w:val="24"/>
        </w:rPr>
        <w:t>) semantic space clustering of GO terms. </w:t>
      </w:r>
      <w:r w:rsidRPr="00197065">
        <w:rPr>
          <w:rFonts w:ascii="Times New Roman" w:hAnsi="Times New Roman" w:cs="Times New Roman"/>
          <w:i/>
          <w:iCs/>
          <w:sz w:val="24"/>
          <w:szCs w:val="24"/>
        </w:rPr>
        <w:t>x</w:t>
      </w:r>
      <w:r w:rsidRPr="00197065">
        <w:rPr>
          <w:rFonts w:ascii="Times New Roman" w:hAnsi="Times New Roman" w:cs="Times New Roman"/>
          <w:sz w:val="24"/>
          <w:szCs w:val="24"/>
        </w:rPr>
        <w:t>- and </w:t>
      </w:r>
      <w:r w:rsidRPr="00197065">
        <w:rPr>
          <w:rFonts w:ascii="Times New Roman" w:hAnsi="Times New Roman" w:cs="Times New Roman"/>
          <w:i/>
          <w:iCs/>
          <w:sz w:val="24"/>
          <w:szCs w:val="24"/>
        </w:rPr>
        <w:t>y</w:t>
      </w:r>
      <w:r w:rsidRPr="00197065">
        <w:rPr>
          <w:rFonts w:ascii="Times New Roman" w:hAnsi="Times New Roman" w:cs="Times New Roman"/>
          <w:sz w:val="24"/>
          <w:szCs w:val="24"/>
        </w:rPr>
        <w:t>-axis represent clustering of GO terms in similar semantic space using multidimensional scaling (MDS). Semantic space is used to reduce the complexity of the input GO term list (here enriched terms among outliers) to group similar terms in reference to information content. Thus, the terms closely related to each other (e.g., hierarchically) share similar loadings along the </w:t>
      </w:r>
      <w:r w:rsidRPr="00197065">
        <w:rPr>
          <w:rFonts w:ascii="Times New Roman" w:hAnsi="Times New Roman" w:cs="Times New Roman"/>
          <w:i/>
          <w:iCs/>
          <w:sz w:val="24"/>
          <w:szCs w:val="24"/>
        </w:rPr>
        <w:t>x</w:t>
      </w:r>
      <w:r w:rsidRPr="00197065">
        <w:rPr>
          <w:rFonts w:ascii="Times New Roman" w:hAnsi="Times New Roman" w:cs="Times New Roman"/>
          <w:sz w:val="24"/>
          <w:szCs w:val="24"/>
        </w:rPr>
        <w:t>–</w:t>
      </w:r>
      <w:r w:rsidRPr="00197065">
        <w:rPr>
          <w:rFonts w:ascii="Times New Roman" w:hAnsi="Times New Roman" w:cs="Times New Roman"/>
          <w:i/>
          <w:iCs/>
          <w:sz w:val="24"/>
          <w:szCs w:val="24"/>
        </w:rPr>
        <w:t>y</w:t>
      </w:r>
      <w:r w:rsidRPr="00197065">
        <w:rPr>
          <w:rFonts w:ascii="Times New Roman" w:hAnsi="Times New Roman" w:cs="Times New Roman"/>
          <w:sz w:val="24"/>
          <w:szCs w:val="24"/>
        </w:rPr>
        <w:t> axis. The size of each circle is directly related to the number of enriched GO terms in the list inferred from PANTHER analysis (larger = more terms). The terms displayed as text are parent to the terms represented by unlabeled circles and are more general</w:t>
      </w:r>
      <w:r>
        <w:rPr>
          <w:rFonts w:ascii="Times New Roman" w:hAnsi="Times New Roman" w:cs="Times New Roman"/>
          <w:sz w:val="24"/>
          <w:szCs w:val="24"/>
        </w:rPr>
        <w:t>.</w:t>
      </w:r>
    </w:p>
    <w:p w14:paraId="0A15E304" w14:textId="04B2C01D" w:rsidR="00924B48" w:rsidRDefault="00924B48">
      <w:pPr>
        <w:rPr>
          <w:rFonts w:ascii="Times New Roman" w:hAnsi="Times New Roman" w:cs="Times New Roman"/>
          <w:sz w:val="24"/>
          <w:szCs w:val="24"/>
        </w:rPr>
      </w:pPr>
      <w:r>
        <w:rPr>
          <w:rFonts w:ascii="Times New Roman" w:hAnsi="Times New Roman" w:cs="Times New Roman"/>
          <w:sz w:val="24"/>
          <w:szCs w:val="24"/>
        </w:rPr>
        <w:br w:type="page"/>
      </w:r>
    </w:p>
    <w:p w14:paraId="3E7DCAD1" w14:textId="52903777" w:rsidR="00715BCA" w:rsidRDefault="00715BCA" w:rsidP="00961BEE">
      <w:pPr>
        <w:jc w:val="center"/>
        <w:rPr>
          <w:rFonts w:ascii="Times New Roman" w:hAnsi="Times New Roman" w:cs="Times New Roman"/>
          <w:b/>
          <w:bCs/>
          <w:sz w:val="24"/>
          <w:szCs w:val="24"/>
        </w:rPr>
      </w:pPr>
      <w:r>
        <w:rPr>
          <w:noProof/>
        </w:rPr>
        <w:lastRenderedPageBreak/>
        <w:drawing>
          <wp:inline distT="0" distB="0" distL="0" distR="0" wp14:anchorId="18B7BF96" wp14:editId="0AECCBFF">
            <wp:extent cx="5914608" cy="3886200"/>
            <wp:effectExtent l="0" t="0" r="3810" b="0"/>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pic:cNvPicPr/>
                  </pic:nvPicPr>
                  <pic:blipFill>
                    <a:blip r:embed="rId147"/>
                    <a:stretch>
                      <a:fillRect/>
                    </a:stretch>
                  </pic:blipFill>
                  <pic:spPr>
                    <a:xfrm>
                      <a:off x="0" y="0"/>
                      <a:ext cx="5954308" cy="3912285"/>
                    </a:xfrm>
                    <a:prstGeom prst="rect">
                      <a:avLst/>
                    </a:prstGeom>
                  </pic:spPr>
                </pic:pic>
              </a:graphicData>
            </a:graphic>
          </wp:inline>
        </w:drawing>
      </w:r>
    </w:p>
    <w:p w14:paraId="01ACADBF" w14:textId="58921FDF" w:rsidR="0076660D" w:rsidRDefault="0076660D">
      <w:pPr>
        <w:rPr>
          <w:rFonts w:ascii="Times New Roman" w:hAnsi="Times New Roman" w:cs="Times New Roman"/>
          <w:b/>
          <w:bCs/>
          <w:sz w:val="24"/>
          <w:szCs w:val="24"/>
        </w:rPr>
      </w:pPr>
      <w:r>
        <w:rPr>
          <w:rFonts w:ascii="Times New Roman" w:hAnsi="Times New Roman" w:cs="Times New Roman"/>
          <w:b/>
          <w:bCs/>
          <w:sz w:val="24"/>
          <w:szCs w:val="24"/>
        </w:rPr>
        <w:br w:type="page"/>
      </w:r>
    </w:p>
    <w:p w14:paraId="78DDA3A6" w14:textId="4BC2CFDA" w:rsidR="0076660D" w:rsidRDefault="0076660D" w:rsidP="00961BEE">
      <w:pPr>
        <w:jc w:val="center"/>
        <w:rPr>
          <w:rFonts w:ascii="Times New Roman" w:hAnsi="Times New Roman" w:cs="Times New Roman"/>
          <w:b/>
          <w:bCs/>
          <w:sz w:val="24"/>
          <w:szCs w:val="24"/>
        </w:rPr>
      </w:pPr>
      <w:r w:rsidRPr="0076660D">
        <w:rPr>
          <w:noProof/>
        </w:rPr>
        <w:lastRenderedPageBreak/>
        <w:drawing>
          <wp:inline distT="0" distB="0" distL="0" distR="0" wp14:anchorId="26620D8E" wp14:editId="71A11580">
            <wp:extent cx="5943600" cy="5748655"/>
            <wp:effectExtent l="0" t="0" r="0" b="4445"/>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148"/>
                    <a:stretch>
                      <a:fillRect/>
                    </a:stretch>
                  </pic:blipFill>
                  <pic:spPr>
                    <a:xfrm>
                      <a:off x="0" y="0"/>
                      <a:ext cx="5943600" cy="5748655"/>
                    </a:xfrm>
                    <a:prstGeom prst="rect">
                      <a:avLst/>
                    </a:prstGeom>
                  </pic:spPr>
                </pic:pic>
              </a:graphicData>
            </a:graphic>
          </wp:inline>
        </w:drawing>
      </w:r>
    </w:p>
    <w:p w14:paraId="0BACBDE2" w14:textId="1CFF4BAB" w:rsidR="0076660D" w:rsidRDefault="0076660D">
      <w:pPr>
        <w:rPr>
          <w:rFonts w:ascii="Times New Roman" w:hAnsi="Times New Roman" w:cs="Times New Roman"/>
          <w:b/>
          <w:bCs/>
          <w:sz w:val="24"/>
          <w:szCs w:val="24"/>
        </w:rPr>
      </w:pPr>
    </w:p>
    <w:p w14:paraId="0906ABB4" w14:textId="5FF5BDEE" w:rsidR="0076660D" w:rsidRDefault="0076660D">
      <w:pPr>
        <w:rPr>
          <w:rFonts w:ascii="Times New Roman" w:hAnsi="Times New Roman" w:cs="Times New Roman"/>
          <w:b/>
          <w:bCs/>
          <w:sz w:val="24"/>
          <w:szCs w:val="24"/>
        </w:rPr>
      </w:pPr>
    </w:p>
    <w:p w14:paraId="71842D5F" w14:textId="76CD9483" w:rsidR="0076660D" w:rsidRDefault="0076660D">
      <w:pPr>
        <w:rPr>
          <w:rFonts w:ascii="Times New Roman" w:hAnsi="Times New Roman" w:cs="Times New Roman"/>
          <w:b/>
          <w:bCs/>
          <w:sz w:val="24"/>
          <w:szCs w:val="24"/>
        </w:rPr>
      </w:pPr>
      <w:r>
        <w:rPr>
          <w:rFonts w:ascii="Times New Roman" w:hAnsi="Times New Roman" w:cs="Times New Roman"/>
          <w:b/>
          <w:bCs/>
          <w:sz w:val="24"/>
          <w:szCs w:val="24"/>
        </w:rPr>
        <w:br w:type="page"/>
      </w:r>
    </w:p>
    <w:p w14:paraId="47C7614C" w14:textId="7AC3650A" w:rsidR="0076660D" w:rsidRDefault="00251321">
      <w:pPr>
        <w:rPr>
          <w:rFonts w:ascii="Times New Roman" w:hAnsi="Times New Roman" w:cs="Times New Roman"/>
          <w:b/>
          <w:bCs/>
          <w:sz w:val="24"/>
          <w:szCs w:val="24"/>
        </w:rPr>
      </w:pPr>
      <w:r w:rsidRPr="00251321">
        <w:rPr>
          <w:noProof/>
        </w:rPr>
        <w:lastRenderedPageBreak/>
        <w:drawing>
          <wp:inline distT="0" distB="0" distL="0" distR="0" wp14:anchorId="35081E67" wp14:editId="6AF14A20">
            <wp:extent cx="5943600" cy="3136900"/>
            <wp:effectExtent l="0" t="0" r="0" b="6350"/>
            <wp:docPr id="8" name="Picture 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able&#10;&#10;Description automatically generated"/>
                    <pic:cNvPicPr/>
                  </pic:nvPicPr>
                  <pic:blipFill>
                    <a:blip r:embed="rId149"/>
                    <a:stretch>
                      <a:fillRect/>
                    </a:stretch>
                  </pic:blipFill>
                  <pic:spPr>
                    <a:xfrm>
                      <a:off x="0" y="0"/>
                      <a:ext cx="5943600" cy="3136900"/>
                    </a:xfrm>
                    <a:prstGeom prst="rect">
                      <a:avLst/>
                    </a:prstGeom>
                  </pic:spPr>
                </pic:pic>
              </a:graphicData>
            </a:graphic>
          </wp:inline>
        </w:drawing>
      </w:r>
    </w:p>
    <w:p w14:paraId="0C9A80AE" w14:textId="77777777" w:rsidR="00924B48" w:rsidRPr="00924B48" w:rsidRDefault="00924B48">
      <w:pPr>
        <w:rPr>
          <w:rFonts w:ascii="Times New Roman" w:hAnsi="Times New Roman" w:cs="Times New Roman"/>
          <w:b/>
          <w:bCs/>
          <w:sz w:val="24"/>
          <w:szCs w:val="24"/>
        </w:rPr>
      </w:pPr>
    </w:p>
    <w:p w14:paraId="00E9319F" w14:textId="77777777" w:rsidR="00197065" w:rsidRDefault="00197065">
      <w:pPr>
        <w:rPr>
          <w:rFonts w:ascii="Times New Roman" w:hAnsi="Times New Roman" w:cs="Times New Roman"/>
          <w:sz w:val="24"/>
          <w:szCs w:val="24"/>
        </w:rPr>
      </w:pPr>
    </w:p>
    <w:p w14:paraId="6D3728F3" w14:textId="77777777" w:rsidR="00D124BF" w:rsidRDefault="00D124BF" w:rsidP="00880ED3">
      <w:pPr>
        <w:spacing w:line="480" w:lineRule="auto"/>
        <w:jc w:val="center"/>
        <w:rPr>
          <w:rFonts w:ascii="Times New Roman" w:hAnsi="Times New Roman" w:cs="Times New Roman"/>
          <w:sz w:val="24"/>
          <w:szCs w:val="24"/>
        </w:rPr>
      </w:pPr>
    </w:p>
    <w:p w14:paraId="1E2A3DF5" w14:textId="77777777" w:rsidR="00D124BF" w:rsidRDefault="00D124BF" w:rsidP="00880ED3">
      <w:pPr>
        <w:spacing w:line="480" w:lineRule="auto"/>
        <w:jc w:val="center"/>
        <w:rPr>
          <w:rFonts w:ascii="Times New Roman" w:hAnsi="Times New Roman" w:cs="Times New Roman"/>
          <w:sz w:val="24"/>
          <w:szCs w:val="24"/>
        </w:rPr>
      </w:pPr>
    </w:p>
    <w:p w14:paraId="37E6EEF8" w14:textId="77777777" w:rsidR="00D124BF" w:rsidRDefault="00D124BF">
      <w:pPr>
        <w:rPr>
          <w:rFonts w:ascii="Times New Roman" w:hAnsi="Times New Roman" w:cs="Times New Roman"/>
          <w:sz w:val="24"/>
          <w:szCs w:val="24"/>
        </w:rPr>
      </w:pPr>
      <w:r>
        <w:rPr>
          <w:rFonts w:ascii="Times New Roman" w:hAnsi="Times New Roman" w:cs="Times New Roman"/>
          <w:sz w:val="24"/>
          <w:szCs w:val="24"/>
        </w:rPr>
        <w:br w:type="page"/>
      </w:r>
    </w:p>
    <w:p w14:paraId="05233051" w14:textId="5597B426" w:rsidR="005C579B" w:rsidRDefault="00280790" w:rsidP="00880ED3">
      <w:pPr>
        <w:spacing w:line="480" w:lineRule="auto"/>
        <w:jc w:val="center"/>
        <w:rPr>
          <w:rFonts w:ascii="Times New Roman" w:hAnsi="Times New Roman" w:cs="Times New Roman"/>
          <w:sz w:val="24"/>
          <w:szCs w:val="24"/>
        </w:rPr>
      </w:pPr>
      <w:bookmarkStart w:id="1" w:name="_Hlk109909669"/>
      <w:r w:rsidRPr="00280790">
        <w:rPr>
          <w:rFonts w:ascii="Times New Roman" w:hAnsi="Times New Roman" w:cs="Times New Roman"/>
          <w:sz w:val="24"/>
          <w:szCs w:val="24"/>
        </w:rPr>
        <w:lastRenderedPageBreak/>
        <w:t>Does salinization impact long-term </w:t>
      </w:r>
      <w:r w:rsidRPr="00280790">
        <w:rPr>
          <w:rFonts w:ascii="Times New Roman" w:hAnsi="Times New Roman" w:cs="Times New Roman"/>
          <w:i/>
          <w:iCs/>
          <w:sz w:val="24"/>
          <w:szCs w:val="24"/>
        </w:rPr>
        <w:t>Daphnia</w:t>
      </w:r>
      <w:r w:rsidRPr="00280790">
        <w:rPr>
          <w:rFonts w:ascii="Times New Roman" w:hAnsi="Times New Roman" w:cs="Times New Roman"/>
          <w:sz w:val="24"/>
          <w:szCs w:val="24"/>
        </w:rPr>
        <w:t> assemblage dynamics? Evidence from the sediment egg bank in a small hard-water lake</w:t>
      </w:r>
      <w:r>
        <w:rPr>
          <w:rFonts w:ascii="Times New Roman" w:hAnsi="Times New Roman" w:cs="Times New Roman"/>
          <w:sz w:val="24"/>
          <w:szCs w:val="24"/>
        </w:rPr>
        <w:t>.</w:t>
      </w:r>
    </w:p>
    <w:bookmarkEnd w:id="1"/>
    <w:p w14:paraId="24035BDE" w14:textId="574ECD34" w:rsidR="00280790" w:rsidRDefault="00280790" w:rsidP="00DB62F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Published in: </w:t>
      </w:r>
      <w:r>
        <w:rPr>
          <w:rFonts w:ascii="Times New Roman" w:hAnsi="Times New Roman" w:cs="Times New Roman"/>
          <w:i/>
          <w:iCs/>
          <w:sz w:val="24"/>
          <w:szCs w:val="24"/>
        </w:rPr>
        <w:t>Limnology and Oceanography Letters</w:t>
      </w:r>
      <w:r w:rsidR="00E53471">
        <w:rPr>
          <w:rFonts w:ascii="Times New Roman" w:hAnsi="Times New Roman" w:cs="Times New Roman"/>
          <w:i/>
          <w:iCs/>
          <w:sz w:val="24"/>
          <w:szCs w:val="24"/>
        </w:rPr>
        <w:t xml:space="preserve">, </w:t>
      </w:r>
      <w:r w:rsidR="005C579B">
        <w:rPr>
          <w:rFonts w:ascii="Times New Roman" w:hAnsi="Times New Roman" w:cs="Times New Roman"/>
          <w:sz w:val="24"/>
          <w:szCs w:val="24"/>
        </w:rPr>
        <w:t>13 October 2021</w:t>
      </w:r>
    </w:p>
    <w:p w14:paraId="2F6F2E45" w14:textId="77777777" w:rsidR="005C579B" w:rsidRDefault="005C579B" w:rsidP="00DB62F5">
      <w:pPr>
        <w:spacing w:line="480" w:lineRule="auto"/>
        <w:jc w:val="center"/>
        <w:rPr>
          <w:rFonts w:ascii="Times New Roman" w:hAnsi="Times New Roman" w:cs="Times New Roman"/>
          <w:sz w:val="24"/>
          <w:szCs w:val="24"/>
        </w:rPr>
      </w:pPr>
    </w:p>
    <w:p w14:paraId="28A64B6F" w14:textId="32014089" w:rsidR="005C579B" w:rsidRDefault="005C579B" w:rsidP="00DB62F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Available at: </w:t>
      </w:r>
      <w:hyperlink r:id="rId150" w:history="1">
        <w:r w:rsidRPr="00DC165E">
          <w:rPr>
            <w:rStyle w:val="Hyperlink"/>
            <w:rFonts w:ascii="Times New Roman" w:hAnsi="Times New Roman" w:cs="Times New Roman"/>
            <w:sz w:val="24"/>
            <w:szCs w:val="24"/>
          </w:rPr>
          <w:t>https://doi.org/10.1002/lol2.10217</w:t>
        </w:r>
      </w:hyperlink>
      <w:r>
        <w:rPr>
          <w:rFonts w:ascii="Times New Roman" w:hAnsi="Times New Roman" w:cs="Times New Roman"/>
          <w:sz w:val="24"/>
          <w:szCs w:val="24"/>
        </w:rPr>
        <w:t xml:space="preserve"> </w:t>
      </w:r>
    </w:p>
    <w:p w14:paraId="75158894" w14:textId="56259A8A" w:rsidR="005C579B" w:rsidRDefault="005C579B" w:rsidP="00DB62F5">
      <w:pPr>
        <w:spacing w:line="480" w:lineRule="auto"/>
        <w:jc w:val="center"/>
        <w:rPr>
          <w:rFonts w:ascii="Times New Roman" w:hAnsi="Times New Roman" w:cs="Times New Roman"/>
          <w:sz w:val="24"/>
          <w:szCs w:val="24"/>
        </w:rPr>
      </w:pPr>
    </w:p>
    <w:p w14:paraId="7BA674E0" w14:textId="4CFED7DB" w:rsidR="005C579B" w:rsidRDefault="00B33BC4" w:rsidP="00DB62F5">
      <w:pPr>
        <w:spacing w:line="480" w:lineRule="auto"/>
        <w:jc w:val="center"/>
        <w:rPr>
          <w:rFonts w:ascii="Times New Roman" w:hAnsi="Times New Roman" w:cs="Times New Roman"/>
          <w:sz w:val="24"/>
          <w:szCs w:val="24"/>
          <w:vertAlign w:val="superscript"/>
        </w:rPr>
      </w:pPr>
      <w:r w:rsidRPr="00B33BC4">
        <w:rPr>
          <w:rFonts w:ascii="Times New Roman" w:hAnsi="Times New Roman" w:cs="Times New Roman"/>
          <w:sz w:val="24"/>
          <w:szCs w:val="24"/>
        </w:rPr>
        <w:t>Matthew J. Wersebe</w:t>
      </w:r>
      <w:r w:rsidR="00C64BC4">
        <w:rPr>
          <w:rFonts w:ascii="Times New Roman" w:hAnsi="Times New Roman" w:cs="Times New Roman"/>
          <w:sz w:val="24"/>
          <w:szCs w:val="24"/>
        </w:rPr>
        <w:t>,</w:t>
      </w:r>
      <w:r>
        <w:rPr>
          <w:rFonts w:ascii="Times New Roman" w:hAnsi="Times New Roman" w:cs="Times New Roman"/>
          <w:sz w:val="24"/>
          <w:szCs w:val="24"/>
          <w:vertAlign w:val="superscript"/>
        </w:rPr>
        <w:t>1</w:t>
      </w:r>
      <w:r w:rsidR="00C64BC4">
        <w:rPr>
          <w:rFonts w:ascii="Times New Roman" w:hAnsi="Times New Roman" w:cs="Times New Roman"/>
          <w:sz w:val="24"/>
          <w:szCs w:val="24"/>
        </w:rPr>
        <w:t xml:space="preserve"> </w:t>
      </w:r>
      <w:r w:rsidRPr="00B33BC4">
        <w:rPr>
          <w:rFonts w:ascii="Times New Roman" w:hAnsi="Times New Roman" w:cs="Times New Roman"/>
          <w:sz w:val="24"/>
          <w:szCs w:val="24"/>
        </w:rPr>
        <w:t>Mark B. Edlund</w:t>
      </w:r>
      <w:r w:rsidR="00C64BC4">
        <w:rPr>
          <w:rFonts w:ascii="Times New Roman" w:hAnsi="Times New Roman" w:cs="Times New Roman"/>
          <w:sz w:val="24"/>
          <w:szCs w:val="24"/>
        </w:rPr>
        <w:t>,</w:t>
      </w:r>
      <w:r>
        <w:rPr>
          <w:rFonts w:ascii="Times New Roman" w:hAnsi="Times New Roman" w:cs="Times New Roman"/>
          <w:sz w:val="24"/>
          <w:szCs w:val="24"/>
          <w:vertAlign w:val="superscript"/>
        </w:rPr>
        <w:t>2</w:t>
      </w:r>
      <w:r w:rsidR="00C64BC4">
        <w:rPr>
          <w:rFonts w:ascii="Times New Roman" w:hAnsi="Times New Roman" w:cs="Times New Roman"/>
          <w:sz w:val="24"/>
          <w:szCs w:val="24"/>
        </w:rPr>
        <w:t xml:space="preserve"> </w:t>
      </w:r>
      <w:r w:rsidRPr="00B33BC4">
        <w:rPr>
          <w:rFonts w:ascii="Times New Roman" w:hAnsi="Times New Roman" w:cs="Times New Roman"/>
          <w:sz w:val="24"/>
          <w:szCs w:val="24"/>
        </w:rPr>
        <w:t>Lawrence J. Weider</w:t>
      </w:r>
      <w:r>
        <w:rPr>
          <w:rFonts w:ascii="Times New Roman" w:hAnsi="Times New Roman" w:cs="Times New Roman"/>
          <w:sz w:val="24"/>
          <w:szCs w:val="24"/>
          <w:vertAlign w:val="superscript"/>
        </w:rPr>
        <w:t>1</w:t>
      </w:r>
    </w:p>
    <w:p w14:paraId="2C632D91" w14:textId="09E18C73" w:rsidR="00B33BC4" w:rsidRDefault="00B33BC4" w:rsidP="00DB62F5">
      <w:pPr>
        <w:spacing w:line="480" w:lineRule="auto"/>
        <w:jc w:val="center"/>
        <w:rPr>
          <w:rFonts w:ascii="Times New Roman" w:hAnsi="Times New Roman" w:cs="Times New Roman"/>
          <w:sz w:val="24"/>
          <w:szCs w:val="24"/>
          <w:vertAlign w:val="superscript"/>
        </w:rPr>
      </w:pPr>
    </w:p>
    <w:p w14:paraId="2CD5DF43" w14:textId="73D26FD4" w:rsidR="00591093" w:rsidRDefault="00591093" w:rsidP="00DB62F5">
      <w:pPr>
        <w:spacing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1 </w:t>
      </w:r>
      <w:r>
        <w:rPr>
          <w:rFonts w:ascii="Times New Roman" w:hAnsi="Times New Roman" w:cs="Times New Roman"/>
          <w:sz w:val="24"/>
          <w:szCs w:val="24"/>
        </w:rPr>
        <w:t>Program in Ecology and Evolutionary Biology, Department of Biology, University of Oklahoma, Norman</w:t>
      </w:r>
      <w:r w:rsidR="00C64BC4">
        <w:rPr>
          <w:rFonts w:ascii="Times New Roman" w:hAnsi="Times New Roman" w:cs="Times New Roman"/>
          <w:sz w:val="24"/>
          <w:szCs w:val="24"/>
        </w:rPr>
        <w:t>, OK</w:t>
      </w:r>
      <w:r>
        <w:rPr>
          <w:rFonts w:ascii="Times New Roman" w:hAnsi="Times New Roman" w:cs="Times New Roman"/>
          <w:sz w:val="24"/>
          <w:szCs w:val="24"/>
        </w:rPr>
        <w:t xml:space="preserve"> </w:t>
      </w:r>
    </w:p>
    <w:p w14:paraId="0CD14C09" w14:textId="31FBF043" w:rsidR="00591093" w:rsidRDefault="00591093" w:rsidP="00DB62F5">
      <w:pPr>
        <w:spacing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671D30">
        <w:rPr>
          <w:rFonts w:ascii="Times New Roman" w:hAnsi="Times New Roman" w:cs="Times New Roman"/>
          <w:sz w:val="24"/>
          <w:szCs w:val="24"/>
        </w:rPr>
        <w:t>St. Croix Watershed Research Station, Science Museum of Minnesota, Marine-on-St. Croix</w:t>
      </w:r>
      <w:r w:rsidR="00C64BC4">
        <w:rPr>
          <w:rFonts w:ascii="Times New Roman" w:hAnsi="Times New Roman" w:cs="Times New Roman"/>
          <w:sz w:val="24"/>
          <w:szCs w:val="24"/>
        </w:rPr>
        <w:t xml:space="preserve">, MN </w:t>
      </w:r>
    </w:p>
    <w:p w14:paraId="293CFDED" w14:textId="23E640CB" w:rsidR="00113F4A" w:rsidRDefault="00113F4A" w:rsidP="00DB62F5">
      <w:pPr>
        <w:spacing w:line="480" w:lineRule="auto"/>
        <w:jc w:val="center"/>
        <w:rPr>
          <w:rFonts w:ascii="Times New Roman" w:hAnsi="Times New Roman" w:cs="Times New Roman"/>
          <w:sz w:val="24"/>
          <w:szCs w:val="24"/>
        </w:rPr>
      </w:pPr>
    </w:p>
    <w:p w14:paraId="53508177" w14:textId="52838447" w:rsidR="00113F4A" w:rsidRDefault="00113F4A">
      <w:pPr>
        <w:rPr>
          <w:rFonts w:ascii="Times New Roman" w:hAnsi="Times New Roman" w:cs="Times New Roman"/>
          <w:sz w:val="24"/>
          <w:szCs w:val="24"/>
        </w:rPr>
      </w:pPr>
      <w:r>
        <w:rPr>
          <w:rFonts w:ascii="Times New Roman" w:hAnsi="Times New Roman" w:cs="Times New Roman"/>
          <w:sz w:val="24"/>
          <w:szCs w:val="24"/>
        </w:rPr>
        <w:br w:type="page"/>
      </w:r>
    </w:p>
    <w:p w14:paraId="1A766DAA" w14:textId="15B9A171" w:rsidR="00113F4A" w:rsidRDefault="007A7C4A" w:rsidP="00DB62F5">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4AA0C1AA" w14:textId="6E4B50E9" w:rsidR="0068059C" w:rsidRDefault="0068059C" w:rsidP="00DB62F5">
      <w:pPr>
        <w:spacing w:line="480" w:lineRule="auto"/>
        <w:rPr>
          <w:rFonts w:ascii="Times New Roman" w:hAnsi="Times New Roman" w:cs="Times New Roman"/>
          <w:sz w:val="24"/>
          <w:szCs w:val="24"/>
        </w:rPr>
      </w:pPr>
      <w:r w:rsidRPr="0068059C">
        <w:rPr>
          <w:rFonts w:ascii="Times New Roman" w:hAnsi="Times New Roman" w:cs="Times New Roman"/>
          <w:sz w:val="24"/>
          <w:szCs w:val="24"/>
        </w:rPr>
        <w:t>Salinization of freshwater ecosystems threatens global aquatic biodiversity. There is a need for studies that follow populations in situ during salinization to understand the effects on species and ecosystems. We follow 170 years of </w:t>
      </w:r>
      <w:r w:rsidRPr="0068059C">
        <w:rPr>
          <w:rFonts w:ascii="Times New Roman" w:hAnsi="Times New Roman" w:cs="Times New Roman"/>
          <w:i/>
          <w:iCs/>
          <w:sz w:val="24"/>
          <w:szCs w:val="24"/>
        </w:rPr>
        <w:t>Daphnia</w:t>
      </w:r>
      <w:r w:rsidRPr="0068059C">
        <w:rPr>
          <w:rFonts w:ascii="Times New Roman" w:hAnsi="Times New Roman" w:cs="Times New Roman"/>
          <w:sz w:val="24"/>
          <w:szCs w:val="24"/>
        </w:rPr>
        <w:t> dynamics in the sediment ephippia archive of a small urban lake near St. Paul, Minnesota, to characterize effects of severe recent salinization on lake </w:t>
      </w:r>
      <w:r w:rsidRPr="0068059C">
        <w:rPr>
          <w:rFonts w:ascii="Times New Roman" w:hAnsi="Times New Roman" w:cs="Times New Roman"/>
          <w:i/>
          <w:iCs/>
          <w:sz w:val="24"/>
          <w:szCs w:val="24"/>
        </w:rPr>
        <w:t>Daphnia</w:t>
      </w:r>
      <w:r w:rsidRPr="0068059C">
        <w:rPr>
          <w:rFonts w:ascii="Times New Roman" w:hAnsi="Times New Roman" w:cs="Times New Roman"/>
          <w:sz w:val="24"/>
          <w:szCs w:val="24"/>
        </w:rPr>
        <w:t>. We found modest changes in the flux of ephippia in this lake; all three key </w:t>
      </w:r>
      <w:r w:rsidRPr="0068059C">
        <w:rPr>
          <w:rFonts w:ascii="Times New Roman" w:hAnsi="Times New Roman" w:cs="Times New Roman"/>
          <w:i/>
          <w:iCs/>
          <w:sz w:val="24"/>
          <w:szCs w:val="24"/>
        </w:rPr>
        <w:t>Daphnia</w:t>
      </w:r>
      <w:r w:rsidRPr="0068059C">
        <w:rPr>
          <w:rFonts w:ascii="Times New Roman" w:hAnsi="Times New Roman" w:cs="Times New Roman"/>
          <w:sz w:val="24"/>
          <w:szCs w:val="24"/>
        </w:rPr>
        <w:t> functional groups remained in the assemblage throughout the period of salinization. Reconstruction of the size distribution of </w:t>
      </w:r>
      <w:r w:rsidRPr="0068059C">
        <w:rPr>
          <w:rFonts w:ascii="Times New Roman" w:hAnsi="Times New Roman" w:cs="Times New Roman"/>
          <w:i/>
          <w:iCs/>
          <w:sz w:val="24"/>
          <w:szCs w:val="24"/>
        </w:rPr>
        <w:t>Daphnia pulicaria</w:t>
      </w:r>
      <w:r w:rsidRPr="0068059C">
        <w:rPr>
          <w:rFonts w:ascii="Times New Roman" w:hAnsi="Times New Roman" w:cs="Times New Roman"/>
          <w:sz w:val="24"/>
          <w:szCs w:val="24"/>
        </w:rPr>
        <w:t> demonstrated a consistent increase in body size in opposition to the expected trajectory during salinization. Our findings highlight that in hard-water lakes, the effects of salinization are nuanced and require further investigation to better understand overall impacts of salinization on hard-water lake </w:t>
      </w:r>
      <w:r w:rsidRPr="0068059C">
        <w:rPr>
          <w:rFonts w:ascii="Times New Roman" w:hAnsi="Times New Roman" w:cs="Times New Roman"/>
          <w:i/>
          <w:iCs/>
          <w:sz w:val="24"/>
          <w:szCs w:val="24"/>
        </w:rPr>
        <w:t>Daphnia</w:t>
      </w:r>
      <w:r w:rsidRPr="0068059C">
        <w:rPr>
          <w:rFonts w:ascii="Times New Roman" w:hAnsi="Times New Roman" w:cs="Times New Roman"/>
          <w:sz w:val="24"/>
          <w:szCs w:val="24"/>
        </w:rPr>
        <w:t> assemblages.</w:t>
      </w:r>
    </w:p>
    <w:p w14:paraId="33388C80" w14:textId="6317418E" w:rsidR="00511BA9" w:rsidRPr="00511BA9" w:rsidRDefault="00511BA9" w:rsidP="00DB62F5">
      <w:pPr>
        <w:spacing w:line="480" w:lineRule="auto"/>
        <w:rPr>
          <w:rFonts w:ascii="Times New Roman" w:hAnsi="Times New Roman" w:cs="Times New Roman"/>
          <w:i/>
          <w:iCs/>
          <w:sz w:val="24"/>
          <w:szCs w:val="24"/>
        </w:rPr>
      </w:pPr>
      <w:r w:rsidRPr="00511BA9">
        <w:rPr>
          <w:rFonts w:ascii="Times New Roman" w:hAnsi="Times New Roman" w:cs="Times New Roman"/>
          <w:i/>
          <w:iCs/>
          <w:sz w:val="24"/>
          <w:szCs w:val="24"/>
        </w:rPr>
        <w:t>Scientific Significance Statement:</w:t>
      </w:r>
    </w:p>
    <w:p w14:paraId="1B72D5A8" w14:textId="77777777" w:rsidR="00511BA9" w:rsidRPr="00511BA9" w:rsidRDefault="00511BA9" w:rsidP="00DB62F5">
      <w:pPr>
        <w:spacing w:line="480" w:lineRule="auto"/>
        <w:rPr>
          <w:rFonts w:ascii="Times New Roman" w:hAnsi="Times New Roman" w:cs="Times New Roman"/>
          <w:sz w:val="24"/>
          <w:szCs w:val="24"/>
        </w:rPr>
      </w:pPr>
      <w:r w:rsidRPr="00511BA9">
        <w:rPr>
          <w:rFonts w:ascii="Times New Roman" w:hAnsi="Times New Roman" w:cs="Times New Roman"/>
          <w:sz w:val="24"/>
          <w:szCs w:val="24"/>
        </w:rPr>
        <w:t>Many studies of recent anthropogenic salinization focus on establishing toxicological endpoints for species or use short-term mesocosm experiments that do not reflect ecological reality. Very little is known about the long-term dynamics of species and populations responding to salinization. We examine a 170-year record of </w:t>
      </w:r>
      <w:r w:rsidRPr="00511BA9">
        <w:rPr>
          <w:rFonts w:ascii="Times New Roman" w:hAnsi="Times New Roman" w:cs="Times New Roman"/>
          <w:i/>
          <w:iCs/>
          <w:sz w:val="24"/>
          <w:szCs w:val="24"/>
        </w:rPr>
        <w:t>Daphnia</w:t>
      </w:r>
      <w:r w:rsidRPr="00511BA9">
        <w:rPr>
          <w:rFonts w:ascii="Times New Roman" w:hAnsi="Times New Roman" w:cs="Times New Roman"/>
          <w:sz w:val="24"/>
          <w:szCs w:val="24"/>
        </w:rPr>
        <w:t> assemblage dynamics archived in lake sediments. Contrary to recent work published on lakes with divergent water chemistries, we find only modest shifts in the relative abundance of </w:t>
      </w:r>
      <w:r w:rsidRPr="00511BA9">
        <w:rPr>
          <w:rFonts w:ascii="Times New Roman" w:hAnsi="Times New Roman" w:cs="Times New Roman"/>
          <w:i/>
          <w:iCs/>
          <w:sz w:val="24"/>
          <w:szCs w:val="24"/>
        </w:rPr>
        <w:t>Daphnia</w:t>
      </w:r>
      <w:r w:rsidRPr="00511BA9">
        <w:rPr>
          <w:rFonts w:ascii="Times New Roman" w:hAnsi="Times New Roman" w:cs="Times New Roman"/>
          <w:sz w:val="24"/>
          <w:szCs w:val="24"/>
        </w:rPr>
        <w:t> ephippia. Our results indicate that a more detailed study of lake </w:t>
      </w:r>
      <w:r w:rsidRPr="00511BA9">
        <w:rPr>
          <w:rFonts w:ascii="Times New Roman" w:hAnsi="Times New Roman" w:cs="Times New Roman"/>
          <w:i/>
          <w:iCs/>
          <w:sz w:val="24"/>
          <w:szCs w:val="24"/>
        </w:rPr>
        <w:t>Daphnia</w:t>
      </w:r>
      <w:r w:rsidRPr="00511BA9">
        <w:rPr>
          <w:rFonts w:ascii="Times New Roman" w:hAnsi="Times New Roman" w:cs="Times New Roman"/>
          <w:sz w:val="24"/>
          <w:szCs w:val="24"/>
        </w:rPr>
        <w:t> responses to salinization is needed to disentangle the controls and drivers of species composition change during salinization.</w:t>
      </w:r>
    </w:p>
    <w:p w14:paraId="1883FDE9" w14:textId="5A6BF5E6" w:rsidR="0068059C" w:rsidRDefault="0068059C" w:rsidP="00113F4A">
      <w:pPr>
        <w:spacing w:line="240" w:lineRule="auto"/>
        <w:rPr>
          <w:rFonts w:ascii="Times New Roman" w:hAnsi="Times New Roman" w:cs="Times New Roman"/>
          <w:sz w:val="24"/>
          <w:szCs w:val="24"/>
        </w:rPr>
      </w:pPr>
    </w:p>
    <w:p w14:paraId="7AC5711C" w14:textId="03914958" w:rsidR="005B0533" w:rsidRDefault="005B0533" w:rsidP="00113F4A">
      <w:pPr>
        <w:spacing w:line="240" w:lineRule="auto"/>
        <w:rPr>
          <w:rFonts w:ascii="Times New Roman" w:hAnsi="Times New Roman" w:cs="Times New Roman"/>
          <w:sz w:val="24"/>
          <w:szCs w:val="24"/>
        </w:rPr>
      </w:pPr>
    </w:p>
    <w:p w14:paraId="77B76658" w14:textId="77777777" w:rsidR="005B0533" w:rsidRPr="0068059C" w:rsidRDefault="005B0533" w:rsidP="00113F4A">
      <w:pPr>
        <w:spacing w:line="240" w:lineRule="auto"/>
        <w:rPr>
          <w:rFonts w:ascii="Times New Roman" w:hAnsi="Times New Roman" w:cs="Times New Roman"/>
          <w:sz w:val="24"/>
          <w:szCs w:val="24"/>
        </w:rPr>
      </w:pPr>
    </w:p>
    <w:p w14:paraId="4BF54625" w14:textId="7D344649" w:rsidR="00280790" w:rsidRPr="00DB62F5" w:rsidRDefault="00E13152" w:rsidP="00DB62F5">
      <w:pPr>
        <w:spacing w:line="480" w:lineRule="auto"/>
        <w:rPr>
          <w:rFonts w:ascii="Times New Roman" w:hAnsi="Times New Roman" w:cs="Times New Roman"/>
          <w:i/>
          <w:iCs/>
          <w:sz w:val="24"/>
          <w:szCs w:val="24"/>
        </w:rPr>
      </w:pPr>
      <w:r>
        <w:rPr>
          <w:rFonts w:ascii="Times New Roman" w:hAnsi="Times New Roman" w:cs="Times New Roman"/>
          <w:b/>
          <w:bCs/>
          <w:sz w:val="24"/>
          <w:szCs w:val="24"/>
        </w:rPr>
        <w:lastRenderedPageBreak/>
        <w:t>Introduction:</w:t>
      </w:r>
    </w:p>
    <w:p w14:paraId="10CD1792" w14:textId="62C58153" w:rsidR="00DB62F5" w:rsidRPr="00DB62F5" w:rsidRDefault="00DB62F5" w:rsidP="00DB62F5">
      <w:pPr>
        <w:spacing w:line="480" w:lineRule="auto"/>
        <w:rPr>
          <w:rFonts w:ascii="Times New Roman" w:hAnsi="Times New Roman" w:cs="Times New Roman"/>
          <w:sz w:val="24"/>
          <w:szCs w:val="24"/>
        </w:rPr>
      </w:pPr>
      <w:r w:rsidRPr="00DB62F5">
        <w:rPr>
          <w:rFonts w:ascii="Times New Roman" w:hAnsi="Times New Roman" w:cs="Times New Roman"/>
          <w:sz w:val="24"/>
          <w:szCs w:val="24"/>
        </w:rPr>
        <w:t>Salinization is an emerging global threat to freshwater ecosystems (Reid et al. 2019). While the drivers of freshwater salinization are well understood (Kaushal et al. 2005, 2018; Dugan et al. 2017), the impacts to biological communities remain poorly resolved (Hintz and Relyea 2019; Iglesias 2020). Recent work on biological impacts of salinization has focused on single species toxicity assays or short-term mesocosm experiments (Hintz and Relyea 2019). These studies, which are critical for understanding the impacts of salinization, are often divorced from ecological reality and do not consider interactions with habitat conditions or long-term community dynamics.</w:t>
      </w:r>
    </w:p>
    <w:p w14:paraId="270DEE8B" w14:textId="544C2398" w:rsidR="00DB62F5" w:rsidRPr="00DB62F5" w:rsidRDefault="00DB62F5" w:rsidP="00DB62F5">
      <w:pPr>
        <w:spacing w:line="480" w:lineRule="auto"/>
        <w:ind w:firstLine="720"/>
        <w:rPr>
          <w:rFonts w:ascii="Times New Roman" w:hAnsi="Times New Roman" w:cs="Times New Roman"/>
          <w:sz w:val="24"/>
          <w:szCs w:val="24"/>
        </w:rPr>
      </w:pPr>
      <w:r w:rsidRPr="00DB62F5">
        <w:rPr>
          <w:rFonts w:ascii="Times New Roman" w:hAnsi="Times New Roman" w:cs="Times New Roman"/>
          <w:sz w:val="24"/>
          <w:szCs w:val="24"/>
        </w:rPr>
        <w:t>Lake sediments are repositories that chronicle changes in organism abundance and diversity (Kerfoot et al. 1999; Rogalski et al. 2017; Burge et al. 2018</w:t>
      </w:r>
      <w:r w:rsidR="005B0533" w:rsidRPr="00DB62F5">
        <w:rPr>
          <w:rFonts w:ascii="Times New Roman" w:hAnsi="Times New Roman" w:cs="Times New Roman"/>
          <w:sz w:val="24"/>
          <w:szCs w:val="24"/>
        </w:rPr>
        <w:t>) and</w:t>
      </w:r>
      <w:r w:rsidRPr="00DB62F5">
        <w:rPr>
          <w:rFonts w:ascii="Times New Roman" w:hAnsi="Times New Roman" w:cs="Times New Roman"/>
          <w:sz w:val="24"/>
          <w:szCs w:val="24"/>
        </w:rPr>
        <w:t xml:space="preserve"> allow us to explore the salinization impacts across broad temporal scales. For instance, durable cladoceran remains can be used to reconstruct historical shifts in zooplankton community dynamics related to various anthropogenic changes (e.g., fish stocking, pollution; Kerfoot et al. 1999; Jeppesen et al. 2002; Rogalski et al. 2017). This allows for reconstruction of community-level parameters and species-specific traits during periods of change. In the case of salinization, US Environmental Protection Agency guidelines have indicated that chloride concentrations beyond 230 mg Cl− L−1 induce chronic effects, and chloride concentrations beyond 860 mg Cl− L−1 induce acute negative effects in freshwater aquatic organisms such as crustacean zooplankton (e.g., </w:t>
      </w:r>
      <w:r w:rsidRPr="005B0533">
        <w:rPr>
          <w:rFonts w:ascii="Times New Roman" w:hAnsi="Times New Roman" w:cs="Times New Roman"/>
          <w:i/>
          <w:iCs/>
          <w:sz w:val="24"/>
          <w:szCs w:val="24"/>
        </w:rPr>
        <w:t>Daphnia</w:t>
      </w:r>
      <w:r w:rsidRPr="00DB62F5">
        <w:rPr>
          <w:rFonts w:ascii="Times New Roman" w:hAnsi="Times New Roman" w:cs="Times New Roman"/>
          <w:sz w:val="24"/>
          <w:szCs w:val="24"/>
        </w:rPr>
        <w:t>; US EPA 1988). Generally, lentic freshwater ecosystems have chloride concentrations below both acute and chronic thresholds (Dugan et al. 2017). However, questions remain whether lakes nonetheless change as a result of increasing salinity.</w:t>
      </w:r>
    </w:p>
    <w:p w14:paraId="5C850E4E" w14:textId="77777777" w:rsidR="00DB62F5" w:rsidRPr="00DB62F5" w:rsidRDefault="00DB62F5" w:rsidP="00DB62F5">
      <w:pPr>
        <w:spacing w:line="480" w:lineRule="auto"/>
        <w:rPr>
          <w:rFonts w:ascii="Times New Roman" w:hAnsi="Times New Roman" w:cs="Times New Roman"/>
          <w:sz w:val="24"/>
          <w:szCs w:val="24"/>
        </w:rPr>
      </w:pPr>
    </w:p>
    <w:p w14:paraId="6B7DF68A" w14:textId="73F451F5" w:rsidR="00DB62F5" w:rsidRPr="00DB62F5" w:rsidRDefault="00DB62F5" w:rsidP="00DB62F5">
      <w:pPr>
        <w:spacing w:line="480" w:lineRule="auto"/>
        <w:ind w:firstLine="720"/>
        <w:rPr>
          <w:rFonts w:ascii="Times New Roman" w:hAnsi="Times New Roman" w:cs="Times New Roman"/>
          <w:sz w:val="24"/>
          <w:szCs w:val="24"/>
        </w:rPr>
      </w:pPr>
      <w:r w:rsidRPr="00DB62F5">
        <w:rPr>
          <w:rFonts w:ascii="Times New Roman" w:hAnsi="Times New Roman" w:cs="Times New Roman"/>
          <w:sz w:val="24"/>
          <w:szCs w:val="24"/>
        </w:rPr>
        <w:lastRenderedPageBreak/>
        <w:t xml:space="preserve">Studies using paleolimnological techniques have reconstructed shifts from </w:t>
      </w:r>
      <w:r w:rsidRPr="005B0533">
        <w:rPr>
          <w:rFonts w:ascii="Times New Roman" w:hAnsi="Times New Roman" w:cs="Times New Roman"/>
          <w:i/>
          <w:iCs/>
          <w:sz w:val="24"/>
          <w:szCs w:val="24"/>
        </w:rPr>
        <w:t>Bosmina spp</w:t>
      </w:r>
      <w:r w:rsidRPr="00DB62F5">
        <w:rPr>
          <w:rFonts w:ascii="Times New Roman" w:hAnsi="Times New Roman" w:cs="Times New Roman"/>
          <w:sz w:val="24"/>
          <w:szCs w:val="24"/>
        </w:rPr>
        <w:t xml:space="preserve">. dominated assemblages to those dominated by </w:t>
      </w:r>
      <w:r w:rsidRPr="005B0533">
        <w:rPr>
          <w:rFonts w:ascii="Times New Roman" w:hAnsi="Times New Roman" w:cs="Times New Roman"/>
          <w:i/>
          <w:iCs/>
          <w:sz w:val="24"/>
          <w:szCs w:val="24"/>
        </w:rPr>
        <w:t>Chydorus</w:t>
      </w:r>
      <w:r w:rsidRPr="00DB62F5">
        <w:rPr>
          <w:rFonts w:ascii="Times New Roman" w:hAnsi="Times New Roman" w:cs="Times New Roman"/>
          <w:sz w:val="24"/>
          <w:szCs w:val="24"/>
        </w:rPr>
        <w:t xml:space="preserve"> and </w:t>
      </w:r>
      <w:r w:rsidRPr="005B0533">
        <w:rPr>
          <w:rFonts w:ascii="Times New Roman" w:hAnsi="Times New Roman" w:cs="Times New Roman"/>
          <w:i/>
          <w:iCs/>
          <w:sz w:val="24"/>
          <w:szCs w:val="24"/>
        </w:rPr>
        <w:t xml:space="preserve">Daphnia </w:t>
      </w:r>
      <w:r w:rsidRPr="00DB62F5">
        <w:rPr>
          <w:rFonts w:ascii="Times New Roman" w:hAnsi="Times New Roman" w:cs="Times New Roman"/>
          <w:sz w:val="24"/>
          <w:szCs w:val="24"/>
        </w:rPr>
        <w:t xml:space="preserve">in Canadian Shield lakes coincidental with road salting in Southern Canada (Arnott et al. 2020; Valleau et al. 2020). These shifts occurred despite only modest increases in chloride (~5–40 mg L−1) driven primarily by road salt application. However, Canadian Shield lakes are notable for their soft water (e.g., low [Ca2+] and [Mg2+]; Jeziorski et al. 2008; Valleau et al. 2020). Water hardness is an important parameter influencing chloride toxicity across many types of freshwater invertebrates (Elphick et al. 2011; Soucek et al. 2011). Thus, dramatic shifts in species composition during salinization may be unique to soft water lakes. In addition, some lakes in the Northern United States have seen more dramatic increases in salinities than those observed in Southern Canada (Dugan et al. 2017, 2020). In some cases, salinity increases have disrupted water column mixing dynamics of lakes, a condition known as “cultural meromixis” (Sibert et al. 2015; Wyman and Koretsky 2018). The transition to cultural meromixis impacts the quality and quantity of lake habitat available for key groups such as zooplankton. Loss of mixing and stratification in lakes can have major impacts on key zooplankton groups such as cladocerans, which undergo diel vertical migration to avoid predators and partition habitat vertically within the water column (Stich and Lampert 1981; Lampert et al. 2003). A lack of mixing reduces the size and persistence of an oxygenated hypolimnic refuge for large-bodied, predation-intolerant cladocerans, such as Daphnia. Such a refuge is critical for maintaining </w:t>
      </w:r>
      <w:r w:rsidRPr="005B0533">
        <w:rPr>
          <w:rFonts w:ascii="Times New Roman" w:hAnsi="Times New Roman" w:cs="Times New Roman"/>
          <w:i/>
          <w:iCs/>
          <w:sz w:val="24"/>
          <w:szCs w:val="24"/>
        </w:rPr>
        <w:t>Daphnia</w:t>
      </w:r>
      <w:r w:rsidRPr="00DB62F5">
        <w:rPr>
          <w:rFonts w:ascii="Times New Roman" w:hAnsi="Times New Roman" w:cs="Times New Roman"/>
          <w:sz w:val="24"/>
          <w:szCs w:val="24"/>
        </w:rPr>
        <w:t xml:space="preserve"> populations throughout the growing season (Wright and Shapiro 1990). Thus, despite not reaching “toxic” salinity levels, lakes may experience loss of seasonally available habitats which could potentially lead to extirpation of key functional groups within plankton assemblages. To better understand the impacts of salinization </w:t>
      </w:r>
      <w:r w:rsidRPr="00DB62F5">
        <w:rPr>
          <w:rFonts w:ascii="Times New Roman" w:hAnsi="Times New Roman" w:cs="Times New Roman"/>
          <w:sz w:val="24"/>
          <w:szCs w:val="24"/>
        </w:rPr>
        <w:lastRenderedPageBreak/>
        <w:t>on key zooplankton groups we should jointly consider background water chemistry and seasonal mixing.</w:t>
      </w:r>
    </w:p>
    <w:p w14:paraId="1310B456" w14:textId="2F33992D" w:rsidR="00E13152" w:rsidRDefault="00DB62F5" w:rsidP="00DB62F5">
      <w:pPr>
        <w:spacing w:line="480" w:lineRule="auto"/>
        <w:ind w:firstLine="720"/>
        <w:rPr>
          <w:rFonts w:ascii="Times New Roman" w:hAnsi="Times New Roman" w:cs="Times New Roman"/>
          <w:sz w:val="24"/>
          <w:szCs w:val="24"/>
        </w:rPr>
      </w:pPr>
      <w:r w:rsidRPr="00DB62F5">
        <w:rPr>
          <w:rFonts w:ascii="Times New Roman" w:hAnsi="Times New Roman" w:cs="Times New Roman"/>
          <w:sz w:val="24"/>
          <w:szCs w:val="24"/>
        </w:rPr>
        <w:t xml:space="preserve">Here, we used the sediment subfossil archive from a salinized suburban Minnesota lake to document the impact that 70 years of salinization has had on </w:t>
      </w:r>
      <w:r w:rsidRPr="00BF13CF">
        <w:rPr>
          <w:rFonts w:ascii="Times New Roman" w:hAnsi="Times New Roman" w:cs="Times New Roman"/>
          <w:i/>
          <w:iCs/>
          <w:sz w:val="24"/>
          <w:szCs w:val="24"/>
        </w:rPr>
        <w:t>Daphnia</w:t>
      </w:r>
      <w:r w:rsidRPr="00DB62F5">
        <w:rPr>
          <w:rFonts w:ascii="Times New Roman" w:hAnsi="Times New Roman" w:cs="Times New Roman"/>
          <w:sz w:val="24"/>
          <w:szCs w:val="24"/>
        </w:rPr>
        <w:t xml:space="preserve"> assemblage dynamics. </w:t>
      </w:r>
      <w:r w:rsidRPr="00BF13CF">
        <w:rPr>
          <w:rFonts w:ascii="Times New Roman" w:hAnsi="Times New Roman" w:cs="Times New Roman"/>
          <w:i/>
          <w:iCs/>
          <w:sz w:val="24"/>
          <w:szCs w:val="24"/>
        </w:rPr>
        <w:t>Daphnia</w:t>
      </w:r>
      <w:r w:rsidRPr="00DB62F5">
        <w:rPr>
          <w:rFonts w:ascii="Times New Roman" w:hAnsi="Times New Roman" w:cs="Times New Roman"/>
          <w:sz w:val="24"/>
          <w:szCs w:val="24"/>
        </w:rPr>
        <w:t xml:space="preserve"> are keystone species in lake food webs linking primary production to higher trophic levels; large-bodied species provide key ecosystem services (Lampert and Sommer 2007; Ogorelec et al. 2021). Specifically, we identified and enumerated </w:t>
      </w:r>
      <w:r w:rsidRPr="00BF13CF">
        <w:rPr>
          <w:rFonts w:ascii="Times New Roman" w:hAnsi="Times New Roman" w:cs="Times New Roman"/>
          <w:i/>
          <w:iCs/>
          <w:sz w:val="24"/>
          <w:szCs w:val="24"/>
        </w:rPr>
        <w:t xml:space="preserve">Daphnia </w:t>
      </w:r>
      <w:r w:rsidRPr="00DB62F5">
        <w:rPr>
          <w:rFonts w:ascii="Times New Roman" w:hAnsi="Times New Roman" w:cs="Times New Roman"/>
          <w:sz w:val="24"/>
          <w:szCs w:val="24"/>
        </w:rPr>
        <w:t xml:space="preserve">ephippia preserved in sediments to characterize species abundance and diversity within the assemblage over the course of 170 years. In addition, we tested for a correlated shift that reflected a decrease in </w:t>
      </w:r>
      <w:r w:rsidRPr="00BF13CF">
        <w:rPr>
          <w:rFonts w:ascii="Times New Roman" w:hAnsi="Times New Roman" w:cs="Times New Roman"/>
          <w:i/>
          <w:iCs/>
          <w:sz w:val="24"/>
          <w:szCs w:val="24"/>
        </w:rPr>
        <w:t>Daphnia pulicaria</w:t>
      </w:r>
      <w:r w:rsidRPr="00DB62F5">
        <w:rPr>
          <w:rFonts w:ascii="Times New Roman" w:hAnsi="Times New Roman" w:cs="Times New Roman"/>
          <w:sz w:val="24"/>
          <w:szCs w:val="24"/>
        </w:rPr>
        <w:t xml:space="preserve"> body size to illuminate potential drivers of community change (e.g., increasing predation) related to cultural meromixis. Our results highlight critical additional hypotheses needed to address the nuanced ecological impacts of recent salinization and concomitant altered physicochemical structure of lake habitats.</w:t>
      </w:r>
    </w:p>
    <w:p w14:paraId="46710C83" w14:textId="79F9C54B" w:rsidR="00B12F88" w:rsidRPr="00B12F88" w:rsidRDefault="00B12F88" w:rsidP="00B12F88">
      <w:pPr>
        <w:spacing w:line="480" w:lineRule="auto"/>
        <w:rPr>
          <w:rFonts w:ascii="Times New Roman" w:hAnsi="Times New Roman" w:cs="Times New Roman"/>
          <w:b/>
          <w:bCs/>
          <w:sz w:val="24"/>
          <w:szCs w:val="24"/>
        </w:rPr>
      </w:pPr>
      <w:r w:rsidRPr="00B12F88">
        <w:rPr>
          <w:rFonts w:ascii="Times New Roman" w:hAnsi="Times New Roman" w:cs="Times New Roman"/>
          <w:b/>
          <w:bCs/>
          <w:sz w:val="24"/>
          <w:szCs w:val="24"/>
        </w:rPr>
        <w:t>Methods</w:t>
      </w:r>
      <w:r>
        <w:rPr>
          <w:rFonts w:ascii="Times New Roman" w:hAnsi="Times New Roman" w:cs="Times New Roman"/>
          <w:b/>
          <w:bCs/>
          <w:sz w:val="24"/>
          <w:szCs w:val="24"/>
        </w:rPr>
        <w:t>:</w:t>
      </w:r>
    </w:p>
    <w:p w14:paraId="1917CA15" w14:textId="7E12C7ED" w:rsidR="00B12F88" w:rsidRPr="00B12F88" w:rsidRDefault="00B12F88" w:rsidP="00B12F88">
      <w:pPr>
        <w:spacing w:line="480" w:lineRule="auto"/>
        <w:rPr>
          <w:rFonts w:ascii="Times New Roman" w:hAnsi="Times New Roman" w:cs="Times New Roman"/>
          <w:i/>
          <w:iCs/>
          <w:sz w:val="24"/>
          <w:szCs w:val="24"/>
        </w:rPr>
      </w:pPr>
      <w:r w:rsidRPr="00B12F88">
        <w:rPr>
          <w:rFonts w:ascii="Times New Roman" w:hAnsi="Times New Roman" w:cs="Times New Roman"/>
          <w:i/>
          <w:iCs/>
          <w:sz w:val="24"/>
          <w:szCs w:val="24"/>
        </w:rPr>
        <w:t>Study site</w:t>
      </w:r>
      <w:r>
        <w:rPr>
          <w:rFonts w:ascii="Times New Roman" w:hAnsi="Times New Roman" w:cs="Times New Roman"/>
          <w:i/>
          <w:iCs/>
          <w:sz w:val="24"/>
          <w:szCs w:val="24"/>
        </w:rPr>
        <w:t>:</w:t>
      </w:r>
    </w:p>
    <w:p w14:paraId="6988246B" w14:textId="318CCEB4" w:rsidR="00B12F88" w:rsidRDefault="00B12F88" w:rsidP="00B12F88">
      <w:pPr>
        <w:spacing w:line="480" w:lineRule="auto"/>
        <w:rPr>
          <w:rFonts w:ascii="Times New Roman" w:hAnsi="Times New Roman" w:cs="Times New Roman"/>
          <w:sz w:val="24"/>
          <w:szCs w:val="24"/>
        </w:rPr>
      </w:pPr>
      <w:r w:rsidRPr="00B12F88">
        <w:rPr>
          <w:rFonts w:ascii="Times New Roman" w:hAnsi="Times New Roman" w:cs="Times New Roman"/>
          <w:sz w:val="24"/>
          <w:szCs w:val="24"/>
        </w:rPr>
        <w:t xml:space="preserve">Tanners Lake (TL) is a small (27.66 ha) hard-water lake (&gt;120 mg L− CaCO3) located in Oakdale, Minnesota (44.9509°N, −92.9813°W). The watershed (~230.5 ha) is dominated by suburban development with ~32% impervious surface, which includes residential development, parking lots, and interstate highways (U.S. Geological Survey 2016). TL receives an estimated 524 kg Cl− ha−1 yr−1 primarily from road deicing salts (primarily NaCl) from watershed runoff (Novotny and Stefan 2010). Previous studies have estimated the background pre-Euro-American colonization chloride concentration at 1–2 mg L−1 using diatom-inferred transfer functions </w:t>
      </w:r>
      <w:r w:rsidRPr="00B12F88">
        <w:rPr>
          <w:rFonts w:ascii="Times New Roman" w:hAnsi="Times New Roman" w:cs="Times New Roman"/>
          <w:sz w:val="24"/>
          <w:szCs w:val="24"/>
        </w:rPr>
        <w:lastRenderedPageBreak/>
        <w:t>(Ramstack et al. 2003, 2004). Contemporary chloride concentrations range from ~150 mg L−1 at the surface to &gt;350 mg L−1 in the bottom waters. Concomitant with increased salinity, TL has transitioned to a meromictic state, where bottom waters remain unmixed throughout the growing season (Fig. 1A–C; Novotny and Stefan 2012).</w:t>
      </w:r>
    </w:p>
    <w:p w14:paraId="6A8318AA" w14:textId="4D8073B0" w:rsidR="00165F2A" w:rsidRPr="00165F2A" w:rsidRDefault="00165F2A" w:rsidP="00165F2A">
      <w:pPr>
        <w:spacing w:line="480" w:lineRule="auto"/>
        <w:rPr>
          <w:rFonts w:ascii="Times New Roman" w:hAnsi="Times New Roman" w:cs="Times New Roman"/>
          <w:i/>
          <w:iCs/>
          <w:sz w:val="24"/>
          <w:szCs w:val="24"/>
        </w:rPr>
      </w:pPr>
      <w:r w:rsidRPr="00165F2A">
        <w:rPr>
          <w:rFonts w:ascii="Times New Roman" w:hAnsi="Times New Roman" w:cs="Times New Roman"/>
          <w:i/>
          <w:iCs/>
          <w:sz w:val="24"/>
          <w:szCs w:val="24"/>
        </w:rPr>
        <w:t>Sediment collection</w:t>
      </w:r>
      <w:r>
        <w:rPr>
          <w:rFonts w:ascii="Times New Roman" w:hAnsi="Times New Roman" w:cs="Times New Roman"/>
          <w:i/>
          <w:iCs/>
          <w:sz w:val="24"/>
          <w:szCs w:val="24"/>
        </w:rPr>
        <w:t>:</w:t>
      </w:r>
    </w:p>
    <w:p w14:paraId="7BCB09F2" w14:textId="1B4C88CD" w:rsidR="00165F2A" w:rsidRPr="00165F2A" w:rsidRDefault="00165F2A" w:rsidP="00165F2A">
      <w:pPr>
        <w:spacing w:line="480" w:lineRule="auto"/>
        <w:rPr>
          <w:rFonts w:ascii="Times New Roman" w:hAnsi="Times New Roman" w:cs="Times New Roman"/>
          <w:sz w:val="24"/>
          <w:szCs w:val="24"/>
        </w:rPr>
      </w:pPr>
      <w:r w:rsidRPr="00165F2A">
        <w:rPr>
          <w:rFonts w:ascii="Times New Roman" w:hAnsi="Times New Roman" w:cs="Times New Roman"/>
          <w:sz w:val="24"/>
          <w:szCs w:val="24"/>
        </w:rPr>
        <w:t>On 2 July 2019, we collected duplicate 1.5-m sediment cores using a piston corer and rigid drive rods operated from a pontoon anchored in ~14 m of water (Wright 1991). We extruded the top 20 cm of both cores in the field in 2-cm intervals (representing ~2–5 years) into 125-mL polycarbonate sampling cups and placed them in an ice-chest for transport and further processing in the lab. The remainder of the core was capped for transport to the lab, where it was sectioned into 2-cm intervals to a depth of 92-cm to capture a record from present-day through the Euro-American settlement (ca. 1850 AD). One core was retained for the collection of sub</w:t>
      </w:r>
      <w:r w:rsidR="00BF13CF">
        <w:rPr>
          <w:rFonts w:ascii="Times New Roman" w:hAnsi="Times New Roman" w:cs="Times New Roman"/>
          <w:sz w:val="24"/>
          <w:szCs w:val="24"/>
        </w:rPr>
        <w:t>-</w:t>
      </w:r>
      <w:r w:rsidRPr="00165F2A">
        <w:rPr>
          <w:rFonts w:ascii="Times New Roman" w:hAnsi="Times New Roman" w:cs="Times New Roman"/>
          <w:sz w:val="24"/>
          <w:szCs w:val="24"/>
        </w:rPr>
        <w:t>fossil ephippia; the second was used for sediment geochemical analysis (see Supplemental Methods in Supporting Information Data S1).</w:t>
      </w:r>
    </w:p>
    <w:p w14:paraId="37498DD6" w14:textId="53E2F9F5" w:rsidR="00165F2A" w:rsidRPr="00165F2A" w:rsidRDefault="00165F2A" w:rsidP="00165F2A">
      <w:pPr>
        <w:spacing w:line="480" w:lineRule="auto"/>
        <w:rPr>
          <w:rFonts w:ascii="Times New Roman" w:hAnsi="Times New Roman" w:cs="Times New Roman"/>
          <w:i/>
          <w:iCs/>
          <w:sz w:val="24"/>
          <w:szCs w:val="24"/>
        </w:rPr>
      </w:pPr>
      <w:r w:rsidRPr="00165F2A">
        <w:rPr>
          <w:rFonts w:ascii="Times New Roman" w:hAnsi="Times New Roman" w:cs="Times New Roman"/>
          <w:i/>
          <w:iCs/>
          <w:sz w:val="24"/>
          <w:szCs w:val="24"/>
        </w:rPr>
        <w:t>Isolation of ephippial remains</w:t>
      </w:r>
      <w:r>
        <w:rPr>
          <w:rFonts w:ascii="Times New Roman" w:hAnsi="Times New Roman" w:cs="Times New Roman"/>
          <w:i/>
          <w:iCs/>
          <w:sz w:val="24"/>
          <w:szCs w:val="24"/>
        </w:rPr>
        <w:t>:</w:t>
      </w:r>
    </w:p>
    <w:p w14:paraId="0F882A49" w14:textId="604DBD54" w:rsidR="00165F2A" w:rsidRPr="00165F2A" w:rsidRDefault="00165F2A" w:rsidP="00165F2A">
      <w:pPr>
        <w:spacing w:line="480" w:lineRule="auto"/>
        <w:rPr>
          <w:rFonts w:ascii="Times New Roman" w:hAnsi="Times New Roman" w:cs="Times New Roman"/>
          <w:sz w:val="24"/>
          <w:szCs w:val="24"/>
        </w:rPr>
      </w:pPr>
      <w:r w:rsidRPr="00165F2A">
        <w:rPr>
          <w:rFonts w:ascii="Times New Roman" w:hAnsi="Times New Roman" w:cs="Times New Roman"/>
          <w:sz w:val="24"/>
          <w:szCs w:val="24"/>
        </w:rPr>
        <w:t xml:space="preserve">We took three subsamples from each core section (~5–15 g/subsample wet weight). Each subsample was washed through a series of nested metal sieves (710, 425, and 300 μm mesh sizes) using COMBO medium (Kilham et al. 1998). Each size fraction was surveyed for the isolation of Daphnia ephippia under a stereomicroscope (Olympus SZ61). All ephippia were collected and enumerated from the sediment and grouped by species-specific morphological characteristics consistent with previous studies (Mergeay et al. 2004; Rogalski et al. 2017). For each layer, the flux (#ephippia g sediment−1 yr−1) of each species' ephippia to the sediment was </w:t>
      </w:r>
      <w:r w:rsidRPr="00165F2A">
        <w:rPr>
          <w:rFonts w:ascii="Times New Roman" w:hAnsi="Times New Roman" w:cs="Times New Roman"/>
          <w:sz w:val="24"/>
          <w:szCs w:val="24"/>
        </w:rPr>
        <w:lastRenderedPageBreak/>
        <w:t xml:space="preserve">calculated using a dating and sedimentation rate model (see Supporting Information Data S1). Furthermore, a subset of ephippia (up to 30) from each core section identified as </w:t>
      </w:r>
      <w:r w:rsidRPr="00BF13CF">
        <w:rPr>
          <w:rFonts w:ascii="Times New Roman" w:hAnsi="Times New Roman" w:cs="Times New Roman"/>
          <w:i/>
          <w:iCs/>
          <w:sz w:val="24"/>
          <w:szCs w:val="24"/>
        </w:rPr>
        <w:t>D. pulicaria</w:t>
      </w:r>
      <w:r w:rsidRPr="00165F2A">
        <w:rPr>
          <w:rFonts w:ascii="Times New Roman" w:hAnsi="Times New Roman" w:cs="Times New Roman"/>
          <w:sz w:val="24"/>
          <w:szCs w:val="24"/>
        </w:rPr>
        <w:t xml:space="preserve"> were measured for dorsal length (to the nearest 0.1 mm) using an ocular micrometer mounted to a Leica MZ-8 stereomicroscope to reconstruct body size trajectories of </w:t>
      </w:r>
      <w:r w:rsidRPr="00BF13CF">
        <w:rPr>
          <w:rFonts w:ascii="Times New Roman" w:hAnsi="Times New Roman" w:cs="Times New Roman"/>
          <w:i/>
          <w:iCs/>
          <w:sz w:val="24"/>
          <w:szCs w:val="24"/>
        </w:rPr>
        <w:t>D. pulicaria</w:t>
      </w:r>
      <w:r w:rsidRPr="00165F2A">
        <w:rPr>
          <w:rFonts w:ascii="Times New Roman" w:hAnsi="Times New Roman" w:cs="Times New Roman"/>
          <w:sz w:val="24"/>
          <w:szCs w:val="24"/>
        </w:rPr>
        <w:t xml:space="preserve"> (Jeppesen et al. 2002).</w:t>
      </w:r>
    </w:p>
    <w:p w14:paraId="75CAE9BD" w14:textId="459C0FBC" w:rsidR="00165F2A" w:rsidRPr="00165F2A" w:rsidRDefault="00165F2A" w:rsidP="00165F2A">
      <w:pPr>
        <w:spacing w:line="480" w:lineRule="auto"/>
        <w:rPr>
          <w:rFonts w:ascii="Times New Roman" w:hAnsi="Times New Roman" w:cs="Times New Roman"/>
          <w:i/>
          <w:iCs/>
          <w:sz w:val="24"/>
          <w:szCs w:val="24"/>
        </w:rPr>
      </w:pPr>
      <w:r w:rsidRPr="00165F2A">
        <w:rPr>
          <w:rFonts w:ascii="Times New Roman" w:hAnsi="Times New Roman" w:cs="Times New Roman"/>
          <w:i/>
          <w:iCs/>
          <w:sz w:val="24"/>
          <w:szCs w:val="24"/>
        </w:rPr>
        <w:t>Statistical analysis</w:t>
      </w:r>
      <w:r>
        <w:rPr>
          <w:rFonts w:ascii="Times New Roman" w:hAnsi="Times New Roman" w:cs="Times New Roman"/>
          <w:i/>
          <w:iCs/>
          <w:sz w:val="24"/>
          <w:szCs w:val="24"/>
        </w:rPr>
        <w:t>:</w:t>
      </w:r>
    </w:p>
    <w:p w14:paraId="01E28FC2" w14:textId="3B2B7396" w:rsidR="00B12F88" w:rsidRDefault="00165F2A" w:rsidP="00165F2A">
      <w:pPr>
        <w:spacing w:line="480" w:lineRule="auto"/>
        <w:rPr>
          <w:rFonts w:ascii="Times New Roman" w:hAnsi="Times New Roman" w:cs="Times New Roman"/>
          <w:sz w:val="24"/>
          <w:szCs w:val="24"/>
        </w:rPr>
      </w:pPr>
      <w:r w:rsidRPr="00165F2A">
        <w:rPr>
          <w:rFonts w:ascii="Times New Roman" w:hAnsi="Times New Roman" w:cs="Times New Roman"/>
          <w:sz w:val="24"/>
          <w:szCs w:val="24"/>
        </w:rPr>
        <w:t>We examined the relationship among ephippial fluxes for each species, estimated chloride concentration, and sediment geochemical attributes (% organic and % CaCO3) using generalized additive mixed</w:t>
      </w:r>
      <w:r>
        <w:rPr>
          <w:rFonts w:ascii="Times New Roman" w:hAnsi="Times New Roman" w:cs="Times New Roman"/>
          <w:sz w:val="24"/>
          <w:szCs w:val="24"/>
        </w:rPr>
        <w:t xml:space="preserve"> </w:t>
      </w:r>
      <w:r w:rsidRPr="00165F2A">
        <w:rPr>
          <w:rFonts w:ascii="Times New Roman" w:hAnsi="Times New Roman" w:cs="Times New Roman"/>
          <w:sz w:val="24"/>
          <w:szCs w:val="24"/>
        </w:rPr>
        <w:t xml:space="preserve">models (GAMM) fitted using the package mgcv (version 1.8-33; Wood 2017) in R (version 4.0.2). Each species' GAMM model was fit using a continuous time first-order autoregressive process and restricted maximum likelihood (method = “REML”) to account for the temporal (time-series) nature of the data and the uncertainty in the number of years contained within each sediment slice using Poisson errors. To assess size-structure changes of </w:t>
      </w:r>
      <w:r w:rsidRPr="00BF13CF">
        <w:rPr>
          <w:rFonts w:ascii="Times New Roman" w:hAnsi="Times New Roman" w:cs="Times New Roman"/>
          <w:i/>
          <w:iCs/>
          <w:sz w:val="24"/>
          <w:szCs w:val="24"/>
        </w:rPr>
        <w:t>D. pulicaria</w:t>
      </w:r>
      <w:r w:rsidRPr="00165F2A">
        <w:rPr>
          <w:rFonts w:ascii="Times New Roman" w:hAnsi="Times New Roman" w:cs="Times New Roman"/>
          <w:sz w:val="24"/>
          <w:szCs w:val="24"/>
        </w:rPr>
        <w:t xml:space="preserve"> over the full length of the core, we fit a linear model (LM), which analyzed ephippia dorsal length by depth of sediment using R (version 4.0.2; R Core Team 2020). Data for recreating this analysis are available in the Dryad Repository (Wersebe et al. 2021).</w:t>
      </w:r>
    </w:p>
    <w:p w14:paraId="3C8C2728" w14:textId="14AE558D" w:rsidR="009E1A16" w:rsidRPr="009E1A16" w:rsidRDefault="009E1A16" w:rsidP="009E1A16">
      <w:pPr>
        <w:spacing w:line="480" w:lineRule="auto"/>
        <w:rPr>
          <w:rFonts w:ascii="Times New Roman" w:hAnsi="Times New Roman" w:cs="Times New Roman"/>
          <w:b/>
          <w:bCs/>
          <w:sz w:val="24"/>
          <w:szCs w:val="24"/>
        </w:rPr>
      </w:pPr>
      <w:r w:rsidRPr="009E1A16">
        <w:rPr>
          <w:rFonts w:ascii="Times New Roman" w:hAnsi="Times New Roman" w:cs="Times New Roman"/>
          <w:b/>
          <w:bCs/>
          <w:sz w:val="24"/>
          <w:szCs w:val="24"/>
        </w:rPr>
        <w:t>Results</w:t>
      </w:r>
      <w:r>
        <w:rPr>
          <w:rFonts w:ascii="Times New Roman" w:hAnsi="Times New Roman" w:cs="Times New Roman"/>
          <w:b/>
          <w:bCs/>
          <w:sz w:val="24"/>
          <w:szCs w:val="24"/>
        </w:rPr>
        <w:t>:</w:t>
      </w:r>
    </w:p>
    <w:p w14:paraId="0CFE08C1" w14:textId="7F14AFB3" w:rsidR="00165F2A" w:rsidRDefault="009E1A16" w:rsidP="009E1A16">
      <w:pPr>
        <w:spacing w:line="480" w:lineRule="auto"/>
        <w:rPr>
          <w:rFonts w:ascii="Times New Roman" w:hAnsi="Times New Roman" w:cs="Times New Roman"/>
          <w:sz w:val="24"/>
          <w:szCs w:val="24"/>
        </w:rPr>
      </w:pPr>
      <w:r w:rsidRPr="009E1A16">
        <w:rPr>
          <w:rFonts w:ascii="Times New Roman" w:hAnsi="Times New Roman" w:cs="Times New Roman"/>
          <w:sz w:val="24"/>
          <w:szCs w:val="24"/>
        </w:rPr>
        <w:t xml:space="preserve">From the sediments, we recovered ephippia from four </w:t>
      </w:r>
      <w:r w:rsidRPr="00BF13CF">
        <w:rPr>
          <w:rFonts w:ascii="Times New Roman" w:hAnsi="Times New Roman" w:cs="Times New Roman"/>
          <w:i/>
          <w:iCs/>
          <w:sz w:val="24"/>
          <w:szCs w:val="24"/>
        </w:rPr>
        <w:t>Daphnia</w:t>
      </w:r>
      <w:r w:rsidRPr="009E1A16">
        <w:rPr>
          <w:rFonts w:ascii="Times New Roman" w:hAnsi="Times New Roman" w:cs="Times New Roman"/>
          <w:sz w:val="24"/>
          <w:szCs w:val="24"/>
        </w:rPr>
        <w:t xml:space="preserve"> species-complexes common to north temperate lakes: </w:t>
      </w:r>
      <w:r w:rsidRPr="00BF13CF">
        <w:rPr>
          <w:rFonts w:ascii="Times New Roman" w:hAnsi="Times New Roman" w:cs="Times New Roman"/>
          <w:i/>
          <w:iCs/>
          <w:sz w:val="24"/>
          <w:szCs w:val="24"/>
        </w:rPr>
        <w:t>D. pulicaria, Daphnia mendotae, Daphnia parvula, and Daphnia retrocurva</w:t>
      </w:r>
      <w:r w:rsidRPr="009E1A16">
        <w:rPr>
          <w:rFonts w:ascii="Times New Roman" w:hAnsi="Times New Roman" w:cs="Times New Roman"/>
          <w:sz w:val="24"/>
          <w:szCs w:val="24"/>
        </w:rPr>
        <w:t xml:space="preserve"> (Fig. 2A–C). Due to difficulty in distinguishing between ephippia from </w:t>
      </w:r>
      <w:r w:rsidRPr="00BF13CF">
        <w:rPr>
          <w:rFonts w:ascii="Times New Roman" w:hAnsi="Times New Roman" w:cs="Times New Roman"/>
          <w:i/>
          <w:iCs/>
          <w:sz w:val="24"/>
          <w:szCs w:val="24"/>
        </w:rPr>
        <w:t>D. parvula and D. retrocurva</w:t>
      </w:r>
      <w:r w:rsidRPr="009E1A16">
        <w:rPr>
          <w:rFonts w:ascii="Times New Roman" w:hAnsi="Times New Roman" w:cs="Times New Roman"/>
          <w:sz w:val="24"/>
          <w:szCs w:val="24"/>
        </w:rPr>
        <w:t xml:space="preserve"> (i.e., poor preservation; low hatching success), we collapsed this closely related species-complex into a single category which we call “small ephippia.”</w:t>
      </w:r>
    </w:p>
    <w:p w14:paraId="3CC1E49D" w14:textId="7D0F0904" w:rsidR="00C275DC" w:rsidRPr="00C275DC" w:rsidRDefault="00C275DC" w:rsidP="00C275DC">
      <w:pPr>
        <w:spacing w:line="480" w:lineRule="auto"/>
        <w:rPr>
          <w:rFonts w:ascii="Times New Roman" w:hAnsi="Times New Roman" w:cs="Times New Roman"/>
          <w:i/>
          <w:iCs/>
          <w:sz w:val="24"/>
          <w:szCs w:val="24"/>
        </w:rPr>
      </w:pPr>
      <w:r w:rsidRPr="00C275DC">
        <w:rPr>
          <w:rFonts w:ascii="Times New Roman" w:hAnsi="Times New Roman" w:cs="Times New Roman"/>
          <w:i/>
          <w:iCs/>
          <w:sz w:val="24"/>
          <w:szCs w:val="24"/>
        </w:rPr>
        <w:lastRenderedPageBreak/>
        <w:t>Daphnia ephippial flux</w:t>
      </w:r>
      <w:r w:rsidR="00032834">
        <w:rPr>
          <w:rFonts w:ascii="Times New Roman" w:hAnsi="Times New Roman" w:cs="Times New Roman"/>
          <w:i/>
          <w:iCs/>
          <w:sz w:val="24"/>
          <w:szCs w:val="24"/>
        </w:rPr>
        <w:t>:</w:t>
      </w:r>
    </w:p>
    <w:p w14:paraId="57A5700B" w14:textId="2BD26746" w:rsidR="009E1A16" w:rsidRDefault="00C275DC" w:rsidP="00C275DC">
      <w:pPr>
        <w:spacing w:line="480" w:lineRule="auto"/>
        <w:rPr>
          <w:rFonts w:ascii="Times New Roman" w:hAnsi="Times New Roman" w:cs="Times New Roman"/>
          <w:sz w:val="24"/>
          <w:szCs w:val="24"/>
        </w:rPr>
      </w:pPr>
      <w:r w:rsidRPr="00BF13CF">
        <w:rPr>
          <w:rFonts w:ascii="Times New Roman" w:hAnsi="Times New Roman" w:cs="Times New Roman"/>
          <w:i/>
          <w:iCs/>
          <w:sz w:val="24"/>
          <w:szCs w:val="24"/>
        </w:rPr>
        <w:t>Daphnia</w:t>
      </w:r>
      <w:r w:rsidRPr="00C275DC">
        <w:rPr>
          <w:rFonts w:ascii="Times New Roman" w:hAnsi="Times New Roman" w:cs="Times New Roman"/>
          <w:sz w:val="24"/>
          <w:szCs w:val="24"/>
        </w:rPr>
        <w:t xml:space="preserve"> ephippia were present in every core layer sampled and ranged in total abundance from 83 to 3282 ephippia. The flux (#ephippia g sediment−1 yr−1) of </w:t>
      </w:r>
      <w:r w:rsidRPr="00BF13CF">
        <w:rPr>
          <w:rFonts w:ascii="Times New Roman" w:hAnsi="Times New Roman" w:cs="Times New Roman"/>
          <w:i/>
          <w:iCs/>
          <w:sz w:val="24"/>
          <w:szCs w:val="24"/>
        </w:rPr>
        <w:t>D. pulicaria</w:t>
      </w:r>
      <w:r w:rsidRPr="00C275DC">
        <w:rPr>
          <w:rFonts w:ascii="Times New Roman" w:hAnsi="Times New Roman" w:cs="Times New Roman"/>
          <w:sz w:val="24"/>
          <w:szCs w:val="24"/>
        </w:rPr>
        <w:t xml:space="preserve"> ephippia was positively correlated with chloride concentration (GAMM; edf = 2.799, r2 = 0.719, p = 0.0122; Fig. 3A) and significantly correlated with age of the sediment sampled. A peak in ephippia flux occurred around the late 1870s (~1878) and decreased until the late 1940s (~1948), at which point the flux stabilized until present day (GAMM; edf = 8.232, r2 = 0.719, p &lt; 0.0001, Supporting Information Fig. S4A). The flux of “small ephippia” was only significantly correlated with chloride, with an initial increase in flux until approximately 125 mg L−1, after which there was a precipitous drop in small ephippial flux (GAMM; edf = 6.832, r2 = 0.385, p &lt; 0.0001; Fig. 3B). The flux of </w:t>
      </w:r>
      <w:r w:rsidRPr="00BF13CF">
        <w:rPr>
          <w:rFonts w:ascii="Times New Roman" w:hAnsi="Times New Roman" w:cs="Times New Roman"/>
          <w:i/>
          <w:iCs/>
          <w:sz w:val="24"/>
          <w:szCs w:val="24"/>
        </w:rPr>
        <w:t>D. mendotae</w:t>
      </w:r>
      <w:r w:rsidRPr="00C275DC">
        <w:rPr>
          <w:rFonts w:ascii="Times New Roman" w:hAnsi="Times New Roman" w:cs="Times New Roman"/>
          <w:sz w:val="24"/>
          <w:szCs w:val="24"/>
        </w:rPr>
        <w:t xml:space="preserve"> ephippia showed a negative linear correlation with water-column chloride levels (GAMM; edf = 1.00, r2 = 0.363, p = 0.00347; Fig. 3C), along with a significant positive correlation with % CaCO3 in the sediments (GAMM; edf = 1.00, r2 = 0.363, p = 0.02576; Supporting Information Fig. S5). With the exception of </w:t>
      </w:r>
      <w:r w:rsidRPr="00BF13CF">
        <w:rPr>
          <w:rFonts w:ascii="Times New Roman" w:hAnsi="Times New Roman" w:cs="Times New Roman"/>
          <w:i/>
          <w:iCs/>
          <w:sz w:val="24"/>
          <w:szCs w:val="24"/>
        </w:rPr>
        <w:t>D. pulicaria</w:t>
      </w:r>
      <w:r w:rsidRPr="00C275DC">
        <w:rPr>
          <w:rFonts w:ascii="Times New Roman" w:hAnsi="Times New Roman" w:cs="Times New Roman"/>
          <w:sz w:val="24"/>
          <w:szCs w:val="24"/>
        </w:rPr>
        <w:t>, models had low adjusted r</w:t>
      </w:r>
      <w:r w:rsidRPr="00032834">
        <w:rPr>
          <w:rFonts w:ascii="Times New Roman" w:hAnsi="Times New Roman" w:cs="Times New Roman"/>
          <w:sz w:val="24"/>
          <w:szCs w:val="24"/>
          <w:vertAlign w:val="superscript"/>
        </w:rPr>
        <w:t>2</w:t>
      </w:r>
      <w:r w:rsidRPr="00C275DC">
        <w:rPr>
          <w:rFonts w:ascii="Times New Roman" w:hAnsi="Times New Roman" w:cs="Times New Roman"/>
          <w:sz w:val="24"/>
          <w:szCs w:val="24"/>
        </w:rPr>
        <w:t xml:space="preserve"> values (Table 1), indicating that other factors that remain unmeasured may also be important.</w:t>
      </w:r>
    </w:p>
    <w:p w14:paraId="1213F2A5" w14:textId="7FA9705E" w:rsidR="00032834" w:rsidRPr="00032834" w:rsidRDefault="00032834" w:rsidP="00032834">
      <w:pPr>
        <w:spacing w:line="480" w:lineRule="auto"/>
        <w:rPr>
          <w:rFonts w:ascii="Times New Roman" w:hAnsi="Times New Roman" w:cs="Times New Roman"/>
          <w:i/>
          <w:iCs/>
          <w:sz w:val="24"/>
          <w:szCs w:val="24"/>
        </w:rPr>
      </w:pPr>
      <w:r w:rsidRPr="00032834">
        <w:rPr>
          <w:rFonts w:ascii="Times New Roman" w:hAnsi="Times New Roman" w:cs="Times New Roman"/>
          <w:i/>
          <w:iCs/>
          <w:sz w:val="24"/>
          <w:szCs w:val="24"/>
        </w:rPr>
        <w:t>Size structure of D. pulicaria ephippia</w:t>
      </w:r>
      <w:r>
        <w:rPr>
          <w:rFonts w:ascii="Times New Roman" w:hAnsi="Times New Roman" w:cs="Times New Roman"/>
          <w:i/>
          <w:iCs/>
          <w:sz w:val="24"/>
          <w:szCs w:val="24"/>
        </w:rPr>
        <w:t>:</w:t>
      </w:r>
    </w:p>
    <w:p w14:paraId="41D0A01A" w14:textId="2248BA84" w:rsidR="00032834" w:rsidRDefault="00032834" w:rsidP="00032834">
      <w:pPr>
        <w:spacing w:line="480" w:lineRule="auto"/>
        <w:rPr>
          <w:rFonts w:ascii="Times New Roman" w:hAnsi="Times New Roman" w:cs="Times New Roman"/>
          <w:sz w:val="24"/>
          <w:szCs w:val="24"/>
        </w:rPr>
      </w:pPr>
      <w:r w:rsidRPr="00032834">
        <w:rPr>
          <w:rFonts w:ascii="Times New Roman" w:hAnsi="Times New Roman" w:cs="Times New Roman"/>
          <w:i/>
          <w:iCs/>
          <w:sz w:val="24"/>
          <w:szCs w:val="24"/>
        </w:rPr>
        <w:t>D. pulicaria</w:t>
      </w:r>
      <w:r w:rsidRPr="00032834">
        <w:rPr>
          <w:rFonts w:ascii="Times New Roman" w:hAnsi="Times New Roman" w:cs="Times New Roman"/>
          <w:sz w:val="24"/>
          <w:szCs w:val="24"/>
        </w:rPr>
        <w:t xml:space="preserve"> ephippia showed a consistent average size increase (i.e., ~0.002 mm in each 2-cm layer) moving up-core from 90 to 2 cm sediment depth (LM; adjusted r2 = 0.1656, F1,778 = 155.6, p &lt; 0.0001; Fig. 4).</w:t>
      </w:r>
    </w:p>
    <w:p w14:paraId="2B8235C1" w14:textId="77777777" w:rsidR="007339DA" w:rsidRDefault="007339DA" w:rsidP="007339DA">
      <w:pPr>
        <w:spacing w:line="480" w:lineRule="auto"/>
        <w:rPr>
          <w:rFonts w:ascii="Times New Roman" w:hAnsi="Times New Roman" w:cs="Times New Roman"/>
          <w:sz w:val="24"/>
          <w:szCs w:val="24"/>
        </w:rPr>
      </w:pPr>
    </w:p>
    <w:p w14:paraId="02600BA9" w14:textId="77777777" w:rsidR="007339DA" w:rsidRDefault="007339DA" w:rsidP="007339DA">
      <w:pPr>
        <w:spacing w:line="480" w:lineRule="auto"/>
        <w:rPr>
          <w:rFonts w:ascii="Times New Roman" w:hAnsi="Times New Roman" w:cs="Times New Roman"/>
          <w:sz w:val="24"/>
          <w:szCs w:val="24"/>
        </w:rPr>
      </w:pPr>
    </w:p>
    <w:p w14:paraId="3E813C1A" w14:textId="39AC0A84" w:rsidR="007339DA" w:rsidRPr="007339DA" w:rsidRDefault="007339DA" w:rsidP="007339DA">
      <w:pPr>
        <w:spacing w:line="480" w:lineRule="auto"/>
        <w:rPr>
          <w:rFonts w:ascii="Times New Roman" w:hAnsi="Times New Roman" w:cs="Times New Roman"/>
          <w:b/>
          <w:bCs/>
          <w:sz w:val="24"/>
          <w:szCs w:val="24"/>
        </w:rPr>
      </w:pPr>
      <w:r w:rsidRPr="007339DA">
        <w:rPr>
          <w:rFonts w:ascii="Times New Roman" w:hAnsi="Times New Roman" w:cs="Times New Roman"/>
          <w:b/>
          <w:bCs/>
          <w:sz w:val="24"/>
          <w:szCs w:val="24"/>
        </w:rPr>
        <w:lastRenderedPageBreak/>
        <w:t>Discussion</w:t>
      </w:r>
      <w:r>
        <w:rPr>
          <w:rFonts w:ascii="Times New Roman" w:hAnsi="Times New Roman" w:cs="Times New Roman"/>
          <w:b/>
          <w:bCs/>
          <w:sz w:val="24"/>
          <w:szCs w:val="24"/>
        </w:rPr>
        <w:t>:</w:t>
      </w:r>
    </w:p>
    <w:p w14:paraId="5D57657B" w14:textId="1EE7D273" w:rsidR="007339DA" w:rsidRPr="007339DA" w:rsidRDefault="007339DA" w:rsidP="007339DA">
      <w:pPr>
        <w:spacing w:line="480" w:lineRule="auto"/>
        <w:rPr>
          <w:rFonts w:ascii="Times New Roman" w:hAnsi="Times New Roman" w:cs="Times New Roman"/>
          <w:sz w:val="24"/>
          <w:szCs w:val="24"/>
        </w:rPr>
      </w:pPr>
      <w:r w:rsidRPr="007339DA">
        <w:rPr>
          <w:rFonts w:ascii="Times New Roman" w:hAnsi="Times New Roman" w:cs="Times New Roman"/>
          <w:sz w:val="24"/>
          <w:szCs w:val="24"/>
        </w:rPr>
        <w:t xml:space="preserve">Our goal was to reconstruct </w:t>
      </w:r>
      <w:r w:rsidRPr="00BF13CF">
        <w:rPr>
          <w:rFonts w:ascii="Times New Roman" w:hAnsi="Times New Roman" w:cs="Times New Roman"/>
          <w:i/>
          <w:iCs/>
          <w:sz w:val="24"/>
          <w:szCs w:val="24"/>
        </w:rPr>
        <w:t>Daphnia</w:t>
      </w:r>
      <w:r w:rsidRPr="007339DA">
        <w:rPr>
          <w:rFonts w:ascii="Times New Roman" w:hAnsi="Times New Roman" w:cs="Times New Roman"/>
          <w:sz w:val="24"/>
          <w:szCs w:val="24"/>
        </w:rPr>
        <w:t xml:space="preserve"> assemblage dynamics in TL that were recorded in the sediment ephippial archive before and during salinization. Our results suggest that </w:t>
      </w:r>
      <w:r w:rsidRPr="00BF13CF">
        <w:rPr>
          <w:rFonts w:ascii="Times New Roman" w:hAnsi="Times New Roman" w:cs="Times New Roman"/>
          <w:i/>
          <w:iCs/>
          <w:sz w:val="24"/>
          <w:szCs w:val="24"/>
        </w:rPr>
        <w:t>Daphnia</w:t>
      </w:r>
      <w:r w:rsidRPr="007339DA">
        <w:rPr>
          <w:rFonts w:ascii="Times New Roman" w:hAnsi="Times New Roman" w:cs="Times New Roman"/>
          <w:sz w:val="24"/>
          <w:szCs w:val="24"/>
        </w:rPr>
        <w:t xml:space="preserve"> assemblage structure has remained remarkably resilient in TL despite rapid and extreme changes in salinity during the last 75 years. The sediment ephippial bank revealed that all three common functional size classes of </w:t>
      </w:r>
      <w:r w:rsidRPr="00BF13CF">
        <w:rPr>
          <w:rFonts w:ascii="Times New Roman" w:hAnsi="Times New Roman" w:cs="Times New Roman"/>
          <w:i/>
          <w:iCs/>
          <w:sz w:val="24"/>
          <w:szCs w:val="24"/>
        </w:rPr>
        <w:t>Daphnia</w:t>
      </w:r>
      <w:r w:rsidRPr="007339DA">
        <w:rPr>
          <w:rFonts w:ascii="Times New Roman" w:hAnsi="Times New Roman" w:cs="Times New Roman"/>
          <w:sz w:val="24"/>
          <w:szCs w:val="24"/>
        </w:rPr>
        <w:t xml:space="preserve"> (i.e., large-bodied </w:t>
      </w:r>
      <w:r w:rsidRPr="00BF13CF">
        <w:rPr>
          <w:rFonts w:ascii="Times New Roman" w:hAnsi="Times New Roman" w:cs="Times New Roman"/>
          <w:i/>
          <w:iCs/>
          <w:sz w:val="24"/>
          <w:szCs w:val="24"/>
        </w:rPr>
        <w:t>D. pulicaria</w:t>
      </w:r>
      <w:r w:rsidRPr="007339DA">
        <w:rPr>
          <w:rFonts w:ascii="Times New Roman" w:hAnsi="Times New Roman" w:cs="Times New Roman"/>
          <w:sz w:val="24"/>
          <w:szCs w:val="24"/>
        </w:rPr>
        <w:t xml:space="preserve">; medium-sized </w:t>
      </w:r>
      <w:r w:rsidRPr="00BF13CF">
        <w:rPr>
          <w:rFonts w:ascii="Times New Roman" w:hAnsi="Times New Roman" w:cs="Times New Roman"/>
          <w:i/>
          <w:iCs/>
          <w:sz w:val="24"/>
          <w:szCs w:val="24"/>
        </w:rPr>
        <w:t>D. mendotae</w:t>
      </w:r>
      <w:r w:rsidRPr="007339DA">
        <w:rPr>
          <w:rFonts w:ascii="Times New Roman" w:hAnsi="Times New Roman" w:cs="Times New Roman"/>
          <w:sz w:val="24"/>
          <w:szCs w:val="24"/>
        </w:rPr>
        <w:t xml:space="preserve">; “small ephippia” of </w:t>
      </w:r>
      <w:r w:rsidRPr="00BF13CF">
        <w:rPr>
          <w:rFonts w:ascii="Times New Roman" w:hAnsi="Times New Roman" w:cs="Times New Roman"/>
          <w:i/>
          <w:iCs/>
          <w:sz w:val="24"/>
          <w:szCs w:val="24"/>
        </w:rPr>
        <w:t>D. parvula/D. retrocurva</w:t>
      </w:r>
      <w:r w:rsidRPr="007339DA">
        <w:rPr>
          <w:rFonts w:ascii="Times New Roman" w:hAnsi="Times New Roman" w:cs="Times New Roman"/>
          <w:sz w:val="24"/>
          <w:szCs w:val="24"/>
        </w:rPr>
        <w:t>) remained detectable in the sediments throughout the period of salinization. All three species groups have remained active in the water column during salinization, in direct contrast to large detectible shifts observed in other paleolimnological studies of salinized lakes (Arnott et al. 2020; Valleau et al. 2020).</w:t>
      </w:r>
    </w:p>
    <w:p w14:paraId="4409FF1A" w14:textId="09DEB984" w:rsidR="007339DA" w:rsidRPr="007339DA" w:rsidRDefault="007339DA" w:rsidP="00D958E6">
      <w:pPr>
        <w:spacing w:line="480" w:lineRule="auto"/>
        <w:ind w:firstLine="720"/>
        <w:rPr>
          <w:rFonts w:ascii="Times New Roman" w:hAnsi="Times New Roman" w:cs="Times New Roman"/>
          <w:sz w:val="24"/>
          <w:szCs w:val="24"/>
        </w:rPr>
      </w:pPr>
      <w:r w:rsidRPr="007339DA">
        <w:rPr>
          <w:rFonts w:ascii="Times New Roman" w:hAnsi="Times New Roman" w:cs="Times New Roman"/>
          <w:sz w:val="24"/>
          <w:szCs w:val="24"/>
        </w:rPr>
        <w:t xml:space="preserve">The concentration of chloride was significantly correlated with species' flux rates (i.e., delivery of ephippia to the sediments). </w:t>
      </w:r>
      <w:r w:rsidRPr="00BF13CF">
        <w:rPr>
          <w:rFonts w:ascii="Times New Roman" w:hAnsi="Times New Roman" w:cs="Times New Roman"/>
          <w:i/>
          <w:iCs/>
          <w:sz w:val="24"/>
          <w:szCs w:val="24"/>
        </w:rPr>
        <w:t>D. pulicaria</w:t>
      </w:r>
      <w:r w:rsidRPr="007339DA">
        <w:rPr>
          <w:rFonts w:ascii="Times New Roman" w:hAnsi="Times New Roman" w:cs="Times New Roman"/>
          <w:sz w:val="24"/>
          <w:szCs w:val="24"/>
        </w:rPr>
        <w:t xml:space="preserve"> ephippia exhibited an increase in flux while small ephippia exhibited a decrease in flux as chloride levels exceeded an estimated 125 mg L−1. The flux of </w:t>
      </w:r>
      <w:r w:rsidRPr="00BF13CF">
        <w:rPr>
          <w:rFonts w:ascii="Times New Roman" w:hAnsi="Times New Roman" w:cs="Times New Roman"/>
          <w:i/>
          <w:iCs/>
          <w:sz w:val="24"/>
          <w:szCs w:val="24"/>
        </w:rPr>
        <w:t>D. mendotae</w:t>
      </w:r>
      <w:r w:rsidRPr="007339DA">
        <w:rPr>
          <w:rFonts w:ascii="Times New Roman" w:hAnsi="Times New Roman" w:cs="Times New Roman"/>
          <w:sz w:val="24"/>
          <w:szCs w:val="24"/>
        </w:rPr>
        <w:t xml:space="preserve"> ephippia showed a negative linear relationship with changes in water column chloride concentration, along with a significant positive relationship with the % CaCO3 present in the core. Furthermore, we hypothesized that if large-bodied </w:t>
      </w:r>
      <w:r w:rsidRPr="00BF13CF">
        <w:rPr>
          <w:rFonts w:ascii="Times New Roman" w:hAnsi="Times New Roman" w:cs="Times New Roman"/>
          <w:i/>
          <w:iCs/>
          <w:sz w:val="24"/>
          <w:szCs w:val="24"/>
        </w:rPr>
        <w:t>D. pulicaria</w:t>
      </w:r>
      <w:r w:rsidRPr="007339DA">
        <w:rPr>
          <w:rFonts w:ascii="Times New Roman" w:hAnsi="Times New Roman" w:cs="Times New Roman"/>
          <w:sz w:val="24"/>
          <w:szCs w:val="24"/>
        </w:rPr>
        <w:t xml:space="preserve"> were impacted by the loss of suitable hypolimnetic refuge, then their body size would decrease over the period of salinization, as the result of increasing predation selecting against larger-bodied animals. However, we observed a consistent increase in the dorsal length of </w:t>
      </w:r>
      <w:r w:rsidRPr="00BF13CF">
        <w:rPr>
          <w:rFonts w:ascii="Times New Roman" w:hAnsi="Times New Roman" w:cs="Times New Roman"/>
          <w:i/>
          <w:iCs/>
          <w:sz w:val="24"/>
          <w:szCs w:val="24"/>
        </w:rPr>
        <w:t>D. pulicaria</w:t>
      </w:r>
      <w:r w:rsidRPr="007339DA">
        <w:rPr>
          <w:rFonts w:ascii="Times New Roman" w:hAnsi="Times New Roman" w:cs="Times New Roman"/>
          <w:sz w:val="24"/>
          <w:szCs w:val="24"/>
        </w:rPr>
        <w:t xml:space="preserve"> ephippia recovered from the sediments over the entire length of the sampled core. There are several potential explanations for the observed patterns.</w:t>
      </w:r>
    </w:p>
    <w:p w14:paraId="4E8C6654" w14:textId="2FC78AE7" w:rsidR="007339DA" w:rsidRPr="00D958E6" w:rsidRDefault="007339DA" w:rsidP="007339DA">
      <w:pPr>
        <w:spacing w:line="480" w:lineRule="auto"/>
        <w:rPr>
          <w:rFonts w:ascii="Times New Roman" w:hAnsi="Times New Roman" w:cs="Times New Roman"/>
          <w:i/>
          <w:iCs/>
          <w:sz w:val="24"/>
          <w:szCs w:val="24"/>
        </w:rPr>
      </w:pPr>
      <w:r w:rsidRPr="00D958E6">
        <w:rPr>
          <w:rFonts w:ascii="Times New Roman" w:hAnsi="Times New Roman" w:cs="Times New Roman"/>
          <w:i/>
          <w:iCs/>
          <w:sz w:val="24"/>
          <w:szCs w:val="24"/>
        </w:rPr>
        <w:t>Cultural meromixis and the loss of deep-water habitat</w:t>
      </w:r>
      <w:r w:rsidR="00D958E6">
        <w:rPr>
          <w:rFonts w:ascii="Times New Roman" w:hAnsi="Times New Roman" w:cs="Times New Roman"/>
          <w:i/>
          <w:iCs/>
          <w:sz w:val="24"/>
          <w:szCs w:val="24"/>
        </w:rPr>
        <w:t>:</w:t>
      </w:r>
    </w:p>
    <w:p w14:paraId="2AEEF34A" w14:textId="2F5E225C" w:rsidR="007339DA" w:rsidRPr="007339DA" w:rsidRDefault="007339DA" w:rsidP="007339DA">
      <w:pPr>
        <w:spacing w:line="480" w:lineRule="auto"/>
        <w:rPr>
          <w:rFonts w:ascii="Times New Roman" w:hAnsi="Times New Roman" w:cs="Times New Roman"/>
          <w:sz w:val="24"/>
          <w:szCs w:val="24"/>
        </w:rPr>
      </w:pPr>
      <w:r w:rsidRPr="007339DA">
        <w:rPr>
          <w:rFonts w:ascii="Times New Roman" w:hAnsi="Times New Roman" w:cs="Times New Roman"/>
          <w:sz w:val="24"/>
          <w:szCs w:val="24"/>
        </w:rPr>
        <w:lastRenderedPageBreak/>
        <w:t xml:space="preserve">One consequence of salinization in TL has been the transition to cultural meromixis with the increase in water column salinity (Novotny and Stefan 2012). This condition may lead to the loss or reduction of large-bodied </w:t>
      </w:r>
      <w:r w:rsidRPr="00BF13CF">
        <w:rPr>
          <w:rFonts w:ascii="Times New Roman" w:hAnsi="Times New Roman" w:cs="Times New Roman"/>
          <w:i/>
          <w:iCs/>
          <w:sz w:val="24"/>
          <w:szCs w:val="24"/>
        </w:rPr>
        <w:t>Daphnia</w:t>
      </w:r>
      <w:r w:rsidRPr="007339DA">
        <w:rPr>
          <w:rFonts w:ascii="Times New Roman" w:hAnsi="Times New Roman" w:cs="Times New Roman"/>
          <w:sz w:val="24"/>
          <w:szCs w:val="24"/>
        </w:rPr>
        <w:t xml:space="preserve"> species because they generally require an oxygenated, albeit ephemeral, hypolimnetic predator refuge, which is critical for their persistence during the growing season (Wright and Shapiro 1990; Tessier and Welser 1991). If significant loss of a deep-water refuge were apparent in our data, one would expect to observe decreasing flux of </w:t>
      </w:r>
      <w:r w:rsidRPr="00BF13CF">
        <w:rPr>
          <w:rFonts w:ascii="Times New Roman" w:hAnsi="Times New Roman" w:cs="Times New Roman"/>
          <w:i/>
          <w:iCs/>
          <w:sz w:val="24"/>
          <w:szCs w:val="24"/>
        </w:rPr>
        <w:t xml:space="preserve">D. pulicaria </w:t>
      </w:r>
      <w:r w:rsidRPr="007339DA">
        <w:rPr>
          <w:rFonts w:ascii="Times New Roman" w:hAnsi="Times New Roman" w:cs="Times New Roman"/>
          <w:sz w:val="24"/>
          <w:szCs w:val="24"/>
        </w:rPr>
        <w:t xml:space="preserve">ephippia correlated with increased chloride concentrations and significant reductions in the dorsal length of the ephippia recovered. Our results showed neither of these trends and indeed exhibited the exact opposite patterns. The effects of a hypoxic refuge may be alleviated if some </w:t>
      </w:r>
      <w:r w:rsidRPr="00BF13CF">
        <w:rPr>
          <w:rFonts w:ascii="Times New Roman" w:hAnsi="Times New Roman" w:cs="Times New Roman"/>
          <w:i/>
          <w:iCs/>
          <w:sz w:val="24"/>
          <w:szCs w:val="24"/>
        </w:rPr>
        <w:t>Daphnia</w:t>
      </w:r>
      <w:r w:rsidRPr="007339DA">
        <w:rPr>
          <w:rFonts w:ascii="Times New Roman" w:hAnsi="Times New Roman" w:cs="Times New Roman"/>
          <w:sz w:val="24"/>
          <w:szCs w:val="24"/>
        </w:rPr>
        <w:t xml:space="preserve"> clones increase hemoglobin production to enhance oxygen uptake and become hypoxia “specialists” (Weider and Lampert 1985). Weider and Lampert (1985) reported that </w:t>
      </w:r>
      <w:r w:rsidRPr="00BF13CF">
        <w:rPr>
          <w:rFonts w:ascii="Times New Roman" w:hAnsi="Times New Roman" w:cs="Times New Roman"/>
          <w:i/>
          <w:iCs/>
          <w:sz w:val="24"/>
          <w:szCs w:val="24"/>
        </w:rPr>
        <w:t>Daphnia</w:t>
      </w:r>
      <w:r w:rsidRPr="007339DA">
        <w:rPr>
          <w:rFonts w:ascii="Times New Roman" w:hAnsi="Times New Roman" w:cs="Times New Roman"/>
          <w:sz w:val="24"/>
          <w:szCs w:val="24"/>
        </w:rPr>
        <w:t xml:space="preserve"> have a physiological limit 0.5–1.0 mg L−1 DO, below which animals could not survive regardless of hemoglobin production. In TL, summer depths &gt;8 m (Fig. 1B) are below this threshold DO level, placing them outside the physiological limits of </w:t>
      </w:r>
      <w:r w:rsidRPr="00BF13CF">
        <w:rPr>
          <w:rFonts w:ascii="Times New Roman" w:hAnsi="Times New Roman" w:cs="Times New Roman"/>
          <w:i/>
          <w:iCs/>
          <w:sz w:val="24"/>
          <w:szCs w:val="24"/>
        </w:rPr>
        <w:t>Daphnia.</w:t>
      </w:r>
      <w:r w:rsidRPr="007339DA">
        <w:rPr>
          <w:rFonts w:ascii="Times New Roman" w:hAnsi="Times New Roman" w:cs="Times New Roman"/>
          <w:sz w:val="24"/>
          <w:szCs w:val="24"/>
        </w:rPr>
        <w:t xml:space="preserve"> However, an anoxic hypolimnion may not be an absolute constraint on </w:t>
      </w:r>
      <w:r w:rsidRPr="00BF13CF">
        <w:rPr>
          <w:rFonts w:ascii="Times New Roman" w:hAnsi="Times New Roman" w:cs="Times New Roman"/>
          <w:i/>
          <w:iCs/>
          <w:sz w:val="24"/>
          <w:szCs w:val="24"/>
        </w:rPr>
        <w:t xml:space="preserve">Daphnia </w:t>
      </w:r>
      <w:r w:rsidRPr="007339DA">
        <w:rPr>
          <w:rFonts w:ascii="Times New Roman" w:hAnsi="Times New Roman" w:cs="Times New Roman"/>
          <w:sz w:val="24"/>
          <w:szCs w:val="24"/>
        </w:rPr>
        <w:t xml:space="preserve">populations. Mesocosm experiments have shown that </w:t>
      </w:r>
      <w:r w:rsidRPr="00BF13CF">
        <w:rPr>
          <w:rFonts w:ascii="Times New Roman" w:hAnsi="Times New Roman" w:cs="Times New Roman"/>
          <w:i/>
          <w:iCs/>
          <w:sz w:val="24"/>
          <w:szCs w:val="24"/>
        </w:rPr>
        <w:t>D. pulicaria</w:t>
      </w:r>
      <w:r w:rsidRPr="007339DA">
        <w:rPr>
          <w:rFonts w:ascii="Times New Roman" w:hAnsi="Times New Roman" w:cs="Times New Roman"/>
          <w:sz w:val="24"/>
          <w:szCs w:val="24"/>
        </w:rPr>
        <w:t xml:space="preserve"> can exploit anoxic areas outside the physiological limits of fish predators as refugia, albeit temporarily, but with life-history costs (Larsson and Lampert 2011).</w:t>
      </w:r>
    </w:p>
    <w:p w14:paraId="680C3917" w14:textId="0E5B634B" w:rsidR="007339DA" w:rsidRPr="007339DA" w:rsidRDefault="007339DA" w:rsidP="00D958E6">
      <w:pPr>
        <w:spacing w:line="480" w:lineRule="auto"/>
        <w:ind w:firstLine="720"/>
        <w:rPr>
          <w:rFonts w:ascii="Times New Roman" w:hAnsi="Times New Roman" w:cs="Times New Roman"/>
          <w:sz w:val="24"/>
          <w:szCs w:val="24"/>
        </w:rPr>
      </w:pPr>
      <w:r w:rsidRPr="007339DA">
        <w:rPr>
          <w:rFonts w:ascii="Times New Roman" w:hAnsi="Times New Roman" w:cs="Times New Roman"/>
          <w:sz w:val="24"/>
          <w:szCs w:val="24"/>
        </w:rPr>
        <w:t xml:space="preserve">If habitat deeper than 8 m is generally unavailable for large predation-intolerant </w:t>
      </w:r>
      <w:r w:rsidRPr="00BF13CF">
        <w:rPr>
          <w:rFonts w:ascii="Times New Roman" w:hAnsi="Times New Roman" w:cs="Times New Roman"/>
          <w:i/>
          <w:iCs/>
          <w:sz w:val="24"/>
          <w:szCs w:val="24"/>
        </w:rPr>
        <w:t>Daphnia</w:t>
      </w:r>
      <w:r w:rsidRPr="007339DA">
        <w:rPr>
          <w:rFonts w:ascii="Times New Roman" w:hAnsi="Times New Roman" w:cs="Times New Roman"/>
          <w:sz w:val="24"/>
          <w:szCs w:val="24"/>
        </w:rPr>
        <w:t xml:space="preserve"> species, then they must exploit areas higher in the water column where oxygen conditions are more suitable. However, inhabiting shallower depths comes with risks of higher predation pressure. Generally, clones that successfully exploit these riskier habitats exhibit smaller body sizes (Leibold and Tessier 1991; De Meester et al. 1995). The increase in body size of the largest </w:t>
      </w:r>
      <w:r w:rsidRPr="007339DA">
        <w:rPr>
          <w:rFonts w:ascii="Times New Roman" w:hAnsi="Times New Roman" w:cs="Times New Roman"/>
          <w:sz w:val="24"/>
          <w:szCs w:val="24"/>
        </w:rPr>
        <w:lastRenderedPageBreak/>
        <w:t xml:space="preserve">daphniid in this assemblage suggests that predation from visually oriented predators may not be strong in this system. Limited availability of fish community data prevents us from further speculating on the ecology of altered food web dynamics in TL. However, to fully evaluate whether these altered dynamics are operating, surveys of </w:t>
      </w:r>
      <w:r w:rsidRPr="00BF13CF">
        <w:rPr>
          <w:rFonts w:ascii="Times New Roman" w:hAnsi="Times New Roman" w:cs="Times New Roman"/>
          <w:i/>
          <w:iCs/>
          <w:sz w:val="24"/>
          <w:szCs w:val="24"/>
        </w:rPr>
        <w:t>Daphnia</w:t>
      </w:r>
      <w:r w:rsidRPr="007339DA">
        <w:rPr>
          <w:rFonts w:ascii="Times New Roman" w:hAnsi="Times New Roman" w:cs="Times New Roman"/>
          <w:sz w:val="24"/>
          <w:szCs w:val="24"/>
        </w:rPr>
        <w:t xml:space="preserve"> diel vertical (and horizontal) migration behavior, the distribution of hemoglobin and body size phenotypes, and an accounting of predator density should be made in culturally meromictic lakes to understand how impactful non-mixing layers of the water column are in altering species interactions.</w:t>
      </w:r>
    </w:p>
    <w:p w14:paraId="37F7156D" w14:textId="15289AE2" w:rsidR="007339DA" w:rsidRPr="00D958E6" w:rsidRDefault="007339DA" w:rsidP="007339DA">
      <w:pPr>
        <w:spacing w:line="480" w:lineRule="auto"/>
        <w:rPr>
          <w:rFonts w:ascii="Times New Roman" w:hAnsi="Times New Roman" w:cs="Times New Roman"/>
          <w:i/>
          <w:iCs/>
          <w:sz w:val="24"/>
          <w:szCs w:val="24"/>
        </w:rPr>
      </w:pPr>
      <w:r w:rsidRPr="00D958E6">
        <w:rPr>
          <w:rFonts w:ascii="Times New Roman" w:hAnsi="Times New Roman" w:cs="Times New Roman"/>
          <w:i/>
          <w:iCs/>
          <w:sz w:val="24"/>
          <w:szCs w:val="24"/>
        </w:rPr>
        <w:t>Contrasting responses of zooplankton in a hard-water system</w:t>
      </w:r>
      <w:r w:rsidR="00D958E6">
        <w:rPr>
          <w:rFonts w:ascii="Times New Roman" w:hAnsi="Times New Roman" w:cs="Times New Roman"/>
          <w:i/>
          <w:iCs/>
          <w:sz w:val="24"/>
          <w:szCs w:val="24"/>
        </w:rPr>
        <w:t>:</w:t>
      </w:r>
    </w:p>
    <w:p w14:paraId="4F38159C" w14:textId="7C767F6D" w:rsidR="007339DA" w:rsidRPr="007339DA" w:rsidRDefault="007339DA" w:rsidP="007339DA">
      <w:pPr>
        <w:spacing w:line="480" w:lineRule="auto"/>
        <w:rPr>
          <w:rFonts w:ascii="Times New Roman" w:hAnsi="Times New Roman" w:cs="Times New Roman"/>
          <w:sz w:val="24"/>
          <w:szCs w:val="24"/>
        </w:rPr>
      </w:pPr>
      <w:r w:rsidRPr="007339DA">
        <w:rPr>
          <w:rFonts w:ascii="Times New Roman" w:hAnsi="Times New Roman" w:cs="Times New Roman"/>
          <w:sz w:val="24"/>
          <w:szCs w:val="24"/>
        </w:rPr>
        <w:t xml:space="preserve">Perhaps the most interesting result from our study was the remarkable stability in assemblage composition during the period of salinization. While flux rates were correlated with increasing chloride in complex ways, each of the functional classes of </w:t>
      </w:r>
      <w:r w:rsidRPr="00BF13CF">
        <w:rPr>
          <w:rFonts w:ascii="Times New Roman" w:hAnsi="Times New Roman" w:cs="Times New Roman"/>
          <w:i/>
          <w:iCs/>
          <w:sz w:val="24"/>
          <w:szCs w:val="24"/>
        </w:rPr>
        <w:t>Daphnia</w:t>
      </w:r>
      <w:r w:rsidRPr="007339DA">
        <w:rPr>
          <w:rFonts w:ascii="Times New Roman" w:hAnsi="Times New Roman" w:cs="Times New Roman"/>
          <w:sz w:val="24"/>
          <w:szCs w:val="24"/>
        </w:rPr>
        <w:t xml:space="preserve"> common to Northern Temperate Lakes remained detectible in the sediments. This is in direct contrast with evidence from Canadian Shield lakes, which have shown dramatic shifts in zooplankton assemblages reconstructed from various subfossil remains, despite modest shifts in the chloride content of the water column (Arnott et al. 2020; Valleau et al. 2020). The contradiction between our results and those from Canadian lakes should be a major focus of studies seeking to predict the long-term responses of lake ecosystems to salinization. Of particular importance may be buffering capacity (Jeziorski et al. 2008) or the contrasting trophic state of the lakes (Brown and Yan 2015), both of which impact zooplankton population and community responses under salinization.</w:t>
      </w:r>
    </w:p>
    <w:p w14:paraId="1F5A8C26" w14:textId="69BEAE3F" w:rsidR="007339DA" w:rsidRPr="007339DA" w:rsidRDefault="007339DA" w:rsidP="00D958E6">
      <w:pPr>
        <w:spacing w:line="480" w:lineRule="auto"/>
        <w:ind w:firstLine="720"/>
        <w:rPr>
          <w:rFonts w:ascii="Times New Roman" w:hAnsi="Times New Roman" w:cs="Times New Roman"/>
          <w:sz w:val="24"/>
          <w:szCs w:val="24"/>
        </w:rPr>
      </w:pPr>
      <w:r w:rsidRPr="007339DA">
        <w:rPr>
          <w:rFonts w:ascii="Times New Roman" w:hAnsi="Times New Roman" w:cs="Times New Roman"/>
          <w:sz w:val="24"/>
          <w:szCs w:val="24"/>
        </w:rPr>
        <w:t xml:space="preserve">Canadian Shield lakes are known for their low buffering capacity, that is, soft water, where [Ca2+] and [Mg2+] are low compared to other regions and related to underlying bedrock (Moser et al. 1998; Jeziorski et al. 2008). Studies have indicated that water hardness plays an important role in invertebrate chloride tolerance. For instance, Elphick et al. (2011) and Soucek </w:t>
      </w:r>
      <w:r w:rsidRPr="007339DA">
        <w:rPr>
          <w:rFonts w:ascii="Times New Roman" w:hAnsi="Times New Roman" w:cs="Times New Roman"/>
          <w:sz w:val="24"/>
          <w:szCs w:val="24"/>
        </w:rPr>
        <w:lastRenderedPageBreak/>
        <w:t xml:space="preserve">et al. (2011) both reported increased chloride sensitivity of cladoceran zooplankton (i.e., </w:t>
      </w:r>
      <w:r w:rsidRPr="00BF13CF">
        <w:rPr>
          <w:rFonts w:ascii="Times New Roman" w:hAnsi="Times New Roman" w:cs="Times New Roman"/>
          <w:i/>
          <w:iCs/>
          <w:sz w:val="24"/>
          <w:szCs w:val="24"/>
        </w:rPr>
        <w:t>Ceriodaphnia dubia</w:t>
      </w:r>
      <w:r w:rsidRPr="007339DA">
        <w:rPr>
          <w:rFonts w:ascii="Times New Roman" w:hAnsi="Times New Roman" w:cs="Times New Roman"/>
          <w:sz w:val="24"/>
          <w:szCs w:val="24"/>
        </w:rPr>
        <w:t xml:space="preserve"> and </w:t>
      </w:r>
      <w:r w:rsidRPr="00BF13CF">
        <w:rPr>
          <w:rFonts w:ascii="Times New Roman" w:hAnsi="Times New Roman" w:cs="Times New Roman"/>
          <w:i/>
          <w:iCs/>
          <w:sz w:val="24"/>
          <w:szCs w:val="24"/>
        </w:rPr>
        <w:t>Daphna magna</w:t>
      </w:r>
      <w:r w:rsidRPr="007339DA">
        <w:rPr>
          <w:rFonts w:ascii="Times New Roman" w:hAnsi="Times New Roman" w:cs="Times New Roman"/>
          <w:sz w:val="24"/>
          <w:szCs w:val="24"/>
        </w:rPr>
        <w:t xml:space="preserve">) when water hardness was low. In both cases, of the animals tested, including species ranging from other crustaceans to mollusks, insects, and fish, cladocerans were the most or among the most sensitive to chloride in soft water. However, tests of chloride sensitivity under contrasting water hardness conditions are restricted to a few common toxicological models (e.g., </w:t>
      </w:r>
      <w:r w:rsidRPr="00BF13CF">
        <w:rPr>
          <w:rFonts w:ascii="Times New Roman" w:hAnsi="Times New Roman" w:cs="Times New Roman"/>
          <w:i/>
          <w:iCs/>
          <w:sz w:val="24"/>
          <w:szCs w:val="24"/>
        </w:rPr>
        <w:t>Ceriodaphnia</w:t>
      </w:r>
      <w:r w:rsidRPr="007339DA">
        <w:rPr>
          <w:rFonts w:ascii="Times New Roman" w:hAnsi="Times New Roman" w:cs="Times New Roman"/>
          <w:sz w:val="24"/>
          <w:szCs w:val="24"/>
        </w:rPr>
        <w:t xml:space="preserve">) and are unavailable for </w:t>
      </w:r>
      <w:r w:rsidRPr="00BF13CF">
        <w:rPr>
          <w:rFonts w:ascii="Times New Roman" w:hAnsi="Times New Roman" w:cs="Times New Roman"/>
          <w:i/>
          <w:iCs/>
          <w:sz w:val="24"/>
          <w:szCs w:val="24"/>
        </w:rPr>
        <w:t>Daphnia</w:t>
      </w:r>
      <w:r w:rsidRPr="007339DA">
        <w:rPr>
          <w:rFonts w:ascii="Times New Roman" w:hAnsi="Times New Roman" w:cs="Times New Roman"/>
          <w:sz w:val="24"/>
          <w:szCs w:val="24"/>
        </w:rPr>
        <w:t xml:space="preserve"> species commonly found in Northern Temperate Lakes (Elphick et al. 2011; Soucek et al. 2011). Many Canadian Shield lakes are also far more oligotrophic and have low productivity (Brown and Yan 2015). TL is surrounded by urban development and therefore is far more eutrophic than Canadian Shield lakes (e.g., Supporting Information Fig. S1A). This may provide higher quantity and/or higher quality food resources for </w:t>
      </w:r>
      <w:r w:rsidRPr="00BF13CF">
        <w:rPr>
          <w:rFonts w:ascii="Times New Roman" w:hAnsi="Times New Roman" w:cs="Times New Roman"/>
          <w:i/>
          <w:iCs/>
          <w:sz w:val="24"/>
          <w:szCs w:val="24"/>
        </w:rPr>
        <w:t xml:space="preserve">Daphnia </w:t>
      </w:r>
      <w:r w:rsidRPr="007339DA">
        <w:rPr>
          <w:rFonts w:ascii="Times New Roman" w:hAnsi="Times New Roman" w:cs="Times New Roman"/>
          <w:sz w:val="24"/>
          <w:szCs w:val="24"/>
        </w:rPr>
        <w:t xml:space="preserve">populations to exploit and persist under increasing salinization, as previous work with </w:t>
      </w:r>
      <w:r w:rsidRPr="00BF13CF">
        <w:rPr>
          <w:rFonts w:ascii="Times New Roman" w:hAnsi="Times New Roman" w:cs="Times New Roman"/>
          <w:i/>
          <w:iCs/>
          <w:sz w:val="24"/>
          <w:szCs w:val="24"/>
        </w:rPr>
        <w:t>Daphnia</w:t>
      </w:r>
      <w:r w:rsidRPr="007339DA">
        <w:rPr>
          <w:rFonts w:ascii="Times New Roman" w:hAnsi="Times New Roman" w:cs="Times New Roman"/>
          <w:sz w:val="24"/>
          <w:szCs w:val="24"/>
        </w:rPr>
        <w:t xml:space="preserve"> has shown (Brown and Yan 2015). Additionally, the increase in </w:t>
      </w:r>
      <w:r w:rsidRPr="00BF13CF">
        <w:rPr>
          <w:rFonts w:ascii="Times New Roman" w:hAnsi="Times New Roman" w:cs="Times New Roman"/>
          <w:i/>
          <w:iCs/>
          <w:sz w:val="24"/>
          <w:szCs w:val="24"/>
        </w:rPr>
        <w:t>D. pulicaria</w:t>
      </w:r>
      <w:r w:rsidRPr="007339DA">
        <w:rPr>
          <w:rFonts w:ascii="Times New Roman" w:hAnsi="Times New Roman" w:cs="Times New Roman"/>
          <w:sz w:val="24"/>
          <w:szCs w:val="24"/>
        </w:rPr>
        <w:t xml:space="preserve"> size and over-all flux in recent sediments may reflect their superior competitive ability and release from competition with other smaller </w:t>
      </w:r>
      <w:r w:rsidRPr="00BF13CF">
        <w:rPr>
          <w:rFonts w:ascii="Times New Roman" w:hAnsi="Times New Roman" w:cs="Times New Roman"/>
          <w:i/>
          <w:iCs/>
          <w:sz w:val="24"/>
          <w:szCs w:val="24"/>
        </w:rPr>
        <w:t>Daphnia</w:t>
      </w:r>
      <w:r w:rsidRPr="007339DA">
        <w:rPr>
          <w:rFonts w:ascii="Times New Roman" w:hAnsi="Times New Roman" w:cs="Times New Roman"/>
          <w:sz w:val="24"/>
          <w:szCs w:val="24"/>
        </w:rPr>
        <w:t xml:space="preserve"> species in the salinized and high productivity setting (Gliwicz 1990). This provides an additional potential explanation for the unexpected increase in </w:t>
      </w:r>
      <w:r w:rsidRPr="00BF13CF">
        <w:rPr>
          <w:rFonts w:ascii="Times New Roman" w:hAnsi="Times New Roman" w:cs="Times New Roman"/>
          <w:i/>
          <w:iCs/>
          <w:sz w:val="24"/>
          <w:szCs w:val="24"/>
        </w:rPr>
        <w:t>D. pulicaria</w:t>
      </w:r>
      <w:r w:rsidRPr="007339DA">
        <w:rPr>
          <w:rFonts w:ascii="Times New Roman" w:hAnsi="Times New Roman" w:cs="Times New Roman"/>
          <w:sz w:val="24"/>
          <w:szCs w:val="24"/>
        </w:rPr>
        <w:t xml:space="preserve"> flux and size in recent sediments.</w:t>
      </w:r>
    </w:p>
    <w:p w14:paraId="6FBF5908" w14:textId="532F9DF2" w:rsidR="007339DA" w:rsidRPr="00D958E6" w:rsidRDefault="007339DA" w:rsidP="007339DA">
      <w:pPr>
        <w:spacing w:line="480" w:lineRule="auto"/>
        <w:rPr>
          <w:rFonts w:ascii="Times New Roman" w:hAnsi="Times New Roman" w:cs="Times New Roman"/>
          <w:i/>
          <w:iCs/>
          <w:sz w:val="24"/>
          <w:szCs w:val="24"/>
        </w:rPr>
      </w:pPr>
      <w:r w:rsidRPr="00D958E6">
        <w:rPr>
          <w:rFonts w:ascii="Times New Roman" w:hAnsi="Times New Roman" w:cs="Times New Roman"/>
          <w:i/>
          <w:iCs/>
          <w:sz w:val="24"/>
          <w:szCs w:val="24"/>
        </w:rPr>
        <w:t>Caveats and conclusions</w:t>
      </w:r>
      <w:r w:rsidR="00D958E6">
        <w:rPr>
          <w:rFonts w:ascii="Times New Roman" w:hAnsi="Times New Roman" w:cs="Times New Roman"/>
          <w:i/>
          <w:iCs/>
          <w:sz w:val="24"/>
          <w:szCs w:val="24"/>
        </w:rPr>
        <w:t>:</w:t>
      </w:r>
    </w:p>
    <w:p w14:paraId="701A15D1" w14:textId="6A3C3E4F" w:rsidR="007339DA" w:rsidRPr="007339DA" w:rsidRDefault="007339DA" w:rsidP="007339DA">
      <w:pPr>
        <w:spacing w:line="480" w:lineRule="auto"/>
        <w:rPr>
          <w:rFonts w:ascii="Times New Roman" w:hAnsi="Times New Roman" w:cs="Times New Roman"/>
          <w:sz w:val="24"/>
          <w:szCs w:val="24"/>
        </w:rPr>
      </w:pPr>
      <w:r w:rsidRPr="007339DA">
        <w:rPr>
          <w:rFonts w:ascii="Times New Roman" w:hAnsi="Times New Roman" w:cs="Times New Roman"/>
          <w:sz w:val="24"/>
          <w:szCs w:val="24"/>
        </w:rPr>
        <w:t xml:space="preserve">Evidence from sediment egg banks must be considered critically. First and foremost, there is no empirical conversion from egg bank abundances to active animal abundance in the water column (Rogalski et al. 2017). However, it is generally thought that an individual should produce relatively fewer ephippia than other commonly assayed subfossil remains (e.g., shed carapaces) over a lifetime; thus our abundance estimate would be more conservative (Arnott et al. 2020). </w:t>
      </w:r>
      <w:r w:rsidRPr="007339DA">
        <w:rPr>
          <w:rFonts w:ascii="Times New Roman" w:hAnsi="Times New Roman" w:cs="Times New Roman"/>
          <w:sz w:val="24"/>
          <w:szCs w:val="24"/>
        </w:rPr>
        <w:lastRenderedPageBreak/>
        <w:t xml:space="preserve">However, given the unique cyclically parthenogenetic life-histories of </w:t>
      </w:r>
      <w:r w:rsidRPr="00182496">
        <w:rPr>
          <w:rFonts w:ascii="Times New Roman" w:hAnsi="Times New Roman" w:cs="Times New Roman"/>
          <w:i/>
          <w:iCs/>
          <w:sz w:val="24"/>
          <w:szCs w:val="24"/>
        </w:rPr>
        <w:t>Daphnia</w:t>
      </w:r>
      <w:r w:rsidRPr="007339DA">
        <w:rPr>
          <w:rFonts w:ascii="Times New Roman" w:hAnsi="Times New Roman" w:cs="Times New Roman"/>
          <w:sz w:val="24"/>
          <w:szCs w:val="24"/>
        </w:rPr>
        <w:t xml:space="preserve">, lake populations may delay sex and thus ephippia production for several growing seasons if lake oxygen dynamics allow (Tessier and Cáceres 2004). Also, having only taken one core from a single pelagic station limits our ability to detect some species and within-lake variation. Lake sediment sampling from different locations within a lake would presumably increase the ability to detect species and their historical partitioning behavior via the sampling of the egg bank (Vandekerkhove et al. 2005). In addition, as with other subfossil indicators, differential preservation of some ephippia over others is important to consider. For instance, in our study, we had difficulty assigning small ephippia definitively to </w:t>
      </w:r>
      <w:r w:rsidRPr="00182496">
        <w:rPr>
          <w:rFonts w:ascii="Times New Roman" w:hAnsi="Times New Roman" w:cs="Times New Roman"/>
          <w:i/>
          <w:iCs/>
          <w:sz w:val="24"/>
          <w:szCs w:val="24"/>
        </w:rPr>
        <w:t>D. parvula</w:t>
      </w:r>
      <w:r w:rsidRPr="007339DA">
        <w:rPr>
          <w:rFonts w:ascii="Times New Roman" w:hAnsi="Times New Roman" w:cs="Times New Roman"/>
          <w:sz w:val="24"/>
          <w:szCs w:val="24"/>
        </w:rPr>
        <w:t xml:space="preserve"> or </w:t>
      </w:r>
      <w:r w:rsidRPr="00182496">
        <w:rPr>
          <w:rFonts w:ascii="Times New Roman" w:hAnsi="Times New Roman" w:cs="Times New Roman"/>
          <w:i/>
          <w:iCs/>
          <w:sz w:val="24"/>
          <w:szCs w:val="24"/>
        </w:rPr>
        <w:t>D. retrocurva</w:t>
      </w:r>
      <w:r w:rsidRPr="007339DA">
        <w:rPr>
          <w:rFonts w:ascii="Times New Roman" w:hAnsi="Times New Roman" w:cs="Times New Roman"/>
          <w:sz w:val="24"/>
          <w:szCs w:val="24"/>
        </w:rPr>
        <w:t xml:space="preserve"> because of poor preservation in deeper sediment layers and low hatching success, so we considered these species as a group. Cryptic changes in their relative abundances may provide important additional information that is unavailable from our study.</w:t>
      </w:r>
    </w:p>
    <w:p w14:paraId="7F2DAC7D" w14:textId="7E4C76A5" w:rsidR="007339DA" w:rsidRPr="007339DA" w:rsidRDefault="007339DA" w:rsidP="00D958E6">
      <w:pPr>
        <w:spacing w:line="480" w:lineRule="auto"/>
        <w:ind w:firstLine="720"/>
        <w:rPr>
          <w:rFonts w:ascii="Times New Roman" w:hAnsi="Times New Roman" w:cs="Times New Roman"/>
          <w:sz w:val="24"/>
          <w:szCs w:val="24"/>
        </w:rPr>
      </w:pPr>
      <w:r w:rsidRPr="007339DA">
        <w:rPr>
          <w:rFonts w:ascii="Times New Roman" w:hAnsi="Times New Roman" w:cs="Times New Roman"/>
          <w:sz w:val="24"/>
          <w:szCs w:val="24"/>
        </w:rPr>
        <w:t xml:space="preserve">Previous studies using egg bank-derived clones have revealed idiosyncratic patterns when considered in conjunction with other paleo-indicators. For example, Elmarsafy et al. (2020) found that ephippia of the cladoceran, </w:t>
      </w:r>
      <w:r w:rsidRPr="00182496">
        <w:rPr>
          <w:rFonts w:ascii="Times New Roman" w:hAnsi="Times New Roman" w:cs="Times New Roman"/>
          <w:i/>
          <w:iCs/>
          <w:sz w:val="24"/>
          <w:szCs w:val="24"/>
        </w:rPr>
        <w:t>Ceriodaphnia dubia</w:t>
      </w:r>
      <w:r w:rsidRPr="007339DA">
        <w:rPr>
          <w:rFonts w:ascii="Times New Roman" w:hAnsi="Times New Roman" w:cs="Times New Roman"/>
          <w:sz w:val="24"/>
          <w:szCs w:val="24"/>
        </w:rPr>
        <w:t>, remained in the egg bank of a naturally saline lake, despite predictions of salinity (from diatom-based transfer functions) exceeding estimated EC</w:t>
      </w:r>
      <w:r w:rsidRPr="00182496">
        <w:rPr>
          <w:rFonts w:ascii="Times New Roman" w:hAnsi="Times New Roman" w:cs="Times New Roman"/>
          <w:sz w:val="24"/>
          <w:szCs w:val="24"/>
          <w:vertAlign w:val="subscript"/>
        </w:rPr>
        <w:t>50</w:t>
      </w:r>
      <w:r w:rsidRPr="007339DA">
        <w:rPr>
          <w:rFonts w:ascii="Times New Roman" w:hAnsi="Times New Roman" w:cs="Times New Roman"/>
          <w:sz w:val="24"/>
          <w:szCs w:val="24"/>
        </w:rPr>
        <w:t xml:space="preserve"> for salt during these time periods. Thus, considering additional evidence from other sources (e.g., genetic surveys) from sediment egg banks will be an important next step for increasing our understanding and interpretation of the sediment record in lakes (Frisch et al. 2017).</w:t>
      </w:r>
    </w:p>
    <w:p w14:paraId="5B2810E0" w14:textId="567092AC" w:rsidR="00032834" w:rsidRDefault="007339DA" w:rsidP="00D958E6">
      <w:pPr>
        <w:spacing w:line="480" w:lineRule="auto"/>
        <w:ind w:firstLine="720"/>
        <w:rPr>
          <w:rFonts w:ascii="Times New Roman" w:hAnsi="Times New Roman" w:cs="Times New Roman"/>
          <w:sz w:val="24"/>
          <w:szCs w:val="24"/>
        </w:rPr>
      </w:pPr>
      <w:r w:rsidRPr="007339DA">
        <w:rPr>
          <w:rFonts w:ascii="Times New Roman" w:hAnsi="Times New Roman" w:cs="Times New Roman"/>
          <w:sz w:val="24"/>
          <w:szCs w:val="24"/>
        </w:rPr>
        <w:t xml:space="preserve">In conclusion, our data reveal remarkable stability in </w:t>
      </w:r>
      <w:r w:rsidRPr="00182496">
        <w:rPr>
          <w:rFonts w:ascii="Times New Roman" w:hAnsi="Times New Roman" w:cs="Times New Roman"/>
          <w:i/>
          <w:iCs/>
          <w:sz w:val="24"/>
          <w:szCs w:val="24"/>
        </w:rPr>
        <w:t xml:space="preserve">Daphnia </w:t>
      </w:r>
      <w:r w:rsidRPr="007339DA">
        <w:rPr>
          <w:rFonts w:ascii="Times New Roman" w:hAnsi="Times New Roman" w:cs="Times New Roman"/>
          <w:sz w:val="24"/>
          <w:szCs w:val="24"/>
        </w:rPr>
        <w:t xml:space="preserve">assemblage dynamics in TL, despite a greater than 100- to 300-fold increase in water column chloride over the last 75 years. Our study suggests that despite approaching chronic limits for water column chloride, </w:t>
      </w:r>
      <w:r w:rsidRPr="007339DA">
        <w:rPr>
          <w:rFonts w:ascii="Times New Roman" w:hAnsi="Times New Roman" w:cs="Times New Roman"/>
          <w:sz w:val="24"/>
          <w:szCs w:val="24"/>
        </w:rPr>
        <w:lastRenderedPageBreak/>
        <w:t xml:space="preserve">only subtle shifts in flux rates occur in the daphnid egg bank in well-buffered and productive TL. These results imply that </w:t>
      </w:r>
      <w:r w:rsidRPr="00182496">
        <w:rPr>
          <w:rFonts w:ascii="Times New Roman" w:hAnsi="Times New Roman" w:cs="Times New Roman"/>
          <w:i/>
          <w:iCs/>
          <w:sz w:val="24"/>
          <w:szCs w:val="24"/>
        </w:rPr>
        <w:t>Daphnia</w:t>
      </w:r>
      <w:r w:rsidRPr="007339DA">
        <w:rPr>
          <w:rFonts w:ascii="Times New Roman" w:hAnsi="Times New Roman" w:cs="Times New Roman"/>
          <w:sz w:val="24"/>
          <w:szCs w:val="24"/>
        </w:rPr>
        <w:t xml:space="preserve"> communities in hard-water lakes in the continental United States may be relatively resilient and not experience outright loss of species richness, despite actual or projected increases in salinity. Clearly, future research is warranted to expand this work to encompass a greater number and diversity of lakes and integrate experimental tests (e.g., salinity tolerance assays on modern and resurrected clones) to better understand the adaptive response of </w:t>
      </w:r>
      <w:r w:rsidRPr="00B23CF0">
        <w:rPr>
          <w:rFonts w:ascii="Times New Roman" w:hAnsi="Times New Roman" w:cs="Times New Roman"/>
          <w:i/>
          <w:iCs/>
          <w:sz w:val="24"/>
          <w:szCs w:val="24"/>
        </w:rPr>
        <w:t>Daphnia</w:t>
      </w:r>
      <w:r w:rsidRPr="007339DA">
        <w:rPr>
          <w:rFonts w:ascii="Times New Roman" w:hAnsi="Times New Roman" w:cs="Times New Roman"/>
          <w:sz w:val="24"/>
          <w:szCs w:val="24"/>
        </w:rPr>
        <w:t xml:space="preserve"> to salinity changes to determine the robustness of our findings.</w:t>
      </w:r>
    </w:p>
    <w:p w14:paraId="2244B14D" w14:textId="3C95ACEB" w:rsidR="00B716D1" w:rsidRPr="00B716D1" w:rsidRDefault="00B716D1" w:rsidP="00B716D1">
      <w:pPr>
        <w:spacing w:line="480" w:lineRule="auto"/>
        <w:rPr>
          <w:rFonts w:ascii="Times New Roman" w:hAnsi="Times New Roman" w:cs="Times New Roman"/>
          <w:b/>
          <w:bCs/>
          <w:sz w:val="24"/>
          <w:szCs w:val="24"/>
        </w:rPr>
      </w:pPr>
      <w:r w:rsidRPr="00B716D1">
        <w:rPr>
          <w:rFonts w:ascii="Times New Roman" w:hAnsi="Times New Roman" w:cs="Times New Roman"/>
          <w:b/>
          <w:bCs/>
          <w:sz w:val="24"/>
          <w:szCs w:val="24"/>
        </w:rPr>
        <w:t>Acknowledgments</w:t>
      </w:r>
      <w:r>
        <w:rPr>
          <w:rFonts w:ascii="Times New Roman" w:hAnsi="Times New Roman" w:cs="Times New Roman"/>
          <w:b/>
          <w:bCs/>
          <w:sz w:val="24"/>
          <w:szCs w:val="24"/>
        </w:rPr>
        <w:t>:</w:t>
      </w:r>
    </w:p>
    <w:p w14:paraId="0B86114E" w14:textId="551798F9" w:rsidR="00D958E6" w:rsidRDefault="00B716D1" w:rsidP="00B716D1">
      <w:pPr>
        <w:spacing w:line="480" w:lineRule="auto"/>
        <w:rPr>
          <w:rFonts w:ascii="Times New Roman" w:hAnsi="Times New Roman" w:cs="Times New Roman"/>
          <w:sz w:val="24"/>
          <w:szCs w:val="24"/>
        </w:rPr>
      </w:pPr>
      <w:r w:rsidRPr="00B716D1">
        <w:rPr>
          <w:rFonts w:ascii="Times New Roman" w:hAnsi="Times New Roman" w:cs="Times New Roman"/>
          <w:sz w:val="24"/>
          <w:szCs w:val="24"/>
        </w:rPr>
        <w:t>We thank the St. Croix Watershed Research Station and the University of Oklahoma Biological Station for logistical support. This work was supported in part by grants from the University of Oklahoma Graduate Student Senate and Adams Summer Fellowship to M.W. Field work was supported by the University of Oklahoma Faculty Investment Program to L.J.W. Laboratory assistance was provided in part by K. Gibbons and J. Agadagba. We thank J. Ulrich (SCWRS) for help with GIS rendering. Finally, we thank three anonymous reviewers for their constructive comments on an earlier version of the manuscript.</w:t>
      </w:r>
    </w:p>
    <w:p w14:paraId="57445D7D" w14:textId="7E11B919" w:rsidR="00043766" w:rsidRDefault="00043766">
      <w:pPr>
        <w:rPr>
          <w:rFonts w:ascii="Times New Roman" w:hAnsi="Times New Roman" w:cs="Times New Roman"/>
          <w:sz w:val="24"/>
          <w:szCs w:val="24"/>
        </w:rPr>
      </w:pPr>
      <w:r>
        <w:rPr>
          <w:rFonts w:ascii="Times New Roman" w:hAnsi="Times New Roman" w:cs="Times New Roman"/>
          <w:sz w:val="24"/>
          <w:szCs w:val="24"/>
        </w:rPr>
        <w:br w:type="page"/>
      </w:r>
    </w:p>
    <w:p w14:paraId="08F6E048" w14:textId="67AD3F80" w:rsidR="00B716D1" w:rsidRDefault="006B6A19" w:rsidP="00B716D1">
      <w:pPr>
        <w:spacing w:line="480" w:lineRule="auto"/>
        <w:rPr>
          <w:rFonts w:ascii="Times New Roman" w:hAnsi="Times New Roman" w:cs="Times New Roman"/>
          <w:b/>
          <w:bCs/>
          <w:sz w:val="24"/>
          <w:szCs w:val="24"/>
        </w:rPr>
      </w:pPr>
      <w:r w:rsidRPr="006B6A19">
        <w:rPr>
          <w:rFonts w:ascii="Times New Roman" w:hAnsi="Times New Roman" w:cs="Times New Roman"/>
          <w:b/>
          <w:bCs/>
          <w:sz w:val="24"/>
          <w:szCs w:val="24"/>
        </w:rPr>
        <w:lastRenderedPageBreak/>
        <w:t>Works Cited:</w:t>
      </w:r>
    </w:p>
    <w:p w14:paraId="353B6770" w14:textId="38C02219" w:rsidR="00D60CC8" w:rsidRPr="00EB599B" w:rsidRDefault="00D60CC8"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Arnott, S. E., M. P. Celis-Salgado, R. E. Valleau, A. M. Desellas,A. M. Paterson, N. D. Yan, J. P. Smol, and J. A. Rusak. 2020.</w:t>
      </w:r>
      <w:r w:rsidR="00FC7F17">
        <w:rPr>
          <w:rFonts w:ascii="Times New Roman" w:hAnsi="Times New Roman" w:cs="Times New Roman"/>
          <w:sz w:val="24"/>
          <w:szCs w:val="24"/>
        </w:rPr>
        <w:t xml:space="preserve"> </w:t>
      </w:r>
      <w:r w:rsidRPr="00EB599B">
        <w:rPr>
          <w:rFonts w:ascii="Times New Roman" w:hAnsi="Times New Roman" w:cs="Times New Roman"/>
          <w:sz w:val="24"/>
          <w:szCs w:val="24"/>
        </w:rPr>
        <w:t>Road salt impacts freshwater zooplankton at concentrations below current water quality guidelines. Environ. Sci.Technol.54: 9398–9407. doi:10.1021/acs.est.0c02396</w:t>
      </w:r>
    </w:p>
    <w:p w14:paraId="57724A50" w14:textId="78C4B895" w:rsidR="00D60CC8" w:rsidRPr="00EB599B" w:rsidRDefault="00D60CC8"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Brown, A. H., and N. D. Yan. 2015. Food quantity affects the</w:t>
      </w:r>
      <w:r w:rsidR="00FC7F17">
        <w:rPr>
          <w:rFonts w:ascii="Times New Roman" w:hAnsi="Times New Roman" w:cs="Times New Roman"/>
          <w:sz w:val="24"/>
          <w:szCs w:val="24"/>
        </w:rPr>
        <w:t xml:space="preserve"> </w:t>
      </w:r>
      <w:r w:rsidRPr="00EB599B">
        <w:rPr>
          <w:rFonts w:ascii="Times New Roman" w:hAnsi="Times New Roman" w:cs="Times New Roman"/>
          <w:sz w:val="24"/>
          <w:szCs w:val="24"/>
        </w:rPr>
        <w:t>sensitivity of</w:t>
      </w:r>
      <w:r w:rsidR="00FC7F17">
        <w:rPr>
          <w:rFonts w:ascii="Times New Roman" w:hAnsi="Times New Roman" w:cs="Times New Roman"/>
          <w:sz w:val="24"/>
          <w:szCs w:val="24"/>
        </w:rPr>
        <w:t xml:space="preserve"> </w:t>
      </w:r>
      <w:r w:rsidRPr="00FC7F17">
        <w:rPr>
          <w:rFonts w:ascii="Times New Roman" w:hAnsi="Times New Roman" w:cs="Times New Roman"/>
          <w:i/>
          <w:iCs/>
          <w:sz w:val="24"/>
          <w:szCs w:val="24"/>
        </w:rPr>
        <w:t>Daphnia</w:t>
      </w:r>
      <w:r w:rsidR="00FC7F17">
        <w:rPr>
          <w:rFonts w:ascii="Times New Roman" w:hAnsi="Times New Roman" w:cs="Times New Roman"/>
          <w:sz w:val="24"/>
          <w:szCs w:val="24"/>
        </w:rPr>
        <w:t xml:space="preserve"> </w:t>
      </w:r>
      <w:r w:rsidRPr="00EB599B">
        <w:rPr>
          <w:rFonts w:ascii="Times New Roman" w:hAnsi="Times New Roman" w:cs="Times New Roman"/>
          <w:sz w:val="24"/>
          <w:szCs w:val="24"/>
        </w:rPr>
        <w:t>to road salt. Environ. Sci. Technol.49: 4673–4680. doi:10.1021/es5061534</w:t>
      </w:r>
    </w:p>
    <w:p w14:paraId="64934DDA" w14:textId="77A0976E" w:rsidR="00D60CC8" w:rsidRPr="00EB599B" w:rsidRDefault="00D60CC8"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Burge, D. R. L., M. B. Edlund, and D. Frisch. 2018. Paleolimnology and resurrection ecology:  The future of</w:t>
      </w:r>
      <w:r w:rsidR="00FC7F17">
        <w:rPr>
          <w:rFonts w:ascii="Times New Roman" w:hAnsi="Times New Roman" w:cs="Times New Roman"/>
          <w:sz w:val="24"/>
          <w:szCs w:val="24"/>
        </w:rPr>
        <w:t xml:space="preserve"> </w:t>
      </w:r>
      <w:r w:rsidRPr="00EB599B">
        <w:rPr>
          <w:rFonts w:ascii="Times New Roman" w:hAnsi="Times New Roman" w:cs="Times New Roman"/>
          <w:sz w:val="24"/>
          <w:szCs w:val="24"/>
        </w:rPr>
        <w:t>reconstructing the past. Evol. Appl.11:42–59. doi:10.1111/eva.12556</w:t>
      </w:r>
    </w:p>
    <w:p w14:paraId="6A59A876" w14:textId="747A305D" w:rsidR="00D60CC8" w:rsidRPr="00EB599B" w:rsidRDefault="00D60CC8"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De Meester, L., L. J. Weider, and R. Tollrian. 1995. Alternative</w:t>
      </w:r>
      <w:r w:rsidR="00FC7F17">
        <w:rPr>
          <w:rFonts w:ascii="Times New Roman" w:hAnsi="Times New Roman" w:cs="Times New Roman"/>
          <w:sz w:val="24"/>
          <w:szCs w:val="24"/>
        </w:rPr>
        <w:t xml:space="preserve"> </w:t>
      </w:r>
      <w:r w:rsidRPr="00EB599B">
        <w:rPr>
          <w:rFonts w:ascii="Times New Roman" w:hAnsi="Times New Roman" w:cs="Times New Roman"/>
          <w:sz w:val="24"/>
          <w:szCs w:val="24"/>
        </w:rPr>
        <w:t xml:space="preserve">antipredator </w:t>
      </w:r>
      <w:r w:rsidR="00FC7F17" w:rsidRPr="00EB599B">
        <w:rPr>
          <w:rFonts w:ascii="Times New Roman" w:hAnsi="Times New Roman" w:cs="Times New Roman"/>
          <w:sz w:val="24"/>
          <w:szCs w:val="24"/>
        </w:rPr>
        <w:t>defenses</w:t>
      </w:r>
      <w:r w:rsidRPr="00EB599B">
        <w:rPr>
          <w:rFonts w:ascii="Times New Roman" w:hAnsi="Times New Roman" w:cs="Times New Roman"/>
          <w:sz w:val="24"/>
          <w:szCs w:val="24"/>
        </w:rPr>
        <w:t xml:space="preserve"> and genetic polymorphism in a</w:t>
      </w:r>
      <w:r w:rsidR="00FC7F17">
        <w:rPr>
          <w:rFonts w:ascii="Times New Roman" w:hAnsi="Times New Roman" w:cs="Times New Roman"/>
          <w:sz w:val="24"/>
          <w:szCs w:val="24"/>
        </w:rPr>
        <w:t xml:space="preserve"> </w:t>
      </w:r>
      <w:r w:rsidRPr="00EB599B">
        <w:rPr>
          <w:rFonts w:ascii="Times New Roman" w:hAnsi="Times New Roman" w:cs="Times New Roman"/>
          <w:sz w:val="24"/>
          <w:szCs w:val="24"/>
        </w:rPr>
        <w:t>pelagic predator–prey system. Nature</w:t>
      </w:r>
      <w:r w:rsidR="00FC7F17">
        <w:rPr>
          <w:rFonts w:ascii="Times New Roman" w:hAnsi="Times New Roman" w:cs="Times New Roman"/>
          <w:sz w:val="24"/>
          <w:szCs w:val="24"/>
        </w:rPr>
        <w:t xml:space="preserve"> </w:t>
      </w:r>
      <w:r w:rsidRPr="00EB599B">
        <w:rPr>
          <w:rFonts w:ascii="Times New Roman" w:hAnsi="Times New Roman" w:cs="Times New Roman"/>
          <w:sz w:val="24"/>
          <w:szCs w:val="24"/>
        </w:rPr>
        <w:t>378: 483–485. doi:10.1038/378483a0</w:t>
      </w:r>
    </w:p>
    <w:p w14:paraId="08F5E040" w14:textId="0E8B9A02" w:rsidR="00D60CC8" w:rsidRPr="00EB599B" w:rsidRDefault="00D60CC8"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Dugan, H. A., and others. 2017. Salting our freshwater lakes.</w:t>
      </w:r>
      <w:r w:rsidR="00FC7F17">
        <w:rPr>
          <w:rFonts w:ascii="Times New Roman" w:hAnsi="Times New Roman" w:cs="Times New Roman"/>
          <w:sz w:val="24"/>
          <w:szCs w:val="24"/>
        </w:rPr>
        <w:t xml:space="preserve"> </w:t>
      </w:r>
      <w:r w:rsidRPr="00EB599B">
        <w:rPr>
          <w:rFonts w:ascii="Times New Roman" w:hAnsi="Times New Roman" w:cs="Times New Roman"/>
          <w:sz w:val="24"/>
          <w:szCs w:val="24"/>
        </w:rPr>
        <w:t>Proc. Natl. Acad. Sci. USA</w:t>
      </w:r>
      <w:r w:rsidR="00FC7F17">
        <w:rPr>
          <w:rFonts w:ascii="Times New Roman" w:hAnsi="Times New Roman" w:cs="Times New Roman"/>
          <w:sz w:val="24"/>
          <w:szCs w:val="24"/>
        </w:rPr>
        <w:t xml:space="preserve"> </w:t>
      </w:r>
      <w:r w:rsidRPr="00EB599B">
        <w:rPr>
          <w:rFonts w:ascii="Times New Roman" w:hAnsi="Times New Roman" w:cs="Times New Roman"/>
          <w:sz w:val="24"/>
          <w:szCs w:val="24"/>
        </w:rPr>
        <w:t>114: 4453–4458. doi:10.1073/pnas.1620211114</w:t>
      </w:r>
    </w:p>
    <w:p w14:paraId="6EBC097C" w14:textId="00DF389D" w:rsidR="00D60CC8" w:rsidRPr="00EB599B" w:rsidRDefault="00D60CC8"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Dugan, H. A., and others. 2020. Lakes at risk of chloride contamination. Environ. Sci. Technol.</w:t>
      </w:r>
      <w:r w:rsidR="00FC7F17">
        <w:rPr>
          <w:rFonts w:ascii="Times New Roman" w:hAnsi="Times New Roman" w:cs="Times New Roman"/>
          <w:sz w:val="24"/>
          <w:szCs w:val="24"/>
        </w:rPr>
        <w:t xml:space="preserve"> </w:t>
      </w:r>
      <w:r w:rsidRPr="00EB599B">
        <w:rPr>
          <w:rFonts w:ascii="Times New Roman" w:hAnsi="Times New Roman" w:cs="Times New Roman"/>
          <w:sz w:val="24"/>
          <w:szCs w:val="24"/>
        </w:rPr>
        <w:t>54: 6639–6650. doi:10.1021/acs.est.9b07718</w:t>
      </w:r>
    </w:p>
    <w:p w14:paraId="1DE1FE6F" w14:textId="1FB2946D" w:rsidR="00D60CC8" w:rsidRPr="00EB599B" w:rsidRDefault="00D60CC8"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Elmarsafy, M., K. L. Tasky, and D. K. Gray. 2020. Can zooplankton on the North American Great Plains</w:t>
      </w:r>
      <w:r w:rsidR="00DE3825">
        <w:rPr>
          <w:rFonts w:ascii="Times New Roman" w:hAnsi="Times New Roman" w:cs="Times New Roman"/>
          <w:sz w:val="24"/>
          <w:szCs w:val="24"/>
        </w:rPr>
        <w:t xml:space="preserve"> </w:t>
      </w:r>
      <w:r w:rsidRPr="00EB599B">
        <w:rPr>
          <w:rFonts w:ascii="Times New Roman" w:hAnsi="Times New Roman" w:cs="Times New Roman"/>
          <w:sz w:val="24"/>
          <w:szCs w:val="24"/>
        </w:rPr>
        <w:t>“keep up”</w:t>
      </w:r>
      <w:r w:rsidR="00DE3825">
        <w:rPr>
          <w:rFonts w:ascii="Times New Roman" w:hAnsi="Times New Roman" w:cs="Times New Roman"/>
          <w:sz w:val="24"/>
          <w:szCs w:val="24"/>
        </w:rPr>
        <w:t xml:space="preserve"> </w:t>
      </w:r>
      <w:r w:rsidRPr="00EB599B">
        <w:rPr>
          <w:rFonts w:ascii="Times New Roman" w:hAnsi="Times New Roman" w:cs="Times New Roman"/>
          <w:sz w:val="24"/>
          <w:szCs w:val="24"/>
        </w:rPr>
        <w:t>with climate-driven salinity change? Limnol. Oceanogr.66: 865–877. doi:10.1002/lno.11647</w:t>
      </w:r>
    </w:p>
    <w:p w14:paraId="23E0112F" w14:textId="6EC77165" w:rsidR="00D60CC8" w:rsidRPr="00EB599B" w:rsidRDefault="00D60CC8"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lastRenderedPageBreak/>
        <w:t>Elphick, J. R. F., K. D. Bergh, and H. C. Bailey. 2011. Chronic</w:t>
      </w:r>
      <w:r w:rsidR="00DE3825">
        <w:rPr>
          <w:rFonts w:ascii="Times New Roman" w:hAnsi="Times New Roman" w:cs="Times New Roman"/>
          <w:sz w:val="24"/>
          <w:szCs w:val="24"/>
        </w:rPr>
        <w:t xml:space="preserve"> </w:t>
      </w:r>
      <w:r w:rsidRPr="00EB599B">
        <w:rPr>
          <w:rFonts w:ascii="Times New Roman" w:hAnsi="Times New Roman" w:cs="Times New Roman"/>
          <w:sz w:val="24"/>
          <w:szCs w:val="24"/>
        </w:rPr>
        <w:t>toxicity of chloride to freshwater species: Effects of hard-ness and implications for water quality guidelines. Environ.</w:t>
      </w:r>
      <w:r w:rsidR="00DE3825">
        <w:rPr>
          <w:rFonts w:ascii="Times New Roman" w:hAnsi="Times New Roman" w:cs="Times New Roman"/>
          <w:sz w:val="24"/>
          <w:szCs w:val="24"/>
        </w:rPr>
        <w:t xml:space="preserve"> </w:t>
      </w:r>
      <w:r w:rsidRPr="00EB599B">
        <w:rPr>
          <w:rFonts w:ascii="Times New Roman" w:hAnsi="Times New Roman" w:cs="Times New Roman"/>
          <w:sz w:val="24"/>
          <w:szCs w:val="24"/>
        </w:rPr>
        <w:t>Toxicol. Chem.30: 239–246. doi:10.1002/etc.365</w:t>
      </w:r>
    </w:p>
    <w:p w14:paraId="2A8E5443" w14:textId="7456155E" w:rsidR="00D60CC8" w:rsidRPr="00EB599B" w:rsidRDefault="00D60CC8"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Findlay, S. E. G., and V. R. Kelly. 2011. Emerging indirect and</w:t>
      </w:r>
      <w:r w:rsidR="00DE3825">
        <w:rPr>
          <w:rFonts w:ascii="Times New Roman" w:hAnsi="Times New Roman" w:cs="Times New Roman"/>
          <w:sz w:val="24"/>
          <w:szCs w:val="24"/>
        </w:rPr>
        <w:t xml:space="preserve"> </w:t>
      </w:r>
      <w:r w:rsidRPr="00EB599B">
        <w:rPr>
          <w:rFonts w:ascii="Times New Roman" w:hAnsi="Times New Roman" w:cs="Times New Roman"/>
          <w:sz w:val="24"/>
          <w:szCs w:val="24"/>
        </w:rPr>
        <w:t>long-term road salt effects on ecosystems. Ann. N.Y. Acad.Sci.1223:58–68. doi:10.1111/j.1749-6632.2010.05942.x</w:t>
      </w:r>
    </w:p>
    <w:p w14:paraId="0FB0B475" w14:textId="763F751F" w:rsidR="00EF07D7" w:rsidRPr="00EB599B" w:rsidRDefault="00D60CC8"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Frisch, D., P. K. Morton, B. W. Culver, M. B. Edlund, P. D.</w:t>
      </w:r>
      <w:r w:rsidR="00DE3825">
        <w:rPr>
          <w:rFonts w:ascii="Times New Roman" w:hAnsi="Times New Roman" w:cs="Times New Roman"/>
          <w:sz w:val="24"/>
          <w:szCs w:val="24"/>
        </w:rPr>
        <w:t xml:space="preserve"> </w:t>
      </w:r>
      <w:r w:rsidRPr="00EB599B">
        <w:rPr>
          <w:rFonts w:ascii="Times New Roman" w:hAnsi="Times New Roman" w:cs="Times New Roman"/>
          <w:sz w:val="24"/>
          <w:szCs w:val="24"/>
        </w:rPr>
        <w:t>Jeyasingh, and L. J. Weider. 2017. Paleogenetic records of</w:t>
      </w:r>
      <w:r w:rsidR="00DE3825">
        <w:rPr>
          <w:rFonts w:ascii="Times New Roman" w:hAnsi="Times New Roman" w:cs="Times New Roman"/>
          <w:sz w:val="24"/>
          <w:szCs w:val="24"/>
        </w:rPr>
        <w:t xml:space="preserve"> </w:t>
      </w:r>
      <w:r w:rsidRPr="00DE3825">
        <w:rPr>
          <w:rFonts w:ascii="Times New Roman" w:hAnsi="Times New Roman" w:cs="Times New Roman"/>
          <w:i/>
          <w:iCs/>
          <w:sz w:val="24"/>
          <w:szCs w:val="24"/>
        </w:rPr>
        <w:t>Daphnia pulicaria</w:t>
      </w:r>
      <w:r w:rsidR="00DE3825">
        <w:rPr>
          <w:rFonts w:ascii="Times New Roman" w:hAnsi="Times New Roman" w:cs="Times New Roman"/>
          <w:sz w:val="24"/>
          <w:szCs w:val="24"/>
        </w:rPr>
        <w:t xml:space="preserve"> </w:t>
      </w:r>
      <w:r w:rsidRPr="00EB599B">
        <w:rPr>
          <w:rFonts w:ascii="Times New Roman" w:hAnsi="Times New Roman" w:cs="Times New Roman"/>
          <w:sz w:val="24"/>
          <w:szCs w:val="24"/>
        </w:rPr>
        <w:t>in two North American lakes reveal</w:t>
      </w:r>
      <w:r w:rsidR="00DE3825">
        <w:rPr>
          <w:rFonts w:ascii="Times New Roman" w:hAnsi="Times New Roman" w:cs="Times New Roman"/>
          <w:sz w:val="24"/>
          <w:szCs w:val="24"/>
        </w:rPr>
        <w:t xml:space="preserve"> </w:t>
      </w:r>
      <w:r w:rsidRPr="00EB599B">
        <w:rPr>
          <w:rFonts w:ascii="Times New Roman" w:hAnsi="Times New Roman" w:cs="Times New Roman"/>
          <w:sz w:val="24"/>
          <w:szCs w:val="24"/>
        </w:rPr>
        <w:t>the impact of cultural eutrophication. Glob. Chang. Biol.23: 708–718.</w:t>
      </w:r>
      <w:r w:rsidR="00EF07D7" w:rsidRPr="00EB599B">
        <w:t xml:space="preserve"> </w:t>
      </w:r>
      <w:r w:rsidR="00EF07D7" w:rsidRPr="00EB599B">
        <w:rPr>
          <w:rFonts w:ascii="Times New Roman" w:hAnsi="Times New Roman" w:cs="Times New Roman"/>
          <w:sz w:val="24"/>
          <w:szCs w:val="24"/>
        </w:rPr>
        <w:t>doi:10.1111/gcb.13445</w:t>
      </w:r>
    </w:p>
    <w:p w14:paraId="06FE15ED" w14:textId="151D6A4B" w:rsidR="00EF07D7" w:rsidRPr="00EB599B" w:rsidRDefault="00EF07D7"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Gliwicz, Z. M. 1990. Food thresholds and body size in cladocerans. Nature</w:t>
      </w:r>
      <w:r w:rsidR="00DE3825">
        <w:rPr>
          <w:rFonts w:ascii="Times New Roman" w:hAnsi="Times New Roman" w:cs="Times New Roman"/>
          <w:sz w:val="24"/>
          <w:szCs w:val="24"/>
        </w:rPr>
        <w:t xml:space="preserve"> </w:t>
      </w:r>
      <w:r w:rsidRPr="00EB599B">
        <w:rPr>
          <w:rFonts w:ascii="Times New Roman" w:hAnsi="Times New Roman" w:cs="Times New Roman"/>
          <w:sz w:val="24"/>
          <w:szCs w:val="24"/>
        </w:rPr>
        <w:t>343: 638–640. doi:10.1038/343638a0</w:t>
      </w:r>
    </w:p>
    <w:p w14:paraId="1C770D9D" w14:textId="77777777" w:rsidR="00EF07D7" w:rsidRPr="00EB599B" w:rsidRDefault="00EF07D7"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Hintz, W. D., and R. A. Relyea. 2019. A review of the species, community, and ecosystem impacts of road salt salinization in fresh waters. Freshw. Biol.64: 1081–1097. doi:10.1111/fwb.13286</w:t>
      </w:r>
    </w:p>
    <w:p w14:paraId="4AFD22FC" w14:textId="1A85C475" w:rsidR="00EF07D7" w:rsidRPr="00EB599B" w:rsidRDefault="00EF07D7"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Iglesias, M. C. A. 2020. A review of recent advances and future</w:t>
      </w:r>
      <w:r w:rsidR="00DE3825">
        <w:rPr>
          <w:rFonts w:ascii="Times New Roman" w:hAnsi="Times New Roman" w:cs="Times New Roman"/>
          <w:sz w:val="24"/>
          <w:szCs w:val="24"/>
        </w:rPr>
        <w:t xml:space="preserve"> </w:t>
      </w:r>
      <w:r w:rsidRPr="00EB599B">
        <w:rPr>
          <w:rFonts w:ascii="Times New Roman" w:hAnsi="Times New Roman" w:cs="Times New Roman"/>
          <w:sz w:val="24"/>
          <w:szCs w:val="24"/>
        </w:rPr>
        <w:t>challenges in freshwater salinization. Limnetica</w:t>
      </w:r>
      <w:r w:rsidR="00DE3825">
        <w:rPr>
          <w:rFonts w:ascii="Times New Roman" w:hAnsi="Times New Roman" w:cs="Times New Roman"/>
          <w:sz w:val="24"/>
          <w:szCs w:val="24"/>
        </w:rPr>
        <w:t xml:space="preserve">. </w:t>
      </w:r>
      <w:r w:rsidRPr="00EB599B">
        <w:rPr>
          <w:rFonts w:ascii="Times New Roman" w:hAnsi="Times New Roman" w:cs="Times New Roman"/>
          <w:sz w:val="24"/>
          <w:szCs w:val="24"/>
        </w:rPr>
        <w:t>39: 185–211.doi:10.23818/limn.39.13</w:t>
      </w:r>
    </w:p>
    <w:p w14:paraId="1EA6B9A9" w14:textId="561E19F5" w:rsidR="00EF07D7" w:rsidRPr="00EB599B" w:rsidRDefault="00EF07D7"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Jeppesen, E., J. P. Jensen, S. Amsinck, F. Landkildehus, T.</w:t>
      </w:r>
      <w:r w:rsidR="00DE3825">
        <w:rPr>
          <w:rFonts w:ascii="Times New Roman" w:hAnsi="Times New Roman" w:cs="Times New Roman"/>
          <w:sz w:val="24"/>
          <w:szCs w:val="24"/>
        </w:rPr>
        <w:t xml:space="preserve"> </w:t>
      </w:r>
      <w:r w:rsidRPr="00EB599B">
        <w:rPr>
          <w:rFonts w:ascii="Times New Roman" w:hAnsi="Times New Roman" w:cs="Times New Roman"/>
          <w:sz w:val="24"/>
          <w:szCs w:val="24"/>
        </w:rPr>
        <w:t xml:space="preserve">Lauridsen, and S. F. Mitchell. 2002. Reconstructing the historical changes in </w:t>
      </w:r>
      <w:r w:rsidRPr="00DE3825">
        <w:rPr>
          <w:rFonts w:ascii="Times New Roman" w:hAnsi="Times New Roman" w:cs="Times New Roman"/>
          <w:i/>
          <w:iCs/>
          <w:sz w:val="24"/>
          <w:szCs w:val="24"/>
        </w:rPr>
        <w:t>Daphnia</w:t>
      </w:r>
      <w:r w:rsidRPr="00EB599B">
        <w:rPr>
          <w:rFonts w:ascii="Times New Roman" w:hAnsi="Times New Roman" w:cs="Times New Roman"/>
          <w:sz w:val="24"/>
          <w:szCs w:val="24"/>
        </w:rPr>
        <w:t xml:space="preserve"> mean size and planktivorous fish abundance in lakes from the size of </w:t>
      </w:r>
      <w:r w:rsidRPr="00DE3825">
        <w:rPr>
          <w:rFonts w:ascii="Times New Roman" w:hAnsi="Times New Roman" w:cs="Times New Roman"/>
          <w:i/>
          <w:iCs/>
          <w:sz w:val="24"/>
          <w:szCs w:val="24"/>
        </w:rPr>
        <w:t>Daphnia</w:t>
      </w:r>
      <w:r w:rsidRPr="00EB599B">
        <w:rPr>
          <w:rFonts w:ascii="Times New Roman" w:hAnsi="Times New Roman" w:cs="Times New Roman"/>
          <w:sz w:val="24"/>
          <w:szCs w:val="24"/>
        </w:rPr>
        <w:t xml:space="preserve"> ephippia</w:t>
      </w:r>
      <w:r w:rsidR="007424A7">
        <w:rPr>
          <w:rFonts w:ascii="Times New Roman" w:hAnsi="Times New Roman" w:cs="Times New Roman"/>
          <w:sz w:val="24"/>
          <w:szCs w:val="24"/>
        </w:rPr>
        <w:t xml:space="preserve"> </w:t>
      </w:r>
      <w:r w:rsidRPr="00EB599B">
        <w:rPr>
          <w:rFonts w:ascii="Times New Roman" w:hAnsi="Times New Roman" w:cs="Times New Roman"/>
          <w:sz w:val="24"/>
          <w:szCs w:val="24"/>
        </w:rPr>
        <w:t>in the sediment. J. Paleolimnol.27: 133–143. doi:10.1023/A:1013561208488</w:t>
      </w:r>
    </w:p>
    <w:p w14:paraId="6E89C868" w14:textId="5506DCBE" w:rsidR="00EF07D7" w:rsidRPr="00EB599B" w:rsidRDefault="00EF07D7"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Jeziorski, A., and others. 2008. The widespread threat of calcium decline in fresh waters. Science</w:t>
      </w:r>
      <w:r w:rsidR="007424A7">
        <w:rPr>
          <w:rFonts w:ascii="Times New Roman" w:hAnsi="Times New Roman" w:cs="Times New Roman"/>
          <w:sz w:val="24"/>
          <w:szCs w:val="24"/>
        </w:rPr>
        <w:t xml:space="preserve"> </w:t>
      </w:r>
      <w:r w:rsidRPr="00EB599B">
        <w:rPr>
          <w:rFonts w:ascii="Times New Roman" w:hAnsi="Times New Roman" w:cs="Times New Roman"/>
          <w:sz w:val="24"/>
          <w:szCs w:val="24"/>
        </w:rPr>
        <w:t>322: 1374–1377. doi:10.1126/science.1164949</w:t>
      </w:r>
    </w:p>
    <w:p w14:paraId="37CFCCC6" w14:textId="7A1B02D6" w:rsidR="00EF07D7" w:rsidRPr="00EB599B" w:rsidRDefault="00EF07D7"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lastRenderedPageBreak/>
        <w:t>Kaushal, S. S., P. M. Groffman, G. E. Likens, K. T. Belt, W. P.</w:t>
      </w:r>
      <w:r w:rsidR="002F77D0">
        <w:rPr>
          <w:rFonts w:ascii="Times New Roman" w:hAnsi="Times New Roman" w:cs="Times New Roman"/>
          <w:sz w:val="24"/>
          <w:szCs w:val="24"/>
        </w:rPr>
        <w:t xml:space="preserve"> </w:t>
      </w:r>
      <w:r w:rsidRPr="00EB599B">
        <w:rPr>
          <w:rFonts w:ascii="Times New Roman" w:hAnsi="Times New Roman" w:cs="Times New Roman"/>
          <w:sz w:val="24"/>
          <w:szCs w:val="24"/>
        </w:rPr>
        <w:t>Stack, V. R. Kelly, L. E. Band, and G. T. Fisher. 2005.</w:t>
      </w:r>
      <w:r w:rsidR="007424A7">
        <w:rPr>
          <w:rFonts w:ascii="Times New Roman" w:hAnsi="Times New Roman" w:cs="Times New Roman"/>
          <w:sz w:val="24"/>
          <w:szCs w:val="24"/>
        </w:rPr>
        <w:t xml:space="preserve"> </w:t>
      </w:r>
      <w:r w:rsidRPr="00EB599B">
        <w:rPr>
          <w:rFonts w:ascii="Times New Roman" w:hAnsi="Times New Roman" w:cs="Times New Roman"/>
          <w:sz w:val="24"/>
          <w:szCs w:val="24"/>
        </w:rPr>
        <w:t>Increased salinization of fresh water in the northeastern United States. Proc. Natl. Acad. Sci. USA</w:t>
      </w:r>
      <w:r w:rsidR="007424A7">
        <w:rPr>
          <w:rFonts w:ascii="Times New Roman" w:hAnsi="Times New Roman" w:cs="Times New Roman"/>
          <w:sz w:val="24"/>
          <w:szCs w:val="24"/>
        </w:rPr>
        <w:t xml:space="preserve"> </w:t>
      </w:r>
      <w:r w:rsidRPr="00EB599B">
        <w:rPr>
          <w:rFonts w:ascii="Times New Roman" w:hAnsi="Times New Roman" w:cs="Times New Roman"/>
          <w:sz w:val="24"/>
          <w:szCs w:val="24"/>
        </w:rPr>
        <w:t>102: 13517–13520. doi:10.1073/pnas.0506414102</w:t>
      </w:r>
    </w:p>
    <w:p w14:paraId="1B3026CD" w14:textId="195406EF" w:rsidR="00EF07D7" w:rsidRPr="00EB599B" w:rsidRDefault="00EF07D7"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Kaushal, S. S., G. E. Likens, M. L. Pace, R. M. Utz, S. Haq, J.Gorman, and M. Grese. 2018. Freshwater salinization syndrome on a continental scale. Proc. Natl. Acad. Sci.</w:t>
      </w:r>
      <w:r w:rsidR="00F45A3E">
        <w:rPr>
          <w:rFonts w:ascii="Times New Roman" w:hAnsi="Times New Roman" w:cs="Times New Roman"/>
          <w:sz w:val="24"/>
          <w:szCs w:val="24"/>
        </w:rPr>
        <w:t xml:space="preserve"> USA </w:t>
      </w:r>
      <w:r w:rsidRPr="00EB599B">
        <w:rPr>
          <w:rFonts w:ascii="Times New Roman" w:hAnsi="Times New Roman" w:cs="Times New Roman"/>
          <w:sz w:val="24"/>
          <w:szCs w:val="24"/>
        </w:rPr>
        <w:t>115:E574–E583. doi:10.1073/pnas.1711234115</w:t>
      </w:r>
    </w:p>
    <w:p w14:paraId="2C0541D2" w14:textId="15637DE3" w:rsidR="00EF07D7" w:rsidRPr="00EB599B" w:rsidRDefault="00EF07D7"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Kerfoot, W. C., J. A. Robbins, and L. J. Weider. 1999. A new</w:t>
      </w:r>
      <w:r w:rsidR="00F45A3E">
        <w:rPr>
          <w:rFonts w:ascii="Times New Roman" w:hAnsi="Times New Roman" w:cs="Times New Roman"/>
          <w:sz w:val="24"/>
          <w:szCs w:val="24"/>
        </w:rPr>
        <w:t xml:space="preserve"> </w:t>
      </w:r>
      <w:r w:rsidRPr="00EB599B">
        <w:rPr>
          <w:rFonts w:ascii="Times New Roman" w:hAnsi="Times New Roman" w:cs="Times New Roman"/>
          <w:sz w:val="24"/>
          <w:szCs w:val="24"/>
        </w:rPr>
        <w:t>approach to historical reconstruction: Combining descriptive and experimental paleolimnology. Limnol. Oceanogr.44: 1232–1247. doi:10.4319/lo.1999.44.5.1232</w:t>
      </w:r>
    </w:p>
    <w:p w14:paraId="6A13D141" w14:textId="5145B419" w:rsidR="00EF07D7" w:rsidRPr="00EB599B" w:rsidRDefault="00EF07D7"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 xml:space="preserve">Kilham, S. S., D. A. Kreeger, S. G. Lynn, C. E. Goulden, and </w:t>
      </w:r>
      <w:r w:rsidR="002F77D0" w:rsidRPr="00EB599B">
        <w:rPr>
          <w:rFonts w:ascii="Times New Roman" w:hAnsi="Times New Roman" w:cs="Times New Roman"/>
          <w:sz w:val="24"/>
          <w:szCs w:val="24"/>
        </w:rPr>
        <w:t>L. Herrera</w:t>
      </w:r>
      <w:r w:rsidRPr="00EB599B">
        <w:rPr>
          <w:rFonts w:ascii="Times New Roman" w:hAnsi="Times New Roman" w:cs="Times New Roman"/>
          <w:sz w:val="24"/>
          <w:szCs w:val="24"/>
        </w:rPr>
        <w:t>. 1998. COMBO: A defined freshwater culture</w:t>
      </w:r>
      <w:r w:rsidR="002F77D0">
        <w:rPr>
          <w:rFonts w:ascii="Times New Roman" w:hAnsi="Times New Roman" w:cs="Times New Roman"/>
          <w:sz w:val="24"/>
          <w:szCs w:val="24"/>
        </w:rPr>
        <w:t xml:space="preserve"> </w:t>
      </w:r>
      <w:r w:rsidRPr="00EB599B">
        <w:rPr>
          <w:rFonts w:ascii="Times New Roman" w:hAnsi="Times New Roman" w:cs="Times New Roman"/>
          <w:sz w:val="24"/>
          <w:szCs w:val="24"/>
        </w:rPr>
        <w:t>medium for algae and zooplankton. Hydrobiologia 377: 147–159. doi:10.1023/A:1003231628456</w:t>
      </w:r>
    </w:p>
    <w:p w14:paraId="458B7698" w14:textId="12516F8D" w:rsidR="00703D60" w:rsidRPr="00EB599B" w:rsidRDefault="00EF07D7"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Lampert, W., E. McCauley, and B. F. J. Manly. 2003. Trade-offs in the vertical distribution of zooplankton: Ideal free distribution with costs? Proc. R. Soc. B Biol. Sci.270: 765–773.doi:10.1098/rspb.2002.2291</w:t>
      </w:r>
    </w:p>
    <w:p w14:paraId="544DED90" w14:textId="3DA8678E" w:rsidR="00703D60" w:rsidRPr="00EB599B" w:rsidRDefault="00EF07D7"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Lampert, W., and U. Sommer. 2007,</w:t>
      </w:r>
      <w:r w:rsidR="00703D60" w:rsidRPr="00EB599B">
        <w:rPr>
          <w:rFonts w:ascii="Times New Roman" w:hAnsi="Times New Roman" w:cs="Times New Roman"/>
          <w:sz w:val="24"/>
          <w:szCs w:val="24"/>
        </w:rPr>
        <w:t xml:space="preserve"> </w:t>
      </w:r>
      <w:r w:rsidRPr="00EB599B">
        <w:rPr>
          <w:rFonts w:ascii="Times New Roman" w:hAnsi="Times New Roman" w:cs="Times New Roman"/>
          <w:sz w:val="24"/>
          <w:szCs w:val="24"/>
        </w:rPr>
        <w:t>Limnoecology: The ecology</w:t>
      </w:r>
      <w:r w:rsidR="00703D60" w:rsidRPr="00EB599B">
        <w:rPr>
          <w:rFonts w:ascii="Times New Roman" w:hAnsi="Times New Roman" w:cs="Times New Roman"/>
          <w:sz w:val="24"/>
          <w:szCs w:val="24"/>
        </w:rPr>
        <w:t xml:space="preserve"> </w:t>
      </w:r>
      <w:r w:rsidRPr="00EB599B">
        <w:rPr>
          <w:rFonts w:ascii="Times New Roman" w:hAnsi="Times New Roman" w:cs="Times New Roman"/>
          <w:sz w:val="24"/>
          <w:szCs w:val="24"/>
        </w:rPr>
        <w:t>of lakes and streams, 2nd Edition. Oxford Univ. Press.</w:t>
      </w:r>
      <w:r w:rsidR="00703D60" w:rsidRPr="00EB599B">
        <w:rPr>
          <w:rFonts w:ascii="Times New Roman" w:hAnsi="Times New Roman" w:cs="Times New Roman"/>
          <w:sz w:val="24"/>
          <w:szCs w:val="24"/>
        </w:rPr>
        <w:t xml:space="preserve"> </w:t>
      </w:r>
    </w:p>
    <w:p w14:paraId="385263D4" w14:textId="77777777" w:rsidR="00703D60" w:rsidRPr="00EB599B" w:rsidRDefault="00EF07D7"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Larsson, P., and W. Lampert. 2011. Experimental evidence of</w:t>
      </w:r>
      <w:r w:rsidR="00703D60" w:rsidRPr="00EB599B">
        <w:rPr>
          <w:rFonts w:ascii="Times New Roman" w:hAnsi="Times New Roman" w:cs="Times New Roman"/>
          <w:sz w:val="24"/>
          <w:szCs w:val="24"/>
        </w:rPr>
        <w:t xml:space="preserve"> </w:t>
      </w:r>
      <w:r w:rsidRPr="00EB599B">
        <w:rPr>
          <w:rFonts w:ascii="Times New Roman" w:hAnsi="Times New Roman" w:cs="Times New Roman"/>
          <w:sz w:val="24"/>
          <w:szCs w:val="24"/>
        </w:rPr>
        <w:t>a low-oxygen refuge for large zooplankton. Limnol. Ocean-ogr.56: 1682–1688.</w:t>
      </w:r>
      <w:r w:rsidR="00703D60" w:rsidRPr="00EB599B">
        <w:rPr>
          <w:rFonts w:ascii="Times New Roman" w:hAnsi="Times New Roman" w:cs="Times New Roman"/>
          <w:sz w:val="24"/>
          <w:szCs w:val="24"/>
        </w:rPr>
        <w:t xml:space="preserve"> </w:t>
      </w:r>
      <w:r w:rsidRPr="00EB599B">
        <w:rPr>
          <w:rFonts w:ascii="Times New Roman" w:hAnsi="Times New Roman" w:cs="Times New Roman"/>
          <w:sz w:val="24"/>
          <w:szCs w:val="24"/>
        </w:rPr>
        <w:t>doi:10.4319/lo.2011.56.5.1682</w:t>
      </w:r>
    </w:p>
    <w:p w14:paraId="25C67390" w14:textId="77777777" w:rsidR="00703D60" w:rsidRPr="00EB599B" w:rsidRDefault="00EF07D7"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Leibold, M., and A. J. Tessier. 1991. Contrasting patterns of</w:t>
      </w:r>
      <w:r w:rsidR="00703D60" w:rsidRPr="00EB599B">
        <w:rPr>
          <w:rFonts w:ascii="Times New Roman" w:hAnsi="Times New Roman" w:cs="Times New Roman"/>
          <w:sz w:val="24"/>
          <w:szCs w:val="24"/>
        </w:rPr>
        <w:t xml:space="preserve"> </w:t>
      </w:r>
      <w:r w:rsidRPr="00EB599B">
        <w:rPr>
          <w:rFonts w:ascii="Times New Roman" w:hAnsi="Times New Roman" w:cs="Times New Roman"/>
          <w:sz w:val="24"/>
          <w:szCs w:val="24"/>
        </w:rPr>
        <w:t>body size for</w:t>
      </w:r>
      <w:r w:rsidR="00703D60" w:rsidRPr="00EB599B">
        <w:rPr>
          <w:rFonts w:ascii="Times New Roman" w:hAnsi="Times New Roman" w:cs="Times New Roman"/>
          <w:sz w:val="24"/>
          <w:szCs w:val="24"/>
        </w:rPr>
        <w:t xml:space="preserve"> </w:t>
      </w:r>
      <w:r w:rsidRPr="002F77D0">
        <w:rPr>
          <w:rFonts w:ascii="Times New Roman" w:hAnsi="Times New Roman" w:cs="Times New Roman"/>
          <w:i/>
          <w:iCs/>
          <w:sz w:val="24"/>
          <w:szCs w:val="24"/>
        </w:rPr>
        <w:t>Daphnia</w:t>
      </w:r>
      <w:r w:rsidR="00703D60" w:rsidRPr="00EB599B">
        <w:rPr>
          <w:rFonts w:ascii="Times New Roman" w:hAnsi="Times New Roman" w:cs="Times New Roman"/>
          <w:sz w:val="24"/>
          <w:szCs w:val="24"/>
        </w:rPr>
        <w:t xml:space="preserve"> </w:t>
      </w:r>
      <w:r w:rsidRPr="00EB599B">
        <w:rPr>
          <w:rFonts w:ascii="Times New Roman" w:hAnsi="Times New Roman" w:cs="Times New Roman"/>
          <w:sz w:val="24"/>
          <w:szCs w:val="24"/>
        </w:rPr>
        <w:t>species that segregate by habitat.</w:t>
      </w:r>
      <w:r w:rsidR="00703D60" w:rsidRPr="00EB599B">
        <w:rPr>
          <w:rFonts w:ascii="Times New Roman" w:hAnsi="Times New Roman" w:cs="Times New Roman"/>
          <w:sz w:val="24"/>
          <w:szCs w:val="24"/>
        </w:rPr>
        <w:t xml:space="preserve"> </w:t>
      </w:r>
      <w:r w:rsidRPr="00EB599B">
        <w:rPr>
          <w:rFonts w:ascii="Times New Roman" w:hAnsi="Times New Roman" w:cs="Times New Roman"/>
          <w:sz w:val="24"/>
          <w:szCs w:val="24"/>
        </w:rPr>
        <w:t>Oecologia</w:t>
      </w:r>
      <w:r w:rsidR="00703D60" w:rsidRPr="00EB599B">
        <w:rPr>
          <w:rFonts w:ascii="Times New Roman" w:hAnsi="Times New Roman" w:cs="Times New Roman"/>
          <w:sz w:val="24"/>
          <w:szCs w:val="24"/>
        </w:rPr>
        <w:t xml:space="preserve"> </w:t>
      </w:r>
      <w:r w:rsidRPr="00EB599B">
        <w:rPr>
          <w:rFonts w:ascii="Times New Roman" w:hAnsi="Times New Roman" w:cs="Times New Roman"/>
          <w:sz w:val="24"/>
          <w:szCs w:val="24"/>
        </w:rPr>
        <w:t>86: 342–348. doi:10.1007/BF00317599</w:t>
      </w:r>
    </w:p>
    <w:p w14:paraId="6E9BE64F" w14:textId="7948D130" w:rsidR="00703D60" w:rsidRPr="00EB599B" w:rsidRDefault="00EF07D7"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lastRenderedPageBreak/>
        <w:t>Mergeay, J., D. Verschuren, L. Van Kerckhoven, and L. DeMeester. 2004. Two hundred years of a diverse</w:t>
      </w:r>
      <w:r w:rsidR="00703D60" w:rsidRPr="00EB599B">
        <w:rPr>
          <w:rFonts w:ascii="Times New Roman" w:hAnsi="Times New Roman" w:cs="Times New Roman"/>
          <w:sz w:val="24"/>
          <w:szCs w:val="24"/>
        </w:rPr>
        <w:t xml:space="preserve"> </w:t>
      </w:r>
      <w:r w:rsidRPr="002F77D0">
        <w:rPr>
          <w:rFonts w:ascii="Times New Roman" w:hAnsi="Times New Roman" w:cs="Times New Roman"/>
          <w:i/>
          <w:iCs/>
          <w:sz w:val="24"/>
          <w:szCs w:val="24"/>
        </w:rPr>
        <w:t>Daphnia</w:t>
      </w:r>
      <w:r w:rsidR="00703D60" w:rsidRPr="00EB599B">
        <w:rPr>
          <w:rFonts w:ascii="Times New Roman" w:hAnsi="Times New Roman" w:cs="Times New Roman"/>
          <w:sz w:val="24"/>
          <w:szCs w:val="24"/>
        </w:rPr>
        <w:t xml:space="preserve"> </w:t>
      </w:r>
      <w:r w:rsidRPr="00EB599B">
        <w:rPr>
          <w:rFonts w:ascii="Times New Roman" w:hAnsi="Times New Roman" w:cs="Times New Roman"/>
          <w:sz w:val="24"/>
          <w:szCs w:val="24"/>
        </w:rPr>
        <w:t>community in Lake Naivasha (Kenya): Effects of natural</w:t>
      </w:r>
      <w:r w:rsidR="002F77D0">
        <w:rPr>
          <w:rFonts w:ascii="Times New Roman" w:hAnsi="Times New Roman" w:cs="Times New Roman"/>
          <w:sz w:val="24"/>
          <w:szCs w:val="24"/>
        </w:rPr>
        <w:t xml:space="preserve"> </w:t>
      </w:r>
      <w:r w:rsidRPr="00EB599B">
        <w:rPr>
          <w:rFonts w:ascii="Times New Roman" w:hAnsi="Times New Roman" w:cs="Times New Roman"/>
          <w:sz w:val="24"/>
          <w:szCs w:val="24"/>
        </w:rPr>
        <w:t>and human-induced environmental changes. Freshw. Biol.49: 998–1013. doi:10.1111/j.1365-2427.2004.01244.x</w:t>
      </w:r>
    </w:p>
    <w:p w14:paraId="40BED322" w14:textId="57B7CBF3" w:rsidR="00D963BE" w:rsidRDefault="00EF07D7" w:rsidP="005B01DF">
      <w:pPr>
        <w:spacing w:line="480" w:lineRule="auto"/>
        <w:ind w:left="720" w:hanging="720"/>
        <w:rPr>
          <w:rFonts w:ascii="Times New Roman" w:hAnsi="Times New Roman" w:cs="Times New Roman"/>
          <w:sz w:val="24"/>
          <w:szCs w:val="24"/>
        </w:rPr>
      </w:pPr>
      <w:r w:rsidRPr="00EB599B">
        <w:rPr>
          <w:rFonts w:ascii="Times New Roman" w:hAnsi="Times New Roman" w:cs="Times New Roman"/>
          <w:sz w:val="24"/>
          <w:szCs w:val="24"/>
        </w:rPr>
        <w:t>Moser, K. A., J. P. Smol, D. R. S. Lean, and G. M. MacDonald.1998. Physical and chemical limnology of northern boreal</w:t>
      </w:r>
      <w:r w:rsidR="00703D60" w:rsidRPr="00EB599B">
        <w:rPr>
          <w:rFonts w:ascii="Times New Roman" w:hAnsi="Times New Roman" w:cs="Times New Roman"/>
          <w:sz w:val="24"/>
          <w:szCs w:val="24"/>
        </w:rPr>
        <w:t xml:space="preserve"> </w:t>
      </w:r>
      <w:r w:rsidR="00D963BE" w:rsidRPr="00EB599B">
        <w:rPr>
          <w:rFonts w:ascii="Times New Roman" w:hAnsi="Times New Roman" w:cs="Times New Roman"/>
          <w:sz w:val="24"/>
          <w:szCs w:val="24"/>
        </w:rPr>
        <w:t>la</w:t>
      </w:r>
      <w:r w:rsidR="008B553D" w:rsidRPr="00EB599B">
        <w:rPr>
          <w:rFonts w:ascii="Times New Roman" w:hAnsi="Times New Roman" w:cs="Times New Roman"/>
          <w:sz w:val="24"/>
          <w:szCs w:val="24"/>
        </w:rPr>
        <w:t>kes</w:t>
      </w:r>
      <w:r w:rsidR="008B553D" w:rsidRPr="008B553D">
        <w:rPr>
          <w:rFonts w:ascii="Times New Roman" w:hAnsi="Times New Roman" w:cs="Times New Roman"/>
          <w:sz w:val="24"/>
          <w:szCs w:val="24"/>
        </w:rPr>
        <w:t>,</w:t>
      </w:r>
      <w:r w:rsidR="005B01DF">
        <w:rPr>
          <w:rFonts w:ascii="Times New Roman" w:hAnsi="Times New Roman" w:cs="Times New Roman"/>
          <w:sz w:val="24"/>
          <w:szCs w:val="24"/>
        </w:rPr>
        <w:t xml:space="preserve"> </w:t>
      </w:r>
      <w:r w:rsidR="008B553D" w:rsidRPr="008B553D">
        <w:rPr>
          <w:rFonts w:ascii="Times New Roman" w:hAnsi="Times New Roman" w:cs="Times New Roman"/>
          <w:sz w:val="24"/>
          <w:szCs w:val="24"/>
        </w:rPr>
        <w:t>Wood Buffalo National Park, northern Alberta and</w:t>
      </w:r>
      <w:r w:rsidR="00EB599B">
        <w:rPr>
          <w:rFonts w:ascii="Times New Roman" w:hAnsi="Times New Roman" w:cs="Times New Roman"/>
          <w:sz w:val="24"/>
          <w:szCs w:val="24"/>
        </w:rPr>
        <w:t xml:space="preserve"> </w:t>
      </w:r>
      <w:r w:rsidR="008B553D" w:rsidRPr="008B553D">
        <w:rPr>
          <w:rFonts w:ascii="Times New Roman" w:hAnsi="Times New Roman" w:cs="Times New Roman"/>
          <w:sz w:val="24"/>
          <w:szCs w:val="24"/>
        </w:rPr>
        <w:t>the Northwest Territories, Canada. Hydrobiologia</w:t>
      </w:r>
      <w:r w:rsidR="00D963BE">
        <w:rPr>
          <w:rFonts w:ascii="Times New Roman" w:hAnsi="Times New Roman" w:cs="Times New Roman"/>
          <w:sz w:val="24"/>
          <w:szCs w:val="24"/>
        </w:rPr>
        <w:t xml:space="preserve"> </w:t>
      </w:r>
      <w:r w:rsidR="008B553D" w:rsidRPr="008B553D">
        <w:rPr>
          <w:rFonts w:ascii="Times New Roman" w:hAnsi="Times New Roman" w:cs="Times New Roman"/>
          <w:sz w:val="24"/>
          <w:szCs w:val="24"/>
        </w:rPr>
        <w:t>377:2543.</w:t>
      </w:r>
      <w:r w:rsidR="00D963BE">
        <w:rPr>
          <w:rFonts w:ascii="Times New Roman" w:hAnsi="Times New Roman" w:cs="Times New Roman"/>
          <w:sz w:val="24"/>
          <w:szCs w:val="24"/>
        </w:rPr>
        <w:t xml:space="preserve"> </w:t>
      </w:r>
      <w:r w:rsidR="008B553D" w:rsidRPr="008B553D">
        <w:rPr>
          <w:rFonts w:ascii="Times New Roman" w:hAnsi="Times New Roman" w:cs="Times New Roman"/>
          <w:sz w:val="24"/>
          <w:szCs w:val="24"/>
        </w:rPr>
        <w:t>doi:10.1023/A:1003225527053</w:t>
      </w:r>
    </w:p>
    <w:p w14:paraId="73B42D42" w14:textId="798E0B9B" w:rsidR="00D963BE"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Novotny, E. V., and H. G. Stefan. 2010. Projections of chloride</w:t>
      </w:r>
      <w:r w:rsidR="00D963BE">
        <w:rPr>
          <w:rFonts w:ascii="Times New Roman" w:hAnsi="Times New Roman" w:cs="Times New Roman"/>
          <w:sz w:val="24"/>
          <w:szCs w:val="24"/>
        </w:rPr>
        <w:t xml:space="preserve"> </w:t>
      </w:r>
      <w:r w:rsidRPr="008B553D">
        <w:rPr>
          <w:rFonts w:ascii="Times New Roman" w:hAnsi="Times New Roman" w:cs="Times New Roman"/>
          <w:sz w:val="24"/>
          <w:szCs w:val="24"/>
        </w:rPr>
        <w:t>concentrations in urban lakes receiving road de-icing salt.</w:t>
      </w:r>
      <w:r w:rsidR="00D963BE">
        <w:rPr>
          <w:rFonts w:ascii="Times New Roman" w:hAnsi="Times New Roman" w:cs="Times New Roman"/>
          <w:sz w:val="24"/>
          <w:szCs w:val="24"/>
        </w:rPr>
        <w:t xml:space="preserve"> </w:t>
      </w:r>
      <w:r w:rsidRPr="008B553D">
        <w:rPr>
          <w:rFonts w:ascii="Times New Roman" w:hAnsi="Times New Roman" w:cs="Times New Roman"/>
          <w:sz w:val="24"/>
          <w:szCs w:val="24"/>
        </w:rPr>
        <w:t>Water Air Soil Pollut.</w:t>
      </w:r>
      <w:r w:rsidR="002F77D0">
        <w:rPr>
          <w:rFonts w:ascii="Times New Roman" w:hAnsi="Times New Roman" w:cs="Times New Roman"/>
          <w:sz w:val="24"/>
          <w:szCs w:val="24"/>
        </w:rPr>
        <w:t xml:space="preserve"> </w:t>
      </w:r>
      <w:r w:rsidRPr="008B553D">
        <w:rPr>
          <w:rFonts w:ascii="Times New Roman" w:hAnsi="Times New Roman" w:cs="Times New Roman"/>
          <w:sz w:val="24"/>
          <w:szCs w:val="24"/>
        </w:rPr>
        <w:t>211: 261–271. doi:10.1007/s11270-009-02970</w:t>
      </w:r>
    </w:p>
    <w:p w14:paraId="73598003" w14:textId="77777777" w:rsidR="00D963BE"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Novotny, E. V., and H. G. Stefan. 2012. Road salt impact on</w:t>
      </w:r>
      <w:r w:rsidR="00D963BE">
        <w:rPr>
          <w:rFonts w:ascii="Times New Roman" w:hAnsi="Times New Roman" w:cs="Times New Roman"/>
          <w:sz w:val="24"/>
          <w:szCs w:val="24"/>
        </w:rPr>
        <w:t xml:space="preserve"> </w:t>
      </w:r>
      <w:r w:rsidRPr="008B553D">
        <w:rPr>
          <w:rFonts w:ascii="Times New Roman" w:hAnsi="Times New Roman" w:cs="Times New Roman"/>
          <w:sz w:val="24"/>
          <w:szCs w:val="24"/>
        </w:rPr>
        <w:t>lake stratification and water quality. J. Hydraul. Eng.138: 1069–1080. doi:10.1061/(ASCE)HY.1943-7900.0000590</w:t>
      </w:r>
    </w:p>
    <w:p w14:paraId="2C024297" w14:textId="598B7F5B" w:rsidR="00E24D09"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Ogorelec,Ž., C. Wunsch, A. J. Kunzmann, P. Octorina, and J. I.Navarro. 2021. Large daphniids are</w:t>
      </w:r>
      <w:r w:rsidR="002F77D0">
        <w:rPr>
          <w:rFonts w:ascii="Times New Roman" w:hAnsi="Times New Roman" w:cs="Times New Roman"/>
          <w:sz w:val="24"/>
          <w:szCs w:val="24"/>
        </w:rPr>
        <w:t xml:space="preserve"> </w:t>
      </w:r>
      <w:r w:rsidRPr="008B553D">
        <w:rPr>
          <w:rFonts w:ascii="Times New Roman" w:hAnsi="Times New Roman" w:cs="Times New Roman"/>
          <w:sz w:val="24"/>
          <w:szCs w:val="24"/>
        </w:rPr>
        <w:t>keystone species that link</w:t>
      </w:r>
      <w:r w:rsidR="002F77D0">
        <w:rPr>
          <w:rFonts w:ascii="Times New Roman" w:hAnsi="Times New Roman" w:cs="Times New Roman"/>
          <w:sz w:val="24"/>
          <w:szCs w:val="24"/>
        </w:rPr>
        <w:t xml:space="preserve"> </w:t>
      </w:r>
      <w:r w:rsidRPr="008B553D">
        <w:rPr>
          <w:rFonts w:ascii="Times New Roman" w:hAnsi="Times New Roman" w:cs="Times New Roman"/>
          <w:sz w:val="24"/>
          <w:szCs w:val="24"/>
        </w:rPr>
        <w:t>fish predation and phytoplankton in trophic cascades. Fundam.</w:t>
      </w:r>
      <w:r w:rsidR="00EB599B">
        <w:rPr>
          <w:rFonts w:ascii="Times New Roman" w:hAnsi="Times New Roman" w:cs="Times New Roman"/>
          <w:sz w:val="24"/>
          <w:szCs w:val="24"/>
        </w:rPr>
        <w:t xml:space="preserve"> </w:t>
      </w:r>
      <w:r w:rsidRPr="008B553D">
        <w:rPr>
          <w:rFonts w:ascii="Times New Roman" w:hAnsi="Times New Roman" w:cs="Times New Roman"/>
          <w:sz w:val="24"/>
          <w:szCs w:val="24"/>
        </w:rPr>
        <w:t>Appl. Limnol.194:297–309. doi:10.1127/fal/2020/1344</w:t>
      </w:r>
    </w:p>
    <w:p w14:paraId="4823A145" w14:textId="54D43E2F" w:rsidR="00E24D09"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Ramstack, J. M., S. C. Fritz, D. R. Engstrom, and S. A. Heiskary.</w:t>
      </w:r>
      <w:r w:rsidR="00E24D09">
        <w:rPr>
          <w:rFonts w:ascii="Times New Roman" w:hAnsi="Times New Roman" w:cs="Times New Roman"/>
          <w:sz w:val="24"/>
          <w:szCs w:val="24"/>
        </w:rPr>
        <w:t xml:space="preserve"> </w:t>
      </w:r>
      <w:r w:rsidRPr="008B553D">
        <w:rPr>
          <w:rFonts w:ascii="Times New Roman" w:hAnsi="Times New Roman" w:cs="Times New Roman"/>
          <w:sz w:val="24"/>
          <w:szCs w:val="24"/>
        </w:rPr>
        <w:t>2003. The application of a diatom-based transfer function</w:t>
      </w:r>
      <w:r w:rsidR="00E24D09">
        <w:rPr>
          <w:rFonts w:ascii="Times New Roman" w:hAnsi="Times New Roman" w:cs="Times New Roman"/>
          <w:sz w:val="24"/>
          <w:szCs w:val="24"/>
        </w:rPr>
        <w:t xml:space="preserve"> </w:t>
      </w:r>
      <w:r w:rsidRPr="008B553D">
        <w:rPr>
          <w:rFonts w:ascii="Times New Roman" w:hAnsi="Times New Roman" w:cs="Times New Roman"/>
          <w:sz w:val="24"/>
          <w:szCs w:val="24"/>
        </w:rPr>
        <w:t>to evaluate regional water-quality trends in Minnesota</w:t>
      </w:r>
      <w:r w:rsidR="00E24D09">
        <w:rPr>
          <w:rFonts w:ascii="Times New Roman" w:hAnsi="Times New Roman" w:cs="Times New Roman"/>
          <w:sz w:val="24"/>
          <w:szCs w:val="24"/>
        </w:rPr>
        <w:t xml:space="preserve"> </w:t>
      </w:r>
      <w:r w:rsidRPr="008B553D">
        <w:rPr>
          <w:rFonts w:ascii="Times New Roman" w:hAnsi="Times New Roman" w:cs="Times New Roman"/>
          <w:sz w:val="24"/>
          <w:szCs w:val="24"/>
        </w:rPr>
        <w:t>since 1970. J.  Paleolimnol.29:79–94. doi:10.1023/A:1022869205291</w:t>
      </w:r>
    </w:p>
    <w:p w14:paraId="2AA852AF" w14:textId="0E007D45" w:rsidR="00E24D09"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Ramstack, J. M., S. C. Fritz, and D. R. Engstrom. 2004. Twentieth century water quality trends in Minnesota lakes compared with pre</w:t>
      </w:r>
      <w:r w:rsidR="00E24D09">
        <w:rPr>
          <w:rFonts w:ascii="Times New Roman" w:hAnsi="Times New Roman" w:cs="Times New Roman"/>
          <w:sz w:val="24"/>
          <w:szCs w:val="24"/>
        </w:rPr>
        <w:t>-</w:t>
      </w:r>
      <w:r w:rsidRPr="008B553D">
        <w:rPr>
          <w:rFonts w:ascii="Times New Roman" w:hAnsi="Times New Roman" w:cs="Times New Roman"/>
          <w:sz w:val="24"/>
          <w:szCs w:val="24"/>
        </w:rPr>
        <w:t>settlement variability. Can. J. Fish. Aquat.Sci.61: 561–576. doi:10.1139/f04-015</w:t>
      </w:r>
    </w:p>
    <w:p w14:paraId="4FC0B20B" w14:textId="43D289A5" w:rsidR="00E24D09"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lastRenderedPageBreak/>
        <w:t>R Core Team. 2020.R: A language and environment for statistical</w:t>
      </w:r>
      <w:r w:rsidR="00E24D09">
        <w:rPr>
          <w:rFonts w:ascii="Times New Roman" w:hAnsi="Times New Roman" w:cs="Times New Roman"/>
          <w:sz w:val="24"/>
          <w:szCs w:val="24"/>
        </w:rPr>
        <w:t xml:space="preserve"> </w:t>
      </w:r>
      <w:r w:rsidRPr="008B553D">
        <w:rPr>
          <w:rFonts w:ascii="Times New Roman" w:hAnsi="Times New Roman" w:cs="Times New Roman"/>
          <w:sz w:val="24"/>
          <w:szCs w:val="24"/>
        </w:rPr>
        <w:t>computing. R Foundation for Statistical Computing, Vienna,</w:t>
      </w:r>
      <w:r w:rsidR="00E24D09">
        <w:rPr>
          <w:rFonts w:ascii="Times New Roman" w:hAnsi="Times New Roman" w:cs="Times New Roman"/>
          <w:sz w:val="24"/>
          <w:szCs w:val="24"/>
        </w:rPr>
        <w:t xml:space="preserve"> </w:t>
      </w:r>
      <w:r w:rsidRPr="008B553D">
        <w:rPr>
          <w:rFonts w:ascii="Times New Roman" w:hAnsi="Times New Roman" w:cs="Times New Roman"/>
          <w:sz w:val="24"/>
          <w:szCs w:val="24"/>
        </w:rPr>
        <w:t>Austria. Version 4.0.2.</w:t>
      </w:r>
      <w:r w:rsidR="005C4F3D">
        <w:rPr>
          <w:rFonts w:ascii="Times New Roman" w:hAnsi="Times New Roman" w:cs="Times New Roman"/>
          <w:sz w:val="24"/>
          <w:szCs w:val="24"/>
        </w:rPr>
        <w:t xml:space="preserve"> </w:t>
      </w:r>
      <w:r w:rsidRPr="008B553D">
        <w:rPr>
          <w:rFonts w:ascii="Times New Roman" w:hAnsi="Times New Roman" w:cs="Times New Roman"/>
          <w:sz w:val="24"/>
          <w:szCs w:val="24"/>
        </w:rPr>
        <w:t>https://www.R-project.org/</w:t>
      </w:r>
    </w:p>
    <w:p w14:paraId="4258DB7B" w14:textId="65E8D01A" w:rsidR="005B01DF"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Reid, A. J., and others. 2019. Emerging threats and persistent</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conservation challenges for freshwater biodiversity. Biol.</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Rev.94: 849–873. doi:10.1111/brv.12480</w:t>
      </w:r>
    </w:p>
    <w:p w14:paraId="35AFE391" w14:textId="7EF76703" w:rsidR="005B01DF"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Rogalski, M. A., P. R. Leavitt, and D. K. Skelly. 2017. Daphniid</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zooplankton assemblage shifts in response to eutrophication</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and metal contamination during the Anthropocene. Proc.</w:t>
      </w:r>
      <w:r w:rsidR="005C4F3D">
        <w:rPr>
          <w:rFonts w:ascii="Times New Roman" w:hAnsi="Times New Roman" w:cs="Times New Roman"/>
          <w:sz w:val="24"/>
          <w:szCs w:val="24"/>
        </w:rPr>
        <w:t xml:space="preserve"> </w:t>
      </w:r>
      <w:r w:rsidRPr="008B553D">
        <w:rPr>
          <w:rFonts w:ascii="Times New Roman" w:hAnsi="Times New Roman" w:cs="Times New Roman"/>
          <w:sz w:val="24"/>
          <w:szCs w:val="24"/>
        </w:rPr>
        <w:t>R. Soc. B Biol. Sci.284: 20170865. doi:10.1098/rspb.2017.0865</w:t>
      </w:r>
    </w:p>
    <w:p w14:paraId="1C80D9FD" w14:textId="7437E9C1" w:rsidR="005B01DF"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Sibert, R. J., C. M. Koretsky, and D. A. Wyman. 2015. Cultural</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meromixis: Effects of road salt on the chemical stratification of an urban kettle lake. Chem. Geol.395: 126</w:t>
      </w:r>
      <w:r w:rsidR="005B01DF">
        <w:rPr>
          <w:rFonts w:ascii="Times New Roman" w:hAnsi="Times New Roman" w:cs="Times New Roman"/>
          <w:sz w:val="24"/>
          <w:szCs w:val="24"/>
        </w:rPr>
        <w:t>-</w:t>
      </w:r>
      <w:r w:rsidRPr="008B553D">
        <w:rPr>
          <w:rFonts w:ascii="Times New Roman" w:hAnsi="Times New Roman" w:cs="Times New Roman"/>
          <w:sz w:val="24"/>
          <w:szCs w:val="24"/>
        </w:rPr>
        <w:t>137.</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doi:10.1016/J.CHEMGEO.2014.12.010</w:t>
      </w:r>
    </w:p>
    <w:p w14:paraId="12EFC5B5" w14:textId="13B64105" w:rsidR="005B01DF"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Soucek, D. J., T. K. Linton, C. D. Tarr, A. Dickinson, N.</w:t>
      </w:r>
      <w:r w:rsidR="005E57A7">
        <w:rPr>
          <w:rFonts w:ascii="Times New Roman" w:hAnsi="Times New Roman" w:cs="Times New Roman"/>
          <w:sz w:val="24"/>
          <w:szCs w:val="24"/>
        </w:rPr>
        <w:t xml:space="preserve"> </w:t>
      </w:r>
      <w:r w:rsidRPr="008B553D">
        <w:rPr>
          <w:rFonts w:ascii="Times New Roman" w:hAnsi="Times New Roman" w:cs="Times New Roman"/>
          <w:sz w:val="24"/>
          <w:szCs w:val="24"/>
        </w:rPr>
        <w:t>Wickramanayake, C. G. Delos, and L. A. Cruz. 2011. Influence of water hardness and sulfate on the acute toxicity of</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chloride to sensitive freshwater invertebrates. Environ.</w:t>
      </w:r>
      <w:r w:rsidR="005E57A7">
        <w:rPr>
          <w:rFonts w:ascii="Times New Roman" w:hAnsi="Times New Roman" w:cs="Times New Roman"/>
          <w:sz w:val="24"/>
          <w:szCs w:val="24"/>
        </w:rPr>
        <w:t xml:space="preserve"> </w:t>
      </w:r>
      <w:r w:rsidRPr="008B553D">
        <w:rPr>
          <w:rFonts w:ascii="Times New Roman" w:hAnsi="Times New Roman" w:cs="Times New Roman"/>
          <w:sz w:val="24"/>
          <w:szCs w:val="24"/>
        </w:rPr>
        <w:t>Toxicol. Chem.30: 930–938.</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doi:10.1002/etc.454</w:t>
      </w:r>
    </w:p>
    <w:p w14:paraId="6BD3764E" w14:textId="77777777" w:rsidR="00AB3810"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Stich, H.-B., and W. Lampert. 1981. Predator evasion as an</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 xml:space="preserve">explanation of diurnal vertical migration by </w:t>
      </w:r>
      <w:r w:rsidR="005B01DF" w:rsidRPr="008B553D">
        <w:rPr>
          <w:rFonts w:ascii="Times New Roman" w:hAnsi="Times New Roman" w:cs="Times New Roman"/>
          <w:sz w:val="24"/>
          <w:szCs w:val="24"/>
        </w:rPr>
        <w:t>zooplankton. Nature</w:t>
      </w:r>
      <w:r w:rsidRPr="008B553D">
        <w:rPr>
          <w:rFonts w:ascii="Times New Roman" w:hAnsi="Times New Roman" w:cs="Times New Roman"/>
          <w:sz w:val="24"/>
          <w:szCs w:val="24"/>
        </w:rPr>
        <w:t>.293: 396–398. doi:10.1038/293396a0</w:t>
      </w:r>
    </w:p>
    <w:p w14:paraId="465F1D19" w14:textId="067FB1C5" w:rsidR="005B01DF"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 xml:space="preserve">Tessier, A. J., and J. Welser. 1991. Cladoceran assemblages, seasonal </w:t>
      </w:r>
      <w:r w:rsidR="005B01DF" w:rsidRPr="008B553D">
        <w:rPr>
          <w:rFonts w:ascii="Times New Roman" w:hAnsi="Times New Roman" w:cs="Times New Roman"/>
          <w:sz w:val="24"/>
          <w:szCs w:val="24"/>
        </w:rPr>
        <w:t>succession,</w:t>
      </w:r>
      <w:r w:rsidRPr="008B553D">
        <w:rPr>
          <w:rFonts w:ascii="Times New Roman" w:hAnsi="Times New Roman" w:cs="Times New Roman"/>
          <w:sz w:val="24"/>
          <w:szCs w:val="24"/>
        </w:rPr>
        <w:t xml:space="preserve"> and the importance of a hypolimnetic refuge. Freshw. Biol.25:85–93. doi:10.1111/j.1365-2427.1991.tb00475.x</w:t>
      </w:r>
    </w:p>
    <w:p w14:paraId="44E6B1D3" w14:textId="2A6E80D4" w:rsidR="005B01DF"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Tessier, A. J., and C. E. Caceres. 2004. Differentiation in sex</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 xml:space="preserve">investment by clones and populations of </w:t>
      </w:r>
      <w:r w:rsidRPr="00AB3810">
        <w:rPr>
          <w:rFonts w:ascii="Times New Roman" w:hAnsi="Times New Roman" w:cs="Times New Roman"/>
          <w:i/>
          <w:iCs/>
          <w:sz w:val="24"/>
          <w:szCs w:val="24"/>
        </w:rPr>
        <w:t>Daphnia</w:t>
      </w:r>
      <w:r w:rsidRPr="008B553D">
        <w:rPr>
          <w:rFonts w:ascii="Times New Roman" w:hAnsi="Times New Roman" w:cs="Times New Roman"/>
          <w:sz w:val="24"/>
          <w:szCs w:val="24"/>
        </w:rPr>
        <w:t>. Ecol.Lett.7: 695–703. doi:10.1111/j.1461-0248.2004.00627.x</w:t>
      </w:r>
    </w:p>
    <w:p w14:paraId="35779BB9" w14:textId="77777777" w:rsidR="005B01DF"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lastRenderedPageBreak/>
        <w:t>U.S. Environmental Protection Agency. 1988.</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Aquatic life</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ambient water quality criteria for chloride—1988. US Government Publishing Office.</w:t>
      </w:r>
      <w:r w:rsidR="005B01DF">
        <w:rPr>
          <w:rFonts w:ascii="Times New Roman" w:hAnsi="Times New Roman" w:cs="Times New Roman"/>
          <w:sz w:val="24"/>
          <w:szCs w:val="24"/>
        </w:rPr>
        <w:t xml:space="preserve"> </w:t>
      </w:r>
    </w:p>
    <w:p w14:paraId="50ADE6A3" w14:textId="249440D3" w:rsidR="005B01DF"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U.S. Geological Survey. 2016. The StreamStats program</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for Minnesota,</w:t>
      </w:r>
      <w:r w:rsidR="005B01DF">
        <w:rPr>
          <w:rFonts w:ascii="Times New Roman" w:hAnsi="Times New Roman" w:cs="Times New Roman"/>
          <w:sz w:val="24"/>
          <w:szCs w:val="24"/>
        </w:rPr>
        <w:t xml:space="preserve"> </w:t>
      </w:r>
      <w:hyperlink r:id="rId151" w:history="1">
        <w:r w:rsidR="005B01DF" w:rsidRPr="00DC165E">
          <w:rPr>
            <w:rStyle w:val="Hyperlink"/>
            <w:rFonts w:ascii="Times New Roman" w:hAnsi="Times New Roman" w:cs="Times New Roman"/>
            <w:sz w:val="24"/>
            <w:szCs w:val="24"/>
          </w:rPr>
          <w:t>http://water.usgs.gov/osw/streamstats/minnesota.html</w:t>
        </w:r>
      </w:hyperlink>
      <w:r w:rsidRPr="008B553D">
        <w:rPr>
          <w:rFonts w:ascii="Times New Roman" w:hAnsi="Times New Roman" w:cs="Times New Roman"/>
          <w:sz w:val="24"/>
          <w:szCs w:val="24"/>
        </w:rPr>
        <w:t>.</w:t>
      </w:r>
    </w:p>
    <w:p w14:paraId="782489B8" w14:textId="77777777" w:rsidR="005B01DF"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Valleau, R. E., A. M. Paterson, and J. P. Smol. 2020. Effects of</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road-salt application on Cladocera assemblages in shallow</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Precambrian Shield lakes in south-central Ontario. Canada.</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Freshw. Sci.39: 824–836. doi:10.1086/711666</w:t>
      </w:r>
    </w:p>
    <w:p w14:paraId="008FD76C" w14:textId="49A0A381" w:rsidR="005B01DF"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Vandekerkhove, J., S. Declerck, E. Jeppesen, J. M. Conde-Porcuna, L. Brendonck, and L. De Meester. 2005. Dormant</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propagule banks integrate spatio-temporal heterogeneity in</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cladoceran communities. Oecologia142: 109–116. doi:10.1007/s00442-004-1711-3</w:t>
      </w:r>
    </w:p>
    <w:p w14:paraId="4AC88052" w14:textId="56D5F164" w:rsidR="005B01DF"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Weider, L. J., and W. Lampert. 1985. Differential response of</w:t>
      </w:r>
      <w:r w:rsidR="005B01DF">
        <w:rPr>
          <w:rFonts w:ascii="Times New Roman" w:hAnsi="Times New Roman" w:cs="Times New Roman"/>
          <w:sz w:val="24"/>
          <w:szCs w:val="24"/>
        </w:rPr>
        <w:t xml:space="preserve"> </w:t>
      </w:r>
      <w:r w:rsidRPr="00E2093B">
        <w:rPr>
          <w:rFonts w:ascii="Times New Roman" w:hAnsi="Times New Roman" w:cs="Times New Roman"/>
          <w:i/>
          <w:iCs/>
          <w:sz w:val="24"/>
          <w:szCs w:val="24"/>
        </w:rPr>
        <w:t>Daphnia</w:t>
      </w:r>
      <w:r w:rsidR="005B01DF" w:rsidRPr="00E2093B">
        <w:rPr>
          <w:rFonts w:ascii="Times New Roman" w:hAnsi="Times New Roman" w:cs="Times New Roman"/>
          <w:i/>
          <w:iCs/>
          <w:sz w:val="24"/>
          <w:szCs w:val="24"/>
        </w:rPr>
        <w:t xml:space="preserve"> </w:t>
      </w:r>
      <w:r w:rsidR="00E2093B">
        <w:rPr>
          <w:rFonts w:ascii="Times New Roman" w:hAnsi="Times New Roman" w:cs="Times New Roman"/>
          <w:sz w:val="24"/>
          <w:szCs w:val="24"/>
        </w:rPr>
        <w:t>g</w:t>
      </w:r>
      <w:r w:rsidRPr="008B553D">
        <w:rPr>
          <w:rFonts w:ascii="Times New Roman" w:hAnsi="Times New Roman" w:cs="Times New Roman"/>
          <w:sz w:val="24"/>
          <w:szCs w:val="24"/>
        </w:rPr>
        <w:t xml:space="preserve">enotypes to oxygen stress: Respiration </w:t>
      </w:r>
      <w:r w:rsidR="005B01DF" w:rsidRPr="008B553D">
        <w:rPr>
          <w:rFonts w:ascii="Times New Roman" w:hAnsi="Times New Roman" w:cs="Times New Roman"/>
          <w:sz w:val="24"/>
          <w:szCs w:val="24"/>
        </w:rPr>
        <w:t>rates, hemoglobin</w:t>
      </w:r>
      <w:r w:rsidRPr="008B553D">
        <w:rPr>
          <w:rFonts w:ascii="Times New Roman" w:hAnsi="Times New Roman" w:cs="Times New Roman"/>
          <w:sz w:val="24"/>
          <w:szCs w:val="24"/>
        </w:rPr>
        <w:t xml:space="preserve"> content and low-oxygen tolerance. Oecologia</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65: 487–491. doi:10.1007/BF00379661</w:t>
      </w:r>
    </w:p>
    <w:p w14:paraId="6ABC014E" w14:textId="08B83952" w:rsidR="005B01DF"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Wersebe, M., M. B. Edlund, and L. J. Weider. 2021. Does salinization impact long-term</w:t>
      </w:r>
      <w:r w:rsidR="00E2093B">
        <w:rPr>
          <w:rFonts w:ascii="Times New Roman" w:hAnsi="Times New Roman" w:cs="Times New Roman"/>
          <w:sz w:val="24"/>
          <w:szCs w:val="24"/>
        </w:rPr>
        <w:t xml:space="preserve"> </w:t>
      </w:r>
      <w:r w:rsidRPr="00E2093B">
        <w:rPr>
          <w:rFonts w:ascii="Times New Roman" w:hAnsi="Times New Roman" w:cs="Times New Roman"/>
          <w:i/>
          <w:iCs/>
          <w:sz w:val="24"/>
          <w:szCs w:val="24"/>
        </w:rPr>
        <w:t>Daphnia</w:t>
      </w:r>
      <w:r w:rsidR="00E2093B" w:rsidRPr="00E2093B">
        <w:rPr>
          <w:rFonts w:ascii="Times New Roman" w:hAnsi="Times New Roman" w:cs="Times New Roman"/>
          <w:i/>
          <w:iCs/>
          <w:sz w:val="24"/>
          <w:szCs w:val="24"/>
        </w:rPr>
        <w:t xml:space="preserve"> </w:t>
      </w:r>
      <w:r w:rsidRPr="008B553D">
        <w:rPr>
          <w:rFonts w:ascii="Times New Roman" w:hAnsi="Times New Roman" w:cs="Times New Roman"/>
          <w:sz w:val="24"/>
          <w:szCs w:val="24"/>
        </w:rPr>
        <w:t>assemblage dynamics?</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Evidence from the sediment egg bank in a small hard-waterlake. Dryad Dataset. doi:10.5061/dryad.tqjq2bw0j</w:t>
      </w:r>
    </w:p>
    <w:p w14:paraId="143E9EA8" w14:textId="7A4DCB2A" w:rsidR="005B01DF"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Wood, S. N. 2017</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Generalized additive models: An introduction</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with R, 2nd Edition. CRC Press.</w:t>
      </w:r>
      <w:r w:rsidR="005B01DF">
        <w:rPr>
          <w:rFonts w:ascii="Times New Roman" w:hAnsi="Times New Roman" w:cs="Times New Roman"/>
          <w:sz w:val="24"/>
          <w:szCs w:val="24"/>
        </w:rPr>
        <w:t xml:space="preserve"> </w:t>
      </w:r>
    </w:p>
    <w:p w14:paraId="330F12C9" w14:textId="77777777" w:rsidR="005B01DF"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Wright, D., and J. Shapiro. 1990. Refuge availability: A key to</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understanding the summer disappearance of</w:t>
      </w:r>
      <w:r w:rsidR="005B01DF">
        <w:rPr>
          <w:rFonts w:ascii="Times New Roman" w:hAnsi="Times New Roman" w:cs="Times New Roman"/>
          <w:sz w:val="24"/>
          <w:szCs w:val="24"/>
        </w:rPr>
        <w:t xml:space="preserve"> </w:t>
      </w:r>
      <w:r w:rsidRPr="00E2093B">
        <w:rPr>
          <w:rFonts w:ascii="Times New Roman" w:hAnsi="Times New Roman" w:cs="Times New Roman"/>
          <w:i/>
          <w:iCs/>
          <w:sz w:val="24"/>
          <w:szCs w:val="24"/>
        </w:rPr>
        <w:t>Daphnia</w:t>
      </w:r>
      <w:r w:rsidRPr="008B553D">
        <w:rPr>
          <w:rFonts w:ascii="Times New Roman" w:hAnsi="Times New Roman" w:cs="Times New Roman"/>
          <w:sz w:val="24"/>
          <w:szCs w:val="24"/>
        </w:rPr>
        <w:t>.</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Freshw. Biol.24:43–62. doi:10.1111/j.1365-2427.1990.tb00306.x</w:t>
      </w:r>
    </w:p>
    <w:p w14:paraId="7C82E894" w14:textId="77777777" w:rsidR="005B01DF"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lastRenderedPageBreak/>
        <w:t>Wright, H. E. 1991. Coring tips. J. Paleolimnol.6:37–49. doi:10.1007/BF00201298</w:t>
      </w:r>
    </w:p>
    <w:p w14:paraId="67ACB51E" w14:textId="6566B447" w:rsidR="006B6A19" w:rsidRDefault="008B553D" w:rsidP="005B01DF">
      <w:pPr>
        <w:spacing w:line="480" w:lineRule="auto"/>
        <w:ind w:left="720" w:hanging="720"/>
        <w:rPr>
          <w:rFonts w:ascii="Times New Roman" w:hAnsi="Times New Roman" w:cs="Times New Roman"/>
          <w:sz w:val="24"/>
          <w:szCs w:val="24"/>
        </w:rPr>
      </w:pPr>
      <w:r w:rsidRPr="008B553D">
        <w:rPr>
          <w:rFonts w:ascii="Times New Roman" w:hAnsi="Times New Roman" w:cs="Times New Roman"/>
          <w:sz w:val="24"/>
          <w:szCs w:val="24"/>
        </w:rPr>
        <w:t>Wyman, D. A., and C. M. Koretsky. 2018. Effects of road salt</w:t>
      </w:r>
      <w:r w:rsidR="005B01DF">
        <w:rPr>
          <w:rFonts w:ascii="Times New Roman" w:hAnsi="Times New Roman" w:cs="Times New Roman"/>
          <w:sz w:val="24"/>
          <w:szCs w:val="24"/>
        </w:rPr>
        <w:t xml:space="preserve"> </w:t>
      </w:r>
      <w:r w:rsidRPr="008B553D">
        <w:rPr>
          <w:rFonts w:ascii="Times New Roman" w:hAnsi="Times New Roman" w:cs="Times New Roman"/>
          <w:sz w:val="24"/>
          <w:szCs w:val="24"/>
        </w:rPr>
        <w:t>deicers on an urban groundwater-fed kettle lake. Appl.Geochem.89: 265–272. doi:10.1016/J.APGEOCHEM.2017.12.023</w:t>
      </w:r>
      <w:r w:rsidR="005B01DF">
        <w:rPr>
          <w:rFonts w:ascii="Times New Roman" w:hAnsi="Times New Roman" w:cs="Times New Roman"/>
          <w:sz w:val="24"/>
          <w:szCs w:val="24"/>
        </w:rPr>
        <w:t xml:space="preserve"> </w:t>
      </w:r>
    </w:p>
    <w:p w14:paraId="301EE29B" w14:textId="2BE833D8" w:rsidR="00707BBB" w:rsidRDefault="00707BBB" w:rsidP="005B01DF">
      <w:pPr>
        <w:spacing w:line="480" w:lineRule="auto"/>
        <w:ind w:left="720" w:hanging="720"/>
        <w:rPr>
          <w:rFonts w:ascii="Times New Roman" w:hAnsi="Times New Roman" w:cs="Times New Roman"/>
          <w:sz w:val="24"/>
          <w:szCs w:val="24"/>
        </w:rPr>
      </w:pPr>
    </w:p>
    <w:p w14:paraId="2E1B3935" w14:textId="7740EBB3" w:rsidR="00251321" w:rsidRDefault="00707BBB">
      <w:pPr>
        <w:rPr>
          <w:rFonts w:ascii="Times New Roman" w:hAnsi="Times New Roman" w:cs="Times New Roman"/>
          <w:b/>
          <w:bCs/>
          <w:sz w:val="24"/>
          <w:szCs w:val="24"/>
        </w:rPr>
      </w:pPr>
      <w:r>
        <w:rPr>
          <w:rFonts w:ascii="Times New Roman" w:hAnsi="Times New Roman" w:cs="Times New Roman"/>
          <w:sz w:val="24"/>
          <w:szCs w:val="24"/>
        </w:rPr>
        <w:br w:type="page"/>
      </w:r>
      <w:r w:rsidR="00251321" w:rsidRPr="00251321">
        <w:rPr>
          <w:rFonts w:ascii="Times New Roman" w:hAnsi="Times New Roman" w:cs="Times New Roman"/>
          <w:b/>
          <w:bCs/>
          <w:sz w:val="24"/>
          <w:szCs w:val="24"/>
        </w:rPr>
        <w:lastRenderedPageBreak/>
        <w:t>Figures</w:t>
      </w:r>
      <w:r w:rsidR="004B20AC">
        <w:rPr>
          <w:rFonts w:ascii="Times New Roman" w:hAnsi="Times New Roman" w:cs="Times New Roman"/>
          <w:b/>
          <w:bCs/>
          <w:sz w:val="24"/>
          <w:szCs w:val="24"/>
        </w:rPr>
        <w:t xml:space="preserve"> &amp; Tables</w:t>
      </w:r>
      <w:r w:rsidR="00251321" w:rsidRPr="00251321">
        <w:rPr>
          <w:rFonts w:ascii="Times New Roman" w:hAnsi="Times New Roman" w:cs="Times New Roman"/>
          <w:b/>
          <w:bCs/>
          <w:sz w:val="24"/>
          <w:szCs w:val="24"/>
        </w:rPr>
        <w:t>:</w:t>
      </w:r>
    </w:p>
    <w:p w14:paraId="5815CE58" w14:textId="54FCBC24" w:rsidR="00251321" w:rsidRDefault="00424AC9">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ABFD903" wp14:editId="6E051B7F">
            <wp:extent cx="5973583" cy="3609975"/>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989737" cy="3619737"/>
                    </a:xfrm>
                    <a:prstGeom prst="rect">
                      <a:avLst/>
                    </a:prstGeom>
                    <a:noFill/>
                  </pic:spPr>
                </pic:pic>
              </a:graphicData>
            </a:graphic>
          </wp:inline>
        </w:drawing>
      </w:r>
    </w:p>
    <w:p w14:paraId="7ECA8538" w14:textId="12FE87D7" w:rsidR="001815C3" w:rsidRDefault="00CC7920">
      <w:pPr>
        <w:rPr>
          <w:rFonts w:ascii="Times New Roman" w:hAnsi="Times New Roman" w:cs="Times New Roman"/>
          <w:sz w:val="24"/>
          <w:szCs w:val="24"/>
        </w:rPr>
      </w:pPr>
      <w:r>
        <w:rPr>
          <w:rFonts w:ascii="Times New Roman" w:hAnsi="Times New Roman" w:cs="Times New Roman"/>
          <w:b/>
          <w:bCs/>
          <w:sz w:val="24"/>
          <w:szCs w:val="24"/>
        </w:rPr>
        <w:t xml:space="preserve">Figure 1: </w:t>
      </w:r>
      <w:r w:rsidRPr="00CC7920">
        <w:rPr>
          <w:rFonts w:ascii="Times New Roman" w:hAnsi="Times New Roman" w:cs="Times New Roman"/>
          <w:sz w:val="24"/>
          <w:szCs w:val="24"/>
        </w:rPr>
        <w:t xml:space="preserve">Lake profiles were collected by a YSI Sonde multi-parameter probe on 02 July 2019 at approximately 10:00 h above the deepest part of the lake basin. (A) Temperature (°C) profile; (B) dissolved oxygen (DO) profile (% saturation); (C) specific conductance profile (μS/cm). The thermocline occurs at approximate 2.9 m of depth. The blue dashed line indicated the Secchi disk depth recorded on 02 July 2019, DO approaches 0% at approximately 8.9 m, indicated by the red dashed line. The zone enclosed by the dashed lines indicated the “habitable” zone for large zooplankton such as </w:t>
      </w:r>
      <w:r w:rsidRPr="0068468B">
        <w:rPr>
          <w:rFonts w:ascii="Times New Roman" w:hAnsi="Times New Roman" w:cs="Times New Roman"/>
          <w:i/>
          <w:iCs/>
          <w:sz w:val="24"/>
          <w:szCs w:val="24"/>
        </w:rPr>
        <w:t>Daphnia pulicaria</w:t>
      </w:r>
      <w:r w:rsidRPr="00CC7920">
        <w:rPr>
          <w:rFonts w:ascii="Times New Roman" w:hAnsi="Times New Roman" w:cs="Times New Roman"/>
          <w:sz w:val="24"/>
          <w:szCs w:val="24"/>
        </w:rPr>
        <w:t>. The salinity-induced chemocline occurs at approximately 10 m of depth.</w:t>
      </w:r>
    </w:p>
    <w:p w14:paraId="49AE0F75" w14:textId="3593D8DE" w:rsidR="00CC7920" w:rsidRDefault="00CC7920">
      <w:pPr>
        <w:rPr>
          <w:rFonts w:ascii="Times New Roman" w:hAnsi="Times New Roman" w:cs="Times New Roman"/>
          <w:sz w:val="24"/>
          <w:szCs w:val="24"/>
        </w:rPr>
      </w:pPr>
      <w:r>
        <w:rPr>
          <w:rFonts w:ascii="Times New Roman" w:hAnsi="Times New Roman" w:cs="Times New Roman"/>
          <w:sz w:val="24"/>
          <w:szCs w:val="24"/>
        </w:rPr>
        <w:br w:type="page"/>
      </w:r>
    </w:p>
    <w:p w14:paraId="03F37C91" w14:textId="068968F5" w:rsidR="00CC7920" w:rsidRDefault="0068468B">
      <w:pP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AB88C82" wp14:editId="1937A388">
            <wp:extent cx="5851961" cy="3581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859722" cy="3586149"/>
                    </a:xfrm>
                    <a:prstGeom prst="rect">
                      <a:avLst/>
                    </a:prstGeom>
                    <a:noFill/>
                  </pic:spPr>
                </pic:pic>
              </a:graphicData>
            </a:graphic>
          </wp:inline>
        </w:drawing>
      </w:r>
    </w:p>
    <w:p w14:paraId="608C3C98" w14:textId="7EFD78E5" w:rsidR="0068468B" w:rsidRDefault="0068468B">
      <w:pPr>
        <w:rPr>
          <w:rFonts w:ascii="Times New Roman" w:hAnsi="Times New Roman" w:cs="Times New Roman"/>
          <w:b/>
          <w:bCs/>
          <w:sz w:val="24"/>
          <w:szCs w:val="24"/>
        </w:rPr>
      </w:pPr>
    </w:p>
    <w:p w14:paraId="5D13D5B0" w14:textId="082BFFFC" w:rsidR="0068468B" w:rsidRDefault="0068468B">
      <w:pPr>
        <w:rPr>
          <w:rFonts w:ascii="Times New Roman" w:hAnsi="Times New Roman" w:cs="Times New Roman"/>
          <w:sz w:val="24"/>
          <w:szCs w:val="24"/>
        </w:rPr>
      </w:pPr>
      <w:r>
        <w:rPr>
          <w:rFonts w:ascii="Times New Roman" w:hAnsi="Times New Roman" w:cs="Times New Roman"/>
          <w:b/>
          <w:bCs/>
          <w:sz w:val="24"/>
          <w:szCs w:val="24"/>
        </w:rPr>
        <w:t xml:space="preserve">Figure 2: </w:t>
      </w:r>
      <w:r w:rsidRPr="0068468B">
        <w:rPr>
          <w:rFonts w:ascii="Times New Roman" w:hAnsi="Times New Roman" w:cs="Times New Roman"/>
          <w:sz w:val="24"/>
          <w:szCs w:val="24"/>
        </w:rPr>
        <w:t>Relative and absolute abundances of ephippia recovered in the sediment core. (A) The relative abundance of the ephippia, as a proportion of total ephippia recovered, for each of the three species </w:t>
      </w:r>
      <w:r w:rsidRPr="0068468B">
        <w:rPr>
          <w:rFonts w:ascii="Times New Roman" w:hAnsi="Times New Roman" w:cs="Times New Roman"/>
          <w:i/>
          <w:iCs/>
          <w:sz w:val="24"/>
          <w:szCs w:val="24"/>
        </w:rPr>
        <w:t>Daphnia pulicaria</w:t>
      </w:r>
      <w:r w:rsidRPr="0068468B">
        <w:rPr>
          <w:rFonts w:ascii="Times New Roman" w:hAnsi="Times New Roman" w:cs="Times New Roman"/>
          <w:sz w:val="24"/>
          <w:szCs w:val="24"/>
        </w:rPr>
        <w:t> (black), </w:t>
      </w:r>
      <w:r w:rsidRPr="0068468B">
        <w:rPr>
          <w:rFonts w:ascii="Times New Roman" w:hAnsi="Times New Roman" w:cs="Times New Roman"/>
          <w:i/>
          <w:iCs/>
          <w:sz w:val="24"/>
          <w:szCs w:val="24"/>
        </w:rPr>
        <w:t>Daphnia mendotae</w:t>
      </w:r>
      <w:r w:rsidRPr="0068468B">
        <w:rPr>
          <w:rFonts w:ascii="Times New Roman" w:hAnsi="Times New Roman" w:cs="Times New Roman"/>
          <w:sz w:val="24"/>
          <w:szCs w:val="24"/>
        </w:rPr>
        <w:t> (dark gray), and </w:t>
      </w:r>
      <w:r w:rsidRPr="0068468B">
        <w:rPr>
          <w:rFonts w:ascii="Times New Roman" w:hAnsi="Times New Roman" w:cs="Times New Roman"/>
          <w:i/>
          <w:iCs/>
          <w:sz w:val="24"/>
          <w:szCs w:val="24"/>
        </w:rPr>
        <w:t>D</w:t>
      </w:r>
      <w:r w:rsidRPr="0068468B">
        <w:rPr>
          <w:rFonts w:ascii="Times New Roman" w:hAnsi="Times New Roman" w:cs="Times New Roman"/>
          <w:sz w:val="24"/>
          <w:szCs w:val="24"/>
        </w:rPr>
        <w:t>. “</w:t>
      </w:r>
      <w:r w:rsidRPr="0068468B">
        <w:rPr>
          <w:rFonts w:ascii="Times New Roman" w:hAnsi="Times New Roman" w:cs="Times New Roman"/>
          <w:i/>
          <w:iCs/>
          <w:sz w:val="24"/>
          <w:szCs w:val="24"/>
        </w:rPr>
        <w:t>small</w:t>
      </w:r>
      <w:r w:rsidRPr="0068468B">
        <w:rPr>
          <w:rFonts w:ascii="Times New Roman" w:hAnsi="Times New Roman" w:cs="Times New Roman"/>
          <w:sz w:val="24"/>
          <w:szCs w:val="24"/>
        </w:rPr>
        <w:t>” (light gray). (B) Absolute abundances of ephippia recovered, as total of their fluxes, for each of the three species </w:t>
      </w:r>
      <w:r w:rsidRPr="0068468B">
        <w:rPr>
          <w:rFonts w:ascii="Times New Roman" w:hAnsi="Times New Roman" w:cs="Times New Roman"/>
          <w:i/>
          <w:iCs/>
          <w:sz w:val="24"/>
          <w:szCs w:val="24"/>
        </w:rPr>
        <w:t>D. pulicaria</w:t>
      </w:r>
      <w:r w:rsidRPr="0068468B">
        <w:rPr>
          <w:rFonts w:ascii="Times New Roman" w:hAnsi="Times New Roman" w:cs="Times New Roman"/>
          <w:sz w:val="24"/>
          <w:szCs w:val="24"/>
        </w:rPr>
        <w:t> (black), </w:t>
      </w:r>
      <w:r w:rsidRPr="0068468B">
        <w:rPr>
          <w:rFonts w:ascii="Times New Roman" w:hAnsi="Times New Roman" w:cs="Times New Roman"/>
          <w:i/>
          <w:iCs/>
          <w:sz w:val="24"/>
          <w:szCs w:val="24"/>
        </w:rPr>
        <w:t>D. mendotae</w:t>
      </w:r>
      <w:r w:rsidRPr="0068468B">
        <w:rPr>
          <w:rFonts w:ascii="Times New Roman" w:hAnsi="Times New Roman" w:cs="Times New Roman"/>
          <w:sz w:val="24"/>
          <w:szCs w:val="24"/>
        </w:rPr>
        <w:t> (dark gray), and </w:t>
      </w:r>
      <w:r w:rsidRPr="0068468B">
        <w:rPr>
          <w:rFonts w:ascii="Times New Roman" w:hAnsi="Times New Roman" w:cs="Times New Roman"/>
          <w:i/>
          <w:iCs/>
          <w:sz w:val="24"/>
          <w:szCs w:val="24"/>
        </w:rPr>
        <w:t>D</w:t>
      </w:r>
      <w:r w:rsidRPr="0068468B">
        <w:rPr>
          <w:rFonts w:ascii="Times New Roman" w:hAnsi="Times New Roman" w:cs="Times New Roman"/>
          <w:sz w:val="24"/>
          <w:szCs w:val="24"/>
        </w:rPr>
        <w:t>. “</w:t>
      </w:r>
      <w:r w:rsidRPr="0068468B">
        <w:rPr>
          <w:rFonts w:ascii="Times New Roman" w:hAnsi="Times New Roman" w:cs="Times New Roman"/>
          <w:i/>
          <w:iCs/>
          <w:sz w:val="24"/>
          <w:szCs w:val="24"/>
        </w:rPr>
        <w:t>small</w:t>
      </w:r>
      <w:r w:rsidRPr="0068468B">
        <w:rPr>
          <w:rFonts w:ascii="Times New Roman" w:hAnsi="Times New Roman" w:cs="Times New Roman"/>
          <w:sz w:val="24"/>
          <w:szCs w:val="24"/>
        </w:rPr>
        <w:t>” (light gray). Peak abundance occurred at approximately 80 cm (approximately 1878).</w:t>
      </w:r>
    </w:p>
    <w:p w14:paraId="1B080B6A" w14:textId="1EAAA313" w:rsidR="0068468B" w:rsidRDefault="0068468B">
      <w:pPr>
        <w:rPr>
          <w:rFonts w:ascii="Times New Roman" w:hAnsi="Times New Roman" w:cs="Times New Roman"/>
          <w:sz w:val="24"/>
          <w:szCs w:val="24"/>
        </w:rPr>
      </w:pPr>
    </w:p>
    <w:p w14:paraId="133EC0E9" w14:textId="697B562D" w:rsidR="0068468B" w:rsidRDefault="0068468B">
      <w:pPr>
        <w:rPr>
          <w:rFonts w:ascii="Times New Roman" w:hAnsi="Times New Roman" w:cs="Times New Roman"/>
          <w:sz w:val="24"/>
          <w:szCs w:val="24"/>
        </w:rPr>
      </w:pPr>
      <w:r>
        <w:rPr>
          <w:rFonts w:ascii="Times New Roman" w:hAnsi="Times New Roman" w:cs="Times New Roman"/>
          <w:sz w:val="24"/>
          <w:szCs w:val="24"/>
        </w:rPr>
        <w:br w:type="page"/>
      </w:r>
    </w:p>
    <w:p w14:paraId="3BA5EAA5" w14:textId="39D4D419" w:rsidR="0068468B" w:rsidRDefault="00E47619">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B3A91C7" wp14:editId="27AD2E45">
            <wp:extent cx="5572125" cy="3789045"/>
            <wp:effectExtent l="0" t="0" r="952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572913" cy="3789581"/>
                    </a:xfrm>
                    <a:prstGeom prst="rect">
                      <a:avLst/>
                    </a:prstGeom>
                    <a:noFill/>
                  </pic:spPr>
                </pic:pic>
              </a:graphicData>
            </a:graphic>
          </wp:inline>
        </w:drawing>
      </w:r>
    </w:p>
    <w:p w14:paraId="34D9A46A" w14:textId="7C775367" w:rsidR="00E47619" w:rsidRDefault="00E47619">
      <w:pPr>
        <w:rPr>
          <w:rFonts w:ascii="Times New Roman" w:hAnsi="Times New Roman" w:cs="Times New Roman"/>
          <w:sz w:val="24"/>
          <w:szCs w:val="24"/>
        </w:rPr>
      </w:pPr>
      <w:r w:rsidRPr="0042023C">
        <w:rPr>
          <w:rFonts w:ascii="Times New Roman" w:hAnsi="Times New Roman" w:cs="Times New Roman"/>
          <w:b/>
          <w:bCs/>
          <w:sz w:val="24"/>
          <w:szCs w:val="24"/>
        </w:rPr>
        <w:t>Figure 3:</w:t>
      </w:r>
      <w:r w:rsidRPr="00E47619">
        <w:rPr>
          <w:rFonts w:ascii="Times New Roman" w:hAnsi="Times New Roman" w:cs="Times New Roman"/>
          <w:sz w:val="24"/>
          <w:szCs w:val="24"/>
        </w:rPr>
        <w:t xml:space="preserve"> Estimated effects of chloride concentration on ephippial flux of the three species: (A) </w:t>
      </w:r>
      <w:r w:rsidRPr="00E47619">
        <w:rPr>
          <w:rFonts w:ascii="Times New Roman" w:hAnsi="Times New Roman" w:cs="Times New Roman"/>
          <w:i/>
          <w:iCs/>
          <w:sz w:val="24"/>
          <w:szCs w:val="24"/>
        </w:rPr>
        <w:t>Daphnia pulicaria</w:t>
      </w:r>
      <w:r w:rsidRPr="00E47619">
        <w:rPr>
          <w:rFonts w:ascii="Times New Roman" w:hAnsi="Times New Roman" w:cs="Times New Roman"/>
          <w:sz w:val="24"/>
          <w:szCs w:val="24"/>
        </w:rPr>
        <w:t>, (B) </w:t>
      </w:r>
      <w:r w:rsidRPr="00E47619">
        <w:rPr>
          <w:rFonts w:ascii="Times New Roman" w:hAnsi="Times New Roman" w:cs="Times New Roman"/>
          <w:i/>
          <w:iCs/>
          <w:sz w:val="24"/>
          <w:szCs w:val="24"/>
        </w:rPr>
        <w:t>Daphnia small</w:t>
      </w:r>
      <w:r w:rsidRPr="00E47619">
        <w:rPr>
          <w:rFonts w:ascii="Times New Roman" w:hAnsi="Times New Roman" w:cs="Times New Roman"/>
          <w:sz w:val="24"/>
          <w:szCs w:val="24"/>
        </w:rPr>
        <w:t>, (C) </w:t>
      </w:r>
      <w:r w:rsidRPr="00E47619">
        <w:rPr>
          <w:rFonts w:ascii="Times New Roman" w:hAnsi="Times New Roman" w:cs="Times New Roman"/>
          <w:i/>
          <w:iCs/>
          <w:sz w:val="24"/>
          <w:szCs w:val="24"/>
        </w:rPr>
        <w:t>Daphnia mendotae</w:t>
      </w:r>
      <w:r w:rsidRPr="00E47619">
        <w:rPr>
          <w:rFonts w:ascii="Times New Roman" w:hAnsi="Times New Roman" w:cs="Times New Roman"/>
          <w:sz w:val="24"/>
          <w:szCs w:val="24"/>
        </w:rPr>
        <w:t>. Rug along X-axis of A–C indicates the locations of estimated chloride measurements. (D) Estimated chloride concentration at the surface of Tanners Lake over the study period used in the GAMM model. Salinity was assumed to increase after 1950 in accordance with the beginning of widespread salt use on roadways in the United States (Findlay and Kelly </w:t>
      </w:r>
      <w:hyperlink r:id="rId155" w:anchor="lol210217-bib-0009" w:history="1">
        <w:r w:rsidRPr="00E47619">
          <w:rPr>
            <w:rStyle w:val="Hyperlink"/>
            <w:rFonts w:ascii="Times New Roman" w:hAnsi="Times New Roman" w:cs="Times New Roman"/>
            <w:color w:val="auto"/>
            <w:sz w:val="24"/>
            <w:szCs w:val="24"/>
            <w:u w:val="none"/>
          </w:rPr>
          <w:t>2011</w:t>
        </w:r>
      </w:hyperlink>
      <w:r w:rsidRPr="00E47619">
        <w:rPr>
          <w:rFonts w:ascii="Times New Roman" w:hAnsi="Times New Roman" w:cs="Times New Roman"/>
          <w:sz w:val="24"/>
          <w:szCs w:val="24"/>
        </w:rPr>
        <w:t>).</w:t>
      </w:r>
    </w:p>
    <w:p w14:paraId="0ACE6360" w14:textId="2B090FE2" w:rsidR="005060C2" w:rsidRDefault="005060C2">
      <w:pPr>
        <w:rPr>
          <w:rFonts w:ascii="Times New Roman" w:hAnsi="Times New Roman" w:cs="Times New Roman"/>
          <w:sz w:val="24"/>
          <w:szCs w:val="24"/>
        </w:rPr>
      </w:pPr>
      <w:r>
        <w:rPr>
          <w:rFonts w:ascii="Times New Roman" w:hAnsi="Times New Roman" w:cs="Times New Roman"/>
          <w:sz w:val="24"/>
          <w:szCs w:val="24"/>
        </w:rPr>
        <w:br w:type="page"/>
      </w:r>
    </w:p>
    <w:p w14:paraId="15B30BC6" w14:textId="2E58CD3D" w:rsidR="00E47619" w:rsidRDefault="005060C2">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8A79949" wp14:editId="16D2C192">
            <wp:extent cx="5796464" cy="3524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98702" cy="3525611"/>
                    </a:xfrm>
                    <a:prstGeom prst="rect">
                      <a:avLst/>
                    </a:prstGeom>
                    <a:noFill/>
                  </pic:spPr>
                </pic:pic>
              </a:graphicData>
            </a:graphic>
          </wp:inline>
        </w:drawing>
      </w:r>
    </w:p>
    <w:p w14:paraId="63873EEC" w14:textId="77777777" w:rsidR="004311D3" w:rsidRDefault="005060C2">
      <w:pPr>
        <w:rPr>
          <w:rFonts w:ascii="Times New Roman" w:hAnsi="Times New Roman" w:cs="Times New Roman"/>
          <w:b/>
          <w:bCs/>
          <w:sz w:val="24"/>
          <w:szCs w:val="24"/>
        </w:rPr>
      </w:pPr>
      <w:r w:rsidRPr="005060C2">
        <w:rPr>
          <w:rFonts w:ascii="Times New Roman" w:hAnsi="Times New Roman" w:cs="Times New Roman"/>
          <w:b/>
          <w:bCs/>
          <w:sz w:val="24"/>
          <w:szCs w:val="24"/>
        </w:rPr>
        <w:t>Figure 4:</w:t>
      </w:r>
      <w:r>
        <w:rPr>
          <w:rFonts w:ascii="Times New Roman" w:hAnsi="Times New Roman" w:cs="Times New Roman"/>
          <w:b/>
          <w:bCs/>
          <w:sz w:val="24"/>
          <w:szCs w:val="24"/>
        </w:rPr>
        <w:t xml:space="preserve"> </w:t>
      </w:r>
      <w:r w:rsidR="004311D3" w:rsidRPr="004311D3">
        <w:rPr>
          <w:rFonts w:ascii="Times New Roman" w:hAnsi="Times New Roman" w:cs="Times New Roman"/>
          <w:sz w:val="24"/>
          <w:szCs w:val="24"/>
        </w:rPr>
        <w:t>Dorsal length of </w:t>
      </w:r>
      <w:r w:rsidR="004311D3" w:rsidRPr="004311D3">
        <w:rPr>
          <w:rFonts w:ascii="Times New Roman" w:hAnsi="Times New Roman" w:cs="Times New Roman"/>
          <w:i/>
          <w:iCs/>
          <w:sz w:val="24"/>
          <w:szCs w:val="24"/>
        </w:rPr>
        <w:t>Daphnia pulicaria</w:t>
      </w:r>
      <w:r w:rsidR="004311D3" w:rsidRPr="004311D3">
        <w:rPr>
          <w:rFonts w:ascii="Times New Roman" w:hAnsi="Times New Roman" w:cs="Times New Roman"/>
          <w:sz w:val="24"/>
          <w:szCs w:val="24"/>
        </w:rPr>
        <w:t> ephippia recovered from the Tanners Lake sediment core. (A) Violin plot of ephippia length. Diamonds represent mean of distribution, the extremes of each violin represent the range of ephippia sizes, the width of each violin reflects the density of observations. (B) Raw data of the ephippia dorsal length. Trend line and 95% confidence interval for the regression slope. Length of each ephippium was measured to the nearest 0.1 mm on a stereomicroscope using an ocular micrometer (</w:t>
      </w:r>
      <w:r w:rsidR="004311D3" w:rsidRPr="004311D3">
        <w:rPr>
          <w:rFonts w:ascii="Times New Roman" w:hAnsi="Times New Roman" w:cs="Times New Roman"/>
          <w:i/>
          <w:iCs/>
          <w:sz w:val="24"/>
          <w:szCs w:val="24"/>
        </w:rPr>
        <w:t>see</w:t>
      </w:r>
      <w:r w:rsidR="004311D3" w:rsidRPr="004311D3">
        <w:rPr>
          <w:rFonts w:ascii="Times New Roman" w:hAnsi="Times New Roman" w:cs="Times New Roman"/>
          <w:sz w:val="24"/>
          <w:szCs w:val="24"/>
        </w:rPr>
        <w:t> “Methods” section for details).</w:t>
      </w:r>
    </w:p>
    <w:p w14:paraId="67FC7193" w14:textId="77777777" w:rsidR="004311D3" w:rsidRDefault="004311D3">
      <w:pPr>
        <w:rPr>
          <w:rFonts w:ascii="Times New Roman" w:hAnsi="Times New Roman" w:cs="Times New Roman"/>
          <w:b/>
          <w:bCs/>
          <w:sz w:val="24"/>
          <w:szCs w:val="24"/>
        </w:rPr>
      </w:pPr>
    </w:p>
    <w:p w14:paraId="20EF4BC2" w14:textId="77777777" w:rsidR="004B20AC" w:rsidRDefault="004B20AC">
      <w:pPr>
        <w:rPr>
          <w:rFonts w:ascii="Times New Roman" w:hAnsi="Times New Roman" w:cs="Times New Roman"/>
          <w:b/>
          <w:bCs/>
          <w:sz w:val="24"/>
          <w:szCs w:val="24"/>
        </w:rPr>
      </w:pPr>
    </w:p>
    <w:p w14:paraId="2C914020" w14:textId="77777777" w:rsidR="004B20AC" w:rsidRDefault="004B20AC">
      <w:pPr>
        <w:rPr>
          <w:rFonts w:ascii="Times New Roman" w:hAnsi="Times New Roman" w:cs="Times New Roman"/>
          <w:b/>
          <w:bCs/>
          <w:sz w:val="24"/>
          <w:szCs w:val="24"/>
        </w:rPr>
      </w:pPr>
    </w:p>
    <w:p w14:paraId="09313954" w14:textId="77777777" w:rsidR="004B20AC" w:rsidRDefault="004B20AC">
      <w:pPr>
        <w:rPr>
          <w:rFonts w:ascii="Times New Roman" w:hAnsi="Times New Roman" w:cs="Times New Roman"/>
          <w:b/>
          <w:bCs/>
          <w:sz w:val="24"/>
          <w:szCs w:val="24"/>
        </w:rPr>
      </w:pPr>
    </w:p>
    <w:p w14:paraId="4AED3CB2" w14:textId="77777777" w:rsidR="004B20AC" w:rsidRDefault="004B20AC">
      <w:pPr>
        <w:rPr>
          <w:rFonts w:ascii="Times New Roman" w:hAnsi="Times New Roman" w:cs="Times New Roman"/>
          <w:b/>
          <w:bCs/>
          <w:sz w:val="24"/>
          <w:szCs w:val="24"/>
        </w:rPr>
      </w:pPr>
    </w:p>
    <w:p w14:paraId="11E1E834" w14:textId="77777777" w:rsidR="004B20AC" w:rsidRDefault="004B20AC">
      <w:pPr>
        <w:rPr>
          <w:rFonts w:ascii="Times New Roman" w:hAnsi="Times New Roman" w:cs="Times New Roman"/>
          <w:b/>
          <w:bCs/>
          <w:sz w:val="24"/>
          <w:szCs w:val="24"/>
        </w:rPr>
      </w:pPr>
    </w:p>
    <w:p w14:paraId="6A9F4B03" w14:textId="77777777" w:rsidR="004B20AC" w:rsidRDefault="004B20AC">
      <w:pPr>
        <w:rPr>
          <w:rFonts w:ascii="Times New Roman" w:hAnsi="Times New Roman" w:cs="Times New Roman"/>
          <w:b/>
          <w:bCs/>
          <w:sz w:val="24"/>
          <w:szCs w:val="24"/>
        </w:rPr>
      </w:pPr>
    </w:p>
    <w:p w14:paraId="31393E8E" w14:textId="77777777" w:rsidR="004B20AC" w:rsidRDefault="004B20AC">
      <w:pPr>
        <w:rPr>
          <w:rFonts w:ascii="Times New Roman" w:hAnsi="Times New Roman" w:cs="Times New Roman"/>
          <w:b/>
          <w:bCs/>
          <w:sz w:val="24"/>
          <w:szCs w:val="24"/>
        </w:rPr>
      </w:pPr>
    </w:p>
    <w:p w14:paraId="2DD103EF" w14:textId="77777777" w:rsidR="004B20AC" w:rsidRDefault="004B20AC">
      <w:pPr>
        <w:rPr>
          <w:rFonts w:ascii="Times New Roman" w:hAnsi="Times New Roman" w:cs="Times New Roman"/>
          <w:b/>
          <w:bCs/>
          <w:sz w:val="24"/>
          <w:szCs w:val="24"/>
        </w:rPr>
      </w:pPr>
    </w:p>
    <w:p w14:paraId="36071A9C" w14:textId="77777777" w:rsidR="004B20AC" w:rsidRDefault="004B20AC">
      <w:pPr>
        <w:rPr>
          <w:rFonts w:ascii="Times New Roman" w:hAnsi="Times New Roman" w:cs="Times New Roman"/>
          <w:b/>
          <w:bCs/>
          <w:sz w:val="24"/>
          <w:szCs w:val="24"/>
        </w:rPr>
      </w:pPr>
    </w:p>
    <w:p w14:paraId="65C2453F" w14:textId="77777777" w:rsidR="004B20AC" w:rsidRDefault="004B20AC">
      <w:pPr>
        <w:rPr>
          <w:rFonts w:ascii="Times New Roman" w:hAnsi="Times New Roman" w:cs="Times New Roman"/>
          <w:b/>
          <w:bCs/>
          <w:sz w:val="24"/>
          <w:szCs w:val="24"/>
        </w:rPr>
      </w:pPr>
      <w:r>
        <w:rPr>
          <w:rFonts w:ascii="Times New Roman" w:hAnsi="Times New Roman" w:cs="Times New Roman"/>
          <w:b/>
          <w:bCs/>
          <w:sz w:val="24"/>
          <w:szCs w:val="24"/>
        </w:rPr>
        <w:br w:type="page"/>
      </w:r>
    </w:p>
    <w:p w14:paraId="06CAEF4C" w14:textId="77777777" w:rsidR="004B20AC" w:rsidRDefault="004B20AC">
      <w:pPr>
        <w:rPr>
          <w:rFonts w:ascii="Times New Roman" w:hAnsi="Times New Roman" w:cs="Times New Roman"/>
          <w:b/>
          <w:bCs/>
          <w:sz w:val="24"/>
          <w:szCs w:val="24"/>
        </w:rPr>
      </w:pPr>
      <w:r>
        <w:rPr>
          <w:noProof/>
        </w:rPr>
        <w:lastRenderedPageBreak/>
        <w:drawing>
          <wp:inline distT="0" distB="0" distL="0" distR="0" wp14:anchorId="275F8102" wp14:editId="0E44FBEC">
            <wp:extent cx="5943600" cy="4258945"/>
            <wp:effectExtent l="0" t="0" r="0" b="8255"/>
            <wp:docPr id="13" name="Picture 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10;&#10;Description automatically generated"/>
                    <pic:cNvPicPr/>
                  </pic:nvPicPr>
                  <pic:blipFill>
                    <a:blip r:embed="rId157"/>
                    <a:stretch>
                      <a:fillRect/>
                    </a:stretch>
                  </pic:blipFill>
                  <pic:spPr>
                    <a:xfrm>
                      <a:off x="0" y="0"/>
                      <a:ext cx="5943600" cy="4258945"/>
                    </a:xfrm>
                    <a:prstGeom prst="rect">
                      <a:avLst/>
                    </a:prstGeom>
                  </pic:spPr>
                </pic:pic>
              </a:graphicData>
            </a:graphic>
          </wp:inline>
        </w:drawing>
      </w:r>
    </w:p>
    <w:p w14:paraId="0619AFA7" w14:textId="07814F46" w:rsidR="00251321" w:rsidRPr="00251321" w:rsidRDefault="00251321">
      <w:pPr>
        <w:rPr>
          <w:rFonts w:ascii="Times New Roman" w:hAnsi="Times New Roman" w:cs="Times New Roman"/>
          <w:b/>
          <w:bCs/>
          <w:sz w:val="24"/>
          <w:szCs w:val="24"/>
        </w:rPr>
      </w:pPr>
      <w:r w:rsidRPr="00251321">
        <w:rPr>
          <w:rFonts w:ascii="Times New Roman" w:hAnsi="Times New Roman" w:cs="Times New Roman"/>
          <w:b/>
          <w:bCs/>
          <w:sz w:val="24"/>
          <w:szCs w:val="24"/>
        </w:rPr>
        <w:br w:type="page"/>
      </w:r>
    </w:p>
    <w:p w14:paraId="65E02F80" w14:textId="77777777" w:rsidR="00707BBB" w:rsidRDefault="00707BBB">
      <w:pPr>
        <w:rPr>
          <w:rFonts w:ascii="Times New Roman" w:hAnsi="Times New Roman" w:cs="Times New Roman"/>
          <w:sz w:val="24"/>
          <w:szCs w:val="24"/>
        </w:rPr>
      </w:pPr>
    </w:p>
    <w:p w14:paraId="5B83D3B6" w14:textId="309F2EB9" w:rsidR="008B0B49" w:rsidRDefault="008B0B49" w:rsidP="008B0B49">
      <w:pPr>
        <w:spacing w:line="480" w:lineRule="auto"/>
        <w:ind w:left="720" w:hanging="720"/>
        <w:jc w:val="center"/>
        <w:rPr>
          <w:rFonts w:ascii="Times New Roman" w:hAnsi="Times New Roman" w:cs="Times New Roman"/>
          <w:sz w:val="24"/>
          <w:szCs w:val="24"/>
        </w:rPr>
      </w:pPr>
      <w:bookmarkStart w:id="2" w:name="_Hlk109909814"/>
      <w:r w:rsidRPr="008B0B49">
        <w:rPr>
          <w:rFonts w:ascii="Times New Roman" w:hAnsi="Times New Roman" w:cs="Times New Roman"/>
          <w:sz w:val="24"/>
          <w:szCs w:val="24"/>
        </w:rPr>
        <w:t>Resurrection genomics provides molecular and phenotypic evidence of rapid adaptation to salinization in a keystone aquatic species</w:t>
      </w:r>
      <w:r w:rsidR="00BD6958">
        <w:rPr>
          <w:rFonts w:ascii="Times New Roman" w:hAnsi="Times New Roman" w:cs="Times New Roman"/>
          <w:sz w:val="24"/>
          <w:szCs w:val="24"/>
        </w:rPr>
        <w:t>.</w:t>
      </w:r>
    </w:p>
    <w:bookmarkEnd w:id="2"/>
    <w:p w14:paraId="65D04752" w14:textId="77777777" w:rsidR="00BD6958" w:rsidRPr="008B0B49" w:rsidRDefault="00BD6958" w:rsidP="008B0B49">
      <w:pPr>
        <w:spacing w:line="480" w:lineRule="auto"/>
        <w:ind w:left="720" w:hanging="720"/>
        <w:jc w:val="center"/>
        <w:rPr>
          <w:rFonts w:ascii="Times New Roman" w:hAnsi="Times New Roman" w:cs="Times New Roman"/>
          <w:sz w:val="24"/>
          <w:szCs w:val="24"/>
        </w:rPr>
      </w:pPr>
    </w:p>
    <w:p w14:paraId="2B88AF04" w14:textId="5DA569B3" w:rsidR="002C12B6" w:rsidRDefault="1CD0D76E" w:rsidP="008B0B49">
      <w:pPr>
        <w:spacing w:line="480" w:lineRule="auto"/>
        <w:ind w:left="720" w:hanging="720"/>
        <w:jc w:val="center"/>
        <w:rPr>
          <w:rFonts w:ascii="Times New Roman" w:hAnsi="Times New Roman" w:cs="Times New Roman"/>
          <w:sz w:val="24"/>
          <w:szCs w:val="24"/>
        </w:rPr>
      </w:pPr>
      <w:r w:rsidRPr="0D8B2C08">
        <w:rPr>
          <w:rFonts w:ascii="Times New Roman" w:hAnsi="Times New Roman" w:cs="Times New Roman"/>
          <w:sz w:val="24"/>
          <w:szCs w:val="24"/>
        </w:rPr>
        <w:t>Published in</w:t>
      </w:r>
      <w:r w:rsidR="008B0B49" w:rsidRPr="0D8B2C08">
        <w:rPr>
          <w:rFonts w:ascii="Times New Roman" w:hAnsi="Times New Roman" w:cs="Times New Roman"/>
          <w:sz w:val="24"/>
          <w:szCs w:val="24"/>
        </w:rPr>
        <w:t xml:space="preserve">: </w:t>
      </w:r>
    </w:p>
    <w:p w14:paraId="76A29512" w14:textId="4E1766C7" w:rsidR="008B0B49" w:rsidRPr="00AD5D38" w:rsidRDefault="008B0B49" w:rsidP="008B0B49">
      <w:pPr>
        <w:spacing w:line="480" w:lineRule="auto"/>
        <w:ind w:left="720" w:hanging="720"/>
        <w:jc w:val="center"/>
        <w:rPr>
          <w:rFonts w:ascii="Times New Roman" w:hAnsi="Times New Roman" w:cs="Times New Roman"/>
          <w:sz w:val="24"/>
          <w:szCs w:val="24"/>
        </w:rPr>
      </w:pPr>
      <w:r w:rsidRPr="0D8B2C08">
        <w:rPr>
          <w:rFonts w:ascii="Times New Roman" w:hAnsi="Times New Roman" w:cs="Times New Roman"/>
          <w:i/>
          <w:iCs/>
          <w:sz w:val="24"/>
          <w:szCs w:val="24"/>
        </w:rPr>
        <w:t>Proceedings of the National Academy of Sciences of the United States of America</w:t>
      </w:r>
    </w:p>
    <w:p w14:paraId="1B1F46B9" w14:textId="082E5515" w:rsidR="008B0B49" w:rsidRDefault="258FC699" w:rsidP="0D8B2C08">
      <w:pPr>
        <w:spacing w:line="480" w:lineRule="auto"/>
        <w:jc w:val="center"/>
        <w:rPr>
          <w:rFonts w:ascii="Times New Roman" w:hAnsi="Times New Roman" w:cs="Times New Roman"/>
          <w:sz w:val="24"/>
          <w:szCs w:val="24"/>
        </w:rPr>
      </w:pPr>
      <w:r w:rsidRPr="0D8B2C08">
        <w:rPr>
          <w:rFonts w:ascii="Times New Roman" w:hAnsi="Times New Roman" w:cs="Times New Roman"/>
          <w:sz w:val="24"/>
          <w:szCs w:val="24"/>
        </w:rPr>
        <w:t>02 February 2023</w:t>
      </w:r>
    </w:p>
    <w:p w14:paraId="23445437" w14:textId="0E78A193" w:rsidR="258FC699" w:rsidRDefault="00000000" w:rsidP="0D8B2C08">
      <w:pPr>
        <w:spacing w:line="480" w:lineRule="auto"/>
        <w:jc w:val="center"/>
        <w:rPr>
          <w:rFonts w:ascii="Times New Roman" w:hAnsi="Times New Roman" w:cs="Times New Roman"/>
          <w:sz w:val="24"/>
          <w:szCs w:val="24"/>
        </w:rPr>
      </w:pPr>
      <w:hyperlink r:id="rId158">
        <w:r w:rsidR="258FC699" w:rsidRPr="0D8B2C08">
          <w:rPr>
            <w:rStyle w:val="Hyperlink"/>
            <w:rFonts w:ascii="Times New Roman" w:hAnsi="Times New Roman" w:cs="Times New Roman"/>
            <w:sz w:val="24"/>
            <w:szCs w:val="24"/>
          </w:rPr>
          <w:t>https://doi.org/10.1073/pnas.2217276120</w:t>
        </w:r>
      </w:hyperlink>
      <w:r w:rsidR="258FC699" w:rsidRPr="0D8B2C08">
        <w:rPr>
          <w:rFonts w:ascii="Times New Roman" w:hAnsi="Times New Roman" w:cs="Times New Roman"/>
          <w:sz w:val="24"/>
          <w:szCs w:val="24"/>
        </w:rPr>
        <w:t xml:space="preserve"> </w:t>
      </w:r>
    </w:p>
    <w:p w14:paraId="493EDA90" w14:textId="5BCD1509" w:rsidR="00BD6958" w:rsidRPr="00BD6958" w:rsidRDefault="008B0B49" w:rsidP="00BD6958">
      <w:pPr>
        <w:spacing w:line="480" w:lineRule="auto"/>
        <w:ind w:left="720" w:hanging="720"/>
        <w:jc w:val="center"/>
        <w:rPr>
          <w:rFonts w:ascii="Times New Roman" w:hAnsi="Times New Roman" w:cs="Times New Roman"/>
          <w:sz w:val="24"/>
          <w:szCs w:val="24"/>
          <w:vertAlign w:val="superscript"/>
        </w:rPr>
      </w:pPr>
      <w:r w:rsidRPr="008B0B49">
        <w:rPr>
          <w:rFonts w:ascii="Times New Roman" w:hAnsi="Times New Roman" w:cs="Times New Roman"/>
          <w:sz w:val="24"/>
          <w:szCs w:val="24"/>
        </w:rPr>
        <w:t>Matthew J. Wersebe</w:t>
      </w:r>
      <w:r w:rsidRPr="008B0B49">
        <w:rPr>
          <w:rFonts w:ascii="Times New Roman" w:hAnsi="Times New Roman" w:cs="Times New Roman"/>
          <w:sz w:val="24"/>
          <w:szCs w:val="24"/>
          <w:vertAlign w:val="superscript"/>
        </w:rPr>
        <w:t>1</w:t>
      </w:r>
      <w:r w:rsidRPr="008B0B49">
        <w:rPr>
          <w:rFonts w:ascii="Times New Roman" w:hAnsi="Times New Roman" w:cs="Times New Roman"/>
          <w:sz w:val="24"/>
          <w:szCs w:val="24"/>
        </w:rPr>
        <w:t xml:space="preserve"> and Lawrence J. Weider</w:t>
      </w:r>
      <w:r w:rsidR="00BD6958">
        <w:rPr>
          <w:rFonts w:ascii="Times New Roman" w:hAnsi="Times New Roman" w:cs="Times New Roman"/>
          <w:sz w:val="24"/>
          <w:szCs w:val="24"/>
          <w:vertAlign w:val="superscript"/>
        </w:rPr>
        <w:t>1</w:t>
      </w:r>
    </w:p>
    <w:p w14:paraId="406605DF" w14:textId="77777777" w:rsidR="008B0B49" w:rsidRPr="008B0B49" w:rsidRDefault="008B0B49" w:rsidP="008B0B49">
      <w:pPr>
        <w:spacing w:line="480" w:lineRule="auto"/>
        <w:ind w:left="720" w:hanging="720"/>
        <w:jc w:val="center"/>
        <w:rPr>
          <w:rFonts w:ascii="Times New Roman" w:hAnsi="Times New Roman" w:cs="Times New Roman"/>
          <w:sz w:val="24"/>
          <w:szCs w:val="24"/>
        </w:rPr>
      </w:pPr>
    </w:p>
    <w:p w14:paraId="0522BD3D" w14:textId="4DC252B1" w:rsidR="008B0B49" w:rsidRDefault="008B0B49" w:rsidP="008B0B49">
      <w:pPr>
        <w:spacing w:line="480" w:lineRule="auto"/>
        <w:ind w:left="720" w:hanging="720"/>
        <w:jc w:val="center"/>
        <w:rPr>
          <w:rFonts w:ascii="Times New Roman" w:hAnsi="Times New Roman" w:cs="Times New Roman"/>
          <w:sz w:val="24"/>
          <w:szCs w:val="24"/>
        </w:rPr>
      </w:pPr>
      <w:r w:rsidRPr="008B0B49">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sidRPr="008B0B49">
        <w:rPr>
          <w:rFonts w:ascii="Times New Roman" w:hAnsi="Times New Roman" w:cs="Times New Roman"/>
          <w:sz w:val="24"/>
          <w:szCs w:val="24"/>
        </w:rPr>
        <w:t>Program in Ecology and Evolutionary Biology, Department of Biology, University of</w:t>
      </w:r>
    </w:p>
    <w:p w14:paraId="09B75EE2" w14:textId="4087FC6B" w:rsidR="008B0B49" w:rsidRDefault="008B0B49" w:rsidP="008B0B49">
      <w:pPr>
        <w:spacing w:line="480" w:lineRule="auto"/>
        <w:ind w:left="720" w:hanging="720"/>
        <w:jc w:val="center"/>
        <w:rPr>
          <w:rFonts w:ascii="Times New Roman" w:hAnsi="Times New Roman" w:cs="Times New Roman"/>
          <w:sz w:val="24"/>
          <w:szCs w:val="24"/>
        </w:rPr>
      </w:pPr>
      <w:r w:rsidRPr="008B0B49">
        <w:rPr>
          <w:rFonts w:ascii="Times New Roman" w:hAnsi="Times New Roman" w:cs="Times New Roman"/>
          <w:sz w:val="24"/>
          <w:szCs w:val="24"/>
        </w:rPr>
        <w:t>Oklahoma</w:t>
      </w:r>
      <w:r>
        <w:rPr>
          <w:rFonts w:ascii="Times New Roman" w:hAnsi="Times New Roman" w:cs="Times New Roman"/>
          <w:sz w:val="24"/>
          <w:szCs w:val="24"/>
        </w:rPr>
        <w:t>, Norman, OK</w:t>
      </w:r>
    </w:p>
    <w:p w14:paraId="3BEB7E86" w14:textId="77777777" w:rsidR="008B0B49" w:rsidRPr="008B0B49" w:rsidRDefault="008B0B49" w:rsidP="008B0B49">
      <w:pPr>
        <w:spacing w:line="480" w:lineRule="auto"/>
        <w:ind w:left="720" w:hanging="720"/>
        <w:rPr>
          <w:rFonts w:ascii="Times New Roman" w:hAnsi="Times New Roman" w:cs="Times New Roman"/>
          <w:sz w:val="24"/>
          <w:szCs w:val="24"/>
        </w:rPr>
      </w:pPr>
    </w:p>
    <w:p w14:paraId="738AB86F" w14:textId="65ACD72E" w:rsidR="00BD6958" w:rsidRDefault="00BD6958">
      <w:pPr>
        <w:rPr>
          <w:rFonts w:ascii="Times New Roman" w:hAnsi="Times New Roman" w:cs="Times New Roman"/>
          <w:sz w:val="24"/>
          <w:szCs w:val="24"/>
        </w:rPr>
      </w:pPr>
      <w:r>
        <w:rPr>
          <w:rFonts w:ascii="Times New Roman" w:hAnsi="Times New Roman" w:cs="Times New Roman"/>
          <w:sz w:val="24"/>
          <w:szCs w:val="24"/>
        </w:rPr>
        <w:br w:type="page"/>
      </w:r>
    </w:p>
    <w:p w14:paraId="557B1297" w14:textId="77777777" w:rsidR="009422A2" w:rsidRDefault="00631FA6" w:rsidP="00631FA6">
      <w:pPr>
        <w:keepNext/>
        <w:pBdr>
          <w:top w:val="nil"/>
          <w:left w:val="nil"/>
          <w:bottom w:val="nil"/>
          <w:right w:val="nil"/>
          <w:between w:val="nil"/>
        </w:pBdr>
        <w:spacing w:before="240" w:after="60" w:line="480" w:lineRule="auto"/>
        <w:rPr>
          <w:rFonts w:ascii="Times New Roman" w:hAnsi="Times New Roman" w:cs="Times New Roman"/>
          <w:b/>
          <w:color w:val="000000"/>
          <w:sz w:val="24"/>
          <w:szCs w:val="24"/>
        </w:rPr>
      </w:pPr>
      <w:r w:rsidRPr="00631FA6">
        <w:rPr>
          <w:rFonts w:ascii="Times New Roman" w:hAnsi="Times New Roman" w:cs="Times New Roman"/>
          <w:b/>
          <w:color w:val="000000"/>
          <w:sz w:val="24"/>
          <w:szCs w:val="24"/>
        </w:rPr>
        <w:lastRenderedPageBreak/>
        <w:t>Abstract</w:t>
      </w:r>
    </w:p>
    <w:p w14:paraId="72309E51" w14:textId="62C5B344" w:rsidR="00631FA6" w:rsidRPr="009422A2" w:rsidRDefault="00631FA6" w:rsidP="00631FA6">
      <w:pPr>
        <w:keepNext/>
        <w:pBdr>
          <w:top w:val="nil"/>
          <w:left w:val="nil"/>
          <w:bottom w:val="nil"/>
          <w:right w:val="nil"/>
          <w:between w:val="nil"/>
        </w:pBdr>
        <w:spacing w:before="240" w:after="60" w:line="480" w:lineRule="auto"/>
        <w:rPr>
          <w:rFonts w:ascii="Times New Roman" w:hAnsi="Times New Roman" w:cs="Times New Roman"/>
          <w:b/>
          <w:color w:val="000000"/>
          <w:sz w:val="24"/>
          <w:szCs w:val="24"/>
        </w:rPr>
      </w:pPr>
      <w:r w:rsidRPr="00631FA6">
        <w:rPr>
          <w:rFonts w:ascii="Times New Roman" w:hAnsi="Times New Roman" w:cs="Times New Roman"/>
          <w:color w:val="000000"/>
          <w:sz w:val="24"/>
          <w:szCs w:val="24"/>
        </w:rPr>
        <w:t xml:space="preserve">Ecologists and evolutionary biologists are increasingly cognizant of rapid adaptation in wild populations. Rapid adaptation to anthropogenic environmental change is critical for maintaining biodiversity and ecosystems services into the future. Anthropogenic salinization of freshwater ecosystems is quickly emerging as a primary threat, which is well documented in the northern temperate ecoregion. Specifically, many northern temperate lakes have undergone extensive salinization because of urbanization and the associated increase in impervious surfaces causing runoff, and the extensive use of road deicing salts (e.g., NaCl). It remains unclear if increasing salinization will lead to extirpation of species from these systems. Using a “resurrection genomics” approach, we investigated whether the keystone aquatic herbivore, </w:t>
      </w:r>
      <w:r w:rsidRPr="00631FA6">
        <w:rPr>
          <w:rFonts w:ascii="Times New Roman" w:hAnsi="Times New Roman" w:cs="Times New Roman"/>
          <w:i/>
          <w:iCs/>
          <w:color w:val="000000"/>
          <w:sz w:val="24"/>
          <w:szCs w:val="24"/>
        </w:rPr>
        <w:t xml:space="preserve">Daphnia pulicaria, </w:t>
      </w:r>
      <w:r w:rsidRPr="00631FA6">
        <w:rPr>
          <w:rFonts w:ascii="Times New Roman" w:hAnsi="Times New Roman" w:cs="Times New Roman"/>
          <w:color w:val="000000"/>
          <w:sz w:val="24"/>
          <w:szCs w:val="24"/>
        </w:rPr>
        <w:t xml:space="preserve">has evolved increased salinity tolerance in a severely salinized lake located in Minnesota, USA. Whole genome resequencing of 54 </w:t>
      </w:r>
      <w:r w:rsidRPr="00631FA6">
        <w:rPr>
          <w:rFonts w:ascii="Times New Roman" w:hAnsi="Times New Roman" w:cs="Times New Roman"/>
          <w:i/>
          <w:color w:val="000000"/>
          <w:sz w:val="24"/>
          <w:szCs w:val="24"/>
        </w:rPr>
        <w:t>Daphnia</w:t>
      </w:r>
      <w:r w:rsidRPr="00631FA6">
        <w:rPr>
          <w:rFonts w:ascii="Times New Roman" w:hAnsi="Times New Roman" w:cs="Times New Roman"/>
          <w:color w:val="000000"/>
          <w:sz w:val="24"/>
          <w:szCs w:val="24"/>
        </w:rPr>
        <w:t xml:space="preserve"> clones from the lake and hatched from resting eggs that represent a 25-year temporal contrast demonstrates that many regions of the genome containing genes related to osmoregulation are under selection in the study population. Tolerance assays of clones revealed that the most recent clones are more tolerant to salinity than older clones; this pattern is concomitant with the temporal pattern of stabilizing salinity in this lake. Together, our results demonstrate that keystone species such as </w:t>
      </w:r>
      <w:r w:rsidRPr="00631FA6">
        <w:rPr>
          <w:rFonts w:ascii="Times New Roman" w:hAnsi="Times New Roman" w:cs="Times New Roman"/>
          <w:i/>
          <w:iCs/>
          <w:color w:val="000000"/>
          <w:sz w:val="24"/>
          <w:szCs w:val="24"/>
        </w:rPr>
        <w:t xml:space="preserve">Daphnia </w:t>
      </w:r>
      <w:r w:rsidRPr="00631FA6">
        <w:rPr>
          <w:rFonts w:ascii="Times New Roman" w:hAnsi="Times New Roman" w:cs="Times New Roman"/>
          <w:color w:val="000000"/>
          <w:sz w:val="24"/>
          <w:szCs w:val="24"/>
        </w:rPr>
        <w:t xml:space="preserve">can rapidly adapt to increasing freshwater salinization. Further, our results indicate that rapid adaptation to salinity may allow lake </w:t>
      </w:r>
      <w:r w:rsidRPr="00631FA6">
        <w:rPr>
          <w:rFonts w:ascii="Times New Roman" w:hAnsi="Times New Roman" w:cs="Times New Roman"/>
          <w:i/>
          <w:iCs/>
          <w:color w:val="000000"/>
          <w:sz w:val="24"/>
          <w:szCs w:val="24"/>
        </w:rPr>
        <w:t xml:space="preserve">Daphnia </w:t>
      </w:r>
      <w:r w:rsidRPr="00631FA6">
        <w:rPr>
          <w:rFonts w:ascii="Times New Roman" w:hAnsi="Times New Roman" w:cs="Times New Roman"/>
          <w:color w:val="000000"/>
          <w:sz w:val="24"/>
          <w:szCs w:val="24"/>
        </w:rPr>
        <w:t xml:space="preserve">populations to persist in the face of anthropogenic </w:t>
      </w:r>
      <w:r w:rsidRPr="00631FA6">
        <w:rPr>
          <w:rFonts w:ascii="Times New Roman" w:hAnsi="Times New Roman" w:cs="Times New Roman"/>
          <w:color w:val="000000"/>
          <w:sz w:val="24"/>
          <w:szCs w:val="24"/>
        </w:rPr>
        <w:lastRenderedPageBreak/>
        <w:t xml:space="preserve">salinization maintaining the food webs and ecosystem services they support despite global environmental change.   </w:t>
      </w:r>
    </w:p>
    <w:p w14:paraId="4E36897A" w14:textId="77777777" w:rsidR="00631FA6" w:rsidRPr="00631FA6" w:rsidRDefault="00631FA6" w:rsidP="00631FA6">
      <w:pPr>
        <w:keepNext/>
        <w:pBdr>
          <w:top w:val="nil"/>
          <w:left w:val="nil"/>
          <w:bottom w:val="nil"/>
          <w:right w:val="nil"/>
          <w:between w:val="nil"/>
        </w:pBdr>
        <w:spacing w:before="240" w:after="60" w:line="480" w:lineRule="auto"/>
        <w:rPr>
          <w:rFonts w:ascii="Times New Roman" w:hAnsi="Times New Roman" w:cs="Times New Roman"/>
          <w:b/>
          <w:color w:val="000000"/>
          <w:sz w:val="24"/>
          <w:szCs w:val="24"/>
        </w:rPr>
      </w:pPr>
      <w:r w:rsidRPr="00631FA6">
        <w:rPr>
          <w:rFonts w:ascii="Times New Roman" w:hAnsi="Times New Roman" w:cs="Times New Roman"/>
          <w:b/>
          <w:color w:val="000000"/>
          <w:sz w:val="24"/>
          <w:szCs w:val="24"/>
        </w:rPr>
        <w:t>Significance Statement</w:t>
      </w:r>
    </w:p>
    <w:p w14:paraId="1D44F77F" w14:textId="77777777" w:rsidR="00631FA6" w:rsidRPr="00631FA6" w:rsidRDefault="00631FA6" w:rsidP="00631FA6">
      <w:pPr>
        <w:keepNext/>
        <w:pBdr>
          <w:top w:val="nil"/>
          <w:left w:val="nil"/>
          <w:bottom w:val="nil"/>
          <w:right w:val="nil"/>
          <w:between w:val="nil"/>
        </w:pBdr>
        <w:spacing w:before="240" w:after="60" w:line="480" w:lineRule="auto"/>
        <w:contextualSpacing/>
        <w:rPr>
          <w:rFonts w:ascii="Times New Roman" w:hAnsi="Times New Roman" w:cs="Times New Roman"/>
          <w:color w:val="000000"/>
          <w:sz w:val="24"/>
          <w:szCs w:val="24"/>
        </w:rPr>
      </w:pPr>
      <w:r w:rsidRPr="00631FA6">
        <w:rPr>
          <w:rFonts w:ascii="Times New Roman" w:hAnsi="Times New Roman" w:cs="Times New Roman"/>
          <w:color w:val="000000"/>
          <w:sz w:val="24"/>
          <w:szCs w:val="24"/>
        </w:rPr>
        <w:t xml:space="preserve">Rapid adaptation to human-induced environmental change is critical for preserving biodiversity and ecosystem services into the future. A key question is whether populations of keystone species can rapidly adapt to maintain the ecosystems they support. We investigated rapid adaptation to anthropogenic salinization in </w:t>
      </w:r>
      <w:r w:rsidRPr="00631FA6">
        <w:rPr>
          <w:rFonts w:ascii="Times New Roman" w:hAnsi="Times New Roman" w:cs="Times New Roman"/>
          <w:i/>
          <w:iCs/>
          <w:color w:val="000000"/>
          <w:sz w:val="24"/>
          <w:szCs w:val="24"/>
        </w:rPr>
        <w:t xml:space="preserve">Daphnia pulicaria, </w:t>
      </w:r>
      <w:r w:rsidRPr="00631FA6">
        <w:rPr>
          <w:rFonts w:ascii="Times New Roman" w:hAnsi="Times New Roman" w:cs="Times New Roman"/>
          <w:color w:val="000000"/>
          <w:sz w:val="24"/>
          <w:szCs w:val="24"/>
        </w:rPr>
        <w:t xml:space="preserve">a keystone aquatic herbivore in lake ecosystems. By resuscitating decades-old resting eggs, we investigate genomic changes across an approximately 25-year temporal contrast from a severely salinized lake. We report that the genes showing signatures of natural selection throughout the genome are related to osmoregulation and ion regulation. Phenotyping clones for salinity tolerance revealed evidence that genetic changes may underlie rapid evolution. We provide molecular genomic and phenotypic evidence for rapid adaptation to salinity in </w:t>
      </w:r>
      <w:r w:rsidRPr="00631FA6">
        <w:rPr>
          <w:rFonts w:ascii="Times New Roman" w:hAnsi="Times New Roman" w:cs="Times New Roman"/>
          <w:i/>
          <w:iCs/>
          <w:color w:val="000000"/>
          <w:sz w:val="24"/>
          <w:szCs w:val="24"/>
        </w:rPr>
        <w:t>D. pulicaria</w:t>
      </w:r>
      <w:r w:rsidRPr="00631FA6">
        <w:rPr>
          <w:rFonts w:ascii="Times New Roman" w:hAnsi="Times New Roman" w:cs="Times New Roman"/>
          <w:color w:val="000000"/>
          <w:sz w:val="24"/>
          <w:szCs w:val="24"/>
        </w:rPr>
        <w:t xml:space="preserve">. </w:t>
      </w:r>
    </w:p>
    <w:p w14:paraId="79D7855F" w14:textId="77777777" w:rsidR="00631FA6" w:rsidRPr="00631FA6" w:rsidRDefault="00631FA6" w:rsidP="00631FA6">
      <w:pPr>
        <w:keepNext/>
        <w:pBdr>
          <w:top w:val="nil"/>
          <w:left w:val="nil"/>
          <w:bottom w:val="nil"/>
          <w:right w:val="nil"/>
          <w:between w:val="nil"/>
        </w:pBdr>
        <w:spacing w:before="240" w:after="60"/>
        <w:contextualSpacing/>
        <w:rPr>
          <w:rFonts w:ascii="Times New Roman" w:hAnsi="Times New Roman" w:cs="Times New Roman"/>
          <w:color w:val="000000"/>
          <w:sz w:val="24"/>
          <w:szCs w:val="24"/>
        </w:rPr>
      </w:pPr>
    </w:p>
    <w:p w14:paraId="5C247D3A" w14:textId="77777777" w:rsidR="00631FA6" w:rsidRPr="00631FA6" w:rsidRDefault="00631FA6" w:rsidP="00631FA6">
      <w:pPr>
        <w:rPr>
          <w:rFonts w:ascii="Times New Roman" w:hAnsi="Times New Roman" w:cs="Times New Roman"/>
          <w:b/>
          <w:color w:val="000000"/>
          <w:sz w:val="24"/>
          <w:szCs w:val="24"/>
        </w:rPr>
      </w:pPr>
      <w:r w:rsidRPr="00631FA6">
        <w:rPr>
          <w:rFonts w:ascii="Times New Roman" w:hAnsi="Times New Roman" w:cs="Times New Roman"/>
          <w:b/>
          <w:color w:val="000000"/>
          <w:sz w:val="24"/>
          <w:szCs w:val="24"/>
        </w:rPr>
        <w:br w:type="page"/>
      </w:r>
    </w:p>
    <w:p w14:paraId="2C21759C" w14:textId="000C5A8A" w:rsidR="00631FA6" w:rsidRPr="00631FA6" w:rsidRDefault="00631FA6" w:rsidP="00631FA6">
      <w:pPr>
        <w:keepNext/>
        <w:pBdr>
          <w:top w:val="nil"/>
          <w:left w:val="nil"/>
          <w:bottom w:val="nil"/>
          <w:right w:val="nil"/>
          <w:between w:val="nil"/>
        </w:pBdr>
        <w:spacing w:before="240" w:after="60" w:line="480" w:lineRule="auto"/>
        <w:contextualSpacing/>
        <w:rPr>
          <w:rFonts w:ascii="Times New Roman" w:hAnsi="Times New Roman" w:cs="Times New Roman"/>
          <w:b/>
          <w:color w:val="000000"/>
          <w:sz w:val="24"/>
          <w:szCs w:val="24"/>
        </w:rPr>
      </w:pPr>
      <w:r w:rsidRPr="00631FA6">
        <w:rPr>
          <w:rFonts w:ascii="Times New Roman" w:hAnsi="Times New Roman" w:cs="Times New Roman"/>
          <w:b/>
          <w:color w:val="000000"/>
          <w:sz w:val="24"/>
          <w:szCs w:val="24"/>
        </w:rPr>
        <w:lastRenderedPageBreak/>
        <w:t>Introduction</w:t>
      </w:r>
    </w:p>
    <w:p w14:paraId="1AA99CDE" w14:textId="77777777" w:rsidR="00631FA6" w:rsidRPr="00631FA6" w:rsidRDefault="00631FA6" w:rsidP="00631FA6">
      <w:pPr>
        <w:keepNext/>
        <w:pBdr>
          <w:top w:val="nil"/>
          <w:left w:val="nil"/>
          <w:bottom w:val="nil"/>
          <w:right w:val="nil"/>
          <w:between w:val="nil"/>
        </w:pBdr>
        <w:spacing w:before="240" w:after="60" w:line="480" w:lineRule="auto"/>
        <w:contextualSpacing/>
        <w:rPr>
          <w:rFonts w:ascii="Times New Roman" w:hAnsi="Times New Roman" w:cs="Times New Roman"/>
          <w:bCs/>
          <w:color w:val="000000"/>
          <w:sz w:val="24"/>
          <w:szCs w:val="24"/>
        </w:rPr>
      </w:pPr>
      <w:r w:rsidRPr="00631FA6">
        <w:rPr>
          <w:rFonts w:ascii="Times New Roman" w:hAnsi="Times New Roman" w:cs="Times New Roman"/>
          <w:bCs/>
          <w:color w:val="000000"/>
          <w:sz w:val="24"/>
          <w:szCs w:val="24"/>
        </w:rPr>
        <w:t xml:space="preserve">Ecologists and evolutionary biologists now recognize many examples of wild populations rapidly evolving in the face of environmental change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{"citationID":"hEsYQqAs","properties":{"formattedCitation":"(1, 2)","plainCitation":"(1, 2)","noteIndex":0},"citationItems":[{"id":1300,"uris":["http://zotero.org/users/9952604/items/LG5QZHWZ"],"itemData":{"id":1300,"type":"article-journal","abstract":"Recognition that evolution operates on the same timescale as ecological processes has motivated growing interest in eco-evolutionary dynamics. Nonetheless, generating sufficient data to test predictions about eco-evolutionary dynamics has proved challenging, particularly in natural contexts. Here we argue that genomic data can be integrated into the study of eco-evolutionary dynamics in ways that deepen our understanding of the interplay between ecology and evolution. Specifically, we outline five major questions in the study of eco-evolutionary dynamics for which genomic data may provide answers. Although genomic data alone will not be sufficient to resolve these challenges, integrating genomic data can provide a more mechanistic understanding of the causes of phenotypic change, help elucidate the mechanisms driving eco-evolutionary dynamics, and lead to more accurate evolutionary predictions of eco-evolutionary dynamics in nature.","container-title":"Nature Ecology &amp; Evolution","DOI":"10.1038/s41559-017-0385-2","ISSN":"2397-334X","issue":"1","note":"publisher: Nature Publishing Group","page":"9-15","title":"What genomic data can reveal about eco-evolutionary dynamics","URL":"http://www.nature.com/articles/s41559-017-0385-2","volume":"2","author":[{"family":"Rudman","given":"Seth M."},{"family":"Barbour","given":"Matthew A."},{"family":"Csilléry","given":"Katalin"},{"family":"Gienapp","given":"Phillip"},{"family":"Guillaume","given":"Frederic"},{"family":"Hairston Jr","given":"Nelson G."},{"family":"Hendry","given":"Andrew P."},{"family":"Lasky","given":"Jesse R."},{"family":"Rafajlović","given":"Marina"},{"family":"Räsänen","given":"Katja"},{"family":"Schmidt","given":"Paul S."},{"family":"Seehausen","given":"Ole"},{"family":"Therkildsen","given":"Nina O."},{"family":"Turcotte","given":"Martin M."},{"family":"Levine","given":"Jonathan M."}],"accessed":{"date-parts":[["2019",6,5]]},"issued":{"date-parts":[["2018",1,20]]}}},{"id":472,"uris":["http://zotero.org/users/9952604/items/S7MIJXEX"],"itemData":{"id":472,"type":"article-journal","abstract":"Lake ecosystems: Rapid evolution revealed by dormant eggs","container-title":"Nature","DOI":"10.1038/46731","ISSN":"00280836","issue":"6752","note":"publisher: Nature Publishing Group","page":"446-446","title":"Lake ecosystems: Rapid evolution revealed by dormant eggs","URL":"http://www.nature.com/doifinder/10.1038/46731","volume":"401","author":[{"family":"Hairston","given":"Nelson G."},{"family":"Lampert","given":"Winfried"},{"family":"Cáceres","given":"Carla E."},{"family":"Holtmeier","given":"Cami L."},{"family":"Weider","given":"Lawrence J."},{"family":"Gaedke","given":"Ursula"},{"family":"Fischer","given":"Janet M."},{"family":"Fox","given":"Jennifer A."},{"family":"Post","given":"David M."}],"accessed":{"date-parts":[["2018",8,5]]},"issued":{"date-parts":[["1999",9,30]]}}}],"schema":"https://github.com/citation-style-language/schema/raw/master/csl-citation.json"}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(1, 2)</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A population’s ability to rapidly evolve is critical for survival in the face of ever-increasing anthropogenic environmental change. This capacity is especially important for organisms that provision key ecosystem services or are keystone species because their extirpation would fundamentally alter ecosystem dynamics. Despite this, studies demonstrating a mechanistic basis for rapid adaptation that integrates information from the genome to the phenome of a population are rare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{"citationID":"d6n2VRud","properties":{"formattedCitation":"(3)","plainCitation":"(3)","noteIndex":0},"citationItems":[{"id":1349,"uris":["http://zotero.org/users/9952604/items/V7S9FENV"],"itemData":{"id":1349,"type":"article-journal","abstract":"Population genetic theory predicts that rapid adaptation is largely driven by complex traits encoded by many loci of small effect. Because large-effect loci are quickly fixed in natural populations, they should not contribute much to rapid adaptation. To investigate the genetic architecture of thermal adaptation — a highly complex trait — we performed experimental evolution on a natural Drosophila simulans population. Transcriptome and respiration measurements reveal extensive metabolic rewiring after only approximately 60 generations in a hot environment. Analysis of genome-wide polymorphisms identifies two interacting selection targets, Sestrin and SNF4Aγ, pointing to AMPK, a central metabolic switch, as a key factor for thermal adaptation. Our results demonstrate that large-effect loci segregating at intermediate allele frequencies can allow natural populations to rapidly respond to selection. Because SNF4Aγ also exhibits clinal variation in various Drosophila species, we suggest that this large-effect polymorphism is maintained by temporal and spatial temperature variation in natural environments.","container-title":"Genome Biology","DOI":"10.1186/s13059-018-1503-4","ISSN":"1474-760X","issue":"1","note":"publisher: BioMed Central","page":"119","title":"A simple genetic basis of adaptation to a novel thermal environment results in complex metabolic rewiring in Drosophila","URL":"https://genomebiology.biomedcentral.com/articles/10.1186/s13059-018-1503-4","volume":"19","author":[{"family":"Mallard","given":"François"},{"family":"Nolte","given":"Viola"},{"family":"Tobler","given":"Ray"},{"family":"Kapun","given":"Martin"},{"family":"Schlötterer","given":"Christian"}],"accessed":{"date-parts":[["2019",8,14]]},"issued":{"date-parts":[["2018",12,20]]}}}],"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(3)</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A key reason for the paucity of such studies is that many loci of small effect are thought to contribute most to rapid evolutionary change and do not align with classical “hard-sweep” models making their identification difficult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{"citationID":"WK0xA95n","properties":{"formattedCitation":"(4, 5)","plainCitation":"(4, 5)","noteIndex":0},"citationItems":[{"id":1601,"uris":["http://zotero.org/users/9952604/items/QU3XV3DW"],"itemData":{"id":1601,"type":"article-journal","abstract":"Organisms can often adapt surprisingly quickly to evolutionary challenges, such as the application of pesticides or antibiotics, suggesting an abundant supply of adaptive genetic variation. In these situations, adaptation should commonly produce 'soft' selective sweeps, where multiple adaptive alleles sweep through the population at the same time, either because the alleles were already present as standing genetic variation or arose independently by recurrent de novo mutations. Most well-known examples of rapid molecular adaptation indeed show signatures of such soft selective sweeps. Here, we review the current understanding of the mechanisms that produce soft sweeps and the approaches used for their identification in population genomic data. We argue that soft sweeps might be the dominant mode of adaptation in many species. © 2013 Elsevier Ltd.","container-title":"Trends in Ecology and Evolution","DOI":"10.1016/j.tree.2013.08.003","ISSN":"01695347","issue":"11","note":"publisher: Elsevier Ltd","page":"659-669","title":"Population genomics of rapid adaptation by soft selective sweeps","volume":"28","author":[{"family":"Messer","given":"Philipp W."},{"family":"Petrov","given":"Dmitri A."}],"accessed":{"date-parts":[["2020",5,4]]},"issued":{"date-parts":[["2013",11,1]]}}},{"id":1346,"uris":["http://zotero.org/users/9952604/items/4IMMUJC3"],"itemData":{"id":1346,"type":"article-journal","abstract":"Population genetics largely rests on a 'standard model' in which random genetic drift is the dominant force, selective sweeps occur infrequently, and deleterious mutations are purged from the population by purifying selection. Studies of phenotypic evolution in nature reveal a very different picture, with strong selection and rapid heritable trait changes being common. The time-rate scaling of phenotypic evolution suggests that selection on phenotypes is often fluctuating in direction, allowing phenotypes to respond rapidly to environmental fluctuations while remaining within relatively constant bounds over longer periods. Whether such rapid phenotypic evolution undermines the standard model will depend on how many genomic loci typically contribute to strongly selected traits and how phenotypic evolution impacts the dynamics of genetic variation in a population. Population-level sequencing will allow us to dissect the genetic basis of phenotypic evolution and study the evolutionary dynamics of genetic variation through direct measurement of polymorphism trajectories over time.","container-title":"Trends in genetics : TIG","DOI":"10.1016/j.tig.2016.04.005","ISSN":"0168-9525","issue":"7","note":"PMID: 27185237\npublisher: Elsevier","page":"408-418","title":"Can Population Genetics Adapt to Rapid Evolution?","URL":"http://www.ncbi.nlm.nih.gov/pubmed/27185237","volume":"32","author":[{"family":"Messer","given":"Philipp W"},{"family":"Ellner","given":"Stephen P"},{"family":"Hairston","given":"Nelson G"}],"accessed":{"date-parts":[["2019",8,13]]},"issued":{"date-parts":[["2016",7,1]]}}}],"schema":"https://github.com/citation-style-language/schema/raw/master/csl-citation.json"}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(4, 5)</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Additional analytical challenges are exacerbated by different population-specific parameters (e.g., effective size or N</w:t>
      </w:r>
      <w:r w:rsidRPr="00631FA6">
        <w:rPr>
          <w:rFonts w:ascii="Times New Roman" w:hAnsi="Times New Roman" w:cs="Times New Roman"/>
          <w:bCs/>
          <w:color w:val="000000"/>
          <w:sz w:val="24"/>
          <w:szCs w:val="24"/>
          <w:vertAlign w:val="subscript"/>
        </w:rPr>
        <w:t>e</w:t>
      </w:r>
      <w:r w:rsidRPr="00631FA6">
        <w:rPr>
          <w:rFonts w:ascii="Times New Roman" w:hAnsi="Times New Roman" w:cs="Times New Roman"/>
          <w:bCs/>
          <w:color w:val="000000"/>
          <w:sz w:val="24"/>
          <w:szCs w:val="24"/>
        </w:rPr>
        <w:t>) that influence the supply of new potentially beneficial mutations (θ = 4N</w:t>
      </w:r>
      <w:r w:rsidRPr="00631FA6">
        <w:rPr>
          <w:rFonts w:ascii="Times New Roman" w:hAnsi="Times New Roman" w:cs="Times New Roman"/>
          <w:bCs/>
          <w:color w:val="000000"/>
          <w:sz w:val="24"/>
          <w:szCs w:val="24"/>
          <w:vertAlign w:val="subscript"/>
        </w:rPr>
        <w:t>e</w:t>
      </w:r>
      <w:r w:rsidRPr="00631FA6">
        <w:rPr>
          <w:rFonts w:ascii="Times New Roman" w:hAnsi="Times New Roman" w:cs="Times New Roman"/>
          <w:bCs/>
          <w:color w:val="000000"/>
          <w:sz w:val="24"/>
          <w:szCs w:val="24"/>
        </w:rPr>
        <w:t>µ) and the resulting distribution of fitness effects (N</w:t>
      </w:r>
      <w:r w:rsidRPr="00631FA6">
        <w:rPr>
          <w:rFonts w:ascii="Times New Roman" w:hAnsi="Times New Roman" w:cs="Times New Roman"/>
          <w:bCs/>
          <w:color w:val="000000"/>
          <w:sz w:val="24"/>
          <w:szCs w:val="24"/>
          <w:vertAlign w:val="subscript"/>
        </w:rPr>
        <w:t>e</w:t>
      </w:r>
      <w:r w:rsidRPr="00631FA6">
        <w:rPr>
          <w:rFonts w:ascii="Times New Roman" w:hAnsi="Times New Roman" w:cs="Times New Roman"/>
          <w:bCs/>
          <w:i/>
          <w:iCs/>
          <w:color w:val="000000"/>
          <w:sz w:val="24"/>
          <w:szCs w:val="24"/>
        </w:rPr>
        <w:t>s</w:t>
      </w:r>
      <w:r w:rsidRPr="00631FA6">
        <w:rPr>
          <w:rFonts w:ascii="Times New Roman" w:hAnsi="Times New Roman" w:cs="Times New Roman"/>
          <w:bCs/>
          <w:color w:val="000000"/>
          <w:sz w:val="24"/>
          <w:szCs w:val="24"/>
        </w:rPr>
        <w:t xml:space="preserve">)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{"citationID":"U0yQjG9D","properties":{"formattedCitation":"(6, 7)","plainCitation":"(6, 7)","noteIndex":0},"citationItems":[{"id":2826,"uris":["http://zotero.org/users/9952604/items/U665L43Z"],"itemData":{"id":2826,"type":"article-journal","abstract":"Mutations can be deleterious, neutral or, in rare cases, advantageous. The relative frequencies of these types across a genome constitutes the distribution of fitness effects. The properties of this distribution have important consequences in both medical and evolutionary genetics. The distribution of fitness effects (DFE) of new mutations is a fundamental entity in genetics that has implications ranging from the genetic basis of complex disease to the stability of the molecular clock. It has been studied by two different approaches: mutation accumulation and mutagenesis experiments, and the analysis of DNA sequence data. The proportion of mutations that are advantageous, effectively neutral and deleterious varies between species, and the DFE differs between coding and non-coding DNA. Despite these differences between species and genomic regions, some general principles have emerged: advantageous mutations are rare, and those that are strongly selected are exponentially distributed; and the DFE of deleterious mutations is complex and multi-modal.","container-title":"Nature Reviews Genetics 2007 8:8","DOI":"10.1038/nrg2146","ISSN":"1471-0064","issue":"8","note":"PMID: 17637733\npublisher: Nature Publishing Group","page":"610-618","title":"The distribution of fitness effects of new mutations","URL":"https://www.nature.com/articles/nrg2146","volume":"8","author":[{"family":"Eyre-Walker","given":"Adam"},{"family":"Keightley","given":"Peter D."}],"accessed":{"date-parts":[["2022",6,8]]},"issued":{"date-parts":[["2007",8,3]]}}},{"id":2825,"uris":["http://zotero.org/users/9952604/items/DK7QJ4WX"],"itemData":{"id":2825,"type":"article-journal","abstract":"We investigate several questions concerning the inference of the distribution of fitness effects (DFE) of new mutations from the distribution of nucleotide frequencies in a population sample. If a ...","container-title":"Philosophical Transactions of the Royal Society B: Biological Sciences","DOI":"10.1098/RSTB.2009.0266","ISSN":"14712970","issue":"1544","note":"publisher: \nThe Royal Society","page":"1187-1193","title":"What can we learn about the distribution of fitness effects of new mutations from DNA sequence data?","URL":"https://royalsocietypublishing.org/doi/10.1098/rstb.2009.0266","volume":"365","author":[{"family":"Keightley","given":"Peter D."},{"family":"Eyre-Walker","given":"Adam"}],"accessed":{"date-parts":[["2022",6,8]]},"issued":{"date-parts":[["2010",4,27]]}}}],"schema":"https://github.com/citation-style-language/schema/raw/master/csl-citation.json"}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(6, 7)</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w:t>
      </w:r>
    </w:p>
    <w:p w14:paraId="77F3B727" w14:textId="77777777" w:rsidR="00631FA6" w:rsidRPr="00631FA6" w:rsidRDefault="00631FA6" w:rsidP="00631FA6">
      <w:pPr>
        <w:keepNext/>
        <w:pBdr>
          <w:top w:val="nil"/>
          <w:left w:val="nil"/>
          <w:bottom w:val="nil"/>
          <w:right w:val="nil"/>
          <w:between w:val="nil"/>
        </w:pBdr>
        <w:spacing w:before="240" w:after="60" w:line="480" w:lineRule="auto"/>
        <w:contextualSpacing/>
        <w:rPr>
          <w:rFonts w:ascii="Times New Roman" w:hAnsi="Times New Roman" w:cs="Times New Roman"/>
          <w:bCs/>
          <w:color w:val="000000"/>
          <w:sz w:val="24"/>
          <w:szCs w:val="24"/>
        </w:rPr>
      </w:pPr>
    </w:p>
    <w:p w14:paraId="5BC65072" w14:textId="77777777" w:rsidR="00631FA6" w:rsidRPr="00631FA6" w:rsidRDefault="00631FA6" w:rsidP="00631FA6">
      <w:pPr>
        <w:keepNext/>
        <w:pBdr>
          <w:top w:val="nil"/>
          <w:left w:val="nil"/>
          <w:bottom w:val="nil"/>
          <w:right w:val="nil"/>
          <w:between w:val="nil"/>
        </w:pBdr>
        <w:spacing w:before="240" w:after="60" w:line="480" w:lineRule="auto"/>
        <w:ind w:firstLine="720"/>
        <w:contextualSpacing/>
        <w:rPr>
          <w:rFonts w:ascii="Times New Roman" w:hAnsi="Times New Roman" w:cs="Times New Roman"/>
          <w:bCs/>
          <w:color w:val="000000"/>
          <w:sz w:val="24"/>
          <w:szCs w:val="24"/>
        </w:rPr>
      </w:pPr>
      <w:r w:rsidRPr="00631FA6">
        <w:rPr>
          <w:rFonts w:ascii="Times New Roman" w:hAnsi="Times New Roman" w:cs="Times New Roman"/>
          <w:bCs/>
          <w:color w:val="000000"/>
          <w:sz w:val="24"/>
          <w:szCs w:val="24"/>
        </w:rPr>
        <w:t xml:space="preserve">One way that rapid adaptation can be studied is using temporal genomic contrasts. Most commonly, temporal contrasts take the form of so-called “evolve and re-sequence studies” which follow a population across time during experimental evolution trials that typically employ contrasting selection regimes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{"citationID":"gAboqBhe","properties":{"formattedCitation":"(8\\uc0\\u8211{}10)","plainCitation":"(8–10)","noteIndex":0},"citationItems":[{"id":1378,"uris":["http://zotero.org/users/9952604/items/U5GTH7N4"],"itemData":{"id":1378,"type":"article-journal","abstract":"Evolve and resequence (E&amp;R) experiments use experimental evolution to adapt populations to a novel environment, then next-generation sequencing to analyse genetic changes. They enable molecular evolution to be monitored in real time on a genome-wide scale. Here, we review the field of E&amp;R experiments across diverse systems, ranging from simple non-living RNA to bacteria, yeast and the complex multicellular organism Drosophila melanogaster. We explore how different evolutionary outcomes in these systems are largely consistent with common population genetics principles. Differences in outcomes across systems are largely explained by different starting population sizes, levels of pre-existing genetic variation, recombination rates and adaptive landscapes. We highlight emerging themes and inconsistencies that future experiments must address.","container-title":"Nature Reviews Genetics","DOI":"10.1038/nrg3937","ISSN":"14710064","issue":"10","note":"publisher: Nature Publishing Group","page":"567-582","title":"Elucidating the molecular architecture of adaptation via evolve and resequence experiments","volume":"16","author":[{"family":"Long","given":"Anthony"},{"family":"Liti","given":"Gianni"},{"family":"Luptak","given":"Andrej"},{"family":"Tenaillon","given":"Olivier"}],"accessed":{"date-parts":[["2019",12,21]]},"issued":{"date-parts":[["2015",9,18]]}}},{"id":1376,"uris":["http://zotero.org/users/9952604/items/5JV99LQH"],"itemData":{"id":1376,"type":"article-journal","abstract":"Evolve and resequence (E&amp;R) is a new approach to investigate the genomic responses to selection during experimental evolution. By using whole genome sequencing of pools of individuals (Pool-Seq), this method can identify selected variants in controlled and replicable experimental settings. Reviewing the current state of the field, we show that E&amp;R can be powerful enough to identify causative genes and possibly even single-nucleotide polymorphisms. We also discuss how the experimental design and the complexity of the trait could result in a large number of false positive candidates. We suggest experimental and analytical strategies to maximize the power of E&amp;R to uncover the genotype-phenotype link and serve as an important research tool for a broad range of evolutionary questions.","container-title":"Heredity","DOI":"10.1038/hdy.2014.86","ISSN":"13652540","issue":"5","note":"publisher: Nature Publishing Group","page":"431-440","title":"Combining experimental evolution with next-generation sequencing: A powerful tool to study adaptation from standing genetic variation","volume":"114","author":[{"family":"Schlötterer","given":"C."},{"family":"Kofler","given":"R."},{"family":"Versace","given":"E."},{"family":"Tobler","given":"R."},{"family":"Franssen","given":"S. U."}],"accessed":{"date-parts":[["2019",12,21]]},"issued":{"date-parts":[["2015",5,21]]}}},{"id":1347,"uris":["http://zotero.org/users/9952604/items/ITWGJWM5"],"itemData":{"id":1347,"type":"article-journal","abstract":"Body size is a classic quantitative trait with evolutionarily significant variation within many species. Locating the alleles responsible for this variation would help understand the maintenance of variation in body size in particular, as well as quantitative traits in general. However, successful genome-wide association of genotype and phenotype may require very large sample sizes if alleles have low population frequencies or modest effects. As a complementary approach, we propose that population-based resequencing of experimentally evolved populations allows for considerable power to map functional variation. Here, we use this technique to investigate the genetic basis of natural variation in body size in Drosophila melanogaster. Significant differentiation of hundreds of loci in replicate selection populations supports the hypothesis that the genetic basis of body size variation is very polygenic in D. melanogaster. Significantly differentiated variants are limited to single genes at some loci, allowing precise hypotheses to be formed regarding causal polymorphisms, while other significant regions are large and contain many genes. By using significantly associated polymorphisms as a priori candidates in follow-up studies, these data are expected to provide considerable power to determine the genetic basis of natural variation in body size.","container-title":"PLoS Genetics","DOI":"10.1371/journal.pgen.1001336","ISSN":"1553-7404","issue":"3","note":"publisher: Public Library of Science","page":"e1001336","title":"Population-Based Resequencing of Experimentally Evolved Populations Reveals the Genetic Basis of Body Size Variation in Drosophila melanogaster","URL":"http://dx.plos.org/10.1371/journal.pgen.1001336","volume":"7","author":[{"family":"Turner","given":"Thomas L."},{"family":"Stewart","given":"Andrew D."},{"family":"Fields","given":"Andrew T."},{"family":"Rice","given":"William R."},{"family":"Tarone","given":"Aaron M."}],"editor":[{"family":"Gibson","given":"Greg"}],"accessed":{"date-parts":[["2019",8,14]]},"issued":{"date-parts":[["2011",3,17]]}}}],"schema":"https://github.com/citation-style-language/schema/raw/master/csl-citation.json"}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color w:val="000000"/>
          <w:sz w:val="24"/>
          <w:szCs w:val="24"/>
        </w:rPr>
        <w:t>(8–10)</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By finding the alleles that increase in frequency rapidly in different treatments, the molecular basis of phenotypic shifts can be explored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{"citationID":"973f3lDJ","properties":{"formattedCitation":"(8)","plainCitation":"(8)","noteIndex":0},"citationItems":[{"id":1378,"uris":["http://zotero.org/users/9952604/items/U5GTH7N4"],"itemData":{"id":1378,"type":"article-journal","abstract":"Evolve and resequence (E&amp;R) experiments use experimental evolution to adapt populations to a novel environment, then next-generation sequencing to analyse genetic changes. They enable molecular evolution to be monitored in real time on a genome-wide scale. Here, we review the field of E&amp;R experiments across diverse systems, ranging from simple non-living RNA to bacteria, yeast and the complex multicellular organism Drosophila melanogaster. We explore how different evolutionary outcomes in these systems are largely consistent with common population genetics principles. Differences in outcomes across systems are largely explained by different starting population sizes, levels of pre-existing genetic variation, recombination rates and adaptive landscapes. We highlight emerging themes and inconsistencies that future experiments must address.","container-title":"Nature Reviews Genetics","DOI":"10.1038/nrg3937","ISSN":"14710064","issue":"10","note":"publisher: Nature Publishing Group","page":"567-582","title":"Elucidating the molecular architecture of adaptation via evolve and resequence experiments","volume":"16","author":[{"family":"Long","given":"Anthony"},{"family":"Liti","given":"Gianni"},{"family":"Luptak","given":"Andrej"},{"family":"Tenaillon","given":"Olivier"}],"accessed":{"date-parts":[["2019",12,21]]},"issued":{"date-parts":[["2015",9,18]]}}}],"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(8)</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Such studies have been largely restricted to organisms such as bacteria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{"citationID":"KA6Y4igc","properties":{"formattedCitation":"(11)","plainCitation":"(11)","noteIndex":0},"citationItems":[{"id":2827,"uris":["http://zotero.org/users/9952604/items/AZVBPZXT"],"itemData":{"id":2827,"type":"article-journal","abstract":"Suitably designed experiments offer the possibility of quantifying evolutionary convergence because the fraction of replicate populations that converge is known. Here I review an experiment with Escherichia coli, in which 12 populations were founded from the same ancestral strain and have evolved for almost 30 years and more than 65,000 generations under the same conditions. The tension between divergence and convergence has been a major focus of this experiment. I summarize analyses of competitive fitness, correlated responses to different environments, cell morphology, the capacity to use a previously untapped resource, mutation rates, genomic changes, and within-population polymorphisms. These analyses reveal convergence, divergence, and often a complicated mix thereof. Complications include concordance in the direction of evolutionary change with sustained quantitative variation among populations, and the potential for a given trait to exhibit divergence on one timescale and convergence on another. Despite these complications, which also occur in nature, experiments provide a powerful way to study evolutionary convergence based on analyzing replicate lineages that experience the same environment.","container-title":"American Naturalist","DOI":"10.1086/691209/ASSET/IMAGES/LARGE/FG5.JPEG","ISSN":"00030147","note":"PMID: 28731830\npublisher: University of Chicago Press","page":"S57-S68","title":"Convergence and divergence in a long-term experiment with bacteria","URL":"https://www.journals.uchicago.edu/doi/10.1086/691209","volume":"190","author":[{"family":"Lenski","given":"Richard E."}],"accessed":{"date-parts":[["2022",6,8]]},"issued":{"date-parts":[["2017",8,1]]}}}],"schema":"https://github.com/citation-style-language/schema/raw/master/csl-citation.json"}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(11)</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or </w:t>
      </w:r>
      <w:r w:rsidRPr="00631FA6">
        <w:rPr>
          <w:rFonts w:ascii="Times New Roman" w:hAnsi="Times New Roman" w:cs="Times New Roman"/>
          <w:bCs/>
          <w:i/>
          <w:iCs/>
          <w:color w:val="000000"/>
          <w:sz w:val="24"/>
          <w:szCs w:val="24"/>
        </w:rPr>
        <w:t>Drosophila</w:t>
      </w:r>
      <w:r w:rsidRPr="00631FA6">
        <w:rPr>
          <w:rFonts w:ascii="Times New Roman" w:hAnsi="Times New Roman" w:cs="Times New Roman"/>
          <w:bCs/>
          <w:color w:val="000000"/>
          <w:sz w:val="24"/>
          <w:szCs w:val="24"/>
        </w:rPr>
        <w:t xml:space="preserve"> (10), which have rapid generation times and are easily manipulated in the lab. Other types of temporal contrasts encompass more natural experiments, such as the isolation and sequencing of ancient DNA, </w:t>
      </w:r>
      <w:r w:rsidRPr="00631FA6">
        <w:rPr>
          <w:rFonts w:ascii="Times New Roman" w:hAnsi="Times New Roman" w:cs="Times New Roman"/>
          <w:bCs/>
          <w:color w:val="000000"/>
          <w:sz w:val="24"/>
          <w:szCs w:val="24"/>
        </w:rPr>
        <w:lastRenderedPageBreak/>
        <w:t xml:space="preserve">which can give insight into past selection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{"citationID":"Ho1UtfJX","properties":{"formattedCitation":"(12)","plainCitation":"(12)","noteIndex":0},"citationItems":[{"id":1603,"uris":["http://zotero.org/users/9952604/items/TSZFF55C"],"itemData":{"id":1603,"type":"article-journal","abstract":"Abstract Evolutionary processes, including selection, can be indirectly inferred based on patterns of genomic variation among contemporary populations or species. However, this often requires unrealistic assumptions of ancestral demography and selective regimes. Sequencing ancient DNA from temporally spaced samples can inform about past selection processes, as time series data allow direct quantification of population parameters collected before, during, and after genetic changes driven by selection. In this Comment and Opinion, we advocate for the inclusion of temporal sampling and the generation of paleogenomic datasets in evolutionary biology, and highlight some of the recent advances that have yet to be broadly applied by evolutionary biologists. In doing so, we consider the expected signatures of balancing, purifying, and positive selection in time series data, and detail how this can advance our understanding of the chronology and tempo of genomic change driven by selection. However, we also recognize the limitations of such data, which can suffer from postmortem damage, fragmentation, low coverage, and typically low sample size. We therefore highlight the many assumptions and considerations associated with analyzing paleogenomic data and the assumptions associated with analytical methods.","container-title":"Evolution Letters","DOI":"10.1002/evl3.165","ISSN":"2056-3744","issue":"2","note":"publisher: Wiley","page":"94-108","title":"Inference of natural selection from ancient DNA","URL":"https://onlinelibrary.wiley.com/doi/abs/10.1002/evl3.165","volume":"4","author":[{"family":"Dehasque","given":"Marianne"},{"family":"Ávila‐Arcos","given":"María C."},{"family":"Díez‐del‐Molino","given":"David"},{"family":"Fumagalli","given":"Matteo"},{"family":"Guschanski","given":"Katerina"},{"family":"Lorenzen","given":"Eline D."},{"family":"Malaspinas","given":"Anna‐Sapfo"},{"family":"Marques‐Bonet","given":"Tomas"},{"family":"Martin","given":"Michael D."},{"family":"Murray","given":"Gemma G. R."},{"family":"Papadopulos","given":"Alexander S. T."},{"family":"Therkildsen","given":"Nina Overgaard"},{"family":"Wegmann","given":"Daniel"},{"family":"Dalén","given":"Love"},{"family":"Foote","given":"Andrew D."}],"accessed":{"date-parts":[["2020",5,5]]},"issued":{"date-parts":[["2020",4,1]]}}}],"schema":"https://github.com/citation-style-language/schema/raw/master/csl-citation.json"}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(12)</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However, with few exceptions, the genomes sampled are divorced from the phenomes they produced; thus, inference is based solely on the change in allele frequencies. A third way that temporal contrasts can be studied is through “resurrection” studies that seek to hatch or germinate seeds, cysts or other resting stages of organisms and compare genotypes and phenotypes from different points in time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{"citationID":"psAgiQCt","properties":{"formattedCitation":"(13\\uc0\\u8211{}15)","plainCitation":"(13–15)","noteIndex":0},"citationItems":[{"id":2033,"uris":["http://zotero.org/users/9952604/items/IR58EFM7"],"itemData":{"id":2033,"type":"article-journal","abstract":"This perspective provides an overview to the Special Issue on Resurrection Ecology (RE). It summarizes the contributions to this Special Issue, and provides background information and future prospects for the use of RE in both basic and applied evolutionary studies.","container-title":"Evolutionary Applications","DOI":"10.1111/eva.12563","ISSN":"17524571","issue":"1","note":"publisher: Wiley-Blackwell","page":"3-10","title":"Evolutionary aspects of resurrection ecology: Progress, scope, and applications-An overview","URL":"http://doi.wiley.com/10.1111/eva.12563","volume":"11","author":[{"family":"Weider","given":"Lawrence J."},{"family":"Jeyasingh","given":"Punidan D."},{"family":"Frisch","given":"Dagmar"}],"accessed":{"date-parts":[["2020",10,5]]},"issued":{"date-parts":[["2018",1,1]]}}},{"id":2832,"uris":["http://zotero.org/users/9952604/items/QZ6GLERP"],"itemData":{"id":2832,"type":"article-journal","abstract":"Seven date palm seeds (Phoenix dactylifera L.), radiocarbon dated from the fourth century BCE to the second century CE, were recovered from archaeological sites in the Southern Levant and germinated to yield viable plants. We conducted whole-genome sequencing of these germinated ancient samples and used single-nucleotide polymorphism data to examine the genetics of these previously extinct Judean date palms. We find that the oldest seeds from the fourth to first century BCE are related to modern West Asian date varieties, but later material from the second century BCE to second century CE showed increasing genetic affinities to present-day North African date palms. Population genomic analysis reveals that by </w:instrText>
      </w:r>
      <w:r w:rsidRPr="00631FA6">
        <w:rPr>
          <w:rFonts w:ascii="Cambria Math" w:hAnsi="Cambria Math" w:cs="Cambria Math"/>
          <w:bCs/>
          <w:color w:val="000000"/>
          <w:sz w:val="24"/>
          <w:szCs w:val="24"/>
        </w:rPr>
        <w:instrText>∼</w:instrText>
      </w:r>
      <w:r w:rsidRPr="00631FA6">
        <w:rPr>
          <w:rFonts w:ascii="Times New Roman" w:hAnsi="Times New Roman" w:cs="Times New Roman"/>
          <w:bCs/>
          <w:color w:val="000000"/>
          <w:sz w:val="24"/>
          <w:szCs w:val="24"/>
        </w:rPr>
        <w:instrText xml:space="preserve">2,400 to 2,000 y ago, the P. dactylifera gene pool in the Eastern Mediterranean already contained introgressed segments from the Cretan palm Phoenix theophrasti, a crucial genetic feature of the modern North African date palm populations. The P. theophrasti introgression fraction content is generally higher in the later samples, while introgression tracts are longer in these ancient germinated date palms compared to modern North African varieties. These results provide insights into crop evolution arising from an analysis of plants originating from ancient germinated seeds and demonstrate what can be accomplished with the application of a resurrection genomics approach.","container-title":"Proceedings of the National Academy of Sciences of the United States of America","DOI":"10.1073/PNAS.2025337118/SUPPL_FILE/PNAS.2025337118.SD02.XLSX","ISSN":"10916490","issue":"19","note":"PMID: 33941705\npublisher: National Academy of Sciences","title":"The genomes of ancient date palms germinated from 2,000 y old seeds","URL":"https://www.pnas.org","volume":"118","author":[{"family":"Gros-Balthazard","given":"Muriel"},{"family":"Flowers","given":"Jonathan M."},{"family":"Hazzouri","given":"Khaled M."},{"family":"Ferrand","given":"Sylvie"},{"family":"Aberlenc","given":"Frédérique"},{"family":"Sallon","given":"Sarah"},{"family":"Purugganan","given":"Michael D."}],"accessed":{"date-parts":[["2022",6,8]]},"issued":{"date-parts":[["2021",5,11]]}}},{"id":"SedG4JnF/nT0FCbZE","uris":["http://www.mendeley.com/documents/?uuid=00f6fd96-2b1b-30cf-9d53-33b3d955df9b"],"itemData":{"DOI":"10.1111/ele.12237","ISSN":"1461023X","author":[{"dropping-particle":"","family":"Frisch","given":"Dagmar","non-dropping-particle":"","parse-names":false,"suffix":""},{"dropping-particle":"","family":"Morton","given":"Philip K.","non-dropping-particle":"","parse-names":false,"suffix":""},{"dropping-particle":"","family":"Chowdhury","given":"Priyanka Roy","non-dropping-particle":"","parse-names":false,"suffix":""},{"dropping-particle":"","family":"Culver","given":"Billy W.","non-dropping-particle":"","parse-names":false,"suffix":""},{"dropping-particle":"","family":"Colbourne","given":"John K.","non-dropping-particle":"","parse-names":false,"suffix":""},{"dropping-particle":"","family":"Weider","given":"Lawrence J.","non-dropping-particle":"","parse-names":false,"suffix":""},{"dropping-particle":"","family":"Jeyasingh","given":"Punidan D.","non-dropping-particle":"","parse-names":false,"suffix":""}],"container-title":"Ecology Letters","editor":[{"dropping-particle":"","family":"Post","given":"David","non-dropping-particle":"","parse-names":false,"suffix":""}],"id":"JxsKhHw3/2qBksoHH","issue":"3","issued":{"date-parts":[["2014","3","1"]]},"page":"360-368","publisher":"Wiley/Blackwell (10.1111)","title":"A millennial-scale chronicle of evolutionary responses to cultural eutrophication in &lt;i&gt;Daphnia&lt;/i&gt;","type":"article-journal","volume":"17"}}],"schema":"https://github.com/citation-style-language/schema/raw/master/csl-citation.json"}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color w:val="000000"/>
          <w:sz w:val="24"/>
          <w:szCs w:val="24"/>
        </w:rPr>
        <w:t>(13–15)</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For instance, resurrection ecology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Tjop5sVW","properties":{"formattedCitation":"(16\\uc0\\u8211{}18)","plainCitation":"(16–18)","noteIndex":0},"citationItems":[{"id":568,"uris":["http://zotero.org/users/9952604/items/DIJFUNKB"],"itemData":{"id":568,"type":"article-journal","container-title":"Limnology and Oceanography","DOI":"10.4319/lo.1999.44.5.1232","ISSN":"00243590","issue":"5","note":"publisher: Wiley-Blackwell","page":"1232-1247","title":"A new approach to historical reconstruction: Combining descriptive and experimental paleolimnology","URL":"http://doi.wiley.com/10.4319/lo.1999.44.5.1232","volume":"44","author":[{"family":"Kerfoot","given":"W. Charles"},{"family":"Robbins","given":"John A."},{"family":"Weider","given":"Lawrence J."}],"accessed":{"date-parts":[["2018",10,4]]},"issued":{"date-parts":[["1999",7,1]]}}},{"id":704,"uris":["http://zotero.org/users/9952604/items/LP5JWG7I"],"itemData":{"id":704,"type":"report","abstract":"Taking an experimental approach to paleoecology, we evaluated the prey portion of Van Valen's Red Queen hypothesis by retrieving diapausing eggs from lake sediments for laboratory tests of evolutionary responses. The sediments consisted of core samples from Portage Lake (Michigan), which were dated by a combination of varve counts and radioisotope (137 Cs and 210 Pb) techniques. The sedimentary record of Portage Lake documented several major environmental changes (mining, channeling, post-1950s eutrophication) over the past century. Remains of Leptodora, Chaoborus, and Polyphemus from sediments and historic fish surveys suggested a changing balance of invertebrate and vertebrate (fish) predators. Daphnia retrocurva was present in Portage Lake for over 80 yr and replaced Daphnia dentifera during the eutrophication period. Against the background of environmental change, we tested a part of the Red Queen hypothesis (i.e., that the prey species D. retrocurva must be continually evolving relative to its primary invertebrate predator, just to remain in place). We examined D. retrocurva morphology and genetics through time by retrieving and hatching diapausing eggs from different sediment strata for genetic characterization and by common garden experiments (i.e., isolates reared under the same environmental conditions). Mitochondrial DNA 12S/16S analyses and allozyme electrophoresis were used to characterize hatchlings from various levels. Allele frequencies at one allozyme (Pgi) locus in D. retrocurva differed over the eutrophication phase, suggesting founder effects, natural selection, or both. Common garden experiments with D. retrocurva hatchlings documented significant microevolutionary adjustments in both helmet and spine lengths, supporting the hypothesis of continual evolution in prey against a changing balance of predation.","note":"container-title: Limnol. Oceanogr\nvolume: 49\nissue: 4","page":"1300-1316","title":"Experimental paleoecology (resurrection ecology): Chasing Van Valen's Red Queen hypothesis","author":[{"family":"Kerfoot","given":"W Charles"},{"family":"Weider","given":"Lawrence J"}],"accessed":{"date-parts":[["2019",2,4]]},"issued":{"date-parts":[["2004"]]}}},{"id":2123,"uris":["http://zotero.org/users/9952604/items/NE2YMVVF"],"itemData":{"id":2123,"type":"article-journal","abstract":"Studies monitoring changes in genetic diversity and composition through time allow a unique understanding of evolutionary dynamics and persistence of natural populations. However, such studies are often limited to species with short generation times that can be propagated in the laboratory or few exceptional cases in the wild. Species that produce dormant stages provide powerful models for the reconstruction of evolutionary dynamics in the natural environment. A remaining open question is to what extent dormant egg banks are an unbiased representation of populations and hence of the species’ evolutionary potential, especially in the presence of strong environmental selection. We address this key question using the water flea Daphnia magna, which produces dormant stages that accumulate in biological archives over time. We assess temporal genetic stability in three biological archives, previously used in resurrection ecology studies showing adaptive evolutionary responses to rapid environmental change. We show that neutral genetic diversity does not decline with the age of the population and it is maintained in the presence of strong selection. In addition, by comparing temporal genetic stability in hatched and unhatched populations from the same biological archive, we show that dormant egg banks can be consulted to obtain a reliable measure of genetic diversity over time, at least in the multidecadal time frame studied here. The stability of neutral genetic diversity through time is likely mediated by the buffering effect of the resting egg bank.","container-title":"Molecular Ecology","DOI":"10.1111/mec.13907","ISSN":"0962-1083","issue":"24","note":"publisher: Blackwell Publishing Ltd","page":"6024-6038","title":"Temporal genetic stability in natural populations of the waterflea &lt;i&gt; &lt;scp&gt;D&lt;/scp&gt; aphnia magna &lt;/i&gt; in response to strong selection pressure","URL":"https://onlinelibrary.wiley.com/doi/abs/10.1111/mec.13907","volume":"25","author":[{"family":"Orsini","given":"Luisa"},{"family":"Marshall","given":"Hollie"},{"family":"Cuenca Cambronero","given":"Maria"},{"family":"Chaturvedi","given":"Anurag"},{"family":"Thomas","given":"Kelley W."},{"family":"Pfrender","given":"Michael E."},{"family":"Spanier","given":"Katina I."},{"family":"De Meester","given":"Luc"}],"accessed":{"date-parts":[["2020",10,8]]},"issued":{"date-parts":[["2016",12,25]]}}}],"schema":"https://github.com/citation-style-language/schema/raw/master/csl-citation.json"}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color w:val="000000"/>
          <w:sz w:val="24"/>
          <w:szCs w:val="24"/>
        </w:rPr>
        <w:t>(16–18)</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commonly used in animals from the freshwater crustacean genus </w:t>
      </w:r>
      <w:r w:rsidRPr="00631FA6">
        <w:rPr>
          <w:rFonts w:ascii="Times New Roman" w:hAnsi="Times New Roman" w:cs="Times New Roman"/>
          <w:bCs/>
          <w:i/>
          <w:iCs/>
          <w:color w:val="000000"/>
          <w:sz w:val="24"/>
          <w:szCs w:val="24"/>
        </w:rPr>
        <w:t>Daphnia</w:t>
      </w:r>
      <w:r w:rsidRPr="00631FA6">
        <w:rPr>
          <w:rFonts w:ascii="Times New Roman" w:hAnsi="Times New Roman" w:cs="Times New Roman"/>
          <w:bCs/>
          <w:color w:val="000000"/>
          <w:sz w:val="24"/>
          <w:szCs w:val="24"/>
        </w:rPr>
        <w:t xml:space="preserve"> has provided insight into the genetic basis of various traits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{"citationID":"Qqeyemca","properties":{"formattedCitation":"(15, 19, 20)","plainCitation":"(15, 19, 20)","noteIndex":0},"citationItems":[{"id":"SedG4JnF/nT0FCbZE","uris":["http://www.mendeley.com/documents/?uuid=00f6fd96-2b1b-30cf-9d53-33b3d955df9b"],"itemData":{"DOI":"10.1111/ele.12237","ISSN":"1461023X","author":[{"dropping-particle":"","family":"Frisch","given":"Dagmar","non-dropping-particle":"","parse-names":false,"suffix":""},{"dropping-particle":"","family":"Morton","given":"Philip K.","non-dropping-particle":"","parse-names":false,"suffix":""},{"dropping-particle":"","family":"Chowdhury","given":"Priyanka Roy","non-dropping-particle":"","parse-names":false,"suffix":""},{"dropping-particle":"","family":"Culver","given":"Billy W.","non-dropping-particle":"","parse-names":false,"suffix":""},{"dropping-particle":"","family":"Colbourne","given":"John K.","non-dropping-particle":"","parse-names":false,"suffix":""},{"dropping-particle":"","family":"Weider","given":"Lawrence J.","non-dropping-particle":"","parse-names":false,"suffix":""},{"dropping-particle":"","family":"Jeyasingh","given":"Punidan D.","non-dropping-particle":"","parse-names":false,"suffix":""}],"container-title":"Ecology Letters","editor":[{"dropping-particle":"","family":"Post","given":"David","non-dropping-particle":"","parse-names":false,"suffix":""}],"id":"JxsKhHw3/2qBksoHH","issue":"3","issued":{"date-parts":[["2014","3","1"]]},"page":"360-368","publisher":"Wiley/Blackwell (10.1111)","title":"A millennial-scale chronicle of evolutionary responses to cultural eutrophication in &lt;i&gt;Daphnia&lt;/i&gt;","type":"article-journal","volume":"17"}},{"id":2824,"uris":["http://zotero.org/users/9952604/items/4HWCX9PU"],"itemData":{"id":2824,"type":"article-journal","abstract":"We lack a thorough understanding of the origin and maintenance of standing genetic variation that enables rapid evolutionary responses of natural populations. Whole genome sequencing of a resurrected Daphnia population shows that standing genetic variation in over 500 genes follows an evolutionary trajectory that parallels the pronounced and rapid adaptive evolution of multiple traits in response to predator-driven natural selection and its subsequent relaxation. Genetic variation carried by only five founding individuals from the regional genotype pool is shown to suffice at enabling the observed evolution. Our results provide insight on how natural populations can acquire the genomic variation, through colonization by a few regional genotypes, that fuels rapid evolution in response to strong selection pressures. While these evolutionary responses in our study population involved hundreds of genes, we observed no evidence of genetic erosion.","container-title":"Nature Communications","DOI":"10.1038/s41467-021-24581-z","ISSN":"2041-1723","issue":"1","page":"4306","title":"Extensive standing genetic variation from a small number of founders enables rapid adaptation in Daphnia","URL":"https://doi.org/10.1038/s41467-021-24581-z","volume":"12","author":[{"family":"Chaturvedi","given":"Anurag"},{"family":"Zhou","given":"Jiarui"},{"family":"Raeymaekers","given":"Joost A M"},{"family":"Czypionka","given":"Till"},{"family":"Orsini","given":"Luisa"},{"family":"Jackson","given":"Craig E"},{"family":"Spanier","given":"Katina I"},{"family":"Shaw","given":"Joseph R"},{"family":"Colbourne","given":"John K"},{"family":"De Meester","given":"Luc"}],"issued":{"date-parts":[["2021"]]}}},{"id":860,"uris":["http://zotero.org/users/9952604/items/QLI5ZNQT"],"itemData":{"id":860,"type":"article-journal","abstract":"Organisms producing resting stages provide unique opportunities for reconstructing the genetic history of natural populations. Diapausing seeds and eggs often are preserved in large numbers, representing entire populations captured in an evolutionary inert state for decades and even centuries. Starting from a natural resting egg bank of the waterflea Daphnia, we compare the evolutionary rates of change in an adaptive quantitative trait with those in selectively neutral DNA markers, thus effectively testing whether the observed genetic changes in the quantitative trait are driven by natural selection. The population studied experienced variable and well documented levels of fish predation over the past 30 years and shows correlated genetic changes in phototactic behavior, a predator-avoidance trait that is related to diel vertical migration. The changes mainly involve an increased plasticity response upon exposure to predator kairomone, the direction of the changes being in agreement with the hypothesis of adaptive evolution. Genetic differentiation through time was an order of magnitude higher for the studied behavioral trait than for neutral markers (DNA microsatellites), providing strong evidence that natural selection was the driving force behind the observed, rapid, evolutionary changes.","container-title":"Proceedings of the National Academy of Sciences of the United States of America","DOI":"10.1073/pnas.111606798","ISSN":"0027-8424","issue":"11","note":"PMID: 11353872\npublisher: National Academy of Sciences","page":"6256-60","title":"Rapid, local adaptation of zooplankton behavior to changes in predation pressure in the absence of neutral genetic changes.","URL":"http://www.ncbi.nlm.nih.gov/pubmed/11353872","volume":"98","author":[{"family":"Cousyn","given":"C"},{"family":"De Meester","given":"L"},{"family":"Colbourne","given":"J K"},{"family":"Brendonck","given":"L"},{"family":"Verschuren","given":"D"},{"family":"Volckaert","given":"F"}],"accessed":{"date-parts":[["2019",3,4]]},"issued":{"date-parts":[["2001",5,22]]}}}],"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(15, 19, 20)</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Thus far, however, this method has not allowed the identification of loci that can be plausibly related to the phenotype under study because genetic markers are either too sparse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{"citationID":"ZSk3OX0a","properties":{"formattedCitation":"(21)","plainCitation":"(21)","noteIndex":0},"citationItems":[{"id":2120,"uris":["http://zotero.org/users/9952604/items/BTUJGAMG"],"itemData":{"id":2120,"type":"article-journal","abstract":"Understanding the evolutionary consequences of the green revolution, particularly in wild populations, is an important frontier in contemporary biology. Because human impacts have occurred at varying magnitudes or time periods depending on the study ecosystem, evolutionary histories may vary considerably among populations. Paleogenetics in conjunction with paleolimnology enable us to associate microevolutionary dynamics with detailed information on environmental change. We used this approach to reconstruct changes in the temporal population genetic structure of the keystone zooplankton grazer, Daphnia pulicaria, using dormant eggs extracted from sediments in two Minnesota lakes (South Center, Hill). The extent of agriculture and human population density in the catchment of these lakes has differed markedly since European settlement in the late 19th century and is reflected in their environmental histories reconstructed here. The reconstructed environments of these two lakes differed strongly in terms of environmental stability and their associated patterns of Daphnia population structure. We detected long periods of stability in population structure and environmental conditions in South Center Lake that were followed by a dramatic temporal shift in population genetic structure after the onset of European settlement and industrialized agriculture in its watershed. In particular, we noted a 24.3-fold increase in phosphorus (P) flux between pre-European and modern sediment P accumulation rates (AR) in this lake. In contrast, no such shifts were detected in Hill Lake, where the watershed was not as impacted by European settlement and rates of change were less directional with a much smaller increase in sediment P AR (2.3-fold). We identify direct and indirect effects of eutrophication proxies on genetic structure in these lake populations and demonstrate the power of using this approach in understanding the consequences of anthropogenic environmental change on natural populations throughout historic time periods.","container-title":"Global Change Biology","DOI":"10.1111/gcb.13445","ISSN":"13541013","issue":"2","note":"publisher: Blackwell Publishing Ltd","page":"708-718","title":"Paleogenetic records of &lt;i&gt;Daphnia pulicaria&lt;/i&gt; in two North American lakes reveal the impact of cultural eutrophication","URL":"http://doi.wiley.com/10.1111/gcb.13445","volume":"23","author":[{"family":"Frisch","given":"Dagmar"},{"family":"Morton","given":"Philip K."},{"family":"Culver","given":"Billy W."},{"family":"Edlund","given":"Mark B."},{"family":"Jeyasingh","given":"Punidan D."},{"family":"Weider","given":"Lawrence J."}],"accessed":{"date-parts":[["2020",10,8]]},"issued":{"date-parts":[["2017",2,1]]}}}],"schema":"https://github.com/citation-style-language/schema/raw/master/csl-citation.json"}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(21)</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or the traits under study are too highly integrated across the genome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{"citationID":"A39R2W6B","properties":{"formattedCitation":"(19)","plainCitation":"(19)","noteIndex":0},"citationItems":[{"id":2824,"uris":["http://zotero.org/users/9952604/items/4HWCX9PU"],"itemData":{"id":2824,"type":"article-journal","abstract":"We lack a thorough understanding of the origin and maintenance of standing genetic variation that enables rapid evolutionary responses of natural populations. Whole genome sequencing of a resurrected Daphnia population shows that standing genetic variation in over 500 genes follows an evolutionary trajectory that parallels the pronounced and rapid adaptive evolution of multiple traits in response to predator-driven natural selection and its subsequent relaxation. Genetic variation carried by only five founding individuals from the regional genotype pool is shown to suffice at enabling the observed evolution. Our results provide insight on how natural populations can acquire the genomic variation, through colonization by a few regional genotypes, that fuels rapid evolution in response to strong selection pressures. While these evolutionary responses in our study population involved hundreds of genes, we observed no evidence of genetic erosion.","container-title":"Nature Communications","DOI":"10.1038/s41467-021-24581-z","ISSN":"2041-1723","issue":"1","page":"4306","title":"Extensive standing genetic variation from a small number of founders enables rapid adaptation in Daphnia","URL":"https://doi.org/10.1038/s41467-021-24581-z","volume":"12","author":[{"family":"Chaturvedi","given":"Anurag"},{"family":"Zhou","given":"Jiarui"},{"family":"Raeymaekers","given":"Joost A M"},{"family":"Czypionka","given":"Till"},{"family":"Orsini","given":"Luisa"},{"family":"Jackson","given":"Craig E"},{"family":"Spanier","given":"Katina I"},{"family":"Shaw","given":"Joseph R"},{"family":"Colbourne","given":"John K"},{"family":"De Meester","given":"Luc"}],"issued":{"date-parts":[["2021"]]}}}],"schema":"https://github.com/citation-style-language/schema/raw/master/csl-citation.json"}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(19)</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w:t>
      </w:r>
    </w:p>
    <w:p w14:paraId="62091A3A" w14:textId="77777777" w:rsidR="00631FA6" w:rsidRPr="00631FA6" w:rsidRDefault="00631FA6" w:rsidP="00631FA6">
      <w:pPr>
        <w:keepNext/>
        <w:pBdr>
          <w:top w:val="nil"/>
          <w:left w:val="nil"/>
          <w:bottom w:val="nil"/>
          <w:right w:val="nil"/>
          <w:between w:val="nil"/>
        </w:pBdr>
        <w:spacing w:before="240" w:after="60" w:line="480" w:lineRule="auto"/>
        <w:contextualSpacing/>
        <w:rPr>
          <w:rFonts w:ascii="Times New Roman" w:hAnsi="Times New Roman" w:cs="Times New Roman"/>
          <w:bCs/>
          <w:color w:val="000000"/>
          <w:sz w:val="24"/>
          <w:szCs w:val="24"/>
        </w:rPr>
      </w:pPr>
    </w:p>
    <w:p w14:paraId="124003BB" w14:textId="77777777" w:rsidR="00631FA6" w:rsidRPr="00631FA6" w:rsidRDefault="00631FA6" w:rsidP="00631FA6">
      <w:pPr>
        <w:keepNext/>
        <w:pBdr>
          <w:top w:val="nil"/>
          <w:left w:val="nil"/>
          <w:bottom w:val="nil"/>
          <w:right w:val="nil"/>
          <w:between w:val="nil"/>
        </w:pBdr>
        <w:spacing w:before="240" w:after="60" w:line="480" w:lineRule="auto"/>
        <w:ind w:firstLine="720"/>
        <w:contextualSpacing/>
        <w:rPr>
          <w:rFonts w:ascii="Times New Roman" w:hAnsi="Times New Roman" w:cs="Times New Roman"/>
          <w:bCs/>
          <w:color w:val="000000"/>
          <w:sz w:val="24"/>
          <w:szCs w:val="24"/>
        </w:rPr>
      </w:pPr>
      <w:r w:rsidRPr="00631FA6">
        <w:rPr>
          <w:rFonts w:ascii="Times New Roman" w:hAnsi="Times New Roman" w:cs="Times New Roman"/>
          <w:bCs/>
          <w:i/>
          <w:iCs/>
          <w:color w:val="000000"/>
          <w:sz w:val="24"/>
          <w:szCs w:val="24"/>
        </w:rPr>
        <w:t>Daphnia</w:t>
      </w:r>
      <w:r w:rsidRPr="00631FA6">
        <w:rPr>
          <w:rFonts w:ascii="Times New Roman" w:hAnsi="Times New Roman" w:cs="Times New Roman"/>
          <w:bCs/>
          <w:color w:val="000000"/>
          <w:sz w:val="24"/>
          <w:szCs w:val="24"/>
        </w:rPr>
        <w:t xml:space="preserve"> are keystone species in freshwater food webs, connecting the flow of energy from algal production to higher trophic levels such as fish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{"citationID":"P9ZDMKBR","properties":{"formattedCitation":"(22, 23)","plainCitation":"(22, 23)","noteIndex":0},"citationItems":[{"id":2247,"uris":["http://zotero.org/users/9952604/items/333H5U5H"],"itemData":{"id":2247,"type":"book","abstract":"This concise, readable introduction to limnology (the science of investigating the structure and function of inland waters), places the subject in the context of modern ecology. Unlike most ecological textbooks, which use examples taken almost exclusively from terrestrial systems, this book integrates the fields of limnology and ecology by presenting empirical data drawn entirely from freshwater ecosystems in order to advance ecological theories (limnoecology). This second edition builds upon the strengths of the first with the structure of the book following the same hierarchical concept of ecology, from habitat properties, individuals, populations, coupled populations and communities to ecosystems. However, it has been thoroughly revised throughout to incorporate findings from new technologies and methods (notably the rapid development of molecular genetic methods and stable isotope techniques) that have allowed a rapid and ongoing development of the field. There is a new emphasis on food webs, species diversity and ecosystem functioning, climate change, and conservation management. Key ecological questions are examined in the light of the latest experimental evidence. Throughout the text evolutionary theory is applied to an understanding of freshwater ecosystems, thereby filling a niche between traditional limnology and evolutionary ecology. This accessible text is suitable for both undergraduate and graduate students taking courses in limnology, freshwater ecology, and aquatic biology as well as the many professional limnologists, ecologists and conservation biologists requiring a concise but authoritative overview of the topic.","event-place":"New York, NY","ISBN":"978-0-19-921393-1","number-of-pages":"366","publisher":"Oxford University Press","publisher-place":"New York, NY","title":"Limnoecology: The Ecology of Lakes and Streams","author":[{"family":"Lampert","given":"Winfried"},{"family":"Sommer","given":"Ulrich"}],"issued":{"date-parts":[["2007"]]}}},{"id":2344,"uris":["http://zotero.org/users/9952604/items/SZFVJPSZ"],"itemData":{"id":2344,"type":"article-journal","container-title":"Fundamental and Applied Limnology","DOI":"10.1127/fal/2020/1344","ISSN":"1863-9135","issue":"4","note":"publisher: Schweizerbart'sche Verlagsbuchhandlung","page":"297-309","title":"Large daphniids are keystone species that link fish predation and phytoplankton in trophic cascades","URL":"http://www.schweizerbart.de/papers/fal/detail/194/96827/Large_daphniids_are_keystone_species_that_link_fis?af=crossref","volume":"194","author":[{"family":"Ogorelec","given":"Žiga"},{"family":"Wunsch","given":"Carsten"},{"family":"Kunzmann","given":"Alessandra Janina"},{"family":"Octorina","given":"Pelita"},{"family":"Navarro","given":"Jana Isanta"}],"accessed":{"date-parts":[["2021",2,28]]},"issued":{"date-parts":[["2021",2,25]]}}}],"schema":"https://github.com/citation-style-language/schema/raw/master/csl-citation.json"}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(22, 23)</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Specific to many North American lakes, </w:t>
      </w:r>
      <w:r w:rsidRPr="00631FA6">
        <w:rPr>
          <w:rFonts w:ascii="Times New Roman" w:hAnsi="Times New Roman" w:cs="Times New Roman"/>
          <w:bCs/>
          <w:i/>
          <w:iCs/>
          <w:color w:val="000000"/>
          <w:sz w:val="24"/>
          <w:szCs w:val="24"/>
        </w:rPr>
        <w:t>Daphnia pulicaria</w:t>
      </w:r>
      <w:r w:rsidRPr="00631FA6">
        <w:rPr>
          <w:rFonts w:ascii="Times New Roman" w:hAnsi="Times New Roman" w:cs="Times New Roman"/>
          <w:bCs/>
          <w:color w:val="000000"/>
          <w:sz w:val="24"/>
          <w:szCs w:val="24"/>
        </w:rPr>
        <w:t xml:space="preserve">, maintains water clarity, a key ecosystem service and supports recreational fisheries with values in the millions of USD per lake per annum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{"citationID":"8t6gx7BH","properties":{"formattedCitation":"(24)","plainCitation":"(24)","noteIndex":0},"citationItems":[{"id":1248,"uris":["http://zotero.org/users/9952604/items/V2RTUEUB"],"itemData":{"id":1248,"type":"article-journal","abstract":"Despite growing recognition of the importance of ecosystem services and the economic and ecological harm caused by invasive species, linkages between invasions, changes in ecosystem functioning, and in turn, provisioning of ecosystem services remain poorly documented and poorly understood. We evaluate the economic impacts of an invasion that cascaded through a food web to cause substantial declines in water clarity, a valued ecosystem service. The predatory zooplankton, the spiny water flea (Bythotrephes longimanus), invaded the Laurentian Great Lakes in the 1980s and has subsequently undergone secondary spread to inland lakes, including Lake Mendota (Wisconsin), in 2009. In Lake Mendota, Bythotrephes has reached unparalleled densities compared with in other lakes, decreasing biomass of the grazer Daphnia pulicaria and causing a decline in water clarity of nearly 1 m. Time series modeling revealed that the loss in water clarity, valued at US$140 million (US$640 per household), could be reversed by a 71% reduction in phosphorus loading. A phosphorus reduction of this magnitude is estimated to cost between US$86.5 million and US$163 million (US$430-US$810 per household). Estimates of the economic effects of Great Lakes invasive species may increase considerably if cases of secondary invasions into inland lakes, such as Lake Mendota, are included. Furthermore, such extreme cases of economic damages call for increased investment in the prevention and control of invasive species to better maximize the economic benefits of such programs. Our results highlight the need to more fully incorporate ecosystem services into our analysis of invasive species impacts, management, and public policy.","container-title":"Proceedings of the National Academy of Sciences of the United States of America","DOI":"10.1073/pnas.1600366113","ISSN":"1091-6490","issue":"15","note":"PMID: 27001838\npublisher: National Academy of Sciences","page":"4081-5","title":"Invasive species triggers a massive loss of ecosystem services through a trophic cascade.","URL":"http://www.ncbi.nlm.nih.gov/pubmed/27001838","volume":"113","author":[{"family":"Walsh","given":"Jake R"},{"family":"Carpenter","given":"Stephen R"},{"family":"Vander Zanden","given":"M Jake"}],"accessed":{"date-parts":[["2019",5,27]]},"issued":{"date-parts":[["2016",4,12]]}}}],"schema":"https://github.com/citation-style-language/schema/raw/master/csl-citation.json"}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(24)</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Freshwater ecosystems are among the most threatened ecosystems worldwide, impacted by various anthropogenic stressors such as pollution, climate change and invasive species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{"citationID":"RhINm6Aa","properties":{"formattedCitation":"(25)","plainCitation":"(25)","noteIndex":0},"citationItems":[{"id":1612,"uris":["http://zotero.org/users/9952604/items/4MY55QKA"],"itemData":{"id":1612,"type":"article-journal","abstract":"In the 12 years since Dudgeon et al. (2006) reviewed major pressures on freshwater ecosystems, the biodiversity crisis in the world's lakes, reservoirs, rivers, streams and wetlands has deepened. While lakes, reservoirs and rivers cover only 2.3% of the Earth's surface, these ecosystems host at least 9.5% of the Earth's described animal species. Furthermore, using the World Wide Fund for Nature's Living Planet Index, freshwater population declines (83% between 1970 and 2014) continue to outpace contemporaneous declines in marine or terrestrial systems. The Anthropocene has brought multiple new and varied threats that disproportionately impact freshwater systems. We document 12 emerging threats to freshwater biodiversity that are either entirely new since 2006 or have since intensified: (i) changing climates; (ii) e-commerce and invasions; (iii) infectious diseases; (iv) harmful algal blooms; (v) expanding hydropower; (vi) emerging contaminants; (vii) engineered nanomaterials; (viii) microplastic pollution; (ix) light and noise; (x) freshwater salinisation; (xi) declining calcium; and (xii) cumulative stressors. Effects are evidenced for amphibians, fishes, invertebrates, microbes, plants, turtles and waterbirds, with potential for ecosystem-level changes through bottom-up and top-down processes. In our highly uncertain future, the net effects of these threats raise serious concerns for freshwater ecosystems. However, we also highlight opportunities for conservation gains as a result of novel management tools (e.g. environmental flows, environmental DNA) and specific conservation-oriented actions (e.g. dam removal, habitat protection policies, managed relocation of species) that have been met with varying levels of success. Moving forward, we advocate hybrid approaches that manage fresh waters as crucial ecosystems for human life support as well as essential hotspots of biodiversity and ecological function. Efforts to reverse global trends in freshwater degradation now depend on bridging an immense gap between the aspirations of conservation biologists and the accelerating rate of species endangerment.","container-title":"Biological Reviews","DOI":"10.1111/brv.12480","ISSN":"1469185X","issue":"3","note":"PMID: 30467930\npublisher: Blackwell Publishing Ltd","page":"849-873","title":"Emerging threats and persistent conservation challenges for freshwater biodiversity","volume":"94","author":[{"family":"Reid","given":"Andrea J."},{"family":"Carlson","given":"Andrew K."},{"family":"Creed","given":"Irena F."},{"family":"Eliason","given":"Erika J."},{"family":"Gell","given":"Peter A."},{"family":"Johnson","given":"Pieter T.J."},{"family":"Kidd","given":"Karen A."},{"family":"MacCormack","given":"Tyson J."},{"family":"Olden","given":"Julian D."},{"family":"Ormerod","given":"Steve J."},{"family":"Smol","given":"John P."},{"family":"Taylor","given":"William W."},{"family":"Tockner","given":"Klement"},{"family":"Vermaire","given":"Jesse C."},{"family":"Dudgeon","given":"David"},{"family":"Cooke","given":"Steven J."}],"accessed":{"date-parts":[["2020",6,17]]},"issued":{"date-parts":[["2019",6,1]]}}}],"schema":"https://github.com/citation-style-language/schema/raw/master/csl-citation.json"}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(25)</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One issue threatening many freshwater ecosystems is salinization due to human activities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{"citationID":"qFplBS2a","properties":{"formattedCitation":"(26)","plainCitation":"(26)","noteIndex":0},"citationItems":[{"id":601,"uris":["http://zotero.org/users/9952604/items/4JPBQH94"],"itemData":{"id":601,"type":"article-journal","abstract":"Salt pollution and human-accelerated weathering are shifting the chemical composition of major ions in fresh water and increasing salinization and alkalinization across North America. We propose a concept, the freshwater salinization syndrome, which links salinization and alkalinization processes. This syndrome manifests as concurrent trends in specific conductance, pH, alkalinity, and base cations. Although individual trends can vary in strength, changes in salinization and alkalinization have affected 37% and 90%, respectively, of the drainage area of the contiguous United States over the past century. Across 232 United States Geological Survey (USGS) monitoring sites, 66% of stream and river sites showed a statistical increase in pH, which often began decades before acid rain regulations. The syndrome is most prominent in the densely populated eastern and midwestern United States, where salinity and alkalinity have increased most rapidly. The syndrome is caused by salt pollution (e.g., road deicers, irrigation runoff, sewage, potash), accelerated weathering and soil cation exchange, mining and resource extraction, and the presence of easily weathered minerals used in agriculture (lime) and urbanization (concrete). Increasing salts with strong bases and carbonates elevate acid neutralizing capacity and pH, and increasing sodium from salt pollution eventually displaces base cations on soil exchange sites, which further increases pH and alkalinization. Symptoms of the syndrome can include: infrastructure corrosion, contaminant mobilization, and variations in coastal ocean acidification caused by increasingly alkaline river inputs. Unless regulated and managed, the freshwater salinization syndrome can have significant impacts on ecosystem services such as safe drinking water, contaminant retention, and biodiversity.","container-title":"Proceedings of the National Academy of Sciences","DOI":"10.1073/pnas.1711234115","ISSN":"0027-8424","note":"PMID: 29311318","title":"Freshwater salinization syndrome on a continental scale","author":[{"family":"Kaushal","given":"Sujay S."},{"family":"Likens","given":"Gene E."},{"family":"Pace","given":"Michael L."},{"family":"Utz","given":"Ryan M."},{"family":"Haq","given":"Shahan"},{"family":"Gorman","given":"Julia"},{"family":"Grese","given":"Melissa"}],"issued":{"date-parts":[["2018"]]}}}],"schema":"https://github.com/citation-style-language/schema/raw/master/csl-citation.json"}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(26)</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within northern temperate lakes specifically salinization is particularly acute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{"citationID":"wRXNUJA0","properties":{"formattedCitation":"(27, 28)","plainCitation":"(27, 28)","noteIndex":0},"citationItems":[{"id":2025,"uris":["http://zotero.org/users/9952604/items/B6DFMHIK"],"itemData":{"id":2025,"type":"article-journal","abstract":"Lakes in the Midwest and Northeast United States are at risk of anthropogenic chloride contamination, but there is little knowledge of the prevalence and spatial distribution of freshwater salinization. Here, we use a quantile regression forest (QRF) to leverage information from 2773 lakes to predict the chloride concentration of all 49»432 lakes greater than 4 ha in a 17-state area. The QRF incorporated 22 predictor variables, which included lake morphometry characteristics, watershed land use, and distance to the nearest road and interstate. Model predictions had an r2 of 0.94 for all chloride observations, and an r2 of 0.86 for predictions of the median chloride concentration observed at each lake. The four predictors with the largest influence on lake chloride concentrations were low and medium intensity development in the watershed, crop density in the watershed, and distance to the nearest interstate. Almost 2000 lakes are predicted to have chloride concentrations above 50 mg L-1 and should be monitored. We encourage management and governing agencies to use lake-specific model predictions to assess salt contamination risk as well as to augment their monitoring strategies to more comprehensively protect freshwater ecosystems from salinization.","container-title":"Environmental Science and Technology","DOI":"10.1021/acs.est.9b07718","ISSN":"15205851","issue":"11","note":"PMID: 32353225\npublisher: American Chemical Society","page":"6639-6650","title":"Lakes at Risk of Chloride Contamination","URL":"https://pubs.acs.org/doi/abs/10.1021/acs.est.9b07718","volume":"54","author":[{"family":"Dugan","given":"Hilary A."},{"family":"Skaff","given":"Nicholas K."},{"family":"Doubek","given":"Jonathan P."},{"family":"Bartlett","given":"Sarah L."},{"family":"Burke","given":"Samantha M."},{"family":"Krivak-Tetley","given":"Flora E."},{"family":"Summers","given":"Jamie C."},{"family":"Hanson","given":"Paul C."},{"family":"Weathers","given":"Kathleen C."}],"accessed":{"date-parts":[["2020",9,19]]},"issued":{"date-parts":[["2020",6,2]]}}},{"id":56,"uris":["http://zotero.org/users/9952604/items/9LJ3AWD2"],"itemData":{"id":56,"type":"article-journal","abstract":"The highest densities of lakes on Earth are in north temperate ecosystems, where increasing urbanization and associated chloride runoff can salinize freshwaters and threaten lake water quality and the many ecosystem services lakes provide. However, the extent to which lake salinity may be changing at broad spatial scales remains unknown, leading us to first identify spatial patterns and then investigate the drivers of these patterns. Significant decadal trends in lake salinization were identified using a dataset of long-term chloride concentrations from 371 North American lakes. Landscape and climate metrics calculated for each site demonstrated that impervious land cover was a strong predictor of chloride trends in Northeast and Midwest North American lakes. As little as 1% impervious land cover surrounding a lake increased the likelihood of long-term salinization. Considering that 27% of large lakes in the United States have &gt;1% impervious land cover around their perimeters, the potential for steady and long-term salinization of these aquatic systems is high. This study predicts that many lakes will exceed the aquatic life threshold criterion for chronic chloride exposure (230 mg L-1), stipulated by the US Environmental Protection Agency (EPA), in the next 50 y if current trends continue.","container-title":"Proceedings of the National Academy of Sciences of the United States of America","DOI":"10.1073/pnas.1620211114","ISSN":"1091-6490","issue":"17","note":"PMID: 28396392\npublisher: National Academy of Sciences","page":"4453-4458","title":"Salting our freshwater lakes.","URL":"http://www.ncbi.nlm.nih.gov/pubmed/28396392","volume":"114","author":[{"family":"Dugan","given":"Hilary A"},{"family":"Bartlett","given":"Sarah L"},{"family":"Burke","given":"Samantha M"},{"family":"Doubek","given":"Jonathan P"},{"family":"Krivak-Tetley","given":"Flora E"},{"family":"Skaff","given":"Nicholas K"},{"family":"Summers","given":"Jamie C"},{"family":"Farrell","given":"Kaitlin J"},{"family":"McCullough","given":"Ian M"},{"family":"Morales-Williams","given":"Ana M"},{"family":"Roberts","given":"Derek C"},{"family":"Ouyang","given":"Zutao"},{"family":"Scordo","given":"Facundo"},{"family":"Hanson","given":"Paul C"},{"family":"Weathers","given":"Kathleen C"}],"accessed":{"date-parts":[["2018",3,20]]},"issued":{"date-parts":[["2017",4,25]]}}}],"schema":"https://github.com/citation-style-language/schema/raw/master/csl-citation.json"}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(27, 28)</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The causes and scope of salinization have been well known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{"citationID":"PrRBUNW7","properties":{"formattedCitation":"(29, 30)","plainCitation":"(29, 30)","noteIndex":0},"citationItems":[{"id":1129,"uris":["http://zotero.org/users/9952604/items/4QEY93TP"],"itemData":{"id":1129,"type":"article-journal","container-title":"Freshwater Biology","DOI":"10.1111/fwb.13286","ISSN":"0046-5070","issue":"6","note":"publisher: John Wiley &amp; Sons, Ltd (10.1111)","page":"1081-1097","title":"A review of the species, community, and ecosystem impacts of road salt salinisation in fresh waters","URL":"https://onlinelibrary.wiley.com/doi/abs/10.1111/fwb.13286","volume":"64","author":[{"family":"Hintz","given":"William D."},{"family":"Relyea","given":"Rick A."}],"accessed":{"date-parts":[["2019",5,7]]},"issued":{"date-parts":[["2019",6,25]]}}},{"id":2802,"uris":["http://zotero.org/users/9952604/items/X9F3V8T5"],"itemData":{"id":2802,"type":"article-journal","abstract":"&lt;p&gt;The widespread salinisation of freshwater ecosystems poses a major threat to the biodiversity, functioning, and services that they provide. Human activities promote freshwater salinisation through multiple drivers (e.g., agriculture, resource extraction, urbanisation) that are amplified by climate change. Due to its complexity, we are still far from fully understanding the ecological and evolutionary consequences of freshwater salinisation. Here, we assess current research gaps and present a research agenda to guide future studies. We identified different gaps in taxonomic groups, levels of biological organisation, and geographic regions. We suggest focusing on global- and landscape-scale processes, functional approaches, genetic and molecular levels, and eco-evolutionary dynamics as key future avenues to predict the consequences of freshwater salinisation for ecosystems and human societies.&lt;/p&gt;","container-title":"Trends in Ecology &amp; Evolution","DOI":"10.1016/J.TREE.2021.12.005","ISSN":"0169-5347","issue":"0","note":"PMID: 35058082\npublisher: Elsevier","title":"Freshwater salinisation: a research agenda for a saltier world","URL":"http://www.cell.com/article/S0169534721003402/fulltext","volume":"0","author":[{"family":"Cunillera-Montcusí","given":"David"},{"family":"Beklioğlu","given":"Meryem"},{"family":"Cañedo-Argüelles","given":"Miguel"},{"family":"Jeppesen","given":"Erik"},{"family":"Ptacnik","given":"Robert"},{"family":"Amorim","given":"Cihelio A."},{"family":"Arnott","given":"Shelley E."},{"family":"Berger","given":"Stella A."},{"family":"Brucet","given":"Sandra"},{"family":"Dugan","given":"Hilary A."},{"family":"Gerhard","given":"Miriam"},{"family":"Horváth","given":"Zsófia"},{"family":"Langenheder","given":"Silke"},{"family":"Nejstgaard","given":"Jens C."},{"family":"Reinikainen","given":"Marko"},{"family":"Striebel","given":"Maren"},{"family":"Urrutia-Cordero","given":"Pablo"},{"family":"Vad","given":"Csaba F."},{"family":"Zadereev","given":"Egor"},{"family":"Matias","given":"Miguel"}],"accessed":{"date-parts":[["2022",1,26]]},"issued":{"date-parts":[["2022",1]]}}}],"schema":"https://github.com/citation-style-language/schema/raw/master/csl-citation.json"}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(29, 30)</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while more recent studies have focused on deciphering the ecological impacts of salinization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{"citationID":"Q78dmqXp","properties":{"formattedCitation":"(31, 32)","plainCitation":"(31, 32)","noteIndex":0},"citationItems":[{"id":"SedG4JnF/irNYcJNB","uris":["http://www.mendeley.com/documents/?uuid=c249236f-5a0d-428e-b915-bcbd972986a4"],"itemData":{"DOI":"https://doi.org/10.1002/lol2.10217","ISSN":"2378-2242","abstract":"Salinization of freshwater ecosystems threatens global aquatic biodiversity. There is a need for studies that follow populations in situ during salinization to understand the effects on species and ecosystems. We follow 170?years of Daphnia dynamics in the sediment ephippia archive of a small urban lake near St. Paul, Minnesota, to characterize effects of severe recent salinization on lake Daphnia. We found modest changes in the flux of ephippia in this lake; all three key Daphnia functional groups remained in the assemblage throughout the period of salinization. Reconstruction of the size distribution of Daphnia pulicaria demonstrated a consistent increase in body size in opposition to the expected trajectory during salinization. Our findings highlight that in hard-water lakes, the effects of salinization are nuanced and require further investigation to better understand overall impacts of salinization on hard-water lake Daphnia assemblages.","author":[{"dropping-particle":"","family":"Wersebe","given":"Matthew J","non-dropping-particle":"","parse-names":false,"suffix":""},{"dropping-particle":"","family":"Edlund","given":"Mark B","non-dropping-particle":"","parse-names":false,"suffix":""},{"dropping-particle":"","family":"Weider","given":"Lawrence J","non-dropping-particle":"","parse-names":false,"suffix":""}],"container-title":"Limnology and Oceanography Letters","id":"JxsKhHw3/4V40ExFt","issue":"n/a","issued":{"date-parts":[["2021","10","13"]]},"note":"https://doi.org/10.1002/lol2.10217","publisher":"John Wiley &amp; Sons, Ltd","title":"Does salinization impact long-term Daphnia assemblage dynamics? Evidence from the sediment egg bank in a small hard-water lake","type":"article-journal","volume":"n/a"}},{"id":1660,"uris":["http://zotero.org/users/9952604/items/VHKFS2AZ"],"itemData":{"id":1660,"type":"article-journal","abstract":"Chloride is toxic, and water quality guidelines have been created to regulate it and protect aquatic life. However, these guidelines may not adequately protect organisms in low nutrient, soft water lakes such as those underlain by Precambrian Shield.","container-title":"Environmental Science &amp; Technology","DOI":"10.1021/acs.est.0c02396","ISSN":"0013-936X","note":"publisher: American Chemical Society (ACS)","title":"Road salt impacts freshwater zooplankton at concentrations below current water quality guidelines","URL":"https://pubs.acs.org/doi/abs/10.1021/acs.est.0c02396","author":[{"family":"Arnott","given":"SE"},{"family":"Celis-Salgado","given":"Martha Patricia"},{"family":"Valleau","given":"Robin"},{"family":"DeSellas","given":"Anna"},{"family":"Paterson","given":"Andrew"},{"family":"Yan","given":"Norman"},{"family":"Smol","given":"John P."},{"family":"rusak","given":"james"}],"accessed":{"date-parts":[["2020",8,11]]},"issued":{"date-parts":[["2020",6,28]]}}}],"schema":"https://github.com/citation-style-language/schema/raw/master/csl-citation.json"}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(31, 32)</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xml:space="preserve">. In addition, we lack a more general understanding of this widespread environmental issue from an evolutionary perspective, and of the specific genetic architecture of adaptative responses. Such a perspective is critical because </w:t>
      </w:r>
      <w:r w:rsidRPr="00631FA6">
        <w:rPr>
          <w:rFonts w:ascii="Times New Roman" w:hAnsi="Times New Roman" w:cs="Times New Roman"/>
          <w:bCs/>
          <w:color w:val="000000"/>
          <w:sz w:val="24"/>
          <w:szCs w:val="24"/>
        </w:rPr>
        <w:lastRenderedPageBreak/>
        <w:t xml:space="preserve">recent research has shown that current water quality guidelines do not sufficiently protect aquatic life from salinization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{"citationID":"MapV2exy","properties":{"formattedCitation":"(33)","plainCitation":"(33)","noteIndex":0},"citationItems":[{"id":2859,"uris":["http://zotero.org/users/9952604/items/385LUE9E"],"itemData":{"id":2859,"type":"article-journal","container-title":"Proceedings of the National Academy of Sciences","DOI":"10.1073/pnas.2115033119","issue":"9","note":"publisher: Proceedings of the National Academy of Sciences","page":"e2115033119","title":"Current water quality guidelines across North America and Europe do not protect lakes from salinization","URL":"https://doi.org/10.1073/pnas.2115033119","volume":"119","author":[{"family":"D.","given":"Hintz William"},{"family":"E.","given":"Arnott Shelley"},{"family":"C.","given":"Symons Celia"},{"family":"A.","given":"Greco Danielle"},{"family":"Alexandra","given":"McClymont"},{"family":"A.","given":"Brentrup Jennifer"},{"family":"Miguel","given":"Cañedo-Argüelles"},{"family":"M.","given":"Derry Alison"},{"family":"L.","given":"Downing Amy"},{"family":"K.","given":"Gray Derek"},{"family":"J.","given":"Melles Stephanie"},{"family":"A.","given":"Relyea Rick"},{"family":"A.","given":"Rusak James"},{"family":"L.","given":"Searle Catherine"},{"family":"Louis","given":"Astorg"},{"family":"K.","given":"Baker Henry"},{"family":"E.","given":"Beisner Beatrix"},{"family":"L.","given":"Cottingham Kathryn"},{"family":"Zeynep","given":"Ersoy"},{"family":"Carmen","given":"Espinosa"},{"family":"Jaclyn","given":"Franceschini"},{"family":"T.","given":"Giorgio Angelina"},{"family":"Norman","given":"Göbeler"},{"family":"Emily","given":"Hassal"},{"family":"Marie-Pier","given":"Hébert"},{"family":"Mercedes","given":"Huynh"},{"family":"Samuel","given":"Hylander"},{"family":"L.","given":"Jonasen Kacie"},{"family":"E.","given":"Kirkwood Andrea"},{"family":"Silke","given":"Langenheder"},{"family":"Ola","given":"Langvall"},{"family":"Hjalmar","given":"Laudon"},{"family":"Lovisa","given":"Lind"},{"family":"Maria","given":"Lundgren"},{"family":"Lorenzo","given":"Proia"},{"family":"S.","given":"Schuler Matthew"},{"family":"B.","given":"Shurin Jonathan"},{"family":"F.","given":"Steiner Christopher"},{"family":"Maren","given":"Striebel"},{"family":"Simon","given":"Thibodeau"},{"family":"Pablo","given":"Urrutia-Cordero"},{"family":"Lidia","given":"Vendrell-Puigmitja"},{"family":"A.","given":"Weyhenmeyer Gesa"}],"issued":{"date-parts":[["2022",3,1]]}}}],"schema":"https://github.com/citation-style-language/schema/raw/master/csl-citation.json"}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(33)</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w:t>
      </w:r>
    </w:p>
    <w:p w14:paraId="3CDBDC8C" w14:textId="77777777" w:rsidR="00631FA6" w:rsidRPr="00631FA6" w:rsidRDefault="00631FA6" w:rsidP="00631FA6">
      <w:pPr>
        <w:keepNext/>
        <w:pBdr>
          <w:top w:val="nil"/>
          <w:left w:val="nil"/>
          <w:bottom w:val="nil"/>
          <w:right w:val="nil"/>
          <w:between w:val="nil"/>
        </w:pBdr>
        <w:spacing w:before="240" w:after="60" w:line="480" w:lineRule="auto"/>
        <w:contextualSpacing/>
        <w:rPr>
          <w:rFonts w:ascii="Times New Roman" w:hAnsi="Times New Roman" w:cs="Times New Roman"/>
          <w:bCs/>
          <w:color w:val="000000"/>
          <w:sz w:val="24"/>
          <w:szCs w:val="24"/>
        </w:rPr>
      </w:pPr>
    </w:p>
    <w:p w14:paraId="59A8C8DD" w14:textId="77777777" w:rsidR="00631FA6" w:rsidRPr="00631FA6" w:rsidRDefault="00631FA6" w:rsidP="00631FA6">
      <w:pPr>
        <w:keepNext/>
        <w:pBdr>
          <w:top w:val="nil"/>
          <w:left w:val="nil"/>
          <w:bottom w:val="nil"/>
          <w:right w:val="nil"/>
          <w:between w:val="nil"/>
        </w:pBdr>
        <w:spacing w:before="240" w:after="60" w:line="480" w:lineRule="auto"/>
        <w:ind w:firstLine="720"/>
        <w:contextualSpacing/>
        <w:rPr>
          <w:rFonts w:ascii="Times New Roman" w:hAnsi="Times New Roman" w:cs="Times New Roman"/>
          <w:bCs/>
          <w:color w:val="000000"/>
          <w:sz w:val="24"/>
          <w:szCs w:val="24"/>
        </w:rPr>
      </w:pPr>
      <w:r w:rsidRPr="00631FA6">
        <w:rPr>
          <w:rFonts w:ascii="Times New Roman" w:hAnsi="Times New Roman" w:cs="Times New Roman"/>
          <w:bCs/>
          <w:color w:val="000000"/>
          <w:sz w:val="24"/>
          <w:szCs w:val="24"/>
        </w:rPr>
        <w:t xml:space="preserve">To address this short coming, we sought to use resurrection ecology to study the evolutionary response of </w:t>
      </w:r>
      <w:r w:rsidRPr="00631FA6">
        <w:rPr>
          <w:rFonts w:ascii="Times New Roman" w:hAnsi="Times New Roman" w:cs="Times New Roman"/>
          <w:bCs/>
          <w:i/>
          <w:iCs/>
          <w:color w:val="000000"/>
          <w:sz w:val="24"/>
          <w:szCs w:val="24"/>
        </w:rPr>
        <w:t>D. pulicaria</w:t>
      </w:r>
      <w:r w:rsidRPr="00631FA6">
        <w:rPr>
          <w:rFonts w:ascii="Times New Roman" w:hAnsi="Times New Roman" w:cs="Times New Roman"/>
          <w:bCs/>
          <w:color w:val="000000"/>
          <w:sz w:val="24"/>
          <w:szCs w:val="24"/>
        </w:rPr>
        <w:t xml:space="preserve"> from a severely salinized lake located in Minnesota, USA. Previous work on this lake has demonstrated the ecological dynamics of this population over the last 150 years </w:t>
      </w:r>
      <w:r w:rsidRPr="00631FA6">
        <w:rPr>
          <w:rFonts w:ascii="Times New Roman" w:hAnsi="Times New Roman" w:cs="Times New Roman"/>
          <w:bCs/>
          <w:color w:val="000000"/>
          <w:sz w:val="24"/>
          <w:szCs w:val="24"/>
        </w:rPr>
        <w:fldChar w:fldCharType="begin"/>
      </w:r>
      <w:r w:rsidRPr="00631FA6">
        <w:rPr>
          <w:rFonts w:ascii="Times New Roman" w:hAnsi="Times New Roman" w:cs="Times New Roman"/>
          <w:bCs/>
          <w:color w:val="000000"/>
          <w:sz w:val="24"/>
          <w:szCs w:val="24"/>
        </w:rPr>
        <w:instrText xml:space="preserve"> ADDIN ZOTERO_ITEM CSL_CITATION {"citationID":"UER4RFbe","properties":{"formattedCitation":"(31)","plainCitation":"(31)","noteIndex":0},"citationItems":[{"id":"SedG4JnF/irNYcJNB","uris":["http://www.mendeley.com/documents/?uuid=c249236f-5a0d-428e-b915-bcbd972986a4"],"itemData":{"DOI":"https://doi.org/10.1002/lol2.10217","ISSN":"2378-2242","abstract":"Salinization of freshwater ecosystems threatens global aquatic biodiversity. There is a need for studies that follow populations in situ during salinization to understand the effects on species and ecosystems. We follow 170?years of Daphnia dynamics in the sediment ephippia archive of a small urban lake near St. Paul, Minnesota, to characterize effects of severe recent salinization on lake Daphnia. We found modest changes in the flux of ephippia in this lake; all three key Daphnia functional groups remained in the assemblage throughout the period of salinization. Reconstruction of the size distribution of Daphnia pulicaria demonstrated a consistent increase in body size in opposition to the expected trajectory during salinization. Our findings highlight that in hard-water lakes, the effects of salinization are nuanced and require further investigation to better understand overall impacts of salinization on hard-water lake Daphnia assemblages.","author":[{"dropping-particle":"","family":"Wersebe","given":"Matthew J","non-dropping-particle":"","parse-names":false,"suffix":""},{"dropping-particle":"","family":"Edlund","given":"Mark B","non-dropping-particle":"","parse-names":false,"suffix":""},{"dropping-particle":"","family":"Weider","given":"Lawrence J","non-dropping-particle":"","parse-names":false,"suffix":""}],"container-title":"Limnology and Oceanography Letters","id":"JxsKhHw3/4V40ExFt","issue":"n/a","issued":{"date-parts":[["2021","10","13"]]},"note":"https://doi.org/10.1002/lol2.10217","publisher":"John Wiley &amp; Sons, Ltd","title":"Does salinization impact long-term Daphnia assemblage dynamics? Evidence from the sediment egg bank in a small hard-water lake","type":"article-journal","volume":"n/a"}}],"schema":"https://github.com/citation-style-language/schema/raw/master/csl-citation.json"} </w:instrText>
      </w:r>
      <w:r w:rsidRPr="00631FA6">
        <w:rPr>
          <w:rFonts w:ascii="Times New Roman" w:hAnsi="Times New Roman" w:cs="Times New Roman"/>
          <w:bCs/>
          <w:color w:val="000000"/>
          <w:sz w:val="24"/>
          <w:szCs w:val="24"/>
        </w:rPr>
        <w:fldChar w:fldCharType="separate"/>
      </w:r>
      <w:r w:rsidRPr="00631FA6">
        <w:rPr>
          <w:rFonts w:ascii="Times New Roman" w:hAnsi="Times New Roman" w:cs="Times New Roman"/>
          <w:bCs/>
          <w:noProof/>
          <w:color w:val="000000"/>
          <w:sz w:val="24"/>
          <w:szCs w:val="24"/>
        </w:rPr>
        <w:t>(31)</w:t>
      </w:r>
      <w:r w:rsidRPr="00631FA6">
        <w:rPr>
          <w:rFonts w:ascii="Times New Roman" w:hAnsi="Times New Roman" w:cs="Times New Roman"/>
          <w:bCs/>
          <w:color w:val="000000"/>
          <w:sz w:val="24"/>
          <w:szCs w:val="24"/>
        </w:rPr>
        <w:fldChar w:fldCharType="end"/>
      </w:r>
      <w:r w:rsidRPr="00631FA6">
        <w:rPr>
          <w:rFonts w:ascii="Times New Roman" w:hAnsi="Times New Roman" w:cs="Times New Roman"/>
          <w:bCs/>
          <w:color w:val="000000"/>
          <w:sz w:val="24"/>
          <w:szCs w:val="24"/>
        </w:rPr>
        <w:t>. Towards this goal, we resurrected genotypes from across approximately 25 years from the sediment egg bank isolated from a dated sediment core. Using whole genome sequencing (WGS) of resurrected and extant individuals, we conducted numerous population genomic analyses to depict population structure over time, reconstruct the demographic history, and identify outlier genomic regions in the data. Additionally, we assayed a subset of genotypes for tolerance to salinity. Specifically, we were interested in testing two main hypotheses; first, we believed that the F</w:t>
      </w:r>
      <w:r w:rsidRPr="00631FA6">
        <w:rPr>
          <w:rFonts w:ascii="Times New Roman" w:hAnsi="Times New Roman" w:cs="Times New Roman"/>
          <w:bCs/>
          <w:color w:val="000000"/>
          <w:sz w:val="24"/>
          <w:szCs w:val="24"/>
          <w:vertAlign w:val="subscript"/>
        </w:rPr>
        <w:t xml:space="preserve">st </w:t>
      </w:r>
      <w:r w:rsidRPr="00631FA6">
        <w:rPr>
          <w:rFonts w:ascii="Times New Roman" w:hAnsi="Times New Roman" w:cs="Times New Roman"/>
          <w:bCs/>
          <w:color w:val="000000"/>
          <w:sz w:val="24"/>
          <w:szCs w:val="24"/>
        </w:rPr>
        <w:t>outliers, or those genomic regions with extreme changes in frequency, would contain genes related to osmoregulation as selection would favor higher salinity tolerance. Second, this would be reflected in a higher mean tolerance of the more recent subpopulations. In addition, we identify a list of candidate genes, which likely influence phenotypic variation throughout the genome, and that can be targeted for further study.</w:t>
      </w:r>
    </w:p>
    <w:p w14:paraId="3B2EB69A" w14:textId="77777777" w:rsidR="00631FA6" w:rsidRPr="00631FA6" w:rsidRDefault="00631FA6" w:rsidP="00631FA6">
      <w:pPr>
        <w:keepNext/>
        <w:pBdr>
          <w:top w:val="nil"/>
          <w:left w:val="nil"/>
          <w:bottom w:val="nil"/>
          <w:right w:val="nil"/>
          <w:between w:val="nil"/>
        </w:pBdr>
        <w:spacing w:before="240" w:after="60" w:line="480" w:lineRule="auto"/>
        <w:contextualSpacing/>
        <w:rPr>
          <w:rFonts w:ascii="Times New Roman" w:hAnsi="Times New Roman" w:cs="Times New Roman"/>
          <w:b/>
          <w:color w:val="000000"/>
          <w:sz w:val="24"/>
          <w:szCs w:val="24"/>
        </w:rPr>
      </w:pPr>
    </w:p>
    <w:p w14:paraId="0A201681" w14:textId="77777777" w:rsidR="00631FA6" w:rsidRPr="00631FA6" w:rsidRDefault="00631FA6" w:rsidP="00631FA6">
      <w:pPr>
        <w:keepNext/>
        <w:pBdr>
          <w:top w:val="nil"/>
          <w:left w:val="nil"/>
          <w:bottom w:val="nil"/>
          <w:right w:val="nil"/>
          <w:between w:val="nil"/>
        </w:pBdr>
        <w:spacing w:before="240" w:after="60" w:line="480" w:lineRule="auto"/>
        <w:contextualSpacing/>
        <w:rPr>
          <w:rFonts w:ascii="Times New Roman" w:hAnsi="Times New Roman" w:cs="Times New Roman"/>
          <w:color w:val="000000"/>
          <w:sz w:val="24"/>
          <w:szCs w:val="24"/>
        </w:rPr>
      </w:pPr>
      <w:r w:rsidRPr="00631FA6">
        <w:rPr>
          <w:rFonts w:ascii="Times New Roman" w:hAnsi="Times New Roman" w:cs="Times New Roman"/>
          <w:b/>
          <w:color w:val="000000"/>
          <w:sz w:val="24"/>
          <w:szCs w:val="24"/>
        </w:rPr>
        <w:t>Results</w:t>
      </w:r>
    </w:p>
    <w:p w14:paraId="0C0BFD34" w14:textId="77777777" w:rsidR="00631FA6" w:rsidRPr="00631FA6" w:rsidRDefault="00631FA6" w:rsidP="00631FA6">
      <w:pPr>
        <w:keepNext/>
        <w:pBdr>
          <w:top w:val="nil"/>
          <w:left w:val="nil"/>
          <w:bottom w:val="nil"/>
          <w:right w:val="nil"/>
          <w:between w:val="nil"/>
        </w:pBdr>
        <w:spacing w:before="240" w:after="60" w:line="480" w:lineRule="auto"/>
        <w:contextualSpacing/>
        <w:jc w:val="both"/>
        <w:rPr>
          <w:rFonts w:ascii="Times New Roman" w:hAnsi="Times New Roman" w:cs="Times New Roman"/>
          <w:color w:val="000000"/>
          <w:sz w:val="24"/>
          <w:szCs w:val="24"/>
        </w:rPr>
      </w:pPr>
      <w:r w:rsidRPr="00631FA6">
        <w:rPr>
          <w:rFonts w:ascii="Times New Roman" w:hAnsi="Times New Roman" w:cs="Times New Roman"/>
          <w:color w:val="000000"/>
          <w:sz w:val="24"/>
          <w:szCs w:val="24"/>
        </w:rPr>
        <w:t xml:space="preserve">We studied the </w:t>
      </w:r>
      <w:r w:rsidRPr="00631FA6">
        <w:rPr>
          <w:rFonts w:ascii="Times New Roman" w:hAnsi="Times New Roman" w:cs="Times New Roman"/>
          <w:i/>
          <w:iCs/>
          <w:color w:val="000000"/>
          <w:sz w:val="24"/>
          <w:szCs w:val="24"/>
        </w:rPr>
        <w:t xml:space="preserve">D. pulicaria </w:t>
      </w:r>
      <w:r w:rsidRPr="00631FA6">
        <w:rPr>
          <w:rFonts w:ascii="Times New Roman" w:hAnsi="Times New Roman" w:cs="Times New Roman"/>
          <w:color w:val="000000"/>
          <w:sz w:val="24"/>
          <w:szCs w:val="24"/>
        </w:rPr>
        <w:t xml:space="preserve">population of Tanners Lake (TL; 44°57'02.2"N 92°58'54.2"W), a small suburban hardwater lake located in Oakdale, Minnesota. The watershed includes approximately 32% impervious surfaces including parking lots, interstate highways and residential development </w:t>
      </w:r>
      <w:r w:rsidRPr="00631FA6">
        <w:rPr>
          <w:rFonts w:ascii="Times New Roman" w:hAnsi="Times New Roman" w:cs="Times New Roman"/>
          <w:color w:val="000000"/>
          <w:sz w:val="24"/>
          <w:szCs w:val="24"/>
        </w:rPr>
        <w:fldChar w:fldCharType="begin" w:fldLock="1"/>
      </w:r>
      <w:r w:rsidRPr="00631FA6">
        <w:rPr>
          <w:rFonts w:ascii="Times New Roman" w:hAnsi="Times New Roman" w:cs="Times New Roman"/>
          <w:color w:val="000000"/>
          <w:sz w:val="24"/>
          <w:szCs w:val="24"/>
        </w:rPr>
        <w:instrText xml:space="preserve"> ADDIN ZOTERO_ITEM CSL_CITATION {"citationID":"NsyKA4kU","properties":{"formattedCitation":"(31)","plainCitation":"(31)","noteIndex":0},"citationItems":[{"id":"SedG4JnF/irNYcJNB","uris":["http://www.mendeley.com/documents/?uuid=c249236f-5a0d-428e-b915-bcbd972986a4"],"itemData":{"DOI":"https://doi.org/10.1002/lol2.10217","ISSN":"2378-2242","abstract":"Salinization of freshwater ecosystems threatens global aquatic biodiversity. There is a need for studies that follow populations in situ during salinization to understand the effects on species and ecosystems. We follow 170?years of Daphnia dynamics in the sediment ephippia archive of a small urban lake near St. Paul, Minnesota, to characterize effects of severe recent salinization on lake Daphnia. We found modest changes in the flux of ephippia in this lake; all three key Daphnia functional groups remained in the assemblage throughout the period of salinization. Reconstruction of the size distribution of Daphnia pulicaria demonstrated a consistent increase in body size in opposition to the expected trajectory during salinization. Our findings highlight that in hard-water lakes, the effects of salinization are nuanced and require further investigation to better understand overall impacts of salinization on hard-water lake Daphnia assemblages.","author":[{"dropping-particle":"","family":"Wersebe","given":"Matthew J","non-dropping-particle":"","parse-names":false,"suffix":""},{"dropping-particle":"","family":"Edlund","given":"Mark B","non-dropping-particle":"","parse-names":false,"suffix":""},{"dropping-particle":"","family":"Weider","given":"Lawrence J","non-dropping-particle":"","parse-names":false,"suffix":""}],"container-title":"Limnology and Oceanography Letters","id":"ITEM-1","issue":"n/a","issued":{"date-parts":[["2021","10","13"]]},"note":"https://doi.org/10.1002/lol2.10217","publisher":"John Wiley &amp; Sons, Ltd","title":"Does salinization impact long-term Daphnia assemblage dynamics? Evidence from the sediment egg bank in a small hard-water lake","type":"article-journal","volume":"n/a"}}],"schema":"https://github.com/citation-style-language/schema/raw/master/csl-citation.json"} </w:instrText>
      </w:r>
      <w:r w:rsidRPr="00631FA6">
        <w:rPr>
          <w:rFonts w:ascii="Times New Roman" w:hAnsi="Times New Roman" w:cs="Times New Roman"/>
          <w:color w:val="000000"/>
          <w:sz w:val="24"/>
          <w:szCs w:val="24"/>
        </w:rPr>
        <w:fldChar w:fldCharType="separate"/>
      </w:r>
      <w:r w:rsidRPr="00631FA6">
        <w:rPr>
          <w:rFonts w:ascii="Times New Roman" w:hAnsi="Times New Roman" w:cs="Times New Roman"/>
          <w:noProof/>
          <w:color w:val="000000"/>
          <w:sz w:val="24"/>
          <w:szCs w:val="24"/>
        </w:rPr>
        <w:t>(31)</w:t>
      </w:r>
      <w:r w:rsidRPr="00631FA6">
        <w:rPr>
          <w:rFonts w:ascii="Times New Roman" w:hAnsi="Times New Roman" w:cs="Times New Roman"/>
          <w:color w:val="000000"/>
          <w:sz w:val="24"/>
          <w:szCs w:val="24"/>
        </w:rPr>
        <w:fldChar w:fldCharType="end"/>
      </w:r>
      <w:r w:rsidRPr="00631FA6">
        <w:rPr>
          <w:rFonts w:ascii="Times New Roman" w:hAnsi="Times New Roman" w:cs="Times New Roman"/>
          <w:color w:val="000000"/>
          <w:sz w:val="24"/>
          <w:szCs w:val="24"/>
        </w:rPr>
        <w:t xml:space="preserve">. TL has received significant inputs of chloride from the watershed primarily in </w:t>
      </w:r>
      <w:r w:rsidRPr="00631FA6">
        <w:rPr>
          <w:rFonts w:ascii="Times New Roman" w:hAnsi="Times New Roman" w:cs="Times New Roman"/>
          <w:color w:val="000000"/>
          <w:sz w:val="24"/>
          <w:szCs w:val="24"/>
        </w:rPr>
        <w:lastRenderedPageBreak/>
        <w:t>the form of the road deicer NaCl (524 kg Cl</w:t>
      </w:r>
      <w:r w:rsidRPr="00631FA6">
        <w:rPr>
          <w:rFonts w:ascii="Times New Roman" w:hAnsi="Times New Roman" w:cs="Times New Roman"/>
          <w:color w:val="000000"/>
          <w:sz w:val="24"/>
          <w:szCs w:val="24"/>
          <w:vertAlign w:val="superscript"/>
        </w:rPr>
        <w:t xml:space="preserve">- </w:t>
      </w:r>
      <w:r w:rsidRPr="00631FA6">
        <w:rPr>
          <w:rFonts w:ascii="Times New Roman" w:hAnsi="Times New Roman" w:cs="Times New Roman"/>
          <w:color w:val="000000"/>
          <w:sz w:val="24"/>
          <w:szCs w:val="24"/>
        </w:rPr>
        <w:t>ha</w:t>
      </w:r>
      <w:r w:rsidRPr="00631FA6">
        <w:rPr>
          <w:rFonts w:ascii="Times New Roman" w:hAnsi="Times New Roman" w:cs="Times New Roman"/>
          <w:color w:val="000000"/>
          <w:sz w:val="24"/>
          <w:szCs w:val="24"/>
          <w:vertAlign w:val="superscript"/>
        </w:rPr>
        <w:t xml:space="preserve">-1 </w:t>
      </w:r>
      <w:r w:rsidRPr="00631FA6">
        <w:rPr>
          <w:rFonts w:ascii="Times New Roman" w:hAnsi="Times New Roman" w:cs="Times New Roman"/>
          <w:color w:val="000000"/>
          <w:sz w:val="24"/>
          <w:szCs w:val="24"/>
        </w:rPr>
        <w:t>yr</w:t>
      </w:r>
      <w:r w:rsidRPr="00631FA6">
        <w:rPr>
          <w:rFonts w:ascii="Times New Roman" w:hAnsi="Times New Roman" w:cs="Times New Roman"/>
          <w:color w:val="000000"/>
          <w:sz w:val="24"/>
          <w:szCs w:val="24"/>
          <w:vertAlign w:val="superscript"/>
        </w:rPr>
        <w:t>-1</w:t>
      </w:r>
      <w:r w:rsidRPr="00631FA6">
        <w:rPr>
          <w:rFonts w:ascii="Times New Roman" w:hAnsi="Times New Roman" w:cs="Times New Roman"/>
          <w:color w:val="000000"/>
          <w:sz w:val="24"/>
          <w:szCs w:val="24"/>
        </w:rPr>
        <w:t xml:space="preserve">) </w:t>
      </w:r>
      <w:r w:rsidRPr="00631FA6">
        <w:rPr>
          <w:rFonts w:ascii="Times New Roman" w:hAnsi="Times New Roman" w:cs="Times New Roman"/>
          <w:color w:val="000000"/>
          <w:sz w:val="24"/>
          <w:szCs w:val="24"/>
        </w:rPr>
        <w:fldChar w:fldCharType="begin"/>
      </w:r>
      <w:r w:rsidRPr="00631FA6">
        <w:rPr>
          <w:rFonts w:ascii="Times New Roman" w:hAnsi="Times New Roman" w:cs="Times New Roman"/>
          <w:color w:val="000000"/>
          <w:sz w:val="24"/>
          <w:szCs w:val="24"/>
        </w:rPr>
        <w:instrText xml:space="preserve"> ADDIN ZOTERO_ITEM CSL_CITATION {"citationID":"A1rihiWe","properties":{"formattedCitation":"(34)","plainCitation":"(34)","noteIndex":0},"citationItems":[{"id":504,"uris":["http://zotero.org/users/9952604/items/N78YBW2B"],"itemData":{"id":504,"type":"article-journal","abstract":"Over 317,000 tonnes of road salt (NaCl) are applied annually for road deicing in the Twin Cities Metropolitan Area (TCMA) of Minnesota. Although road salt is applied to increase driving safety, this practice influences environmental water quality. Thirteen lakes in the TCMA were studied over 46 months to determine if and how they respond to the seasonal applications of road salt. Sodium and chloride concentrations in these lakes were 10 and 25 times higher, respectively, than in other non-urban lakes in the region. Seasonal salinity/chloride cycles in the lakes were correlated with road salt applications: High concentrations in the winter and spring, especially near the bottom of the lakes, were followed by lower concentrations in the summer and fall due to flushing of the lakes by rainfall runoff. The seasonal salt storage/flushing rates for individual lakes were derived from volume-weighted average chloride concentration time series. The rate ranged from 9 to 55% of a lake's minimum salt content. In some of the lakes studied salt concentrations were high enough to stop spring turnover preventing oxygen from reaching the benthic sediments. Concentrations above the sediments were also high enough to induce convective mixing of the saline water into the sediment pore water. A regional analysis of historical water quality records of 38 lakes in the TCMA showed increases in lake salinity from 1984 to 2005 that were highly correlated with the amount of rock salt purchased by the State of Minnesota. Chloride concentrations in individual lakes were positively correlated with the percent of impervious surfaces in the watershed and inversely with lake volume. Taken together, the results show a continuing degradation of the water quality of urban lakes due to application of NaCl in their watersheds.","container-title":"Science of The Total Environment","DOI":"10.1016/J.SCITOTENV.2008.07.037","ISSN":"0048-9697","issue":"1-2","note":"publisher: Elsevier","page":"131-144","title":"Increase of urban lake salinity by road deicing salt","URL":"https://www.sciencedirect.com/science/article/pii/S0048969708007638","volume":"406","author":[{"family":"Novotny","given":"Eric V."},{"family":"Murphy","given":"Dan"},{"family":"Stefan","given":"Heinz G."}],"accessed":{"date-parts":[["2018",9,11]]},"issued":{"date-parts":[["2008",11,15]]}}}],"schema":"https://github.com/citation-style-language/schema/raw/master/csl-citation.json"} </w:instrText>
      </w:r>
      <w:r w:rsidRPr="00631FA6">
        <w:rPr>
          <w:rFonts w:ascii="Times New Roman" w:hAnsi="Times New Roman" w:cs="Times New Roman"/>
          <w:color w:val="000000"/>
          <w:sz w:val="24"/>
          <w:szCs w:val="24"/>
        </w:rPr>
        <w:fldChar w:fldCharType="separate"/>
      </w:r>
      <w:r w:rsidRPr="00631FA6">
        <w:rPr>
          <w:rFonts w:ascii="Times New Roman" w:hAnsi="Times New Roman" w:cs="Times New Roman"/>
          <w:noProof/>
          <w:color w:val="000000"/>
          <w:sz w:val="24"/>
          <w:szCs w:val="24"/>
        </w:rPr>
        <w:t>(34)</w:t>
      </w:r>
      <w:r w:rsidRPr="00631FA6">
        <w:rPr>
          <w:rFonts w:ascii="Times New Roman" w:hAnsi="Times New Roman" w:cs="Times New Roman"/>
          <w:color w:val="000000"/>
          <w:sz w:val="24"/>
          <w:szCs w:val="24"/>
        </w:rPr>
        <w:fldChar w:fldCharType="end"/>
      </w:r>
      <w:r w:rsidRPr="00631FA6">
        <w:rPr>
          <w:rFonts w:ascii="Times New Roman" w:hAnsi="Times New Roman" w:cs="Times New Roman"/>
          <w:color w:val="000000"/>
          <w:sz w:val="24"/>
          <w:szCs w:val="24"/>
        </w:rPr>
        <w:t xml:space="preserve">. The upper waters (i.e., surface/epilimnetic) chloride concentration of TL has increased significantly in the last 75 years, from approximately 1-2 mg </w:t>
      </w:r>
      <w:bookmarkStart w:id="3" w:name="_Hlk107227196"/>
      <w:r w:rsidRPr="00631FA6">
        <w:rPr>
          <w:rFonts w:ascii="Times New Roman" w:hAnsi="Times New Roman" w:cs="Times New Roman"/>
          <w:color w:val="000000"/>
          <w:sz w:val="24"/>
          <w:szCs w:val="24"/>
        </w:rPr>
        <w:t>Cl</w:t>
      </w:r>
      <w:r w:rsidRPr="00631FA6">
        <w:rPr>
          <w:rFonts w:ascii="Times New Roman" w:hAnsi="Times New Roman" w:cs="Times New Roman"/>
          <w:color w:val="000000"/>
          <w:sz w:val="24"/>
          <w:szCs w:val="24"/>
          <w:vertAlign w:val="superscript"/>
        </w:rPr>
        <w:t>-</w:t>
      </w:r>
      <w:r w:rsidRPr="00631FA6">
        <w:rPr>
          <w:rFonts w:ascii="Times New Roman" w:hAnsi="Times New Roman" w:cs="Times New Roman"/>
          <w:color w:val="000000"/>
          <w:sz w:val="24"/>
          <w:szCs w:val="24"/>
        </w:rPr>
        <w:t xml:space="preserve"> L</w:t>
      </w:r>
      <w:r w:rsidRPr="00631FA6">
        <w:rPr>
          <w:rFonts w:ascii="Times New Roman" w:hAnsi="Times New Roman" w:cs="Times New Roman"/>
          <w:color w:val="000000"/>
          <w:sz w:val="24"/>
          <w:szCs w:val="24"/>
          <w:vertAlign w:val="superscript"/>
        </w:rPr>
        <w:t>-1</w:t>
      </w:r>
      <w:r w:rsidRPr="00631FA6">
        <w:rPr>
          <w:rFonts w:ascii="Times New Roman" w:hAnsi="Times New Roman" w:cs="Times New Roman"/>
          <w:color w:val="000000"/>
          <w:sz w:val="24"/>
          <w:szCs w:val="24"/>
        </w:rPr>
        <w:t xml:space="preserve"> </w:t>
      </w:r>
      <w:bookmarkEnd w:id="3"/>
      <w:r w:rsidRPr="00631FA6">
        <w:rPr>
          <w:rFonts w:ascii="Times New Roman" w:hAnsi="Times New Roman" w:cs="Times New Roman"/>
          <w:color w:val="000000"/>
          <w:sz w:val="24"/>
          <w:szCs w:val="24"/>
        </w:rPr>
        <w:t>on average to over 150 mg Cl</w:t>
      </w:r>
      <w:r w:rsidRPr="00631FA6">
        <w:rPr>
          <w:rFonts w:ascii="Times New Roman" w:hAnsi="Times New Roman" w:cs="Times New Roman"/>
          <w:color w:val="000000"/>
          <w:sz w:val="24"/>
          <w:szCs w:val="24"/>
          <w:vertAlign w:val="superscript"/>
        </w:rPr>
        <w:t>-</w:t>
      </w:r>
      <w:r w:rsidRPr="00631FA6">
        <w:rPr>
          <w:rFonts w:ascii="Times New Roman" w:hAnsi="Times New Roman" w:cs="Times New Roman"/>
          <w:color w:val="000000"/>
          <w:sz w:val="24"/>
          <w:szCs w:val="24"/>
        </w:rPr>
        <w:t xml:space="preserve"> L</w:t>
      </w:r>
      <w:r w:rsidRPr="00631FA6">
        <w:rPr>
          <w:rFonts w:ascii="Times New Roman" w:hAnsi="Times New Roman" w:cs="Times New Roman"/>
          <w:color w:val="000000"/>
          <w:sz w:val="24"/>
          <w:szCs w:val="24"/>
          <w:vertAlign w:val="superscript"/>
        </w:rPr>
        <w:t>-1</w:t>
      </w:r>
      <w:r w:rsidRPr="00631FA6">
        <w:rPr>
          <w:rFonts w:ascii="Times New Roman" w:hAnsi="Times New Roman" w:cs="Times New Roman"/>
          <w:color w:val="000000"/>
          <w:sz w:val="24"/>
          <w:szCs w:val="24"/>
          <w:vertAlign w:val="superscript"/>
        </w:rPr>
        <w:fldChar w:fldCharType="begin"/>
      </w:r>
      <w:r w:rsidRPr="00631FA6">
        <w:rPr>
          <w:rFonts w:ascii="Times New Roman" w:hAnsi="Times New Roman" w:cs="Times New Roman"/>
          <w:color w:val="000000"/>
          <w:sz w:val="24"/>
          <w:szCs w:val="24"/>
          <w:vertAlign w:val="superscript"/>
        </w:rPr>
        <w:instrText xml:space="preserve"> ADDIN ZOTERO_ITEM CSL_CITATION {"citationID":"vXOqhPfH","properties":{"formattedCitation":"(35, 36)","plainCitation":"(35, 36)","noteIndex":0},"citationItems":[{"id":506,"uris":["http://zotero.org/users/9952604/items/47V5TDWP"],"itemData":{"id":506,"type":"article-journal","abstract":"A diatom-based transfer function was used to reconstruct water chemistry before European settlement in 55 Minnesota lakes. The lakes span three natural ecoregions, which differ in their history of land use, as well as in surficial geology, climate, and vegetation. Postsettlement trends were compared with water chemistry change reconstructed from two presettlement core sections (circa 1750 and 1800) as a measure of natural variability. Presettlement water quality changes were generally small and nondirectional in all three ecoregions. In contrast, half of the urban lakes showed a statistically significant increase in chloride, whereas 30% of urban and 30% of agricultural region lakes record a statistically significant increase in total phosphorus between 1800 and the present. These changes, which are attributed to road salt and nutrient runoff, are strongly correlated with the percentage of watershed area that is developed (residential or urban) in the case of chloride increases and the percentage of devel...","container-title":"Canadian Journal of Fisheries and Aquatic Sciences","DOI":"10.1139/f04-015","ISSN":"0706-652X","issue":"4","note":"publisher:  NRC Research Press Ottawa, Canada","page":"561-576","title":"Twentieth century water quality trends in Minnesota lakes compared with presettlement variability","URL":"http://www.nrcresearchpress.com/doi/10.1139/f04-015","volume":"61","author":[{"family":"Ramstack","given":"Joy M"},{"family":"Fritz","given":"Sherilyn C"},{"family":"Engstrom","given":"Daniel R"}],"accessed":{"date-parts":[["2018",9,11]]},"issued":{"date-parts":[["2004",4]]}}},{"id":679,"uris":["http://zotero.org/users/9952604/items/RKG6FLXM"],"itemData":{"id":679,"type":"article-journal","container-title":"Journal of Paleolimnology","DOI":"10.1023/A:1022869205291","ISSN":"09212728","issue":"1","note":"publisher: Kluwer Academic Publishers","page":"79-94","title":"The Application of a Diatom-based Transfer Function to Evaluate Regional Water-Quality Trends in Minnessota Since 1970","URL":"http://link.springer.com/10.1023/A:1022869205291","volume":"29","author":[{"family":"Ramstack","given":"J.M."},{"family":"Fritz","given":"S.C."},{"family":"Engstrom","given":"D.R."},{"family":"Heiskary","given":"S.A."}],"accessed":{"date-parts":[["2019",1,21]]},"issued":{"date-parts":[["2003"]]}}}],"schema":"https://github.com/citation-style-language/schema/raw/master/csl-citation.json"} </w:instrText>
      </w:r>
      <w:r w:rsidRPr="00631FA6">
        <w:rPr>
          <w:rFonts w:ascii="Times New Roman" w:hAnsi="Times New Roman" w:cs="Times New Roman"/>
          <w:color w:val="000000"/>
          <w:sz w:val="24"/>
          <w:szCs w:val="24"/>
          <w:vertAlign w:val="superscript"/>
        </w:rPr>
        <w:fldChar w:fldCharType="separate"/>
      </w:r>
      <w:r w:rsidRPr="00631FA6">
        <w:rPr>
          <w:rFonts w:ascii="Times New Roman" w:hAnsi="Times New Roman" w:cs="Times New Roman"/>
          <w:noProof/>
          <w:color w:val="000000"/>
          <w:sz w:val="24"/>
          <w:szCs w:val="24"/>
        </w:rPr>
        <w:t>(35, 36)</w:t>
      </w:r>
      <w:r w:rsidRPr="00631FA6">
        <w:rPr>
          <w:rFonts w:ascii="Times New Roman" w:hAnsi="Times New Roman" w:cs="Times New Roman"/>
          <w:color w:val="000000"/>
          <w:sz w:val="24"/>
          <w:szCs w:val="24"/>
          <w:vertAlign w:val="superscript"/>
        </w:rPr>
        <w:fldChar w:fldCharType="end"/>
      </w:r>
      <w:r w:rsidRPr="00631FA6">
        <w:rPr>
          <w:rFonts w:ascii="Times New Roman" w:hAnsi="Times New Roman" w:cs="Times New Roman"/>
          <w:color w:val="000000"/>
          <w:sz w:val="24"/>
          <w:szCs w:val="24"/>
        </w:rPr>
        <w:t xml:space="preserve">. TL has also transitioned to a state of cultural meromixis </w:t>
      </w:r>
      <w:r w:rsidRPr="00631FA6">
        <w:rPr>
          <w:rFonts w:ascii="Times New Roman" w:hAnsi="Times New Roman" w:cs="Times New Roman"/>
          <w:color w:val="000000"/>
          <w:sz w:val="24"/>
          <w:szCs w:val="24"/>
        </w:rPr>
        <w:fldChar w:fldCharType="begin"/>
      </w:r>
      <w:r w:rsidRPr="00631FA6">
        <w:rPr>
          <w:rFonts w:ascii="Times New Roman" w:hAnsi="Times New Roman" w:cs="Times New Roman"/>
          <w:color w:val="000000"/>
          <w:sz w:val="24"/>
          <w:szCs w:val="24"/>
        </w:rPr>
        <w:instrText xml:space="preserve"> ADDIN ZOTERO_ITEM CSL_CITATION {"citationID":"WYZuic4R","properties":{"formattedCitation":"(37)","plainCitation":"(37)","noteIndex":0},"citationItems":[{"id":1140,"uris":["http://zotero.org/users/9952604/items/4WVS3ZZR"],"itemData":{"id":1140,"type":"article-journal","abstract":"Saline runoff from application of road salt deicers has the potential to create persistent density gradients in urban freshwater lakes, resulting in significant changes to physical mixing and biogeochemical cycling. In this study, the seasonal influence of road salt influx on the geochemical cycling of a small, urban kettle lake is examined. Water column samples were collected approximately twice per month for fifteen months and analyzed for temperature, pH, conductivity, major ions, nutrients and redox-sensitive solutes. The lake water column was redox-stratified with high concentrations of dissolved Mn(II), Fe(II), ammonium, phosphate and, during some periods, sulfide and methane in the hypolimnion. Bottom water anoxia was persistent throughout the entire sampling period. Concentrations of sodium and chloride, which correlated strongly with conductivity, were over a hundred times greater compared with levels in nearby rural lakes. Conductivity, chloride and calculated density profiles indicated the presence of a pycnocline at ~9m depth that persisted throughout the sampling period. The chemical data demonstrate that road salt input has caused the lake to become meromictic, with a complete lack of fall and spring turnover.","container-title":"Chemical Geology","DOI":"10.1016/J.CHEMGEO.2014.12.010","ISSN":"0009-2541","note":"publisher: Elsevier","page":"126-137","title":"Cultural meromixis: Effects of road salt on the chemical stratification of an urban kettle lake","URL":"https://www.sciencedirect.com/science/article/pii/S0009254114005853#bb0100","volume":"395","author":[{"family":"Sibert","given":"Ryan J."},{"family":"Koretsky","given":"Carla M."},{"family":"Wyman","given":"Davina A."}],"accessed":{"date-parts":[["2019",5,13]]},"issued":{"date-parts":[["2015",2,24]]}}}],"schema":"https://github.com/citation-style-language/schema/raw/master/csl-citation.json"} </w:instrText>
      </w:r>
      <w:r w:rsidRPr="00631FA6">
        <w:rPr>
          <w:rFonts w:ascii="Times New Roman" w:hAnsi="Times New Roman" w:cs="Times New Roman"/>
          <w:color w:val="000000"/>
          <w:sz w:val="24"/>
          <w:szCs w:val="24"/>
        </w:rPr>
        <w:fldChar w:fldCharType="separate"/>
      </w:r>
      <w:r w:rsidRPr="00631FA6">
        <w:rPr>
          <w:rFonts w:ascii="Times New Roman" w:hAnsi="Times New Roman" w:cs="Times New Roman"/>
          <w:noProof/>
          <w:color w:val="000000"/>
          <w:sz w:val="24"/>
          <w:szCs w:val="24"/>
        </w:rPr>
        <w:t>(37)</w:t>
      </w:r>
      <w:r w:rsidRPr="00631FA6">
        <w:rPr>
          <w:rFonts w:ascii="Times New Roman" w:hAnsi="Times New Roman" w:cs="Times New Roman"/>
          <w:color w:val="000000"/>
          <w:sz w:val="24"/>
          <w:szCs w:val="24"/>
        </w:rPr>
        <w:fldChar w:fldCharType="end"/>
      </w:r>
      <w:r w:rsidRPr="00631FA6">
        <w:rPr>
          <w:rFonts w:ascii="Times New Roman" w:hAnsi="Times New Roman" w:cs="Times New Roman"/>
          <w:color w:val="000000"/>
          <w:sz w:val="24"/>
          <w:szCs w:val="24"/>
        </w:rPr>
        <w:t xml:space="preserve"> with a persistent high salinity chemocline interrupting normal lake mixing dynamics. We isolated and sequenced 54 </w:t>
      </w:r>
      <w:r w:rsidRPr="00631FA6">
        <w:rPr>
          <w:rFonts w:ascii="Times New Roman" w:hAnsi="Times New Roman" w:cs="Times New Roman"/>
          <w:i/>
          <w:iCs/>
          <w:color w:val="000000"/>
          <w:sz w:val="24"/>
          <w:szCs w:val="24"/>
        </w:rPr>
        <w:t xml:space="preserve">D. pulicaria </w:t>
      </w:r>
      <w:r w:rsidRPr="00631FA6">
        <w:rPr>
          <w:rFonts w:ascii="Times New Roman" w:hAnsi="Times New Roman" w:cs="Times New Roman"/>
          <w:color w:val="000000"/>
          <w:sz w:val="24"/>
          <w:szCs w:val="24"/>
        </w:rPr>
        <w:t xml:space="preserve">clones including 10 from the water column and 44 resurrected from lake sediments representing an approximately 25-year temporal contrast (~1994-2019). In total we called 3,802,961 high confidence biallelic SNPs in the population. </w:t>
      </w:r>
    </w:p>
    <w:p w14:paraId="42FD590E" w14:textId="77777777" w:rsidR="00631FA6" w:rsidRPr="00631FA6" w:rsidRDefault="00631FA6" w:rsidP="00631FA6">
      <w:pPr>
        <w:keepNext/>
        <w:pBdr>
          <w:top w:val="nil"/>
          <w:left w:val="nil"/>
          <w:bottom w:val="nil"/>
          <w:right w:val="nil"/>
          <w:between w:val="nil"/>
        </w:pBdr>
        <w:spacing w:before="240" w:after="60" w:line="480" w:lineRule="auto"/>
        <w:contextualSpacing/>
        <w:jc w:val="both"/>
        <w:rPr>
          <w:rFonts w:ascii="Times New Roman" w:hAnsi="Times New Roman" w:cs="Times New Roman"/>
          <w:color w:val="000000"/>
          <w:sz w:val="24"/>
          <w:szCs w:val="24"/>
        </w:rPr>
      </w:pPr>
    </w:p>
    <w:p w14:paraId="32B41A90" w14:textId="2F1DEAD0" w:rsidR="00631FA6" w:rsidRPr="00631FA6" w:rsidRDefault="00631FA6" w:rsidP="00631FA6">
      <w:pPr>
        <w:keepNext/>
        <w:pBdr>
          <w:top w:val="nil"/>
          <w:left w:val="nil"/>
          <w:bottom w:val="nil"/>
          <w:right w:val="nil"/>
          <w:between w:val="nil"/>
        </w:pBdr>
        <w:spacing w:before="240" w:after="60" w:line="480" w:lineRule="auto"/>
        <w:contextualSpacing/>
        <w:jc w:val="both"/>
        <w:rPr>
          <w:rFonts w:ascii="Times New Roman" w:hAnsi="Times New Roman" w:cs="Times New Roman"/>
          <w:i/>
          <w:iCs/>
          <w:color w:val="000000"/>
          <w:sz w:val="24"/>
          <w:szCs w:val="24"/>
        </w:rPr>
      </w:pPr>
      <w:r w:rsidRPr="00631FA6">
        <w:rPr>
          <w:rFonts w:ascii="Times New Roman" w:hAnsi="Times New Roman" w:cs="Times New Roman"/>
          <w:i/>
          <w:iCs/>
          <w:color w:val="000000"/>
          <w:sz w:val="24"/>
          <w:szCs w:val="24"/>
        </w:rPr>
        <w:t>Population Structure and Genetic Divergence:</w:t>
      </w:r>
    </w:p>
    <w:p w14:paraId="426BD9B5" w14:textId="77777777" w:rsidR="00631FA6" w:rsidRPr="00631FA6" w:rsidRDefault="00631FA6" w:rsidP="00631FA6">
      <w:pPr>
        <w:keepNext/>
        <w:pBdr>
          <w:top w:val="nil"/>
          <w:left w:val="nil"/>
          <w:bottom w:val="nil"/>
          <w:right w:val="nil"/>
          <w:between w:val="nil"/>
        </w:pBdr>
        <w:spacing w:before="240" w:after="60" w:line="480" w:lineRule="auto"/>
        <w:contextualSpacing/>
        <w:jc w:val="both"/>
        <w:rPr>
          <w:rFonts w:ascii="Times New Roman" w:hAnsi="Times New Roman" w:cs="Times New Roman"/>
          <w:color w:val="000000"/>
          <w:sz w:val="24"/>
          <w:szCs w:val="24"/>
        </w:rPr>
      </w:pPr>
      <w:r w:rsidRPr="00631FA6">
        <w:rPr>
          <w:rFonts w:ascii="Times New Roman" w:hAnsi="Times New Roman" w:cs="Times New Roman"/>
          <w:color w:val="000000"/>
          <w:sz w:val="24"/>
          <w:szCs w:val="24"/>
        </w:rPr>
        <w:t xml:space="preserve">Key to understanding the dynamics of the population across time is accurately describing population structure to rule out possible extinction and recolonization. The 54 clones selected for sequencing were separated into two clusters based on the first two principal component axes explaining 7.6% and 4.6% of the variance in the LD-pruned SNP data, respectively (Figure 1A). These two clusters largely separated the clones by depth with the older clones (layers 16-18 cm, 18-20 cm, and 22-24 cm) and more recent clones (Lake Clones, 2-4 cm, 6-8 cm, and 10-12 cm) forming the two groupings. Subsequently, we decided to assign the clones into three groups for the remainder of the analyses. We designated these as DEEP, encompassing all clones from 16-24 cm in depth (n = 18) and date from the mid to late 1990s. The second designation, called MID, encompassed all clones from 6-12 cm in depth (n = 18) and date from the mid to late 2000s. The third and final designation, referred to as TOP hereafter, included all clones collected from the water column and 2-4 cm in depth in the core (n = 18) spanning from 2016 to 2019. We based our assignment into the groupings on two observations: firstly, the TOP and DEEP subpopulations are </w:t>
      </w:r>
      <w:r w:rsidRPr="00631FA6">
        <w:rPr>
          <w:rFonts w:ascii="Times New Roman" w:hAnsi="Times New Roman" w:cs="Times New Roman"/>
          <w:color w:val="000000"/>
          <w:sz w:val="24"/>
          <w:szCs w:val="24"/>
        </w:rPr>
        <w:lastRenderedPageBreak/>
        <w:t xml:space="preserve">delineated by the PCA clusters, and thus warranted separate assignments. Secondly, the MID subpopulation, while closely related to TOP, was intermediate in the time-scale –approximately 10 years prior to TOP and approximately 10 years after DEEP– and thus formed an appropriate intermediate grouping. While the TOP and MID are indistinguishable using PCA (Fig 1A), their temporal separation is a key feature of our study. Hence, we included each as a separate temporal deme in our simulations and analysis. Conveniently, this scheme also allowed each grouping to achieve equal sample size (i.e., 18 samples). Using Discriminate Analysis of Principal Components (DAPC), which is a flexible group assignment method, we found good analytical support for assignment of clones to the three </w:t>
      </w:r>
      <w:r w:rsidRPr="00631FA6">
        <w:rPr>
          <w:rFonts w:ascii="Times New Roman" w:hAnsi="Times New Roman" w:cs="Times New Roman"/>
          <w:i/>
          <w:iCs/>
          <w:color w:val="000000"/>
          <w:sz w:val="24"/>
          <w:szCs w:val="24"/>
        </w:rPr>
        <w:t xml:space="preserve">a priori </w:t>
      </w:r>
      <w:r w:rsidRPr="00631FA6">
        <w:rPr>
          <w:rFonts w:ascii="Times New Roman" w:hAnsi="Times New Roman" w:cs="Times New Roman"/>
          <w:color w:val="000000"/>
          <w:sz w:val="24"/>
          <w:szCs w:val="24"/>
        </w:rPr>
        <w:t>designated groups (Figure 1B). However, as with the PCA results, generally MID clones had non-negligible assignment probabilities when compared to the TOP subpopulation. Site-wise F</w:t>
      </w:r>
      <w:r w:rsidRPr="00631FA6">
        <w:rPr>
          <w:rFonts w:ascii="Times New Roman" w:hAnsi="Times New Roman" w:cs="Times New Roman"/>
          <w:color w:val="000000"/>
          <w:sz w:val="24"/>
          <w:szCs w:val="24"/>
          <w:vertAlign w:val="subscript"/>
        </w:rPr>
        <w:t>st</w:t>
      </w:r>
      <w:r w:rsidRPr="00631FA6">
        <w:rPr>
          <w:rFonts w:ascii="Times New Roman" w:hAnsi="Times New Roman" w:cs="Times New Roman"/>
          <w:color w:val="000000"/>
          <w:sz w:val="24"/>
          <w:szCs w:val="24"/>
        </w:rPr>
        <w:t xml:space="preserve"> was low across time, with an overall estimate of approximately 0.016 (Figure 1C). However, site-wise F</w:t>
      </w:r>
      <w:r w:rsidRPr="00631FA6">
        <w:rPr>
          <w:rFonts w:ascii="Times New Roman" w:hAnsi="Times New Roman" w:cs="Times New Roman"/>
          <w:color w:val="000000"/>
          <w:sz w:val="24"/>
          <w:szCs w:val="24"/>
          <w:vertAlign w:val="subscript"/>
        </w:rPr>
        <w:t>st</w:t>
      </w:r>
      <w:r w:rsidRPr="00631FA6">
        <w:rPr>
          <w:rFonts w:ascii="Times New Roman" w:hAnsi="Times New Roman" w:cs="Times New Roman"/>
          <w:color w:val="000000"/>
          <w:sz w:val="24"/>
          <w:szCs w:val="24"/>
        </w:rPr>
        <w:t xml:space="preserve"> estimates ranged from around 0 to as high as 0.398, with most sites having an F</w:t>
      </w:r>
      <w:r w:rsidRPr="00631FA6">
        <w:rPr>
          <w:rFonts w:ascii="Times New Roman" w:hAnsi="Times New Roman" w:cs="Times New Roman"/>
          <w:color w:val="000000"/>
          <w:sz w:val="24"/>
          <w:szCs w:val="24"/>
          <w:vertAlign w:val="subscript"/>
        </w:rPr>
        <w:t>st</w:t>
      </w:r>
      <w:r w:rsidRPr="00631FA6">
        <w:rPr>
          <w:rFonts w:ascii="Times New Roman" w:hAnsi="Times New Roman" w:cs="Times New Roman"/>
          <w:color w:val="000000"/>
          <w:sz w:val="24"/>
          <w:szCs w:val="24"/>
        </w:rPr>
        <w:t xml:space="preserve"> of essentially 0. The pairwise genetic distance between the three temporal subpopulations was related to the temporal distance with the TOP vs DEEP comparison being highest (0.019) and the MID population being intermediate to both (Figure 1D). Patterns of nucleotide diversity (</w:t>
      </w:r>
      <w:r w:rsidRPr="00631FA6">
        <w:rPr>
          <w:rFonts w:ascii="Symbol" w:eastAsia="Symbol" w:hAnsi="Symbol" w:cs="Symbol"/>
          <w:sz w:val="24"/>
          <w:szCs w:val="24"/>
        </w:rPr>
        <w:t>p</w:t>
      </w:r>
      <w:r w:rsidRPr="00631FA6">
        <w:rPr>
          <w:rFonts w:ascii="Times New Roman" w:hAnsi="Times New Roman" w:cs="Times New Roman"/>
          <w:color w:val="000000"/>
          <w:sz w:val="24"/>
          <w:szCs w:val="24"/>
        </w:rPr>
        <w:t xml:space="preserve">) were similar across all temporal subpopulations. Mean nucleotide diversity ranged from 0.0066 for DEEP, to 0.0070 for MID and 0.0069 for TOP (Figures S3-5). </w:t>
      </w:r>
    </w:p>
    <w:p w14:paraId="3E8BD4F6" w14:textId="77777777" w:rsidR="00631FA6" w:rsidRPr="00631FA6" w:rsidRDefault="00631FA6" w:rsidP="00631FA6">
      <w:pPr>
        <w:keepNext/>
        <w:pBdr>
          <w:top w:val="nil"/>
          <w:left w:val="nil"/>
          <w:bottom w:val="nil"/>
          <w:right w:val="nil"/>
          <w:between w:val="nil"/>
        </w:pBdr>
        <w:spacing w:before="240" w:after="60" w:line="480" w:lineRule="auto"/>
        <w:contextualSpacing/>
        <w:jc w:val="both"/>
        <w:rPr>
          <w:rFonts w:ascii="Times New Roman" w:hAnsi="Times New Roman" w:cs="Times New Roman"/>
          <w:color w:val="000000"/>
          <w:sz w:val="24"/>
          <w:szCs w:val="24"/>
        </w:rPr>
      </w:pPr>
    </w:p>
    <w:p w14:paraId="61E922EC" w14:textId="2469BD2A" w:rsidR="00631FA6" w:rsidRPr="00631FA6" w:rsidRDefault="00631FA6" w:rsidP="00631FA6">
      <w:pPr>
        <w:keepNext/>
        <w:pBdr>
          <w:top w:val="nil"/>
          <w:left w:val="nil"/>
          <w:bottom w:val="nil"/>
          <w:right w:val="nil"/>
          <w:between w:val="nil"/>
        </w:pBdr>
        <w:spacing w:before="240" w:after="60" w:line="480" w:lineRule="auto"/>
        <w:contextualSpacing/>
        <w:jc w:val="both"/>
        <w:rPr>
          <w:rFonts w:ascii="Times New Roman" w:hAnsi="Times New Roman" w:cs="Times New Roman"/>
          <w:i/>
          <w:iCs/>
          <w:color w:val="000000"/>
          <w:sz w:val="24"/>
          <w:szCs w:val="24"/>
        </w:rPr>
      </w:pPr>
      <w:r w:rsidRPr="00631FA6">
        <w:rPr>
          <w:rFonts w:ascii="Times New Roman" w:hAnsi="Times New Roman" w:cs="Times New Roman"/>
          <w:i/>
          <w:iCs/>
          <w:color w:val="000000"/>
          <w:sz w:val="24"/>
          <w:szCs w:val="24"/>
        </w:rPr>
        <w:t>Estimation of Effective Population Size and Simulations:</w:t>
      </w:r>
    </w:p>
    <w:p w14:paraId="47EDA5CE" w14:textId="77777777" w:rsidR="00631FA6" w:rsidRPr="00631FA6" w:rsidRDefault="00631FA6" w:rsidP="00631FA6">
      <w:pPr>
        <w:keepNext/>
        <w:pBdr>
          <w:top w:val="nil"/>
          <w:left w:val="nil"/>
          <w:bottom w:val="nil"/>
          <w:right w:val="nil"/>
          <w:between w:val="nil"/>
        </w:pBdr>
        <w:spacing w:before="240" w:after="60" w:line="480" w:lineRule="auto"/>
        <w:contextualSpacing/>
        <w:jc w:val="both"/>
        <w:rPr>
          <w:rFonts w:ascii="Times New Roman" w:hAnsi="Times New Roman" w:cs="Times New Roman"/>
          <w:color w:val="000000"/>
          <w:sz w:val="24"/>
          <w:szCs w:val="24"/>
        </w:rPr>
      </w:pPr>
      <w:r w:rsidRPr="00631FA6">
        <w:rPr>
          <w:rFonts w:ascii="Times New Roman" w:hAnsi="Times New Roman" w:cs="Times New Roman"/>
          <w:color w:val="000000"/>
          <w:sz w:val="24"/>
          <w:szCs w:val="24"/>
        </w:rPr>
        <w:t xml:space="preserve">To accurately parameterize tests for selection, we sought to estimate a demographic model for the TL population. We were able to estimate the effective population size of the TL </w:t>
      </w:r>
      <w:r w:rsidRPr="00631FA6">
        <w:rPr>
          <w:rFonts w:ascii="Times New Roman" w:hAnsi="Times New Roman" w:cs="Times New Roman"/>
          <w:i/>
          <w:iCs/>
          <w:color w:val="000000"/>
          <w:sz w:val="24"/>
          <w:szCs w:val="24"/>
        </w:rPr>
        <w:t>D. pulicaria</w:t>
      </w:r>
      <w:r w:rsidRPr="00631FA6">
        <w:rPr>
          <w:rFonts w:ascii="Times New Roman" w:hAnsi="Times New Roman" w:cs="Times New Roman"/>
          <w:color w:val="000000"/>
          <w:sz w:val="24"/>
          <w:szCs w:val="24"/>
        </w:rPr>
        <w:t xml:space="preserve"> population using both linkage disequilibrium (LD) and coalescent simulations. The LD-based </w:t>
      </w:r>
      <w:r w:rsidRPr="00631FA6">
        <w:rPr>
          <w:rFonts w:ascii="Times New Roman" w:hAnsi="Times New Roman" w:cs="Times New Roman"/>
          <w:color w:val="000000"/>
          <w:sz w:val="24"/>
          <w:szCs w:val="24"/>
        </w:rPr>
        <w:lastRenderedPageBreak/>
        <w:t>results using just samples from the lake clone (LC) isolates showed that over the last few hundred generations, there was a period of population expansion and contraction (Figure S1). The population reached a peak N</w:t>
      </w:r>
      <w:r w:rsidRPr="00631FA6">
        <w:rPr>
          <w:rFonts w:ascii="Times New Roman" w:hAnsi="Times New Roman" w:cs="Times New Roman"/>
          <w:color w:val="000000"/>
          <w:sz w:val="24"/>
          <w:szCs w:val="24"/>
          <w:vertAlign w:val="subscript"/>
        </w:rPr>
        <w:t>e</w:t>
      </w:r>
      <w:r w:rsidRPr="00631FA6">
        <w:rPr>
          <w:rFonts w:ascii="Times New Roman" w:hAnsi="Times New Roman" w:cs="Times New Roman"/>
          <w:color w:val="000000"/>
          <w:sz w:val="24"/>
          <w:szCs w:val="24"/>
        </w:rPr>
        <w:t xml:space="preserve"> of 4000-6500 approximately 150 generations ago and the population has contracted recently to an N</w:t>
      </w:r>
      <w:r w:rsidRPr="00631FA6">
        <w:rPr>
          <w:rFonts w:ascii="Times New Roman" w:hAnsi="Times New Roman" w:cs="Times New Roman"/>
          <w:color w:val="000000"/>
          <w:sz w:val="24"/>
          <w:szCs w:val="24"/>
          <w:vertAlign w:val="subscript"/>
        </w:rPr>
        <w:t>e</w:t>
      </w:r>
      <w:r w:rsidRPr="00631FA6">
        <w:rPr>
          <w:rFonts w:ascii="Times New Roman" w:hAnsi="Times New Roman" w:cs="Times New Roman"/>
          <w:color w:val="000000"/>
          <w:sz w:val="24"/>
          <w:szCs w:val="24"/>
        </w:rPr>
        <w:t xml:space="preserve"> of around 2000. For this analysis, we interpret “generations” here to be sexual generations (i.e., LD is related to recombination and asexual generations are ameiotic). Since sex may occur once or at most a few times per year in stable lake habitats </w:t>
      </w:r>
      <w:r w:rsidRPr="00631FA6">
        <w:rPr>
          <w:rFonts w:ascii="Times New Roman" w:hAnsi="Times New Roman" w:cs="Times New Roman"/>
          <w:color w:val="000000"/>
          <w:sz w:val="24"/>
          <w:szCs w:val="24"/>
        </w:rPr>
        <w:fldChar w:fldCharType="begin"/>
      </w:r>
      <w:r w:rsidRPr="00631FA6">
        <w:rPr>
          <w:rFonts w:ascii="Times New Roman" w:hAnsi="Times New Roman" w:cs="Times New Roman"/>
          <w:color w:val="000000"/>
          <w:sz w:val="24"/>
          <w:szCs w:val="24"/>
        </w:rPr>
        <w:instrText xml:space="preserve"> ADDIN ZOTERO_ITEM CSL_CITATION {"citationID":"ua75Am0w","properties":{"formattedCitation":"(38, 39)","plainCitation":"(38, 39)","noteIndex":0},"citationItems":[{"id":1552,"uris":["http://zotero.org/users/9952604/items/NDIN5LUP"],"itemData":{"id":1552,"type":"article-journal","abstract":"Cyclical parthenogens are a valuable system in which to empirically test theoretical predictions as to the genetic consequences of sexual reproduction in natural populations, particularly if the frequency of sexual relative to asexual reproduction can be quantified. In this study, we used a series of lake populations of the cyclical parthenogen,?Daphnia pulicaria, that vary consistently in their investment in sexual reproduction, to address the questions of whether the ecological variation in investment in sex is detectable at the genetic level, and if so, whether the genetic patterns seen are consistent with theoretical predictions. We show that there is variation in the genetic structure of these populations in a manner consistent with their investment in sexual reproduction. Populations engaging in a high frequency of sex were in Hardy?Weinberg and gametic phase equilibrium, and showed little genotypic differentiation across sampled years. In contrast, populations with a lower frequency of sex deviated widely from equilibrium, had reduced multilocus clonal diversity, and showed significant temporal genotypic deviation.","container-title":"Evolution","DOI":"10.1111/j.1558-5646.2011.01488.x","ISSN":"0014-3820","issue":"3","note":"publisher: John Wiley &amp; Sons, Ltd","page":"919-926","title":"THE EFFECT OF VARIABLE FREQUENCY OF SEXUAL REPRODUCTION ON THE GENETIC STRUCTURE OF NATURAL POPULATIONS OF A CYCLICAL PARTHENOGEN","URL":"https://doi.org/10.1111/j.1558-5646.2011.01488.x","volume":"66","author":[{"family":"Allen","given":"Desiree E"},{"family":"Lynch","given":"Michael"}],"issued":{"date-parts":[["2012",3,1]]}}},{"id":1366,"uris":["http://zotero.org/users/9952604/items/L9C8S5E7"],"itemData":{"id":1366,"type":"article-journal","abstract":"Dormancy is a common way in which organisms survive environmental conditions that would be lethal to the active individual. However, while dormant, individuals forgo reproduction. Hence theory suggests an optimal time in which to enter dormancy, depending on risks associated with both remaining active and entering dormancy. When these relative risks differ among habitats, dormancy strategies are predicted to vary as well. For freshwater zooplankton, it has been suggested that sensitivity to the cues that initiate dormancy should be selected against when females have the opportunity to remain in the water column year round. We tested this prediction with 12 populations of lake-dwelling Daphnia pulicaria (Crustacea: Cladocera). Differences among lakes in basin morphometry, predators and resources create a gradient of risk for Daphnia in the water column. Some populations persist in high numbers year round while others are abundant only in spring. We used this difference in persistence ability as an estimate of risk in the water-column. For 3 years of field sampling we found consistent differences among the lake populations in the incidence of dormancy. In some populations, only a small fraction of females switched to producing dormant eggs each year whereas in others the majority of eggs produced in the late spring were dormant. In general, populations that experienced predictably low abundances in the active form exhibited higher incidence of dormancy than did populations that persisted in high abundance year round, but there were exceptions. Our results confirm that the incidence of dormancy varies considerably among populations in a fashion consistent with general theory, but suggest that persistence in the water column is not the sole predictor of the diapause strategy found in any particular lake. © Springer-Verlag 2004.","container-title":"Oecologia","DOI":"10.1007/s00442-004-1657-5","ISSN":"00298549","issue":"3","page":"425-431","title":"Incidence of diapause varies among populations of Daphnia pulicaria","volume":"141","author":[{"family":"Cáceres","given":"Carla E."},{"family":"Tessier","given":"Alan J."}],"accessed":{"date-parts":[["2019",12,5]]},"issued":{"date-parts":[["2004"]]}}}],"schema":"https://github.com/citation-style-language/schema/raw/master/csl-citation.json"} </w:instrText>
      </w:r>
      <w:r w:rsidRPr="00631FA6">
        <w:rPr>
          <w:rFonts w:ascii="Times New Roman" w:hAnsi="Times New Roman" w:cs="Times New Roman"/>
          <w:color w:val="000000"/>
          <w:sz w:val="24"/>
          <w:szCs w:val="24"/>
        </w:rPr>
        <w:fldChar w:fldCharType="separate"/>
      </w:r>
      <w:r w:rsidRPr="00631FA6">
        <w:rPr>
          <w:rFonts w:ascii="Times New Roman" w:hAnsi="Times New Roman" w:cs="Times New Roman"/>
          <w:noProof/>
          <w:color w:val="000000"/>
          <w:sz w:val="24"/>
          <w:szCs w:val="24"/>
        </w:rPr>
        <w:t>(38, 39)</w:t>
      </w:r>
      <w:r w:rsidRPr="00631FA6">
        <w:rPr>
          <w:rFonts w:ascii="Times New Roman" w:hAnsi="Times New Roman" w:cs="Times New Roman"/>
          <w:color w:val="000000"/>
          <w:sz w:val="24"/>
          <w:szCs w:val="24"/>
        </w:rPr>
        <w:fldChar w:fldCharType="end"/>
      </w:r>
      <w:r w:rsidRPr="00631FA6">
        <w:rPr>
          <w:rFonts w:ascii="Times New Roman" w:hAnsi="Times New Roman" w:cs="Times New Roman"/>
          <w:color w:val="000000"/>
          <w:sz w:val="24"/>
          <w:szCs w:val="24"/>
        </w:rPr>
        <w:t xml:space="preserve">, we interpret a single generation to be equivalent to one year. The coalescent-based FSC2.7 </w:t>
      </w:r>
      <w:r w:rsidRPr="00631FA6">
        <w:rPr>
          <w:rFonts w:ascii="Times New Roman" w:hAnsi="Times New Roman" w:cs="Times New Roman"/>
          <w:color w:val="000000"/>
          <w:sz w:val="24"/>
          <w:szCs w:val="24"/>
        </w:rPr>
        <w:fldChar w:fldCharType="begin"/>
      </w:r>
      <w:r w:rsidRPr="00631FA6">
        <w:rPr>
          <w:rFonts w:ascii="Times New Roman" w:hAnsi="Times New Roman" w:cs="Times New Roman"/>
          <w:color w:val="000000"/>
          <w:sz w:val="24"/>
          <w:szCs w:val="24"/>
        </w:rPr>
        <w:instrText xml:space="preserve"> ADDIN ZOTERO_ITEM CSL_CITATION {"citationID":"ChITKlBi","properties":{"formattedCitation":"(40)","plainCitation":"(40)","noteIndex":0},"citationItems":[{"id":"SedG4JnF/H8AmspXr","uris":["http://www.mendeley.com/documents/?uuid=013435f6-3d93-3309-8684-af561159d8cf"],"itemData":{"DOI":"10.1093/BIOINFORMATICS/BTAB468","ISSN":"1367-4803","abstract":"Motivation: fastsimcoal2 extends fastsimcoal, a continuous time coalescent-based genetic simulation program, by enabling the estimation of demographic parameters under very complex scenarios from the site frequency spectrum under a maximum-likelihood framework. Results: Other improvements include multi-threading, handling of population inbreeding, extended input file syntax facilitating the description of complex demographic scenarios, and more efficient simulations of sparsely structured populations and of large chromosomes.","author":[{"dropping-particle":"","family":"Excoffier","given":"Laurent","non-dropping-particle":"","parse-names":false,"suffix":""},{"dropping-particle":"","family":"Marchi","given":"Nina","non-dropping-particle":"","parse-names":false,"suffix":""},{"dropping-particle":"","family":"Marques","given":"David Alexander","non-dropping-particle":"","parse-names":false,"suffix":""},{"dropping-particle":"","family":"Matthey-Doret","given":"Remi","non-dropping-particle":"","parse-names":false,"suffix":""},{"dropping-particle":"","family":"Gouy","given":"Alexandre","non-dropping-particle":"","parse-names":false,"suffix":""},{"dropping-particle":"","family":"Sousa","given":"Vitor C","non-dropping-particle":"","parse-names":false,"suffix":""}],"container-title":"Bioinformatics","id":"JxsKhHw3/snRqj7UZ","issue":"24","issued":{"date-parts":[["2021","12","11"]]},"page":"4882-4885","publisher":"Oxford Academic","title":"fastsimcoal2: demographic inference under complex evolutionary scenarios","type":"article-journal","volume":"37"}}],"schema":"https://github.com/citation-style-language/schema/raw/master/csl-citation.json"} </w:instrText>
      </w:r>
      <w:r w:rsidRPr="00631FA6">
        <w:rPr>
          <w:rFonts w:ascii="Times New Roman" w:hAnsi="Times New Roman" w:cs="Times New Roman"/>
          <w:color w:val="000000"/>
          <w:sz w:val="24"/>
          <w:szCs w:val="24"/>
        </w:rPr>
        <w:fldChar w:fldCharType="separate"/>
      </w:r>
      <w:r w:rsidRPr="00631FA6">
        <w:rPr>
          <w:rFonts w:ascii="Times New Roman" w:hAnsi="Times New Roman" w:cs="Times New Roman"/>
          <w:noProof/>
          <w:color w:val="000000"/>
          <w:sz w:val="24"/>
          <w:szCs w:val="24"/>
        </w:rPr>
        <w:t>(40)</w:t>
      </w:r>
      <w:r w:rsidRPr="00631FA6">
        <w:rPr>
          <w:rFonts w:ascii="Times New Roman" w:hAnsi="Times New Roman" w:cs="Times New Roman"/>
          <w:color w:val="000000"/>
          <w:sz w:val="24"/>
          <w:szCs w:val="24"/>
        </w:rPr>
        <w:fldChar w:fldCharType="end"/>
      </w:r>
      <w:r w:rsidRPr="00631FA6">
        <w:rPr>
          <w:rFonts w:ascii="Times New Roman" w:hAnsi="Times New Roman" w:cs="Times New Roman"/>
          <w:color w:val="000000"/>
          <w:sz w:val="24"/>
          <w:szCs w:val="24"/>
        </w:rPr>
        <w:t xml:space="preserve"> run with the highest likelihood estimated N</w:t>
      </w:r>
      <w:r w:rsidRPr="00631FA6">
        <w:rPr>
          <w:rFonts w:ascii="Times New Roman" w:hAnsi="Times New Roman" w:cs="Times New Roman"/>
          <w:color w:val="000000"/>
          <w:sz w:val="24"/>
          <w:szCs w:val="24"/>
          <w:vertAlign w:val="subscript"/>
        </w:rPr>
        <w:t>e</w:t>
      </w:r>
      <w:r w:rsidRPr="00631FA6">
        <w:rPr>
          <w:rFonts w:ascii="Times New Roman" w:hAnsi="Times New Roman" w:cs="Times New Roman"/>
          <w:color w:val="000000"/>
          <w:sz w:val="24"/>
          <w:szCs w:val="24"/>
        </w:rPr>
        <w:t xml:space="preserve"> to be 2931 individuals and had a signal of population contraction with a population growth rate of 2.629 x 10</w:t>
      </w:r>
      <w:r w:rsidRPr="00631FA6">
        <w:rPr>
          <w:rFonts w:ascii="Times New Roman" w:hAnsi="Times New Roman" w:cs="Times New Roman"/>
          <w:color w:val="000000"/>
          <w:sz w:val="24"/>
          <w:szCs w:val="24"/>
          <w:vertAlign w:val="superscript"/>
        </w:rPr>
        <w:t>-5</w:t>
      </w:r>
      <w:r w:rsidRPr="00631FA6">
        <w:rPr>
          <w:rFonts w:ascii="Times New Roman" w:hAnsi="Times New Roman" w:cs="Times New Roman"/>
          <w:color w:val="000000"/>
          <w:sz w:val="24"/>
          <w:szCs w:val="24"/>
        </w:rPr>
        <w:t>. The estimate of effective population size was within the 95% confidence for 100 parametric bootstraps; however, the estimate for population growth rate was not and the confidence intervals included zero (table S1). We ran simulations in FSC2.7 using the maximum likelihood estimates to establish expectations for F</w:t>
      </w:r>
      <w:r w:rsidRPr="00631FA6">
        <w:rPr>
          <w:rFonts w:ascii="Times New Roman" w:hAnsi="Times New Roman" w:cs="Times New Roman"/>
          <w:color w:val="000000"/>
          <w:sz w:val="24"/>
          <w:szCs w:val="24"/>
          <w:vertAlign w:val="subscript"/>
        </w:rPr>
        <w:t>st</w:t>
      </w:r>
      <w:r w:rsidRPr="00631FA6">
        <w:rPr>
          <w:rFonts w:ascii="Times New Roman" w:hAnsi="Times New Roman" w:cs="Times New Roman"/>
          <w:color w:val="000000"/>
          <w:sz w:val="24"/>
          <w:szCs w:val="24"/>
        </w:rPr>
        <w:t xml:space="preserve"> based on the modeled demographic parameters. The results from 100 independent runs of FSC2.7 were pooled to develop a distribution of expected F</w:t>
      </w:r>
      <w:r w:rsidRPr="00631FA6">
        <w:rPr>
          <w:rFonts w:ascii="Times New Roman" w:hAnsi="Times New Roman" w:cs="Times New Roman"/>
          <w:color w:val="000000"/>
          <w:sz w:val="24"/>
          <w:szCs w:val="24"/>
          <w:vertAlign w:val="subscript"/>
        </w:rPr>
        <w:t>st</w:t>
      </w:r>
      <w:r w:rsidRPr="00631FA6">
        <w:rPr>
          <w:rFonts w:ascii="Times New Roman" w:hAnsi="Times New Roman" w:cs="Times New Roman"/>
          <w:color w:val="000000"/>
          <w:sz w:val="24"/>
          <w:szCs w:val="24"/>
        </w:rPr>
        <w:t xml:space="preserve"> values from simulated ~110000 SNPs. Testing each LD-pruned SNP against this distribution and correcting for multiple testing using false discovery rate (FDR) resulted in 178 outlier SNPs with corrected one-tailed p-values above a p = 0.05 significance threshold (Figure 2). There were outliers on every chromosome, ranging from a low of 2 SNPs (CHR 08) to a high of 42 (CHR 04).</w:t>
      </w:r>
    </w:p>
    <w:p w14:paraId="02FEA329" w14:textId="77777777" w:rsidR="00631FA6" w:rsidRPr="00631FA6" w:rsidRDefault="00631FA6" w:rsidP="00631FA6">
      <w:pPr>
        <w:keepNext/>
        <w:pBdr>
          <w:top w:val="nil"/>
          <w:left w:val="nil"/>
          <w:bottom w:val="nil"/>
          <w:right w:val="nil"/>
          <w:between w:val="nil"/>
        </w:pBdr>
        <w:spacing w:before="240" w:after="60" w:line="480" w:lineRule="auto"/>
        <w:contextualSpacing/>
        <w:jc w:val="both"/>
        <w:rPr>
          <w:rFonts w:ascii="Times New Roman" w:hAnsi="Times New Roman" w:cs="Times New Roman"/>
          <w:color w:val="000000"/>
          <w:sz w:val="24"/>
          <w:szCs w:val="24"/>
        </w:rPr>
      </w:pPr>
      <w:r w:rsidRPr="00631FA6">
        <w:rPr>
          <w:rFonts w:ascii="Times New Roman" w:hAnsi="Times New Roman" w:cs="Times New Roman"/>
          <w:color w:val="000000"/>
          <w:sz w:val="24"/>
          <w:szCs w:val="24"/>
        </w:rPr>
        <w:t xml:space="preserve"> </w:t>
      </w:r>
    </w:p>
    <w:p w14:paraId="32318239" w14:textId="3BDC2AC3" w:rsidR="00631FA6" w:rsidRPr="00631FA6" w:rsidRDefault="00631FA6" w:rsidP="00631FA6">
      <w:pPr>
        <w:keepNext/>
        <w:pBdr>
          <w:top w:val="nil"/>
          <w:left w:val="nil"/>
          <w:bottom w:val="nil"/>
          <w:right w:val="nil"/>
          <w:between w:val="nil"/>
        </w:pBdr>
        <w:spacing w:before="240" w:after="60" w:line="480" w:lineRule="auto"/>
        <w:contextualSpacing/>
        <w:jc w:val="both"/>
        <w:rPr>
          <w:rFonts w:ascii="Times New Roman" w:hAnsi="Times New Roman" w:cs="Times New Roman"/>
          <w:i/>
          <w:iCs/>
          <w:color w:val="000000"/>
          <w:sz w:val="24"/>
          <w:szCs w:val="24"/>
        </w:rPr>
      </w:pPr>
      <w:r w:rsidRPr="00631FA6">
        <w:rPr>
          <w:rFonts w:ascii="Times New Roman" w:hAnsi="Times New Roman" w:cs="Times New Roman"/>
          <w:i/>
          <w:iCs/>
          <w:color w:val="000000"/>
          <w:sz w:val="24"/>
          <w:szCs w:val="24"/>
        </w:rPr>
        <w:t>Genes surrounding F</w:t>
      </w:r>
      <w:r w:rsidRPr="00631FA6">
        <w:rPr>
          <w:rFonts w:ascii="Times New Roman" w:hAnsi="Times New Roman" w:cs="Times New Roman"/>
          <w:i/>
          <w:iCs/>
          <w:color w:val="000000"/>
          <w:sz w:val="24"/>
          <w:szCs w:val="24"/>
          <w:vertAlign w:val="subscript"/>
        </w:rPr>
        <w:t>st</w:t>
      </w:r>
      <w:r w:rsidRPr="00631FA6">
        <w:rPr>
          <w:rFonts w:ascii="Times New Roman" w:hAnsi="Times New Roman" w:cs="Times New Roman"/>
          <w:i/>
          <w:iCs/>
          <w:color w:val="000000"/>
          <w:sz w:val="24"/>
          <w:szCs w:val="24"/>
        </w:rPr>
        <w:t xml:space="preserve"> outliers and GO term enrichment and Variant Annotation:</w:t>
      </w:r>
    </w:p>
    <w:p w14:paraId="305D896B" w14:textId="77777777" w:rsidR="00631FA6" w:rsidRPr="00631FA6" w:rsidRDefault="00631FA6" w:rsidP="00631FA6">
      <w:pPr>
        <w:keepNext/>
        <w:pBdr>
          <w:top w:val="nil"/>
          <w:left w:val="nil"/>
          <w:bottom w:val="nil"/>
          <w:right w:val="nil"/>
          <w:between w:val="nil"/>
        </w:pBdr>
        <w:spacing w:before="240" w:after="60" w:line="480" w:lineRule="auto"/>
        <w:contextualSpacing/>
        <w:jc w:val="both"/>
        <w:rPr>
          <w:rFonts w:ascii="Times New Roman" w:hAnsi="Times New Roman" w:cs="Times New Roman"/>
          <w:color w:val="000000"/>
          <w:sz w:val="24"/>
          <w:szCs w:val="24"/>
        </w:rPr>
      </w:pPr>
      <w:r w:rsidRPr="00631FA6">
        <w:rPr>
          <w:rFonts w:ascii="Times New Roman" w:hAnsi="Times New Roman" w:cs="Times New Roman"/>
          <w:color w:val="000000"/>
          <w:sz w:val="24"/>
          <w:szCs w:val="24"/>
        </w:rPr>
        <w:t>One of our primary hypotheses was that the genes surrounding Fst outliers would be related to osmoregulation and salinity tolerance. We searched for genes within 10Kb of the Fst outlier SNPs (</w:t>
      </w:r>
      <w:r w:rsidRPr="00631FA6">
        <w:rPr>
          <w:rFonts w:ascii="Symbol" w:eastAsia="Symbol" w:hAnsi="Symbol" w:cs="Symbol"/>
          <w:color w:val="000000"/>
          <w:sz w:val="24"/>
          <w:szCs w:val="24"/>
        </w:rPr>
        <w:t>±</w:t>
      </w:r>
      <w:r w:rsidRPr="00631FA6">
        <w:rPr>
          <w:rFonts w:ascii="Times New Roman" w:hAnsi="Times New Roman" w:cs="Times New Roman"/>
          <w:color w:val="000000"/>
          <w:sz w:val="24"/>
          <w:szCs w:val="24"/>
        </w:rPr>
        <w:t xml:space="preserve"> 5 KB centered on the SNP) and in total we extracted 286 genes near these SNPs with known </w:t>
      </w:r>
      <w:r w:rsidRPr="00631FA6">
        <w:rPr>
          <w:rFonts w:ascii="Times New Roman" w:hAnsi="Times New Roman" w:cs="Times New Roman"/>
          <w:color w:val="000000"/>
          <w:sz w:val="24"/>
          <w:szCs w:val="24"/>
        </w:rPr>
        <w:lastRenderedPageBreak/>
        <w:t xml:space="preserve">function in the </w:t>
      </w:r>
      <w:r w:rsidRPr="00631FA6">
        <w:rPr>
          <w:rFonts w:ascii="Times New Roman" w:hAnsi="Times New Roman" w:cs="Times New Roman"/>
          <w:i/>
          <w:iCs/>
          <w:color w:val="000000"/>
          <w:sz w:val="24"/>
          <w:szCs w:val="24"/>
        </w:rPr>
        <w:t xml:space="preserve">D. pulicaria </w:t>
      </w:r>
      <w:r w:rsidRPr="00631FA6">
        <w:rPr>
          <w:rFonts w:ascii="Times New Roman" w:hAnsi="Times New Roman" w:cs="Times New Roman"/>
          <w:color w:val="000000"/>
          <w:sz w:val="24"/>
          <w:szCs w:val="24"/>
        </w:rPr>
        <w:t xml:space="preserve">genome. GO term enrichment analysis with PantherDB webtool </w:t>
      </w:r>
      <w:r w:rsidRPr="00631FA6">
        <w:rPr>
          <w:rFonts w:ascii="Times New Roman" w:hAnsi="Times New Roman" w:cs="Times New Roman"/>
          <w:color w:val="000000"/>
          <w:sz w:val="24"/>
          <w:szCs w:val="24"/>
        </w:rPr>
        <w:fldChar w:fldCharType="begin"/>
      </w:r>
      <w:r w:rsidRPr="00631FA6">
        <w:rPr>
          <w:rFonts w:ascii="Times New Roman" w:hAnsi="Times New Roman" w:cs="Times New Roman"/>
          <w:color w:val="000000"/>
          <w:sz w:val="24"/>
          <w:szCs w:val="24"/>
        </w:rPr>
        <w:instrText xml:space="preserve"> ADDIN ZOTERO_ITEM CSL_CITATION {"citationID":"RIuLth27","properties":{"formattedCitation":"(41)","plainCitation":"(41)","noteIndex":0},"citationItems":[{"id":"SedG4JnF/5Eqsc9Tf","uris":["http://www.mendeley.com/documents/?uuid=f0fbd785-582d-3536-9018-4cd6fade86b0"],"itemData":{"DOI":"10.1093/nar/gkaa1106","ISSN":"13624962","PMID":"33290554","abstract":"PANTHER (Protein Analysis Through Evolutionary Relationships, http://www.pantherdb.org) is a resource for the evolutionary and functional classification of protein-coding genes from all domains of life. The evolutionary classification is based on a library of over 15,000 phylogenetic trees, and the functional classifications include Gene Ontology terms and pathways. Here, we analyze the current coverage of genes from genomes in different taxonomic groups, so that users can better understand what to expect when analyzing a gene list using PANTHER tools. We also describe extensive improvements to PANTHER made in the past two years. The PANTHER Protein Class ontology has been completely refactored, and 6101 PANTHER families have been manually assigned to a Protein Class, providing a high level classification of protein families and their genes. Users can access the TreeGrafter tool to add their own protein sequences to the reference phylogenetic trees in PANTHER, to infer evolutionary context as well as fine-grained annotations. We have added human enhancer-gene links that associate non-coding regions with the annotated human genes in PANTHER. We have also expanded the available services for programmatic access to PANTHER tools and data via application programming interfaces (APIs). Other improvements include additional plant genomes and an updated PANTHER GO-slim.","author":[{"dropping-particle":"","family":"Mi","given":"Huaiyu","non-dropping-particle":"","parse-names":false,"suffix":""},{"dropping-particle":"","family":"Ebert","given":"Dustin","non-dropping-particle":"","parse-names":false,"suffix":""},{"dropping-particle":"","family":"Muruganujan","given":"Anushya","non-dropping-particle":"","parse-names":false,"suffix":""},{"dropping-particle":"","family":"Mills","given":"Caitlin","non-dropping-particle":"","parse-names":false,"suffix":""},{"dropping-particle":"","family":"Albou","given":"Laurent Philippe","non-dropping-particle":"","parse-names":false,"suffix":""},{"dropping-particle":"","family":"Mushayamaha","given":"Tremayne","non-dropping-particle":"","parse-names":false,"suffix":""},{"dropping-particle":"","family":"Thomas","given":"Paul D.","non-dropping-particle":"","parse-names":false,"suffix":""}],"container-title":"Nucleic Acids Research","id":"JxsKhHw3/rrmoWAz4","issue":"D1","issued":{"date-parts":[["2021","1","8"]]},"page":"D394-D403","publisher":"Oxford University Press","title":"PANTHER version 16: A revised family classification, tree-based classification tool, enhancer regions and extensive API","type":"article-journal","volume":"49"}}],"schema":"https://github.com/citation-style-language/schema/raw/master/csl-citation.json"} </w:instrText>
      </w:r>
      <w:r w:rsidRPr="00631FA6">
        <w:rPr>
          <w:rFonts w:ascii="Times New Roman" w:hAnsi="Times New Roman" w:cs="Times New Roman"/>
          <w:color w:val="000000"/>
          <w:sz w:val="24"/>
          <w:szCs w:val="24"/>
        </w:rPr>
        <w:fldChar w:fldCharType="separate"/>
      </w:r>
      <w:r w:rsidRPr="00631FA6">
        <w:rPr>
          <w:rFonts w:ascii="Times New Roman" w:hAnsi="Times New Roman" w:cs="Times New Roman"/>
          <w:noProof/>
          <w:color w:val="000000"/>
          <w:sz w:val="24"/>
          <w:szCs w:val="24"/>
        </w:rPr>
        <w:t>(41)</w:t>
      </w:r>
      <w:r w:rsidRPr="00631FA6">
        <w:rPr>
          <w:rFonts w:ascii="Times New Roman" w:hAnsi="Times New Roman" w:cs="Times New Roman"/>
          <w:color w:val="000000"/>
          <w:sz w:val="24"/>
          <w:szCs w:val="24"/>
        </w:rPr>
        <w:fldChar w:fldCharType="end"/>
      </w:r>
      <w:r w:rsidRPr="00631FA6">
        <w:rPr>
          <w:rFonts w:ascii="Times New Roman" w:hAnsi="Times New Roman" w:cs="Times New Roman"/>
          <w:color w:val="000000"/>
          <w:sz w:val="24"/>
          <w:szCs w:val="24"/>
        </w:rPr>
        <w:t xml:space="preserve"> yielded 59 enriched terms for this list of genes after correction for FDR (Figure 3). The enriched terms and p-values are available in table S2. Notable among the enriched terms for molecular function are chloride channel activity (GO:0005254; p = 0.00925); however, many different ion and channel terms were enriched. After running variant effect prediction </w:t>
      </w:r>
      <w:r w:rsidRPr="00631FA6">
        <w:rPr>
          <w:rFonts w:ascii="Times New Roman" w:hAnsi="Times New Roman" w:cs="Times New Roman"/>
          <w:color w:val="000000"/>
          <w:sz w:val="24"/>
          <w:szCs w:val="24"/>
        </w:rPr>
        <w:fldChar w:fldCharType="begin"/>
      </w:r>
      <w:r w:rsidRPr="00631FA6">
        <w:rPr>
          <w:rFonts w:ascii="Times New Roman" w:hAnsi="Times New Roman" w:cs="Times New Roman"/>
          <w:color w:val="000000"/>
          <w:sz w:val="24"/>
          <w:szCs w:val="24"/>
        </w:rPr>
        <w:instrText xml:space="preserve"> ADDIN ZOTERO_ITEM CSL_CITATION {"citationID":"f4JBVbcs","properties":{"formattedCitation":"(42)","plainCitation":"(42)","noteIndex":0},"citationItems":[{"id":"SedG4JnF/dZUeaguu","uris":["http://www.mendeley.com/documents/?uuid=6b0ea4f2-2a06-4275-b851-f4565748c165"],"itemData":{"DOI":"10.1186/s13059-016-0974-4","ISSN":"1474-760X","abstract":"The Ensembl Variant Effect Predictor is a powerful toolset for the analysis, annotation, and prioritization of genomic variants in coding and non-coding regions. It provides access to an extensive collection of genomic annotation, with a variety of interfaces to suit different requirements, and simple options for configuring and extending analysis. It is open source, free to use, and supports full reproducibility of results. The Ensembl Variant Effect Predictor can simplify and accelerate variant interpretation in a wide range of study designs.","author":[{"dropping-particle":"","family":"McLaren","given":"William","non-dropping-particle":"","parse-names":false,"suffix":""},{"dropping-particle":"","family":"Gil","given":"Laurent","non-dropping-particle":"","parse-names":false,"suffix":""},{"dropping-particle":"","family":"Hunt","given":"Sarah E","non-dropping-particle":"","parse-names":false,"suffix":""},{"dropping-particle":"","family":"Riat","given":"Harpreet Singh","non-dropping-particle":"","parse-names":false,"suffix":""},{"dropping-particle":"","family":"Ritchie","given":"Graham R S","non-dropping-particle":"","parse-names":false,"suffix":""},{"dropping-particle":"","family":"Thormann","given":"Anja","non-dropping-particle":"","parse-names":false,"suffix":""},{"dropping-particle":"","family":"Flicek","given":"Paul","non-dropping-particle":"","parse-names":false,"suffix":""},{"dropping-particle":"","family":"Cunningham","given":"Fiona","non-dropping-particle":"","parse-names":false,"suffix":""}],"container-title":"Genome Biology","id":"JxsKhHw3/bVG0EOc9","issue":"1","issued":{"date-parts":[["2016"]]},"page":"122","title":"The Ensembl Variant Effect Predictor","type":"article-journal","volume":"17"}}],"schema":"https://github.com/citation-style-language/schema/raw/master/csl-citation.json"} </w:instrText>
      </w:r>
      <w:r w:rsidRPr="00631FA6">
        <w:rPr>
          <w:rFonts w:ascii="Times New Roman" w:hAnsi="Times New Roman" w:cs="Times New Roman"/>
          <w:color w:val="000000"/>
          <w:sz w:val="24"/>
          <w:szCs w:val="24"/>
        </w:rPr>
        <w:fldChar w:fldCharType="separate"/>
      </w:r>
      <w:r w:rsidRPr="00631FA6">
        <w:rPr>
          <w:rFonts w:ascii="Times New Roman" w:hAnsi="Times New Roman" w:cs="Times New Roman"/>
          <w:noProof/>
          <w:color w:val="000000"/>
          <w:sz w:val="24"/>
          <w:szCs w:val="24"/>
        </w:rPr>
        <w:t>(42)</w:t>
      </w:r>
      <w:r w:rsidRPr="00631FA6">
        <w:rPr>
          <w:rFonts w:ascii="Times New Roman" w:hAnsi="Times New Roman" w:cs="Times New Roman"/>
          <w:color w:val="000000"/>
          <w:sz w:val="24"/>
          <w:szCs w:val="24"/>
        </w:rPr>
        <w:fldChar w:fldCharType="end"/>
      </w:r>
      <w:r w:rsidRPr="00631FA6">
        <w:rPr>
          <w:rFonts w:ascii="Times New Roman" w:hAnsi="Times New Roman" w:cs="Times New Roman"/>
          <w:color w:val="000000"/>
          <w:sz w:val="24"/>
          <w:szCs w:val="24"/>
        </w:rPr>
        <w:t xml:space="preserve"> on all the SNPs called in the population, we identified 17181 variants with “high” predicted effects. Intersecting this list with outlier genes, we found 78 of the 286 outlier genes had high effect variants, only one of these, Chloride Channel 2 isoform X2 (</w:t>
      </w:r>
      <w:r w:rsidRPr="00631FA6">
        <w:rPr>
          <w:rFonts w:ascii="Times New Roman" w:hAnsi="Times New Roman" w:cs="Times New Roman"/>
          <w:i/>
          <w:iCs/>
          <w:color w:val="000000"/>
          <w:sz w:val="24"/>
          <w:szCs w:val="24"/>
        </w:rPr>
        <w:t>clcn2-x2</w:t>
      </w:r>
      <w:r w:rsidRPr="00631FA6">
        <w:rPr>
          <w:rFonts w:ascii="Times New Roman" w:hAnsi="Times New Roman" w:cs="Times New Roman"/>
          <w:color w:val="000000"/>
          <w:sz w:val="24"/>
          <w:szCs w:val="24"/>
        </w:rPr>
        <w:t xml:space="preserve">), located on chromosome 5 had any obvious relation to osmoregulation or salinity tolerance. </w:t>
      </w:r>
      <w:r w:rsidRPr="00631FA6">
        <w:rPr>
          <w:rFonts w:ascii="Times New Roman" w:hAnsi="Times New Roman" w:cs="Times New Roman"/>
          <w:i/>
          <w:iCs/>
          <w:color w:val="000000"/>
          <w:sz w:val="24"/>
          <w:szCs w:val="24"/>
        </w:rPr>
        <w:t xml:space="preserve">Clcn2-x2 </w:t>
      </w:r>
      <w:r w:rsidRPr="00631FA6">
        <w:rPr>
          <w:rFonts w:ascii="Times New Roman" w:hAnsi="Times New Roman" w:cs="Times New Roman"/>
          <w:color w:val="000000"/>
          <w:sz w:val="24"/>
          <w:szCs w:val="24"/>
        </w:rPr>
        <w:t>has five SNPs of high effect, including four premature stop codon changes and a splice donor change that would likely severely interrupt protein function. It is tightly linked to the F</w:t>
      </w:r>
      <w:r w:rsidRPr="00631FA6">
        <w:rPr>
          <w:rFonts w:ascii="Times New Roman" w:hAnsi="Times New Roman" w:cs="Times New Roman"/>
          <w:color w:val="000000"/>
          <w:sz w:val="24"/>
          <w:szCs w:val="24"/>
          <w:vertAlign w:val="subscript"/>
        </w:rPr>
        <w:t>st</w:t>
      </w:r>
      <w:r w:rsidRPr="00631FA6">
        <w:rPr>
          <w:rFonts w:ascii="Times New Roman" w:hAnsi="Times New Roman" w:cs="Times New Roman"/>
          <w:color w:val="000000"/>
          <w:sz w:val="24"/>
          <w:szCs w:val="24"/>
        </w:rPr>
        <w:t xml:space="preserve"> outlier site at CHR05:12238, which is an intronic SNP within </w:t>
      </w:r>
      <w:r w:rsidRPr="00631FA6">
        <w:rPr>
          <w:rFonts w:ascii="Times New Roman" w:hAnsi="Times New Roman" w:cs="Times New Roman"/>
          <w:i/>
          <w:iCs/>
          <w:color w:val="000000"/>
          <w:sz w:val="24"/>
          <w:szCs w:val="24"/>
        </w:rPr>
        <w:t>clcn2-x2</w:t>
      </w:r>
      <w:r w:rsidRPr="00631FA6">
        <w:rPr>
          <w:rFonts w:ascii="Times New Roman" w:hAnsi="Times New Roman" w:cs="Times New Roman"/>
          <w:color w:val="000000"/>
          <w:sz w:val="24"/>
          <w:szCs w:val="24"/>
        </w:rPr>
        <w:t xml:space="preserve">. In addition to the high effect mutations, this gene has a total of 28 missense mutations and 37 synonymous mutations classified as moderate and low impact respectively. Of the clones surveyed for chloride tolerance (see next section), we found that the two most tolerant clones were homozygous for the wildtype (i.e., functional) allele at </w:t>
      </w:r>
      <w:r w:rsidRPr="00631FA6">
        <w:rPr>
          <w:rFonts w:ascii="Times New Roman" w:hAnsi="Times New Roman" w:cs="Times New Roman"/>
          <w:i/>
          <w:iCs/>
          <w:color w:val="000000"/>
          <w:sz w:val="24"/>
          <w:szCs w:val="24"/>
        </w:rPr>
        <w:t xml:space="preserve">clcn2-x2. </w:t>
      </w:r>
      <w:r w:rsidRPr="00631FA6">
        <w:rPr>
          <w:rFonts w:ascii="Times New Roman" w:hAnsi="Times New Roman" w:cs="Times New Roman"/>
          <w:color w:val="000000"/>
          <w:sz w:val="24"/>
          <w:szCs w:val="24"/>
        </w:rPr>
        <w:t xml:space="preserve">Overall, 252 of the outlier genes had effects that included moderate impacts to function such as a missense SNP. </w:t>
      </w:r>
    </w:p>
    <w:p w14:paraId="0F6D9701" w14:textId="77777777" w:rsidR="00631FA6" w:rsidRPr="00631FA6" w:rsidRDefault="00631FA6" w:rsidP="00631FA6">
      <w:pPr>
        <w:keepNext/>
        <w:pBdr>
          <w:top w:val="nil"/>
          <w:left w:val="nil"/>
          <w:bottom w:val="nil"/>
          <w:right w:val="nil"/>
          <w:between w:val="nil"/>
        </w:pBdr>
        <w:spacing w:before="240" w:after="60" w:line="480" w:lineRule="auto"/>
        <w:contextualSpacing/>
        <w:jc w:val="both"/>
        <w:rPr>
          <w:rFonts w:ascii="Times New Roman" w:hAnsi="Times New Roman" w:cs="Times New Roman"/>
          <w:color w:val="000000"/>
          <w:sz w:val="24"/>
          <w:szCs w:val="24"/>
        </w:rPr>
      </w:pPr>
    </w:p>
    <w:p w14:paraId="7A46BFA0" w14:textId="77777777" w:rsidR="00631FA6" w:rsidRPr="00631FA6" w:rsidRDefault="00631FA6" w:rsidP="00631FA6">
      <w:pPr>
        <w:keepNext/>
        <w:pBdr>
          <w:top w:val="nil"/>
          <w:left w:val="nil"/>
          <w:bottom w:val="nil"/>
          <w:right w:val="nil"/>
          <w:between w:val="nil"/>
        </w:pBdr>
        <w:spacing w:before="240" w:after="60" w:line="480" w:lineRule="auto"/>
        <w:contextualSpacing/>
        <w:jc w:val="both"/>
        <w:rPr>
          <w:rFonts w:ascii="Times New Roman" w:hAnsi="Times New Roman" w:cs="Times New Roman"/>
          <w:i/>
          <w:iCs/>
          <w:color w:val="000000"/>
          <w:sz w:val="24"/>
          <w:szCs w:val="24"/>
        </w:rPr>
      </w:pPr>
      <w:r w:rsidRPr="00631FA6">
        <w:rPr>
          <w:rFonts w:ascii="Times New Roman" w:hAnsi="Times New Roman" w:cs="Times New Roman"/>
          <w:color w:val="000000"/>
          <w:sz w:val="24"/>
          <w:szCs w:val="24"/>
        </w:rPr>
        <w:tab/>
        <w:t xml:space="preserve">However, </w:t>
      </w:r>
      <w:r w:rsidRPr="00631FA6">
        <w:rPr>
          <w:rFonts w:ascii="Times New Roman" w:hAnsi="Times New Roman" w:cs="Times New Roman"/>
          <w:i/>
          <w:iCs/>
          <w:color w:val="000000"/>
          <w:sz w:val="24"/>
          <w:szCs w:val="24"/>
        </w:rPr>
        <w:t>clcn2-x2</w:t>
      </w:r>
      <w:r w:rsidRPr="00631FA6">
        <w:rPr>
          <w:rFonts w:ascii="Times New Roman" w:hAnsi="Times New Roman" w:cs="Times New Roman"/>
          <w:color w:val="000000"/>
          <w:sz w:val="24"/>
          <w:szCs w:val="24"/>
        </w:rPr>
        <w:t>’s behavior as an outlier is not consistent with a single large effect locus. The SNP at CHR05:12238 is the 88</w:t>
      </w:r>
      <w:r w:rsidRPr="00631FA6">
        <w:rPr>
          <w:rFonts w:ascii="Times New Roman" w:hAnsi="Times New Roman" w:cs="Times New Roman"/>
          <w:color w:val="000000"/>
          <w:sz w:val="24"/>
          <w:szCs w:val="24"/>
          <w:vertAlign w:val="superscript"/>
        </w:rPr>
        <w:t>th</w:t>
      </w:r>
      <w:r w:rsidRPr="00631FA6">
        <w:rPr>
          <w:rFonts w:ascii="Times New Roman" w:hAnsi="Times New Roman" w:cs="Times New Roman"/>
          <w:color w:val="000000"/>
          <w:sz w:val="24"/>
          <w:szCs w:val="24"/>
        </w:rPr>
        <w:t xml:space="preserve"> most differentiated SNPs among the 178 outliers with an overall F</w:t>
      </w:r>
      <w:r w:rsidRPr="00631FA6">
        <w:rPr>
          <w:rFonts w:ascii="Times New Roman" w:hAnsi="Times New Roman" w:cs="Times New Roman"/>
          <w:color w:val="000000"/>
          <w:sz w:val="24"/>
          <w:szCs w:val="24"/>
          <w:vertAlign w:val="subscript"/>
        </w:rPr>
        <w:t>st</w:t>
      </w:r>
      <w:r w:rsidRPr="00631FA6">
        <w:rPr>
          <w:rFonts w:ascii="Times New Roman" w:hAnsi="Times New Roman" w:cs="Times New Roman"/>
          <w:color w:val="000000"/>
          <w:sz w:val="24"/>
          <w:szCs w:val="24"/>
        </w:rPr>
        <w:t xml:space="preserve"> of just 0.1985 (FDR corrected p = 0.0269). The top 11 outlier SNPs (F</w:t>
      </w:r>
      <w:r w:rsidRPr="00631FA6">
        <w:rPr>
          <w:rFonts w:ascii="Times New Roman" w:hAnsi="Times New Roman" w:cs="Times New Roman"/>
          <w:color w:val="000000"/>
          <w:sz w:val="24"/>
          <w:szCs w:val="24"/>
          <w:vertAlign w:val="subscript"/>
        </w:rPr>
        <w:t>st</w:t>
      </w:r>
      <w:r w:rsidRPr="00631FA6">
        <w:rPr>
          <w:rFonts w:ascii="Times New Roman" w:hAnsi="Times New Roman" w:cs="Times New Roman"/>
          <w:color w:val="000000"/>
          <w:sz w:val="24"/>
          <w:szCs w:val="24"/>
        </w:rPr>
        <w:t xml:space="preserve"> 0.3983 – 0.3175) all had F</w:t>
      </w:r>
      <w:r w:rsidRPr="00631FA6">
        <w:rPr>
          <w:rFonts w:ascii="Times New Roman" w:hAnsi="Times New Roman" w:cs="Times New Roman"/>
          <w:color w:val="000000"/>
          <w:sz w:val="24"/>
          <w:szCs w:val="24"/>
          <w:vertAlign w:val="subscript"/>
        </w:rPr>
        <w:t>st</w:t>
      </w:r>
      <w:r w:rsidRPr="00631FA6">
        <w:rPr>
          <w:rFonts w:ascii="Times New Roman" w:hAnsi="Times New Roman" w:cs="Times New Roman"/>
          <w:color w:val="000000"/>
          <w:sz w:val="24"/>
          <w:szCs w:val="24"/>
        </w:rPr>
        <w:t xml:space="preserve"> unobserved under neutral demography. One of the SNPs is an intergenic variant, while the 10 remaining SNPs are intronic SNPs associated with 13 different genes, 10 of which have annotated functions (table S3). The SNP located at CHR04:13394600 is the most differentiated </w:t>
      </w:r>
      <w:r w:rsidRPr="00631FA6">
        <w:rPr>
          <w:rFonts w:ascii="Times New Roman" w:hAnsi="Times New Roman" w:cs="Times New Roman"/>
          <w:color w:val="000000"/>
          <w:sz w:val="24"/>
          <w:szCs w:val="24"/>
        </w:rPr>
        <w:lastRenderedPageBreak/>
        <w:t xml:space="preserve">SNP observed and is associated with the genes </w:t>
      </w:r>
      <w:r w:rsidRPr="00631FA6">
        <w:rPr>
          <w:rFonts w:ascii="Times New Roman" w:hAnsi="Times New Roman" w:cs="Times New Roman"/>
          <w:i/>
          <w:iCs/>
          <w:color w:val="000000"/>
          <w:sz w:val="24"/>
          <w:szCs w:val="24"/>
        </w:rPr>
        <w:t xml:space="preserve">pank4 </w:t>
      </w:r>
      <w:r w:rsidRPr="00631FA6">
        <w:rPr>
          <w:rFonts w:ascii="Times New Roman" w:hAnsi="Times New Roman" w:cs="Times New Roman"/>
          <w:color w:val="000000"/>
          <w:sz w:val="24"/>
          <w:szCs w:val="24"/>
        </w:rPr>
        <w:t xml:space="preserve">and </w:t>
      </w:r>
      <w:r w:rsidRPr="00631FA6">
        <w:rPr>
          <w:rFonts w:ascii="Times New Roman" w:hAnsi="Times New Roman" w:cs="Times New Roman"/>
          <w:i/>
          <w:iCs/>
          <w:color w:val="000000"/>
          <w:sz w:val="24"/>
          <w:szCs w:val="24"/>
        </w:rPr>
        <w:t>tda6.</w:t>
      </w:r>
      <w:r w:rsidRPr="00631FA6">
        <w:rPr>
          <w:rFonts w:ascii="Times New Roman" w:hAnsi="Times New Roman" w:cs="Times New Roman"/>
          <w:color w:val="000000"/>
          <w:sz w:val="24"/>
          <w:szCs w:val="24"/>
        </w:rPr>
        <w:t xml:space="preserve"> The remaining genes span across functional categories including the structural protein collagen alpha-1 chain and the calcium-binding protein </w:t>
      </w:r>
      <w:r w:rsidRPr="00631FA6">
        <w:rPr>
          <w:rFonts w:ascii="Times New Roman" w:hAnsi="Times New Roman" w:cs="Times New Roman"/>
          <w:i/>
          <w:iCs/>
          <w:color w:val="000000"/>
          <w:sz w:val="24"/>
          <w:szCs w:val="24"/>
        </w:rPr>
        <w:t>fstl5</w:t>
      </w:r>
      <w:r w:rsidRPr="00631FA6">
        <w:rPr>
          <w:rFonts w:ascii="Times New Roman" w:hAnsi="Times New Roman" w:cs="Times New Roman"/>
          <w:color w:val="000000"/>
          <w:sz w:val="24"/>
          <w:szCs w:val="24"/>
        </w:rPr>
        <w:t xml:space="preserve">, to several genes related to development comprising </w:t>
      </w:r>
      <w:r w:rsidRPr="00631FA6">
        <w:rPr>
          <w:rFonts w:ascii="Times New Roman" w:hAnsi="Times New Roman" w:cs="Times New Roman"/>
          <w:i/>
          <w:iCs/>
          <w:color w:val="000000"/>
          <w:sz w:val="24"/>
          <w:szCs w:val="24"/>
        </w:rPr>
        <w:t xml:space="preserve">still life </w:t>
      </w:r>
      <w:r w:rsidRPr="00631FA6">
        <w:rPr>
          <w:rFonts w:ascii="Times New Roman" w:hAnsi="Times New Roman" w:cs="Times New Roman"/>
          <w:color w:val="000000"/>
          <w:sz w:val="24"/>
          <w:szCs w:val="24"/>
        </w:rPr>
        <w:fldChar w:fldCharType="begin"/>
      </w:r>
      <w:r w:rsidRPr="00631FA6">
        <w:rPr>
          <w:rFonts w:ascii="Times New Roman" w:hAnsi="Times New Roman" w:cs="Times New Roman"/>
          <w:color w:val="000000"/>
          <w:sz w:val="24"/>
          <w:szCs w:val="24"/>
        </w:rPr>
        <w:instrText xml:space="preserve"> ADDIN ZOTERO_ITEM CSL_CITATION {"citationID":"tBqKJfEL","properties":{"formattedCitation":"(43)","plainCitation":"(43)","noteIndex":0},"citationItems":[{"id":2842,"uris":["http://zotero.org/users/9952604/items/JLH99CZM"],"itemData":{"id":2842,"type":"article-journal","container-title":"Science","DOI":"10.1126/science.275.5299.543","issue":"5299","note":"publisher: American Association for the Advancement of Science","page":"543-547","title":"Still life, a Protein in Synaptic Terminals of Drosophila Homologous to GDP-GTP Exchangers","URL":"https://doi.org/10.1126/science.275.5299.543","volume":"275","author":[{"family":"Masaki","given":"Sone"},{"family":"Mikio","given":"Hoshino"},{"family":"Emiko","given":"Suzuki"},{"family":"Shinya","given":"Kuroda"},{"family":"Kozo","given":"Kaibuchi"},{"family":"Hideki","given":"Nakagoshi"},{"family":"Kaoru","given":"Saigo"},{"family":"Yo-ichi","given":"Nabeshima"},{"family":"Chihiro","given":"Hama"}],"issued":{"date-parts":[["1997",1,24]]}}}],"schema":"https://github.com/citation-style-language/schema/raw/master/csl-citation.json"} </w:instrText>
      </w:r>
      <w:r w:rsidRPr="00631FA6">
        <w:rPr>
          <w:rFonts w:ascii="Times New Roman" w:hAnsi="Times New Roman" w:cs="Times New Roman"/>
          <w:color w:val="000000"/>
          <w:sz w:val="24"/>
          <w:szCs w:val="24"/>
        </w:rPr>
        <w:fldChar w:fldCharType="separate"/>
      </w:r>
      <w:r w:rsidRPr="00631FA6">
        <w:rPr>
          <w:rFonts w:ascii="Times New Roman" w:hAnsi="Times New Roman" w:cs="Times New Roman"/>
          <w:noProof/>
          <w:color w:val="000000"/>
          <w:sz w:val="24"/>
          <w:szCs w:val="24"/>
        </w:rPr>
        <w:t>(43)</w:t>
      </w:r>
      <w:r w:rsidRPr="00631FA6">
        <w:rPr>
          <w:rFonts w:ascii="Times New Roman" w:hAnsi="Times New Roman" w:cs="Times New Roman"/>
          <w:color w:val="000000"/>
          <w:sz w:val="24"/>
          <w:szCs w:val="24"/>
        </w:rPr>
        <w:fldChar w:fldCharType="end"/>
      </w:r>
      <w:r w:rsidRPr="00631FA6">
        <w:rPr>
          <w:rFonts w:ascii="Times New Roman" w:hAnsi="Times New Roman" w:cs="Times New Roman"/>
          <w:i/>
          <w:iCs/>
          <w:color w:val="000000"/>
          <w:sz w:val="24"/>
          <w:szCs w:val="24"/>
        </w:rPr>
        <w:t xml:space="preserve">, daam1 </w:t>
      </w:r>
      <w:r w:rsidRPr="00631FA6">
        <w:rPr>
          <w:rFonts w:ascii="Times New Roman" w:hAnsi="Times New Roman" w:cs="Times New Roman"/>
          <w:i/>
          <w:iCs/>
          <w:color w:val="000000"/>
          <w:sz w:val="24"/>
          <w:szCs w:val="24"/>
        </w:rPr>
        <w:fldChar w:fldCharType="begin"/>
      </w:r>
      <w:r w:rsidRPr="00631FA6">
        <w:rPr>
          <w:rFonts w:ascii="Times New Roman" w:hAnsi="Times New Roman" w:cs="Times New Roman"/>
          <w:i/>
          <w:iCs/>
          <w:color w:val="000000"/>
          <w:sz w:val="24"/>
          <w:szCs w:val="24"/>
        </w:rPr>
        <w:instrText xml:space="preserve"> ADDIN ZOTERO_ITEM CSL_CITATION {"citationID":"HVO0H6I0","properties":{"formattedCitation":"(44)","plainCitation":"(44)","noteIndex":0},"citationItems":[{"id":2845,"uris":["http://zotero.org/users/9952604/items/LGZANUZL"],"itemData":{"id":2845,"type":"article-journal","abstract":"Binding partners for the Cdc42 effector CIP4 were identified by the yeast two-hybrid system, as well as by testing potential CIP4-binding proteins in coimmunoprecipitation experiments. One of the CIP4-binding proteins, DAAM1, was characterised in more detail. DAAM1 is a ubiquitously expressed member of the mammalian diaphanous-related formins, which include proteins such as mDia1 and mDia2. DAAM1 was shown to bind to the SH3 domain of CIP4 in vivo. Ectopically expressed DAAM1 localised in dotted pattern at the dorsal side of transfected cells and the protein was accumulated in the proximity to the microtubule organising centre. Moreover, ectopic expression of DAAM1 induced a marked alteration of the cell morphology, seen as rounding up of the cells, the formation of branched protrusions as well as a reduction of stress-fibres in the transfected cells. Coimmunoprecipitation experiments demonstrated that DAAM1 bound to RhoA and Cdc42 in a GTP-dependent manner. Moreover, DAAM1 was found to interact and collaborate with the non-receptor tyrosine kinase Src in the formation of branched protrusions. Taken together, our data indicate that DAAM1 communicates with Rho GTPases, CIP4 and Src in the regulation of the signalling pathways that co-ordinate the dynamics of the actin filament system.","container-title":"Experimental Cell Research","DOI":"https://doi.org/10.1016/j.yexcr.2006.03.013","ISSN":"0014-4827","issue":"12","page":"2180-2194","title":"The diaphanous-related formin DAAM1 collaborates with the Rho GTPases RhoA and Cdc42, CIP4 and Src in regulating cell morphogenesis and actin dynamics","URL":"https://www.sciencedirect.com/science/article/pii/S001448270600108X","volume":"312","author":[{"family":"Aspenström","given":"Pontus"},{"family":"Richnau","given":"Ninna"},{"family":"Johansson","given":"Ann-Sofi"}],"issued":{"date-parts":[["2006"]]}},"locator":"1"}],"schema":"https://github.com/citation-style-language/schema/raw/master/csl-citation.json"} </w:instrText>
      </w:r>
      <w:r w:rsidRPr="00631FA6">
        <w:rPr>
          <w:rFonts w:ascii="Times New Roman" w:hAnsi="Times New Roman" w:cs="Times New Roman"/>
          <w:i/>
          <w:iCs/>
          <w:color w:val="000000"/>
          <w:sz w:val="24"/>
          <w:szCs w:val="24"/>
        </w:rPr>
        <w:fldChar w:fldCharType="separate"/>
      </w:r>
      <w:r w:rsidRPr="00631FA6">
        <w:rPr>
          <w:rFonts w:ascii="Times New Roman" w:hAnsi="Times New Roman" w:cs="Times New Roman"/>
          <w:noProof/>
          <w:color w:val="000000"/>
          <w:sz w:val="24"/>
          <w:szCs w:val="24"/>
        </w:rPr>
        <w:t>(44)</w:t>
      </w:r>
      <w:r w:rsidRPr="00631FA6">
        <w:rPr>
          <w:rFonts w:ascii="Times New Roman" w:hAnsi="Times New Roman" w:cs="Times New Roman"/>
          <w:i/>
          <w:iCs/>
          <w:color w:val="000000"/>
          <w:sz w:val="24"/>
          <w:szCs w:val="24"/>
        </w:rPr>
        <w:fldChar w:fldCharType="end"/>
      </w:r>
      <w:r w:rsidRPr="00631FA6">
        <w:rPr>
          <w:rFonts w:ascii="Times New Roman" w:hAnsi="Times New Roman" w:cs="Times New Roman"/>
          <w:i/>
          <w:iCs/>
          <w:color w:val="000000"/>
          <w:sz w:val="24"/>
          <w:szCs w:val="24"/>
        </w:rPr>
        <w:t>,</w:t>
      </w:r>
      <w:r w:rsidRPr="00631FA6">
        <w:rPr>
          <w:rFonts w:ascii="Times New Roman" w:hAnsi="Times New Roman" w:cs="Times New Roman"/>
          <w:color w:val="000000"/>
          <w:sz w:val="24"/>
          <w:szCs w:val="24"/>
        </w:rPr>
        <w:t xml:space="preserve"> and</w:t>
      </w:r>
      <w:r w:rsidRPr="00631FA6">
        <w:rPr>
          <w:rFonts w:ascii="Times New Roman" w:hAnsi="Times New Roman" w:cs="Times New Roman"/>
          <w:i/>
          <w:iCs/>
          <w:color w:val="000000"/>
          <w:sz w:val="24"/>
          <w:szCs w:val="24"/>
        </w:rPr>
        <w:t xml:space="preserve"> pnt </w:t>
      </w:r>
      <w:r w:rsidRPr="00631FA6">
        <w:rPr>
          <w:rFonts w:ascii="Times New Roman" w:hAnsi="Times New Roman" w:cs="Times New Roman"/>
          <w:color w:val="000000"/>
          <w:sz w:val="24"/>
          <w:szCs w:val="24"/>
        </w:rPr>
        <w:fldChar w:fldCharType="begin"/>
      </w:r>
      <w:r w:rsidRPr="00631FA6">
        <w:rPr>
          <w:rFonts w:ascii="Times New Roman" w:hAnsi="Times New Roman" w:cs="Times New Roman"/>
          <w:color w:val="000000"/>
          <w:sz w:val="24"/>
          <w:szCs w:val="24"/>
        </w:rPr>
        <w:instrText xml:space="preserve"> ADDIN ZOTERO_ITEM CSL_CITATION {"citationID":"8YD77AeG","properties":{"formattedCitation":"(45)","plainCitation":"(45)","noteIndex":0},"citationItems":[{"id":2844,"uris":["http://zotero.org/users/9952604/items/6M56Y7HN"],"itemData":{"id":2844,"type":"article-journal","abstract":"Glial-neuronal cell interactions at the ventral midline are necessary for the proper elaboration of commissures in the embryonic CNS of Drosophila. In particular, migrating midline glial cells are required for the separation of segmental commissures. During this process the glial cells recognize specific neuronal cells at the midline, they migrate posteriorly along their cell processes and thereby separate the segmental commissures. The gene pointed (pnt) is required for this glial-neuronal cell interaction, as loss of function mutations lead to a change in the migration behavior of the midline glial cells. As a consequence, anterior and posterior commissures do not become separated and appear fused. Molecular analysis of pointed has revealed two differently spliced types of transcripts, which are encoded in a region extending over 55 kb of genomic sequence. In the CNS both transcript classes are expressed in cells of the midline, including the midline glial cells. Sequence analysis of cDNA clones corresponding to both transcript types reveals two different pointed proteins which share an ETS domain common to a number of transcription factors related to the vertebrate ets oncogene. Furthermore, one pointed protein form contains an additional domain of homology of approx. 80 amino acids in length, which is shared by only a subset of the ETS protein family.","container-title":"Development","DOI":"10.1242/dev.117.1.163","ISSN":"0950-1991","issue":"1","page":"163-176","title":"The Drosophila gene pointed encodes two ETS-like proteins which are involved in the development of the midline glial cells","URL":"https://doi.org/10.1242/dev.117.1.163","volume":"117","author":[{"family":"Klambt","given":"C"}],"issued":{"date-parts":[["1993",1,1]]}}}],"schema":"https://github.com/citation-style-language/schema/raw/master/csl-citation.json"} </w:instrText>
      </w:r>
      <w:r w:rsidRPr="00631FA6">
        <w:rPr>
          <w:rFonts w:ascii="Times New Roman" w:hAnsi="Times New Roman" w:cs="Times New Roman"/>
          <w:color w:val="000000"/>
          <w:sz w:val="24"/>
          <w:szCs w:val="24"/>
        </w:rPr>
        <w:fldChar w:fldCharType="separate"/>
      </w:r>
      <w:r w:rsidRPr="00631FA6">
        <w:rPr>
          <w:rFonts w:ascii="Times New Roman" w:hAnsi="Times New Roman" w:cs="Times New Roman"/>
          <w:noProof/>
          <w:color w:val="000000"/>
          <w:sz w:val="24"/>
          <w:szCs w:val="24"/>
        </w:rPr>
        <w:t>(45)</w:t>
      </w:r>
      <w:r w:rsidRPr="00631FA6">
        <w:rPr>
          <w:rFonts w:ascii="Times New Roman" w:hAnsi="Times New Roman" w:cs="Times New Roman"/>
          <w:color w:val="000000"/>
          <w:sz w:val="24"/>
          <w:szCs w:val="24"/>
        </w:rPr>
        <w:fldChar w:fldCharType="end"/>
      </w:r>
      <w:r w:rsidRPr="00631FA6">
        <w:rPr>
          <w:rFonts w:ascii="Times New Roman" w:hAnsi="Times New Roman" w:cs="Times New Roman"/>
          <w:color w:val="000000"/>
          <w:sz w:val="24"/>
          <w:szCs w:val="24"/>
        </w:rPr>
        <w:t>,</w:t>
      </w:r>
      <w:r w:rsidRPr="00631FA6">
        <w:rPr>
          <w:rFonts w:ascii="Times New Roman" w:hAnsi="Times New Roman" w:cs="Times New Roman"/>
          <w:i/>
          <w:iCs/>
          <w:color w:val="000000"/>
          <w:sz w:val="24"/>
          <w:szCs w:val="24"/>
        </w:rPr>
        <w:t xml:space="preserve"> </w:t>
      </w:r>
      <w:r w:rsidRPr="00631FA6">
        <w:rPr>
          <w:rFonts w:ascii="Times New Roman" w:hAnsi="Times New Roman" w:cs="Times New Roman"/>
          <w:color w:val="000000"/>
          <w:sz w:val="24"/>
          <w:szCs w:val="24"/>
        </w:rPr>
        <w:t>which contains two outlier SNPs</w:t>
      </w:r>
      <w:r w:rsidRPr="00631FA6">
        <w:rPr>
          <w:rFonts w:ascii="Times New Roman" w:hAnsi="Times New Roman" w:cs="Times New Roman"/>
          <w:i/>
          <w:iCs/>
          <w:color w:val="000000"/>
          <w:sz w:val="24"/>
          <w:szCs w:val="24"/>
        </w:rPr>
        <w:t xml:space="preserve">, rap1gtp </w:t>
      </w:r>
      <w:r w:rsidRPr="00631FA6">
        <w:rPr>
          <w:rFonts w:ascii="Times New Roman" w:hAnsi="Times New Roman" w:cs="Times New Roman"/>
          <w:i/>
          <w:iCs/>
          <w:color w:val="000000"/>
          <w:sz w:val="24"/>
          <w:szCs w:val="24"/>
        </w:rPr>
        <w:fldChar w:fldCharType="begin"/>
      </w:r>
      <w:r w:rsidRPr="00631FA6">
        <w:rPr>
          <w:rFonts w:ascii="Times New Roman" w:hAnsi="Times New Roman" w:cs="Times New Roman"/>
          <w:i/>
          <w:iCs/>
          <w:color w:val="000000"/>
          <w:sz w:val="24"/>
          <w:szCs w:val="24"/>
        </w:rPr>
        <w:instrText xml:space="preserve"> ADDIN ZOTERO_ITEM CSL_CITATION {"citationID":"zLEk3ceO","properties":{"formattedCitation":"(46)","plainCitation":"(46)","noteIndex":0},"citationItems":[{"id":2856,"uris":["http://zotero.org/users/9952604/items/3JZ72CEA"],"itemData":{"id":2856,"type":"article-journal","container-title":"Proceedings of the National Academy of Sciences","DOI":"10.1073/pnas.94.23.12485","issue":"23","note":"publisher: Proceedings of the National Academy of Sciences","page":"12485-12490","title":"Biological characterization of Drosophila Rapgap1, a GTPase activating protein for Rap1","URL":"https://doi.org/10.1073/pnas.94.23.12485","volume":"94","author":[{"family":"Fangli","given":"Chen"},{"family":"Margaret","given":"Barkett"},{"family":"T.","given":"Ram Kavitha"},{"family":"Adrian","given":"Quintanilla"},{"family":"K.","given":"Hariharan Iswar"}],"issued":{"date-parts":[["1997",11,11]]}}}],"schema":"https://github.com/citation-style-language/schema/raw/master/csl-citation.json"} </w:instrText>
      </w:r>
      <w:r w:rsidRPr="00631FA6">
        <w:rPr>
          <w:rFonts w:ascii="Times New Roman" w:hAnsi="Times New Roman" w:cs="Times New Roman"/>
          <w:i/>
          <w:iCs/>
          <w:color w:val="000000"/>
          <w:sz w:val="24"/>
          <w:szCs w:val="24"/>
        </w:rPr>
        <w:fldChar w:fldCharType="separate"/>
      </w:r>
      <w:r w:rsidRPr="00631FA6">
        <w:rPr>
          <w:rFonts w:ascii="Times New Roman" w:hAnsi="Times New Roman" w:cs="Times New Roman"/>
          <w:i/>
          <w:iCs/>
          <w:noProof/>
          <w:color w:val="000000"/>
          <w:sz w:val="24"/>
          <w:szCs w:val="24"/>
        </w:rPr>
        <w:t>(46)</w:t>
      </w:r>
      <w:r w:rsidRPr="00631FA6">
        <w:rPr>
          <w:rFonts w:ascii="Times New Roman" w:hAnsi="Times New Roman" w:cs="Times New Roman"/>
          <w:i/>
          <w:iCs/>
          <w:color w:val="000000"/>
          <w:sz w:val="24"/>
          <w:szCs w:val="24"/>
        </w:rPr>
        <w:fldChar w:fldCharType="end"/>
      </w:r>
      <w:r w:rsidRPr="00631FA6">
        <w:rPr>
          <w:rFonts w:ascii="Times New Roman" w:hAnsi="Times New Roman" w:cs="Times New Roman"/>
          <w:i/>
          <w:iCs/>
          <w:color w:val="000000"/>
          <w:sz w:val="24"/>
          <w:szCs w:val="24"/>
        </w:rPr>
        <w:t xml:space="preserve">, </w:t>
      </w:r>
      <w:r w:rsidRPr="00631FA6">
        <w:rPr>
          <w:rFonts w:ascii="Times New Roman" w:hAnsi="Times New Roman" w:cs="Times New Roman"/>
          <w:color w:val="000000"/>
          <w:sz w:val="24"/>
          <w:szCs w:val="24"/>
        </w:rPr>
        <w:t xml:space="preserve">and </w:t>
      </w:r>
      <w:r w:rsidRPr="00631FA6">
        <w:rPr>
          <w:rFonts w:ascii="Times New Roman" w:hAnsi="Times New Roman" w:cs="Times New Roman"/>
          <w:i/>
          <w:iCs/>
          <w:color w:val="000000"/>
          <w:sz w:val="24"/>
          <w:szCs w:val="24"/>
        </w:rPr>
        <w:t xml:space="preserve">rotund </w:t>
      </w:r>
      <w:r w:rsidRPr="00631FA6">
        <w:rPr>
          <w:rFonts w:ascii="Times New Roman" w:hAnsi="Times New Roman" w:cs="Times New Roman"/>
          <w:i/>
          <w:iCs/>
          <w:color w:val="000000"/>
          <w:sz w:val="24"/>
          <w:szCs w:val="24"/>
        </w:rPr>
        <w:fldChar w:fldCharType="begin"/>
      </w:r>
      <w:r w:rsidRPr="00631FA6">
        <w:rPr>
          <w:rFonts w:ascii="Times New Roman" w:hAnsi="Times New Roman" w:cs="Times New Roman"/>
          <w:i/>
          <w:iCs/>
          <w:color w:val="000000"/>
          <w:sz w:val="24"/>
          <w:szCs w:val="24"/>
        </w:rPr>
        <w:instrText xml:space="preserve"> ADDIN ZOTERO_ITEM CSL_CITATION {"citationID":"E2Rd5Fvy","properties":{"formattedCitation":"(47)","plainCitation":"(47)","noteIndex":0},"citationItems":[{"id":2855,"uris":["http://zotero.org/users/9952604/items/GINH2BA5"],"itemData":{"id":2855,"type":"article-journal","abstract":"The Drosophila rotund gene is required in the wings, antenna, haltere, proboscis and legs. A member of the Rac family of GTPases, denoted the rotund racGAP gene, was previously identified in the rotund region. However, previous studies indicated that rotund racGAP was not responsible for the rotund phenotypes and that the rotund gene had yet to be identified. We have isolated the rotund gene and show that it is a member of the Krüppel family of zinc finger genes. The adjacent roughened eye locus specifically affects the eye and is genetically separable from rotund. However, roughened eye and rotund are tightly linked, and we have therefore also isolated the roughened eye transcript. Intriguingly, we show that roughened eye is part of the rotund gene but is represented by a different transcript. The rotund and roughened eye transcripts result from the utilization of two different promoters that direct expression in non-overlapping domains in the larval imaginal discs. The predicted Rotund and Roughened Eye proteins share the same C-terminal region, including the zinc finger domain, but differ in their N-terminal regions. Each cDNA can rescue only the corresponding mutation and show negative effects when expressed in each others domain of expression. These results indicate that in addition to the differential expression of rotund and roughened eye, their proteins have distinct activities. rotund and roughened eye act downstream of early patterning genes such as dachshund and appear to be involved in Notch signaling by regulating Delta, scabrous and Serrate.","container-title":"Development","DOI":"10.1242/dev.129.5.1273","ISSN":"0950-1991","issue":"5","page":"1273-1281","title":"Control of Drosophila imaginal disc development by rotund and roughened eye: differentially expressed transcripts of the same gene encoding functionally distinct zinc finger proteins","URL":"https://doi.org/10.1242/dev.129.5.1273","volume":"129","author":[{"family":"St Pierre","given":"Susan E"},{"family":"Galindo","given":"Maximo I"},{"family":"Couso","given":"Juan P"},{"family":"Thor","given":"Stefan"}],"issued":{"date-parts":[["2002",3,1]]}}}],"schema":"https://github.com/citation-style-language/schema/raw/master/csl-citation.json"} </w:instrText>
      </w:r>
      <w:r w:rsidRPr="00631FA6">
        <w:rPr>
          <w:rFonts w:ascii="Times New Roman" w:hAnsi="Times New Roman" w:cs="Times New Roman"/>
          <w:i/>
          <w:iCs/>
          <w:color w:val="000000"/>
          <w:sz w:val="24"/>
          <w:szCs w:val="24"/>
        </w:rPr>
        <w:fldChar w:fldCharType="separate"/>
      </w:r>
      <w:r w:rsidRPr="00631FA6">
        <w:rPr>
          <w:rFonts w:ascii="Times New Roman" w:hAnsi="Times New Roman" w:cs="Times New Roman"/>
          <w:i/>
          <w:iCs/>
          <w:noProof/>
          <w:color w:val="000000"/>
          <w:sz w:val="24"/>
          <w:szCs w:val="24"/>
        </w:rPr>
        <w:t>(47)</w:t>
      </w:r>
      <w:r w:rsidRPr="00631FA6">
        <w:rPr>
          <w:rFonts w:ascii="Times New Roman" w:hAnsi="Times New Roman" w:cs="Times New Roman"/>
          <w:i/>
          <w:iCs/>
          <w:color w:val="000000"/>
          <w:sz w:val="24"/>
          <w:szCs w:val="24"/>
        </w:rPr>
        <w:fldChar w:fldCharType="end"/>
      </w:r>
      <w:r w:rsidRPr="00631FA6">
        <w:rPr>
          <w:rFonts w:ascii="Times New Roman" w:hAnsi="Times New Roman" w:cs="Times New Roman"/>
          <w:i/>
          <w:iCs/>
          <w:color w:val="000000"/>
          <w:sz w:val="24"/>
          <w:szCs w:val="24"/>
        </w:rPr>
        <w:t>.</w:t>
      </w:r>
    </w:p>
    <w:p w14:paraId="07325B28" w14:textId="77777777" w:rsidR="00631FA6" w:rsidRPr="00631FA6" w:rsidRDefault="00631FA6" w:rsidP="00631FA6">
      <w:pPr>
        <w:keepNext/>
        <w:pBdr>
          <w:top w:val="nil"/>
          <w:left w:val="nil"/>
          <w:bottom w:val="nil"/>
          <w:right w:val="nil"/>
          <w:between w:val="nil"/>
        </w:pBdr>
        <w:spacing w:before="240" w:after="60" w:line="480" w:lineRule="auto"/>
        <w:contextualSpacing/>
        <w:jc w:val="both"/>
        <w:rPr>
          <w:rFonts w:ascii="Times New Roman" w:hAnsi="Times New Roman" w:cs="Times New Roman"/>
          <w:i/>
          <w:iCs/>
          <w:color w:val="000000"/>
          <w:sz w:val="24"/>
          <w:szCs w:val="24"/>
        </w:rPr>
      </w:pPr>
    </w:p>
    <w:p w14:paraId="72FE98BC" w14:textId="423371EC" w:rsidR="00631FA6" w:rsidRPr="00631FA6" w:rsidRDefault="00631FA6" w:rsidP="00631FA6">
      <w:pPr>
        <w:keepNext/>
        <w:pBdr>
          <w:top w:val="nil"/>
          <w:left w:val="nil"/>
          <w:bottom w:val="nil"/>
          <w:right w:val="nil"/>
          <w:between w:val="nil"/>
        </w:pBdr>
        <w:spacing w:before="240" w:after="60" w:line="480" w:lineRule="auto"/>
        <w:contextualSpacing/>
        <w:jc w:val="both"/>
        <w:rPr>
          <w:rFonts w:ascii="Times New Roman" w:hAnsi="Times New Roman" w:cs="Times New Roman"/>
          <w:i/>
          <w:iCs/>
          <w:color w:val="000000"/>
          <w:sz w:val="24"/>
          <w:szCs w:val="24"/>
        </w:rPr>
      </w:pPr>
      <w:r w:rsidRPr="00631FA6">
        <w:rPr>
          <w:rFonts w:ascii="Times New Roman" w:hAnsi="Times New Roman" w:cs="Times New Roman"/>
          <w:i/>
          <w:iCs/>
          <w:color w:val="000000"/>
          <w:sz w:val="24"/>
          <w:szCs w:val="24"/>
        </w:rPr>
        <w:t>Chloride Tolerance LC</w:t>
      </w:r>
      <w:r w:rsidRPr="00631FA6">
        <w:rPr>
          <w:rFonts w:ascii="Times New Roman" w:hAnsi="Times New Roman" w:cs="Times New Roman"/>
          <w:i/>
          <w:iCs/>
          <w:color w:val="000000"/>
          <w:sz w:val="24"/>
          <w:szCs w:val="24"/>
          <w:vertAlign w:val="subscript"/>
        </w:rPr>
        <w:t>50</w:t>
      </w:r>
      <w:r w:rsidRPr="00631FA6">
        <w:rPr>
          <w:rFonts w:ascii="Times New Roman" w:hAnsi="Times New Roman" w:cs="Times New Roman"/>
          <w:i/>
          <w:iCs/>
          <w:color w:val="000000"/>
          <w:sz w:val="24"/>
          <w:szCs w:val="24"/>
        </w:rPr>
        <w:t>:</w:t>
      </w:r>
    </w:p>
    <w:p w14:paraId="2C366C25" w14:textId="77777777" w:rsidR="00631FA6" w:rsidRPr="00631FA6" w:rsidRDefault="00631FA6" w:rsidP="00631FA6">
      <w:pPr>
        <w:keepNext/>
        <w:pBdr>
          <w:top w:val="nil"/>
          <w:left w:val="nil"/>
          <w:bottom w:val="nil"/>
          <w:right w:val="nil"/>
          <w:between w:val="nil"/>
        </w:pBdr>
        <w:spacing w:before="240" w:after="60" w:line="480" w:lineRule="auto"/>
        <w:contextualSpacing/>
        <w:jc w:val="both"/>
        <w:rPr>
          <w:rFonts w:ascii="Times New Roman" w:hAnsi="Times New Roman" w:cs="Times New Roman"/>
          <w:color w:val="000000"/>
          <w:sz w:val="24"/>
          <w:szCs w:val="24"/>
        </w:rPr>
      </w:pPr>
      <w:r w:rsidRPr="00631FA6">
        <w:rPr>
          <w:rFonts w:ascii="Times New Roman" w:hAnsi="Times New Roman" w:cs="Times New Roman"/>
          <w:color w:val="000000"/>
          <w:sz w:val="24"/>
          <w:szCs w:val="24"/>
        </w:rPr>
        <w:t>We expected that increasing chloride pollution in TL would result in higher tolerance of more recent clones. Therefore, we conducted clone-specific assays to estimate 96-hour Lethal Concentration-50% (LC</w:t>
      </w:r>
      <w:r w:rsidRPr="00631FA6">
        <w:rPr>
          <w:rFonts w:ascii="Times New Roman" w:hAnsi="Times New Roman" w:cs="Times New Roman"/>
          <w:color w:val="000000"/>
          <w:sz w:val="24"/>
          <w:szCs w:val="24"/>
          <w:vertAlign w:val="subscript"/>
        </w:rPr>
        <w:t>50</w:t>
      </w:r>
      <w:r w:rsidRPr="00631FA6">
        <w:rPr>
          <w:rFonts w:ascii="Times New Roman" w:hAnsi="Times New Roman" w:cs="Times New Roman"/>
          <w:color w:val="000000"/>
          <w:sz w:val="24"/>
          <w:szCs w:val="24"/>
        </w:rPr>
        <w:t>)</w:t>
      </w:r>
      <w:r w:rsidRPr="00631FA6">
        <w:rPr>
          <w:rFonts w:ascii="Times New Roman" w:hAnsi="Times New Roman" w:cs="Times New Roman"/>
          <w:color w:val="000000"/>
          <w:sz w:val="24"/>
          <w:szCs w:val="24"/>
          <w:vertAlign w:val="subscript"/>
        </w:rPr>
        <w:t xml:space="preserve">. </w:t>
      </w:r>
      <w:r w:rsidRPr="00631FA6">
        <w:rPr>
          <w:rFonts w:ascii="Times New Roman" w:hAnsi="Times New Roman" w:cs="Times New Roman"/>
          <w:color w:val="000000"/>
          <w:sz w:val="24"/>
          <w:szCs w:val="24"/>
        </w:rPr>
        <w:t>Clonal tolerance ranged from a low of 584.91 mg/L Cl</w:t>
      </w:r>
      <w:r w:rsidRPr="00631FA6">
        <w:rPr>
          <w:rFonts w:ascii="Times New Roman" w:hAnsi="Times New Roman" w:cs="Times New Roman"/>
          <w:color w:val="000000"/>
          <w:sz w:val="24"/>
          <w:szCs w:val="24"/>
          <w:vertAlign w:val="superscript"/>
        </w:rPr>
        <w:t xml:space="preserve">- </w:t>
      </w:r>
      <w:r w:rsidRPr="00631FA6">
        <w:rPr>
          <w:rFonts w:ascii="Times New Roman" w:hAnsi="Times New Roman" w:cs="Times New Roman"/>
          <w:color w:val="000000"/>
          <w:sz w:val="24"/>
          <w:szCs w:val="24"/>
        </w:rPr>
        <w:t>(clones 10-12-12A &amp; 18-20-04A) to a high of 1047.16 mg/L Cl</w:t>
      </w:r>
      <w:r w:rsidRPr="00631FA6">
        <w:rPr>
          <w:rFonts w:ascii="Times New Roman" w:hAnsi="Times New Roman" w:cs="Times New Roman"/>
          <w:color w:val="000000"/>
          <w:sz w:val="24"/>
          <w:szCs w:val="24"/>
          <w:vertAlign w:val="superscript"/>
        </w:rPr>
        <w:t xml:space="preserve">- </w:t>
      </w:r>
      <w:r w:rsidRPr="00631FA6">
        <w:rPr>
          <w:rFonts w:ascii="Times New Roman" w:hAnsi="Times New Roman" w:cs="Times New Roman"/>
          <w:color w:val="000000"/>
          <w:sz w:val="24"/>
          <w:szCs w:val="24"/>
        </w:rPr>
        <w:t xml:space="preserve">for (Clone LC-06). We observed a main effect of subpopulation in the Kruskal-Wallis test (p = 0.006; Figure 4). Post-hoc testing using a pairwise Wilcoxon test found that the Lake subpopulation (i.e., TOP) was more tolerant on average than either the DEEP (22-24 cm &amp; 18-20 cm) or MID (10-12 cm) subpopulations (p = 0.0076). The DEEP and MID subpopulations did not differ from one another (p = 0.9073). </w:t>
      </w:r>
    </w:p>
    <w:p w14:paraId="3EDF870E" w14:textId="77777777" w:rsidR="00631FA6" w:rsidRPr="00631FA6" w:rsidRDefault="00631FA6" w:rsidP="00631FA6">
      <w:pPr>
        <w:keepNext/>
        <w:pBdr>
          <w:top w:val="nil"/>
          <w:left w:val="nil"/>
          <w:bottom w:val="nil"/>
          <w:right w:val="nil"/>
          <w:between w:val="nil"/>
        </w:pBdr>
        <w:spacing w:before="240" w:after="60" w:line="480" w:lineRule="auto"/>
        <w:contextualSpacing/>
        <w:jc w:val="both"/>
        <w:rPr>
          <w:rFonts w:ascii="Times New Roman" w:hAnsi="Times New Roman" w:cs="Times New Roman"/>
          <w:color w:val="000000"/>
          <w:sz w:val="24"/>
          <w:szCs w:val="24"/>
        </w:rPr>
      </w:pPr>
    </w:p>
    <w:p w14:paraId="45EF90AC" w14:textId="5692FEAE" w:rsidR="00631FA6" w:rsidRPr="00631FA6" w:rsidRDefault="00631FA6" w:rsidP="00631FA6">
      <w:pPr>
        <w:pBdr>
          <w:top w:val="nil"/>
          <w:left w:val="nil"/>
          <w:bottom w:val="nil"/>
          <w:right w:val="nil"/>
          <w:between w:val="nil"/>
        </w:pBdr>
        <w:spacing w:line="480" w:lineRule="auto"/>
        <w:contextualSpacing/>
        <w:rPr>
          <w:rFonts w:ascii="Times New Roman" w:hAnsi="Times New Roman" w:cs="Times New Roman"/>
          <w:color w:val="000000"/>
          <w:sz w:val="24"/>
          <w:szCs w:val="24"/>
        </w:rPr>
      </w:pPr>
      <w:r w:rsidRPr="00631FA6">
        <w:rPr>
          <w:rFonts w:ascii="Times New Roman" w:hAnsi="Times New Roman" w:cs="Times New Roman"/>
          <w:b/>
          <w:color w:val="000000"/>
          <w:sz w:val="24"/>
          <w:szCs w:val="24"/>
        </w:rPr>
        <w:t xml:space="preserve">Discussion </w:t>
      </w:r>
    </w:p>
    <w:p w14:paraId="128DFB0B" w14:textId="37DC054E" w:rsidR="00631FA6" w:rsidRDefault="00631FA6" w:rsidP="00631FA6">
      <w:pPr>
        <w:pBdr>
          <w:top w:val="nil"/>
          <w:left w:val="nil"/>
          <w:bottom w:val="nil"/>
          <w:right w:val="nil"/>
          <w:between w:val="nil"/>
        </w:pBdr>
        <w:spacing w:after="0" w:line="480" w:lineRule="auto"/>
        <w:contextualSpacing/>
        <w:rPr>
          <w:rFonts w:ascii="Times New Roman" w:hAnsi="Times New Roman" w:cs="Times New Roman"/>
          <w:bCs/>
          <w:color w:val="000000"/>
          <w:sz w:val="24"/>
          <w:szCs w:val="24"/>
        </w:rPr>
      </w:pPr>
      <w:r w:rsidRPr="00631FA6">
        <w:rPr>
          <w:rFonts w:ascii="Times New Roman" w:hAnsi="Times New Roman" w:cs="Times New Roman"/>
          <w:bCs/>
          <w:color w:val="000000"/>
          <w:sz w:val="24"/>
          <w:szCs w:val="24"/>
        </w:rPr>
        <w:t xml:space="preserve">Our resurrection ecology (RE) study across ~25-year temporal contrast has provided phenotypic and molecular evidence of rapid evolution of salinity tolerance in the TL </w:t>
      </w:r>
      <w:r w:rsidRPr="00631FA6">
        <w:rPr>
          <w:rFonts w:ascii="Times New Roman" w:hAnsi="Times New Roman" w:cs="Times New Roman"/>
          <w:bCs/>
          <w:i/>
          <w:iCs/>
          <w:color w:val="000000"/>
          <w:sz w:val="24"/>
          <w:szCs w:val="24"/>
        </w:rPr>
        <w:t>Daphnia pulicaria</w:t>
      </w:r>
      <w:r w:rsidRPr="00631FA6">
        <w:rPr>
          <w:rFonts w:ascii="Times New Roman" w:hAnsi="Times New Roman" w:cs="Times New Roman"/>
          <w:bCs/>
          <w:color w:val="000000"/>
          <w:sz w:val="24"/>
          <w:szCs w:val="24"/>
        </w:rPr>
        <w:t xml:space="preserve"> population. Using whole genome resequencing to analyze population genetic structure and demographic history, we have identified genomic regions putatively under selection, with support from LC</w:t>
      </w:r>
      <w:r w:rsidRPr="00631FA6">
        <w:rPr>
          <w:rFonts w:ascii="Times New Roman" w:hAnsi="Times New Roman" w:cs="Times New Roman"/>
          <w:bCs/>
          <w:color w:val="000000"/>
          <w:sz w:val="24"/>
          <w:szCs w:val="24"/>
          <w:vertAlign w:val="subscript"/>
        </w:rPr>
        <w:t>50</w:t>
      </w:r>
      <w:r w:rsidRPr="00631FA6">
        <w:rPr>
          <w:rFonts w:ascii="Times New Roman" w:hAnsi="Times New Roman" w:cs="Times New Roman"/>
          <w:bCs/>
          <w:color w:val="000000"/>
          <w:sz w:val="24"/>
          <w:szCs w:val="24"/>
        </w:rPr>
        <w:t xml:space="preserve"> chloride tolerance assays. We found that Chloride Channel-2 isoform X2 (</w:t>
      </w:r>
      <w:r w:rsidRPr="00631FA6">
        <w:rPr>
          <w:rFonts w:ascii="Times New Roman" w:hAnsi="Times New Roman" w:cs="Times New Roman"/>
          <w:bCs/>
          <w:i/>
          <w:iCs/>
          <w:color w:val="000000"/>
          <w:sz w:val="24"/>
          <w:szCs w:val="24"/>
        </w:rPr>
        <w:t>clcn2-x2</w:t>
      </w:r>
      <w:r w:rsidRPr="00631FA6">
        <w:rPr>
          <w:rFonts w:ascii="Times New Roman" w:hAnsi="Times New Roman" w:cs="Times New Roman"/>
          <w:bCs/>
          <w:color w:val="000000"/>
          <w:sz w:val="24"/>
          <w:szCs w:val="24"/>
        </w:rPr>
        <w:t xml:space="preserve">) has a unique mutational history and may be affecting salinity tolerance in this population, as one of many genes under selection in this population. We find support for both of </w:t>
      </w:r>
      <w:r w:rsidRPr="00631FA6">
        <w:rPr>
          <w:rFonts w:ascii="Times New Roman" w:hAnsi="Times New Roman" w:cs="Times New Roman"/>
          <w:bCs/>
          <w:color w:val="000000"/>
          <w:sz w:val="24"/>
          <w:szCs w:val="24"/>
        </w:rPr>
        <w:lastRenderedPageBreak/>
        <w:t xml:space="preserve">our main hypotheses — genes related to osmoregulation are enriched in outlier regions and that the population shows increasing tolerance to salinity over time. </w:t>
      </w:r>
    </w:p>
    <w:p w14:paraId="0EC459C1" w14:textId="77777777" w:rsidR="006B373F" w:rsidRPr="00631FA6" w:rsidRDefault="006B373F" w:rsidP="00631FA6">
      <w:pPr>
        <w:pBdr>
          <w:top w:val="nil"/>
          <w:left w:val="nil"/>
          <w:bottom w:val="nil"/>
          <w:right w:val="nil"/>
          <w:between w:val="nil"/>
        </w:pBdr>
        <w:spacing w:after="0" w:line="480" w:lineRule="auto"/>
        <w:contextualSpacing/>
        <w:rPr>
          <w:rFonts w:ascii="Times New Roman" w:hAnsi="Times New Roman" w:cs="Times New Roman"/>
          <w:bCs/>
          <w:color w:val="000000"/>
          <w:sz w:val="24"/>
          <w:szCs w:val="24"/>
        </w:rPr>
      </w:pPr>
    </w:p>
    <w:p w14:paraId="35095C43" w14:textId="36F95C37" w:rsidR="006B373F" w:rsidRPr="006B373F" w:rsidRDefault="006B373F" w:rsidP="006B373F">
      <w:pPr>
        <w:spacing w:line="480" w:lineRule="auto"/>
        <w:rPr>
          <w:rFonts w:ascii="Times New Roman" w:hAnsi="Times New Roman" w:cs="Times New Roman"/>
          <w:i/>
          <w:iCs/>
          <w:sz w:val="24"/>
          <w:szCs w:val="24"/>
        </w:rPr>
      </w:pPr>
      <w:r w:rsidRPr="006B373F">
        <w:rPr>
          <w:rFonts w:ascii="Times New Roman" w:hAnsi="Times New Roman" w:cs="Times New Roman"/>
          <w:i/>
          <w:iCs/>
          <w:sz w:val="24"/>
          <w:szCs w:val="24"/>
        </w:rPr>
        <w:t>Demographic History and Subpopulation Structure:</w:t>
      </w:r>
    </w:p>
    <w:p w14:paraId="094B28D8" w14:textId="3575FC0B" w:rsidR="006B373F" w:rsidRPr="006B373F" w:rsidRDefault="006B373F" w:rsidP="006B373F">
      <w:pPr>
        <w:spacing w:line="480" w:lineRule="auto"/>
        <w:rPr>
          <w:rFonts w:ascii="Times New Roman" w:hAnsi="Times New Roman" w:cs="Times New Roman"/>
          <w:sz w:val="24"/>
          <w:szCs w:val="24"/>
        </w:rPr>
      </w:pPr>
      <w:r w:rsidRPr="006B373F">
        <w:rPr>
          <w:rFonts w:ascii="Times New Roman" w:hAnsi="Times New Roman" w:cs="Times New Roman"/>
          <w:sz w:val="24"/>
          <w:szCs w:val="24"/>
        </w:rPr>
        <w:t xml:space="preserve">A goal of our study was to establish a demographic model for the TL population. This would enable the modeling of population genetic summary statistics (i.e., Fst) for establishment of a distribution of expected or null estimates of Fst-based on the demographic history (discussed below). We used two complementary methods – LD-based methods and coalescent simulation to understand the recent demographic history of the TL population. Each method provides incomplete information, and each has unique biases that need to be considered. Furthermore, despite Ne being a critical parameter in population genetics, it is notoriously difficult to estimate (48). For instance, it appears that SFS (coalescent) based methods are underpowered for recent demographic history; however larger sample sizes may ameliorate some of these effects (49). This may also explain why it was difficult to accurately estimate the population growth rate parameter. The LD-based method we employed here appears to be strongly affected by the number of homozygotes in the sample (50), and thus, is sensitive to analyzing genomes from different generations. This prevented us from modeling each subpopulation separately. Additionally, it also appears to be inaccurate for the first few generations, giving unrealistically small numbers (see Figure S1). As such, we used these methods in tandem to increase the confidence in our estimation of the demographic parameters. Both methods were concordant that recent Ne was approximately 2000-3000 individuals, and both showed signatures of recent population contraction. This effective population size is not unexpected for D. pulicaria because populations are thought to delay sex and recombination for long periods of time (a year or more) </w:t>
      </w:r>
      <w:r w:rsidRPr="006B373F">
        <w:rPr>
          <w:rFonts w:ascii="Times New Roman" w:hAnsi="Times New Roman" w:cs="Times New Roman"/>
          <w:sz w:val="24"/>
          <w:szCs w:val="24"/>
        </w:rPr>
        <w:lastRenderedPageBreak/>
        <w:t>(38, 39). During this time, clonal selection is thought to winnow down the population to a collection of ecologically equivalent clones (51). These facts, taken together with the current understanding of zooplankton metapopulation dynamics (52, 53) suggests that Daphnia effective populations should be small and insular.</w:t>
      </w:r>
    </w:p>
    <w:p w14:paraId="4BCBC8A5" w14:textId="60DE63DD" w:rsidR="006B373F" w:rsidRPr="006B373F" w:rsidRDefault="006B373F" w:rsidP="006B373F">
      <w:pPr>
        <w:spacing w:line="480" w:lineRule="auto"/>
        <w:ind w:firstLine="720"/>
        <w:rPr>
          <w:rFonts w:ascii="Times New Roman" w:hAnsi="Times New Roman" w:cs="Times New Roman"/>
          <w:sz w:val="24"/>
          <w:szCs w:val="24"/>
        </w:rPr>
      </w:pPr>
      <w:r w:rsidRPr="006B373F">
        <w:rPr>
          <w:rFonts w:ascii="Times New Roman" w:hAnsi="Times New Roman" w:cs="Times New Roman"/>
          <w:sz w:val="24"/>
          <w:szCs w:val="24"/>
        </w:rPr>
        <w:t>Despite the small and insular nature of the TL population, it appears that drift does not always predominate. Our PCA results demonstrate at least on a decadal scale (i.e., between MID and TOP) that the population is temporally consistent. This likely reflects the dominance of the few ecologically equivalent clones predicted by Lynch and Spitze (51). It is likely that only after a rapid or pronounced change in environment can one expect to see a population structure across time, as reflected in other studies of Daphnia utilizing RE (15, 21).  Salinization in TL is ongoing and likely started in the mid-20th century with the onset of widespread use of road deicing salts in the 1950s (54). The sediment intervals dating to the early 1990s from which we recovered the oldest samples in this study reflect a period of change in the sediment egg bank (e.g., low ephippial fluxes) (31) and suggests a period of rapid environmental change in this lake. Wersebe et al. (31), reported that by the early-1990s, TL had already reached a surface (waters) chloride concentration of at least 100 mg/L. Thus, all the source periods examined in the present study are typified by elevated chloride levels. Since we were unable to hatch eggs from before salinization commenced or was comparatively low in TL, it is impossible to determine if the structuring we observed was ongoing or more sudden. It is most likely that our temporal samples represent a process of ongoing adaptation to very rapidly increasing salinization. Regardless, since the clones are closely related across time at both the genomic and mitochondrial levels, it remains unlikely that the population became extinct and was recolonized by migrant genotypes (Fig. 1C; S2).</w:t>
      </w:r>
    </w:p>
    <w:p w14:paraId="3B76005E" w14:textId="001CF024" w:rsidR="006B373F" w:rsidRPr="006B373F" w:rsidRDefault="006B373F" w:rsidP="006B373F">
      <w:pPr>
        <w:spacing w:line="480" w:lineRule="auto"/>
        <w:rPr>
          <w:rFonts w:ascii="Times New Roman" w:hAnsi="Times New Roman" w:cs="Times New Roman"/>
          <w:i/>
          <w:iCs/>
          <w:sz w:val="24"/>
          <w:szCs w:val="24"/>
        </w:rPr>
      </w:pPr>
      <w:r w:rsidRPr="006B373F">
        <w:rPr>
          <w:rFonts w:ascii="Times New Roman" w:hAnsi="Times New Roman" w:cs="Times New Roman"/>
          <w:i/>
          <w:iCs/>
          <w:sz w:val="24"/>
          <w:szCs w:val="24"/>
        </w:rPr>
        <w:lastRenderedPageBreak/>
        <w:t>Outliers and the Identification of Candidate Genes:</w:t>
      </w:r>
    </w:p>
    <w:p w14:paraId="42941DA4" w14:textId="445C71A6" w:rsidR="006B373F" w:rsidRPr="006B373F" w:rsidRDefault="006B373F" w:rsidP="006B373F">
      <w:pPr>
        <w:spacing w:line="480" w:lineRule="auto"/>
        <w:rPr>
          <w:rFonts w:ascii="Times New Roman" w:hAnsi="Times New Roman" w:cs="Times New Roman"/>
          <w:sz w:val="24"/>
          <w:szCs w:val="24"/>
        </w:rPr>
      </w:pPr>
      <w:r w:rsidRPr="006B373F">
        <w:rPr>
          <w:rFonts w:ascii="Times New Roman" w:hAnsi="Times New Roman" w:cs="Times New Roman"/>
          <w:sz w:val="24"/>
          <w:szCs w:val="24"/>
        </w:rPr>
        <w:t xml:space="preserve">The specification of a demographic model for the TL lake population allowed us to establish the presence of statistical significance for each site in the genome scan. This analysis revealed 178 regions with Fst beyond what we could reasonably expect based on demography alone. Genes surrounding these outliers had many functions, but as expected, genes involved in osmoregulation were among the most enriched in the dataset according to GO terms for molecular function. The presence of hundreds of outlier genes suggests that salinity tolerance has a complex genetic architecture and that tolerance to increased salinity requires changes at many loci of small effect. Transcriptomic studies of clonal isolates from within the D. pulex complex (to which D. pulicaria belongs) support this assertion (55). Indeed, cross-referencing these outlier genes with different mutational types (e.g., missense SNPs) showed that many of these genes have sites that may be under selection. However, the only gene with a known functional role in osmoregulation with high effect mutations was clcn2-x2. Chloride channels play a key role in osmoregulatory physiology of all animals. Daphnia are known as hypo-osmoregulators, meaning they attempt to maintain their hemolymph solute concentration above the ambient media concentration (56). Osmoregulation occurs within the gill-epithelium of Daphnia, and chloride channels like clcn2-x2 play a major role in shuttling Cl- ions into the hemolymph across the basolateral membrane of the gill epithelium to maintain a hypo-osmotic concentration in the hemolymph (57). The constellation of premature stop codon mutations in this gene means that the protein is very unlikely to function properly because the channel is too short to pass through the cell membrane. Individuals are at least heterozygous for each of the four premature stop codon SNPs and the wild-type gene sequence annotated in the reference. Thus, they can produce a functioning protein. The two most tolerant clones in this study were both homozygous for the </w:t>
      </w:r>
      <w:r w:rsidRPr="006B373F">
        <w:rPr>
          <w:rFonts w:ascii="Times New Roman" w:hAnsi="Times New Roman" w:cs="Times New Roman"/>
          <w:sz w:val="24"/>
          <w:szCs w:val="24"/>
        </w:rPr>
        <w:lastRenderedPageBreak/>
        <w:t>functional allele. This suggests that clcn2-x2 is a critical gene requiring at least one functional copy and it explains some portion of the variance in acute salinity tolerance. However, a larger sample of genotyped and phenotyped individuals would be required to further validate this statistically.</w:t>
      </w:r>
    </w:p>
    <w:p w14:paraId="28F48B8F" w14:textId="6A1E9055" w:rsidR="006B373F" w:rsidRPr="006B373F" w:rsidRDefault="006B373F" w:rsidP="006B373F">
      <w:pPr>
        <w:spacing w:line="480" w:lineRule="auto"/>
        <w:ind w:firstLine="720"/>
        <w:rPr>
          <w:rFonts w:ascii="Times New Roman" w:hAnsi="Times New Roman" w:cs="Times New Roman"/>
          <w:sz w:val="24"/>
          <w:szCs w:val="24"/>
        </w:rPr>
      </w:pPr>
      <w:r w:rsidRPr="006B373F">
        <w:rPr>
          <w:rFonts w:ascii="Times New Roman" w:hAnsi="Times New Roman" w:cs="Times New Roman"/>
          <w:sz w:val="24"/>
          <w:szCs w:val="24"/>
        </w:rPr>
        <w:t>The most differentiated genes in the genome were involved in a few key functions. There was a concentration of outlier SNPs in genes involved in regulating Rho-like GTPases which are involved in the regulation of actin filaments and neuronal development. The reason why these genes are the most differentiated is not initially clear. One potential explanation involves phenotypic plasticity. Increased salinity tolerance may require the accommodation of new developmental trajectories through phenotypic plasticity. Evolution via plasticity (58) requires that central developmental pathways serve as fuel for phenotypic differentiation (59). Furthermore, plasticity is thought to play an important role in rapid adaptation in Daphnia, a pattern we observe in the TL population (60–62). Regardless, testing of this assertion would be difficult because unlike other model arthropods, Daphnia development is not as well explored.</w:t>
      </w:r>
    </w:p>
    <w:p w14:paraId="535A2AF8" w14:textId="063BA5A5" w:rsidR="006B373F" w:rsidRPr="006B373F" w:rsidRDefault="006B373F" w:rsidP="006B373F">
      <w:pPr>
        <w:spacing w:line="480" w:lineRule="auto"/>
        <w:rPr>
          <w:rFonts w:ascii="Times New Roman" w:hAnsi="Times New Roman" w:cs="Times New Roman"/>
          <w:i/>
          <w:iCs/>
          <w:sz w:val="24"/>
          <w:szCs w:val="24"/>
        </w:rPr>
      </w:pPr>
      <w:r w:rsidRPr="006B373F">
        <w:rPr>
          <w:rFonts w:ascii="Times New Roman" w:hAnsi="Times New Roman" w:cs="Times New Roman"/>
          <w:i/>
          <w:iCs/>
          <w:sz w:val="24"/>
          <w:szCs w:val="24"/>
        </w:rPr>
        <w:t>Chloride Tolerance and Rapid Evolution:</w:t>
      </w:r>
    </w:p>
    <w:p w14:paraId="452F5C30" w14:textId="77777777" w:rsidR="006B373F" w:rsidRPr="006B373F" w:rsidRDefault="006B373F" w:rsidP="006B373F">
      <w:pPr>
        <w:spacing w:line="480" w:lineRule="auto"/>
        <w:rPr>
          <w:rFonts w:ascii="Times New Roman" w:hAnsi="Times New Roman" w:cs="Times New Roman"/>
          <w:sz w:val="24"/>
          <w:szCs w:val="24"/>
        </w:rPr>
      </w:pPr>
      <w:r w:rsidRPr="006B373F">
        <w:rPr>
          <w:rFonts w:ascii="Times New Roman" w:hAnsi="Times New Roman" w:cs="Times New Roman"/>
          <w:sz w:val="24"/>
          <w:szCs w:val="24"/>
        </w:rPr>
        <w:t xml:space="preserve">The clones observed in this study vary nearly two-fold in salinity tolerance (585 – 1047 mg/L), with the most tolerant clones detected in the most recent (TOP) temporal subpopulation. It is important to note that all clones in this study come from natal conditions that included elevated salinity with all subpopulations likely experiencing surface chloride conditions of 100-150 mg/L (31). Surface chloride conditions in TL are unlikely to exceed 150 mg/L in a year because of the dynamic equilibrium between annual loading and flushing of chloride in the system (63). However, TL more recently has transitioned to a state known as “cultural meromixis” were the accumulation of Cl at depth has interrupted normal lake mixing. For instance, in July 2019, we </w:t>
      </w:r>
      <w:r w:rsidRPr="006B373F">
        <w:rPr>
          <w:rFonts w:ascii="Times New Roman" w:hAnsi="Times New Roman" w:cs="Times New Roman"/>
          <w:sz w:val="24"/>
          <w:szCs w:val="24"/>
        </w:rPr>
        <w:lastRenderedPageBreak/>
        <w:t>observed inferred Cl- concentrations of approximately 275 mg/L directly above the chemocline (47% of the lowest LC50). Below the chemocline, inferred concentrations approached 483 mg/L (82% of the lowest LC50). Large-bodied D. pulicaria, undergo diel vertical migration to avoid visually oriented predators like fish. This vertical movement means that a clone may have to accommodate fluctuations in the ambient chloride concentration of 100s-of-miligrams over the course of 24-hrs. We attempted to study the degree to which this might occur in the summer of 2021 (see the supplemental materials for details). We conducted a Diel Vertical Migration (DVM) study in TL to track the spatial and temporal patterns of D. pulicaria distribution in the water column. We observed that D. pulicaria do inhabit the deepest, saltiest parts of the water column up to 12-m (Figure S6). However, in 2021, the chemical stratification of TL was much weaker than what we observed in 2019 and DO was not depleted at depth (see 31, Figure 1A-C &amp; Figure S7 A-C). We believe the reason for the weaker chemical stratification is that the area surrounding TL (Washington and Ramesy Counties, MN) were classified as being abnormally dry on 06/29/2021 and had been classified as such intermittently since 09/29/2020. Thus, our abilities to determine the extent to which this might be reflected in a higher salinity year are diminished. Regardless, this shows that a portion of the Daphnia population is moving to more anoxic and saltier layers as part of the normal DVM behavior.</w:t>
      </w:r>
    </w:p>
    <w:p w14:paraId="5695C20D" w14:textId="2980BE4E" w:rsidR="006B373F" w:rsidRPr="006B373F" w:rsidRDefault="006B373F" w:rsidP="006B373F">
      <w:pPr>
        <w:spacing w:line="480" w:lineRule="auto"/>
        <w:ind w:firstLine="720"/>
        <w:rPr>
          <w:rFonts w:ascii="Times New Roman" w:hAnsi="Times New Roman" w:cs="Times New Roman"/>
          <w:sz w:val="24"/>
          <w:szCs w:val="24"/>
        </w:rPr>
      </w:pPr>
      <w:r w:rsidRPr="006B373F">
        <w:rPr>
          <w:rFonts w:ascii="Times New Roman" w:hAnsi="Times New Roman" w:cs="Times New Roman"/>
          <w:sz w:val="24"/>
          <w:szCs w:val="24"/>
        </w:rPr>
        <w:t xml:space="preserve">Such elevated Cl- concentrations routinely observed in TL at depth are likely to have several sublethal effects that reduce clonal fitness. Presumably, a clone that has high acute tolerance has the physiological capacity to ameliorate the sublethal effects of increased chloride and we attempted to approximate this physiological response with LC50 assays. LC50 may be a quick measure of acute tolerance and it has an uncertain correlation with fitness components. As such, our phenotyping results should be interpreted with caution when considering the potential </w:t>
      </w:r>
      <w:r w:rsidRPr="006B373F">
        <w:rPr>
          <w:rFonts w:ascii="Times New Roman" w:hAnsi="Times New Roman" w:cs="Times New Roman"/>
          <w:sz w:val="24"/>
          <w:szCs w:val="24"/>
        </w:rPr>
        <w:lastRenderedPageBreak/>
        <w:t>impact(s) on relative clonal fitness. Insofar as the pattern of rapid evolution of acute tolerance observed may be not actively reflect the phenotype actually under selection across time.</w:t>
      </w:r>
    </w:p>
    <w:p w14:paraId="6F096C68" w14:textId="1E05CAFA" w:rsidR="006B373F" w:rsidRPr="006B373F" w:rsidRDefault="006B373F" w:rsidP="006B373F">
      <w:pPr>
        <w:spacing w:line="480" w:lineRule="auto"/>
        <w:rPr>
          <w:rFonts w:ascii="Times New Roman" w:hAnsi="Times New Roman" w:cs="Times New Roman"/>
          <w:i/>
          <w:iCs/>
          <w:sz w:val="24"/>
          <w:szCs w:val="24"/>
        </w:rPr>
      </w:pPr>
      <w:r w:rsidRPr="006B373F">
        <w:rPr>
          <w:rFonts w:ascii="Times New Roman" w:hAnsi="Times New Roman" w:cs="Times New Roman"/>
          <w:i/>
          <w:iCs/>
          <w:sz w:val="24"/>
          <w:szCs w:val="24"/>
        </w:rPr>
        <w:t>Caveats, Analytical Roadmap, and Conclusions:</w:t>
      </w:r>
    </w:p>
    <w:p w14:paraId="6A80FA88" w14:textId="4B117760" w:rsidR="006B373F" w:rsidRPr="006B373F" w:rsidRDefault="006B373F" w:rsidP="006B373F">
      <w:pPr>
        <w:spacing w:line="480" w:lineRule="auto"/>
        <w:rPr>
          <w:rFonts w:ascii="Times New Roman" w:hAnsi="Times New Roman" w:cs="Times New Roman"/>
          <w:sz w:val="24"/>
          <w:szCs w:val="24"/>
        </w:rPr>
      </w:pPr>
      <w:r w:rsidRPr="006B373F">
        <w:rPr>
          <w:rFonts w:ascii="Times New Roman" w:hAnsi="Times New Roman" w:cs="Times New Roman"/>
          <w:sz w:val="24"/>
          <w:szCs w:val="24"/>
        </w:rPr>
        <w:t xml:space="preserve">All studies integrating historical data require caution to avoid over-interpretation of the emergent patterns. Our study is no different and relies heavily on a single core from a single lake. Our previous studies with this lake have explored many of these caveats (31). Specific to resurrection ecology (RE) studies, an acute limitation has always been hatching from the egg bank in the deepest layers. There may be non-random patterns of egg mortality in the sediments or non-random propensities in hatching success that skew phenotypic estimates and prevent accurate estimation of allele frequencies. Some have termed this the "invisible fraction” (sensu (64)). In our study this is most notable in our inability to hatch genotypes predating the most substantial increases in salinity (e.g., from 1950 or before). In other resurrection studies that have been able to hatch truly ‘ancient’ eggs (15), the utility of these samples in constructing a framework of phenotypic evolution is limited by sample size because only one or a few isolates survive to be cultured. In many circumstances, however, directly sequencing the eggs is an alternative but will prevent any possible phenotypic characterization of sequenced individuals because eggs are destructively sampled (65). These latter methods are still nonetheless difficult and involve costly genome amplification steps with variable success rates and high levels of exogenous contamination in the final libraries (65). This approach may help reduce the impacts of the ‘invisible fraction’ but will not eliminate it completely. Another caveat that we must highlight is that we have only analyzed a single population, and as such, we cannot place our results within a metapopulation context. We assume that gene flow should be negligible in producing allele frequency changes. To accurately account for gene flow, one would need to sample many </w:t>
      </w:r>
      <w:r w:rsidRPr="006B373F">
        <w:rPr>
          <w:rFonts w:ascii="Times New Roman" w:hAnsi="Times New Roman" w:cs="Times New Roman"/>
          <w:sz w:val="24"/>
          <w:szCs w:val="24"/>
        </w:rPr>
        <w:lastRenderedPageBreak/>
        <w:t>additional spatially-distributed populations in addition to hatching temporal samples. While such data sets are within technical reach, the practicality of such a sampling regime would be difficult to amass for species such as D. pulicaria.</w:t>
      </w:r>
    </w:p>
    <w:p w14:paraId="46EB6B94" w14:textId="763C79E6" w:rsidR="006B373F" w:rsidRPr="006B373F" w:rsidRDefault="006B373F" w:rsidP="006B373F">
      <w:pPr>
        <w:spacing w:line="480" w:lineRule="auto"/>
        <w:ind w:firstLine="720"/>
        <w:rPr>
          <w:rFonts w:ascii="Times New Roman" w:hAnsi="Times New Roman" w:cs="Times New Roman"/>
          <w:sz w:val="24"/>
          <w:szCs w:val="24"/>
        </w:rPr>
      </w:pPr>
      <w:r w:rsidRPr="006B373F">
        <w:rPr>
          <w:rFonts w:ascii="Times New Roman" w:hAnsi="Times New Roman" w:cs="Times New Roman"/>
          <w:sz w:val="24"/>
          <w:szCs w:val="24"/>
        </w:rPr>
        <w:t>Regardless of the issues with RE data sets, we believe we can provide some insights into an analytical framework for future resurrection genomic studies. One major goal of the field of ecological and evolutionary genomics is to ultimately produce a comprehensive phenotype-to-genotype map- especially for those traits that one deems “ecologically relevant.” Relevant critiques of a QTL or QTN-centric research program aside (66), temporally-sampled genomic datasets may provide some very convincing examples of phenotype-genotype maps (see (67). Resurrection-type studies are poised to do this in natural populations as well. This will require robust demographic analysis of resurrected populations, integrated with simulations in a flexible manner. One potential way forward is the use of flexible-forward genetic simulations (e.g., those available in SLiM; (68)), which can allow more analytical power in genomic analysis of temporally sampled populations.</w:t>
      </w:r>
    </w:p>
    <w:p w14:paraId="7C86D0ED" w14:textId="2FCBA9E4" w:rsidR="006B373F" w:rsidRPr="006B373F" w:rsidRDefault="006B373F" w:rsidP="006B373F">
      <w:pPr>
        <w:spacing w:line="480" w:lineRule="auto"/>
        <w:ind w:firstLine="720"/>
        <w:rPr>
          <w:rFonts w:ascii="Times New Roman" w:hAnsi="Times New Roman" w:cs="Times New Roman"/>
          <w:sz w:val="24"/>
          <w:szCs w:val="24"/>
        </w:rPr>
      </w:pPr>
      <w:r w:rsidRPr="006B373F">
        <w:rPr>
          <w:rFonts w:ascii="Times New Roman" w:hAnsi="Times New Roman" w:cs="Times New Roman"/>
          <w:sz w:val="24"/>
          <w:szCs w:val="24"/>
        </w:rPr>
        <w:t xml:space="preserve">In summary, resurrection ecology (RE), when paired with whole genome sequencing, provides a unique and powerful way to study rapid evolution of populations in situ. Integration of candidate loci identified with RE into study designs including breeding experiments (69), forward mutation screens (70) or CRISPR technology (71) will provide unrivaled insight for the genetic architecture of complex, ecologically relevant traits in the wild. Such an approach would be beneficial here, for example in validating the effect of the null clcn2-x2 allele on salinity tolerance in the TL population. Overall, however, here RE provides both molecular and phenotypic evidence of rapid adaptation in the TL population. Thus, the persistence of D. pulicaria in this severely salinized lake is likely the result of this rapid adaptation. Our findings </w:t>
      </w:r>
      <w:r w:rsidRPr="006B373F">
        <w:rPr>
          <w:rFonts w:ascii="Times New Roman" w:hAnsi="Times New Roman" w:cs="Times New Roman"/>
          <w:sz w:val="24"/>
          <w:szCs w:val="24"/>
        </w:rPr>
        <w:lastRenderedPageBreak/>
        <w:t>indicate that keystone aquatic species such as lake Daphnia may continue to thrive in lakes that exceed current water quality limits for salinization and thus maintain the stability of the food webs and ecosystem services they support.</w:t>
      </w:r>
    </w:p>
    <w:p w14:paraId="29ABC2E6" w14:textId="300E2EBD" w:rsidR="006B373F" w:rsidRPr="006B373F" w:rsidRDefault="006B373F" w:rsidP="006B373F">
      <w:pPr>
        <w:spacing w:line="480" w:lineRule="auto"/>
        <w:rPr>
          <w:rFonts w:ascii="Times New Roman" w:hAnsi="Times New Roman" w:cs="Times New Roman"/>
          <w:b/>
          <w:bCs/>
          <w:sz w:val="24"/>
          <w:szCs w:val="24"/>
        </w:rPr>
      </w:pPr>
      <w:r w:rsidRPr="006B373F">
        <w:rPr>
          <w:rFonts w:ascii="Times New Roman" w:hAnsi="Times New Roman" w:cs="Times New Roman"/>
          <w:b/>
          <w:bCs/>
          <w:sz w:val="24"/>
          <w:szCs w:val="24"/>
        </w:rPr>
        <w:t>Materials and Methods</w:t>
      </w:r>
    </w:p>
    <w:p w14:paraId="41E3FBD8" w14:textId="2510AB21" w:rsidR="006B373F" w:rsidRPr="00472C92" w:rsidRDefault="006B373F" w:rsidP="006B373F">
      <w:pPr>
        <w:spacing w:line="480" w:lineRule="auto"/>
        <w:rPr>
          <w:rFonts w:ascii="Times New Roman" w:hAnsi="Times New Roman" w:cs="Times New Roman"/>
          <w:i/>
          <w:iCs/>
          <w:sz w:val="24"/>
          <w:szCs w:val="24"/>
        </w:rPr>
      </w:pPr>
      <w:r w:rsidRPr="00472C92">
        <w:rPr>
          <w:rFonts w:ascii="Times New Roman" w:hAnsi="Times New Roman" w:cs="Times New Roman"/>
          <w:i/>
          <w:iCs/>
          <w:sz w:val="24"/>
          <w:szCs w:val="24"/>
        </w:rPr>
        <w:t>Clone bank and Sequencing:</w:t>
      </w:r>
    </w:p>
    <w:p w14:paraId="7FE90D1A" w14:textId="5A3B7585" w:rsidR="006B373F" w:rsidRPr="006B373F" w:rsidRDefault="006B373F" w:rsidP="006B373F">
      <w:pPr>
        <w:spacing w:line="480" w:lineRule="auto"/>
        <w:rPr>
          <w:rFonts w:ascii="Times New Roman" w:hAnsi="Times New Roman" w:cs="Times New Roman"/>
          <w:sz w:val="24"/>
          <w:szCs w:val="24"/>
        </w:rPr>
      </w:pPr>
      <w:r w:rsidRPr="006B373F">
        <w:rPr>
          <w:rFonts w:ascii="Times New Roman" w:hAnsi="Times New Roman" w:cs="Times New Roman"/>
          <w:sz w:val="24"/>
          <w:szCs w:val="24"/>
        </w:rPr>
        <w:t>On 2 July 2019, we collected duplicate sediment cores in TL from a 14 m deep station following Wright (72). During the same period, we also collected D. pulicaria from the active plankton community using several vertical tows of a Wisconsin net at the core sampling station. Animals were isolated as single individuals in 125 mL plastic (screw-capped) cups in COMBO media (73). A total of 10 of these clones were established in laboratory culture. Resting eggs (ephippia) collected from throughout the cores were collected according to the methods outlined in Wersebe et al. (31). D. pulicaria are cyclically parthenogenetic, meaning they produce clonal offspring during the growing season and may occasionally engage in sex to produce resting eggs encased in durable structures called ephippia (74).  Ephippia identified as D. pulicaria were subjected to hatching protocol described (15) (see supplemental). These hatchling individuals were expanded in culture to establish upwards of 10 clones per sediment layer to establish a clone bank. Fifty-four isoclonal lineages from the clone bank were selected for DNA extraction and whole genome sequencing (average 10X) on an Illumina NovaSeq by the Oklahoma Medical Research Foundation.</w:t>
      </w:r>
    </w:p>
    <w:p w14:paraId="23F49FF2" w14:textId="5DBCA4BC" w:rsidR="006B373F" w:rsidRPr="006B373F" w:rsidRDefault="006B373F" w:rsidP="006B373F">
      <w:pPr>
        <w:spacing w:line="480" w:lineRule="auto"/>
        <w:rPr>
          <w:rFonts w:ascii="Times New Roman" w:hAnsi="Times New Roman" w:cs="Times New Roman"/>
          <w:i/>
          <w:iCs/>
          <w:sz w:val="24"/>
          <w:szCs w:val="24"/>
        </w:rPr>
      </w:pPr>
      <w:r w:rsidRPr="006B373F">
        <w:rPr>
          <w:rFonts w:ascii="Times New Roman" w:hAnsi="Times New Roman" w:cs="Times New Roman"/>
          <w:i/>
          <w:iCs/>
          <w:sz w:val="24"/>
          <w:szCs w:val="24"/>
        </w:rPr>
        <w:t>Bioinformatics:</w:t>
      </w:r>
    </w:p>
    <w:p w14:paraId="37876E8B" w14:textId="0061D681" w:rsidR="006B373F" w:rsidRPr="006B373F" w:rsidRDefault="006B373F" w:rsidP="006B373F">
      <w:pPr>
        <w:spacing w:line="480" w:lineRule="auto"/>
        <w:rPr>
          <w:rFonts w:ascii="Times New Roman" w:hAnsi="Times New Roman" w:cs="Times New Roman"/>
          <w:sz w:val="24"/>
          <w:szCs w:val="24"/>
        </w:rPr>
      </w:pPr>
      <w:r w:rsidRPr="006B373F">
        <w:rPr>
          <w:rFonts w:ascii="Times New Roman" w:hAnsi="Times New Roman" w:cs="Times New Roman"/>
          <w:sz w:val="24"/>
          <w:szCs w:val="24"/>
        </w:rPr>
        <w:t xml:space="preserve">Raw sequencing reads were quality trimmed and adaptor contamination removed using Trimmomatic (75). Quality trimmed reads were aligned to the chromosome-level D. pulicaria </w:t>
      </w:r>
      <w:r w:rsidRPr="006B373F">
        <w:rPr>
          <w:rFonts w:ascii="Times New Roman" w:hAnsi="Times New Roman" w:cs="Times New Roman"/>
          <w:sz w:val="24"/>
          <w:szCs w:val="24"/>
        </w:rPr>
        <w:lastRenderedPageBreak/>
        <w:t>genome assembly (76) using the BWA mem algorithm (63). The resulting files were piped through samtools (78) to mark duplicates, fix mates and sort the bam files. We called variants using the bcftools mpileup and call pipeline using all individuals together (79). Using bcftools, the resulting BCF files were concatenated together into a single genome-wide file and quality filtered to a set of high confidence biallelic single nucleotide polymorphisms (SNPs).</w:t>
      </w:r>
    </w:p>
    <w:p w14:paraId="1AC42ACD" w14:textId="4092E4E3" w:rsidR="006B373F" w:rsidRPr="006B373F" w:rsidRDefault="006B373F" w:rsidP="006B373F">
      <w:pPr>
        <w:spacing w:line="480" w:lineRule="auto"/>
        <w:rPr>
          <w:rFonts w:ascii="Times New Roman" w:hAnsi="Times New Roman" w:cs="Times New Roman"/>
          <w:i/>
          <w:iCs/>
          <w:sz w:val="24"/>
          <w:szCs w:val="24"/>
        </w:rPr>
      </w:pPr>
      <w:r w:rsidRPr="006B373F">
        <w:rPr>
          <w:rFonts w:ascii="Times New Roman" w:hAnsi="Times New Roman" w:cs="Times New Roman"/>
          <w:i/>
          <w:iCs/>
          <w:sz w:val="24"/>
          <w:szCs w:val="24"/>
        </w:rPr>
        <w:t>Population Structure and Genetic Divergence:</w:t>
      </w:r>
    </w:p>
    <w:p w14:paraId="19A38C28" w14:textId="026E47B3" w:rsidR="006B373F" w:rsidRPr="006B373F" w:rsidRDefault="006B373F" w:rsidP="006B373F">
      <w:pPr>
        <w:spacing w:line="480" w:lineRule="auto"/>
        <w:rPr>
          <w:rFonts w:ascii="Times New Roman" w:hAnsi="Times New Roman" w:cs="Times New Roman"/>
          <w:sz w:val="24"/>
          <w:szCs w:val="24"/>
        </w:rPr>
      </w:pPr>
      <w:r w:rsidRPr="006B373F">
        <w:rPr>
          <w:rFonts w:ascii="Times New Roman" w:hAnsi="Times New Roman" w:cs="Times New Roman"/>
          <w:sz w:val="24"/>
          <w:szCs w:val="24"/>
        </w:rPr>
        <w:t xml:space="preserve">The variants in the final quality-filtered VCF file were pruned for linkage disequilibrium (LD) using Plink (80) independent pairwise function (settings: 50, 10, 0.1), providing an independent and essentially random set of SNPs. The resulting variants were further filtered to SNPs with 0% missingness to a set 27854 genome-wide SNPs. We conducted Principal Components Analysis (PCA) in R (Version 4.2.0) using the packages adegenet and vcfr (81 - 83). We also conducted Discriminant Analysis of Principal Components (DAPC); a flexible population assignment method also implemented in adegenet (84). Using the cross-validation procedure outlined in the vignette, we found that retention of 10 PCs performed best in population assignment. We performed population assignment tests for each clone retaining 10 PCs and 2 discriminant functions and plotted the results as a bar plot to visual the probabilities of population assignment. DAPC is flexible enough to handle mixed clonal and temporal sampling - two factors that violate other assignment techniques (e.g., STRUCTURE (85)). From the PCA and the DAPC, results, we determined that the samples could be assigned to three “sub-populations” according to the depth of their recovery (see results). Using these three subpopulations as designations, we estimated overall site-wise Fst using the basic.stats function and mean pairwise genetic distance genet.dist function in the R package hierfstat (86). In addition, we estimated nucleotide diversity </w:t>
      </w:r>
      <w:r w:rsidRPr="006B373F">
        <w:rPr>
          <w:rFonts w:ascii="Times New Roman" w:hAnsi="Times New Roman" w:cs="Times New Roman"/>
          <w:sz w:val="24"/>
          <w:szCs w:val="24"/>
        </w:rPr>
        <w:lastRenderedPageBreak/>
        <w:t>(</w:t>
      </w:r>
      <w:r w:rsidRPr="006B373F">
        <w:rPr>
          <w:rFonts w:ascii="Symbol" w:eastAsia="Symbol" w:hAnsi="Symbol" w:cs="Symbol"/>
          <w:sz w:val="24"/>
          <w:szCs w:val="24"/>
        </w:rPr>
        <w:t>p</w:t>
      </w:r>
      <w:r w:rsidRPr="006B373F">
        <w:rPr>
          <w:rFonts w:ascii="Times New Roman" w:hAnsi="Times New Roman" w:cs="Times New Roman"/>
          <w:sz w:val="24"/>
          <w:szCs w:val="24"/>
        </w:rPr>
        <w:t>) in 10 kb windows throughout the genome for each of the temporal subpopulations using the program PIXY (87).</w:t>
      </w:r>
    </w:p>
    <w:p w14:paraId="0EFC86E1" w14:textId="13B8DCEA" w:rsidR="006B373F" w:rsidRPr="006B373F" w:rsidRDefault="006B373F" w:rsidP="006B373F">
      <w:pPr>
        <w:spacing w:line="480" w:lineRule="auto"/>
        <w:rPr>
          <w:rFonts w:ascii="Times New Roman" w:hAnsi="Times New Roman" w:cs="Times New Roman"/>
          <w:i/>
          <w:iCs/>
          <w:sz w:val="24"/>
          <w:szCs w:val="24"/>
        </w:rPr>
      </w:pPr>
      <w:r w:rsidRPr="006B373F">
        <w:rPr>
          <w:rFonts w:ascii="Times New Roman" w:hAnsi="Times New Roman" w:cs="Times New Roman"/>
          <w:i/>
          <w:iCs/>
          <w:sz w:val="24"/>
          <w:szCs w:val="24"/>
        </w:rPr>
        <w:t>Estimation of Effective Population Size and Simulations:</w:t>
      </w:r>
    </w:p>
    <w:p w14:paraId="0D09D904" w14:textId="2DAEE672" w:rsidR="006B373F" w:rsidRPr="006B373F" w:rsidRDefault="006B373F" w:rsidP="006B373F">
      <w:pPr>
        <w:spacing w:line="480" w:lineRule="auto"/>
        <w:rPr>
          <w:rFonts w:ascii="Times New Roman" w:hAnsi="Times New Roman" w:cs="Times New Roman"/>
          <w:sz w:val="24"/>
          <w:szCs w:val="24"/>
        </w:rPr>
      </w:pPr>
      <w:r w:rsidRPr="006B373F">
        <w:rPr>
          <w:rFonts w:ascii="Times New Roman" w:hAnsi="Times New Roman" w:cs="Times New Roman"/>
          <w:sz w:val="24"/>
          <w:szCs w:val="24"/>
        </w:rPr>
        <w:t xml:space="preserve">To parameterize our tests for selection, we sought to identify the recent demographic history of the TL D. pulicaria population. To accomplish this, we used two different methods to estimate effective population size (Ne) and growth trajectory of the population. The first method, implemented in GONE (88) uses LD to estimate the recent population history. This method is robust to non-equilibrium histories such as selection (89); however, it is suitable only for sample pools collected from the same generation. Thus, for this method we used only the samples collected from the water column in 2019. We ran six independent runs of this method using random subsets of 600,000 SNPs from all the SNPs called in the population and a constant recombination rate of 7.2 cm/mb estimated from the D. pulicaria genetic map (76). This analysis does not assume a given model a priori, instead it produces a population size trajectory that when inspected graphically can hint at different events (e.g., bottlenecks). In addition to LD-based methods, we estimated demographic parameters of the TL population - estimating Ne and the population growth rate - by fitting a demographic model to the folded site frequency spectrum (SFS) implemented in FastSimcoal 2.7 (FSC2.7) (40). With the LD pruned SNPs used above in the PCA analysis, we created folded 2-D SFS from the three temporal subpopulations. Using 100 independent runs of FSC2.7, we chose the run that maximized the likelihood of the observed data. We fixed the sampling points in time for the temporal subpopulation (MID and DEEP) to be 50 and 100 generations in the past. This assumes approximately 4 asexual generations a year and a single sexual generation for a total of five generations a year. Each run conducted 1-million coalescent simulations and used 40 brent maximization cycles. Further, we estimated </w:t>
      </w:r>
      <w:r w:rsidRPr="006B373F">
        <w:rPr>
          <w:rFonts w:ascii="Times New Roman" w:hAnsi="Times New Roman" w:cs="Times New Roman"/>
          <w:sz w:val="24"/>
          <w:szCs w:val="24"/>
        </w:rPr>
        <w:lastRenderedPageBreak/>
        <w:t>empirical p-values for the site-wise Fst estimates using simulation (90). We chose the best fitting demographic model estimated in FSC2.7 and conducted 100 separate runs of this model to simulate approximately 1100 SNPs for each run. For each run, we estimated Fst using basic.stats function in hierfstat (86). We pooled each simulation into an empirical distribution of probable Fst values under the best fitting demographic model. We tested each observed site-wise Fst estimate against this empirical distribution to estimate a p-value. We corrected these p-values for multiple testing using a false discovery rate in R using the p.adjust function.</w:t>
      </w:r>
    </w:p>
    <w:p w14:paraId="5314E3EC" w14:textId="60F82CC9" w:rsidR="006B373F" w:rsidRPr="006B373F" w:rsidRDefault="006B373F" w:rsidP="006B373F">
      <w:pPr>
        <w:spacing w:line="480" w:lineRule="auto"/>
        <w:rPr>
          <w:rFonts w:ascii="Times New Roman" w:hAnsi="Times New Roman" w:cs="Times New Roman"/>
          <w:i/>
          <w:iCs/>
          <w:sz w:val="24"/>
          <w:szCs w:val="24"/>
        </w:rPr>
      </w:pPr>
      <w:r w:rsidRPr="006B373F">
        <w:rPr>
          <w:rFonts w:ascii="Times New Roman" w:hAnsi="Times New Roman" w:cs="Times New Roman"/>
          <w:i/>
          <w:iCs/>
          <w:sz w:val="24"/>
          <w:szCs w:val="24"/>
        </w:rPr>
        <w:t>Genes surrounding Fst outliers, GO term enrichment, and Variant Effects:</w:t>
      </w:r>
    </w:p>
    <w:p w14:paraId="29F03681" w14:textId="0A091CB3" w:rsidR="006B373F" w:rsidRPr="006B373F" w:rsidRDefault="006B373F" w:rsidP="006B373F">
      <w:pPr>
        <w:spacing w:line="480" w:lineRule="auto"/>
        <w:rPr>
          <w:rFonts w:ascii="Times New Roman" w:hAnsi="Times New Roman" w:cs="Times New Roman"/>
          <w:sz w:val="24"/>
          <w:szCs w:val="24"/>
        </w:rPr>
      </w:pPr>
      <w:r w:rsidRPr="006B373F">
        <w:rPr>
          <w:rFonts w:ascii="Times New Roman" w:hAnsi="Times New Roman" w:cs="Times New Roman"/>
          <w:sz w:val="24"/>
          <w:szCs w:val="24"/>
        </w:rPr>
        <w:t>We extracted the genes surrounding Fst outliers (p ≤ 0.05 after correction) in 10 Kb windows using the D. pulicaria RefSeq annotation (release 100, SC_F0-13Bv2) using bedtools (91). Next, we created Panther Generic Mappings for the genes with known annotations using each gene’s protein sequences following the method outlined in (41). Using the generic mappings, we tested for molecular function Gene Ontology (GO) term enrichment by testing against the Daphnia pulex gene list using the PantherDB webtool using a false discovery rate correction (41). In addition to testing for GO term enrichment, we also surveyed all genes for potential SNPs and small indels mutations potentially driving selection using Ensembl’s Variant Effect Predictor (VEP) (42). We built a custom database using the RefSeq annotations in GFF format following the developer’s protocol. We extracted all “High” (e.g., premature stops) and “Moderate” (e.g., missense SNPs) impact mutations predicted and cross-referenced these with the genes near Fst outliers.</w:t>
      </w:r>
    </w:p>
    <w:p w14:paraId="6B216180" w14:textId="1A9EC35D" w:rsidR="006B373F" w:rsidRPr="006B373F" w:rsidRDefault="006B373F" w:rsidP="006B373F">
      <w:pPr>
        <w:spacing w:line="480" w:lineRule="auto"/>
        <w:rPr>
          <w:rFonts w:ascii="Times New Roman" w:hAnsi="Times New Roman" w:cs="Times New Roman"/>
          <w:i/>
          <w:iCs/>
          <w:sz w:val="24"/>
          <w:szCs w:val="24"/>
        </w:rPr>
      </w:pPr>
      <w:r w:rsidRPr="006B373F">
        <w:rPr>
          <w:rFonts w:ascii="Times New Roman" w:hAnsi="Times New Roman" w:cs="Times New Roman"/>
          <w:i/>
          <w:iCs/>
          <w:sz w:val="24"/>
          <w:szCs w:val="24"/>
        </w:rPr>
        <w:t>Chloride Tolerance:</w:t>
      </w:r>
    </w:p>
    <w:p w14:paraId="75ED3943" w14:textId="672BE9EB" w:rsidR="00631FA6" w:rsidRPr="006B373F" w:rsidRDefault="006B373F" w:rsidP="006B373F">
      <w:pPr>
        <w:spacing w:line="480" w:lineRule="auto"/>
        <w:rPr>
          <w:rFonts w:ascii="Times New Roman" w:hAnsi="Times New Roman" w:cs="Times New Roman"/>
          <w:color w:val="000000"/>
          <w:sz w:val="24"/>
          <w:szCs w:val="24"/>
        </w:rPr>
      </w:pPr>
      <w:r w:rsidRPr="006B373F">
        <w:rPr>
          <w:rFonts w:ascii="Times New Roman" w:hAnsi="Times New Roman" w:cs="Times New Roman"/>
          <w:sz w:val="24"/>
          <w:szCs w:val="24"/>
        </w:rPr>
        <w:lastRenderedPageBreak/>
        <w:t>We selected a subset of 30 clones from the Lake (n = 10), 10-12 cm sediment layer (n =10), 18-20 cm (n = 3), and 22-24 cm (n = 7) subpopulations for estimating clone-specific tolerance to chloride. See the Supplemental Materials for details on the experimental set-up. We estimated LC50 for each clone separately by fitting a reduced-bias generalized linear model (GLM) to the survival curve using the R package brglm (92). Data were not normally distributed, nor did they meet the assumption of equal variances, so we performed a non-parametric ANOVA (Kruskal-Wallis) test on the LC50 estimates to test for differences in the mean LC50 value for each subpopulation</w:t>
      </w:r>
    </w:p>
    <w:p w14:paraId="1CEEC4DE" w14:textId="1976EDFC" w:rsidR="00631FA6" w:rsidRPr="00631FA6" w:rsidRDefault="00631FA6" w:rsidP="00631FA6">
      <w:pPr>
        <w:pBdr>
          <w:top w:val="nil"/>
          <w:left w:val="nil"/>
          <w:bottom w:val="nil"/>
          <w:right w:val="nil"/>
          <w:between w:val="nil"/>
        </w:pBdr>
        <w:spacing w:line="480" w:lineRule="auto"/>
        <w:contextualSpacing/>
        <w:rPr>
          <w:rFonts w:ascii="Times New Roman" w:hAnsi="Times New Roman" w:cs="Times New Roman"/>
          <w:b/>
          <w:color w:val="000000"/>
          <w:sz w:val="24"/>
          <w:szCs w:val="24"/>
        </w:rPr>
      </w:pPr>
      <w:r w:rsidRPr="00631FA6">
        <w:rPr>
          <w:rFonts w:ascii="Times New Roman" w:hAnsi="Times New Roman" w:cs="Times New Roman"/>
          <w:b/>
          <w:color w:val="000000"/>
          <w:sz w:val="24"/>
          <w:szCs w:val="24"/>
        </w:rPr>
        <w:t>Acknowledgments</w:t>
      </w:r>
    </w:p>
    <w:p w14:paraId="0F03350B" w14:textId="29516334" w:rsidR="00631FA6" w:rsidRPr="00631FA6" w:rsidRDefault="00631FA6" w:rsidP="00631FA6">
      <w:pPr>
        <w:spacing w:before="240" w:line="480" w:lineRule="auto"/>
        <w:rPr>
          <w:rFonts w:ascii="Times New Roman" w:hAnsi="Times New Roman" w:cs="Times New Roman"/>
          <w:sz w:val="24"/>
          <w:szCs w:val="24"/>
        </w:rPr>
      </w:pPr>
      <w:r w:rsidRPr="00631FA6">
        <w:rPr>
          <w:rFonts w:ascii="Times New Roman" w:hAnsi="Times New Roman" w:cs="Times New Roman"/>
          <w:sz w:val="24"/>
          <w:szCs w:val="24"/>
        </w:rPr>
        <w:t>We would like to thank M. Edlund who facilitated the collection of the Tanners Lake sediment cores. T. Curb, Z. Arnold, A. Twumasi-Mensah, and A. Hemani, helped with the LC</w:t>
      </w:r>
      <w:r w:rsidRPr="00631FA6">
        <w:rPr>
          <w:rFonts w:ascii="Times New Roman" w:hAnsi="Times New Roman" w:cs="Times New Roman"/>
          <w:sz w:val="24"/>
          <w:szCs w:val="24"/>
          <w:vertAlign w:val="subscript"/>
        </w:rPr>
        <w:t>50</w:t>
      </w:r>
      <w:r w:rsidRPr="00631FA6">
        <w:rPr>
          <w:rFonts w:ascii="Times New Roman" w:hAnsi="Times New Roman" w:cs="Times New Roman"/>
          <w:sz w:val="24"/>
          <w:szCs w:val="24"/>
        </w:rPr>
        <w:t xml:space="preserve"> experiments. G. Wiley aided in the preparation of sequencing libraries. The University of Oklahoma Biological Station and the St. Croix Watershed Research Station facilitated field work. Funding for this study was provided by the University of Oklahoma Department of Biology Adams Summer Scholarship, Robberson Graduate College Grant, Hill Fund for Research in Biology, Graduate Student Senate Research Grant, AMNH Theodore Roosevelt Grant and the Biogeography of Behavior student seed grant (NSF DBI-2021880; PI L. Stein) awarded to MJW in support of graduate research. Any opinions, findings and conclusions or recommendations expressed in this material are those of the authors and do not necessarily reflect the views of the National Science Foundation, the American Museum of Natural History or the University of Oklahoma. This manuscript represents a portion of MJW’s doctoral dissertation at The University of Oklahoma. We thank </w:t>
      </w:r>
      <w:r w:rsidR="00DE2791">
        <w:rPr>
          <w:rFonts w:ascii="Times New Roman" w:hAnsi="Times New Roman" w:cs="Times New Roman"/>
          <w:sz w:val="24"/>
          <w:szCs w:val="24"/>
        </w:rPr>
        <w:t xml:space="preserve">G. Robinson and </w:t>
      </w:r>
      <w:r w:rsidRPr="00631FA6">
        <w:rPr>
          <w:rFonts w:ascii="Times New Roman" w:hAnsi="Times New Roman" w:cs="Times New Roman"/>
          <w:sz w:val="24"/>
          <w:szCs w:val="24"/>
        </w:rPr>
        <w:t>three anonymous reviewers for constructive comments on earlier versions of the manuscript.</w:t>
      </w:r>
    </w:p>
    <w:p w14:paraId="0916A9E9" w14:textId="77777777" w:rsidR="00631FA6" w:rsidRPr="00631FA6" w:rsidRDefault="00631FA6" w:rsidP="00631FA6">
      <w:pPr>
        <w:spacing w:before="240" w:line="480" w:lineRule="auto"/>
        <w:rPr>
          <w:rFonts w:ascii="Times New Roman" w:hAnsi="Times New Roman" w:cs="Times New Roman"/>
          <w:b/>
          <w:bCs/>
          <w:sz w:val="24"/>
          <w:szCs w:val="24"/>
        </w:rPr>
      </w:pPr>
      <w:r w:rsidRPr="00631FA6">
        <w:rPr>
          <w:rFonts w:ascii="Times New Roman" w:hAnsi="Times New Roman" w:cs="Times New Roman"/>
          <w:b/>
          <w:bCs/>
          <w:sz w:val="24"/>
          <w:szCs w:val="24"/>
        </w:rPr>
        <w:lastRenderedPageBreak/>
        <w:t>Data Availability:</w:t>
      </w:r>
    </w:p>
    <w:p w14:paraId="45810AFD" w14:textId="2E8D2242" w:rsidR="00631FA6" w:rsidRPr="006B373F" w:rsidRDefault="006B373F" w:rsidP="00631FA6">
      <w:pPr>
        <w:spacing w:before="240" w:line="480" w:lineRule="auto"/>
        <w:rPr>
          <w:rFonts w:ascii="Times New Roman" w:hAnsi="Times New Roman" w:cs="Times New Roman"/>
          <w:sz w:val="24"/>
          <w:szCs w:val="24"/>
        </w:rPr>
      </w:pPr>
      <w:r w:rsidRPr="006B373F">
        <w:rPr>
          <w:rFonts w:ascii="Times New Roman" w:hAnsi="Times New Roman" w:cs="Times New Roman"/>
          <w:sz w:val="24"/>
          <w:szCs w:val="24"/>
        </w:rPr>
        <w:t xml:space="preserve">Sequencing reads are available on the NCBI SRA under BioProject </w:t>
      </w:r>
      <w:r w:rsidRPr="006B373F">
        <w:rPr>
          <w:rFonts w:ascii="Times New Roman" w:hAnsi="Times New Roman" w:cs="Times New Roman"/>
          <w:color w:val="242424"/>
          <w:sz w:val="24"/>
          <w:szCs w:val="24"/>
          <w:shd w:val="clear" w:color="auto" w:fill="FFFFFF"/>
        </w:rPr>
        <w:t>PRJNA925094</w:t>
      </w:r>
      <w:r w:rsidRPr="006B373F">
        <w:rPr>
          <w:rFonts w:ascii="Times New Roman" w:hAnsi="Times New Roman" w:cs="Times New Roman"/>
          <w:sz w:val="24"/>
          <w:szCs w:val="24"/>
        </w:rPr>
        <w:t xml:space="preserve">. Data and appropriate metadata from </w:t>
      </w:r>
      <w:r w:rsidR="00C956AE">
        <w:rPr>
          <w:rFonts w:ascii="Times New Roman" w:hAnsi="Times New Roman" w:cs="Times New Roman"/>
          <w:sz w:val="24"/>
          <w:szCs w:val="24"/>
        </w:rPr>
        <w:t>are</w:t>
      </w:r>
      <w:r w:rsidRPr="006B373F">
        <w:rPr>
          <w:rFonts w:ascii="Times New Roman" w:hAnsi="Times New Roman" w:cs="Times New Roman"/>
          <w:sz w:val="24"/>
          <w:szCs w:val="24"/>
        </w:rPr>
        <w:t xml:space="preserve"> archived on Harvard Dataverse (</w:t>
      </w:r>
      <w:hyperlink r:id="rId159" w:history="1">
        <w:r w:rsidR="00C956AE" w:rsidRPr="008E6EBB">
          <w:rPr>
            <w:rStyle w:val="Hyperlink"/>
            <w:rFonts w:ascii="Times New Roman" w:hAnsi="Times New Roman" w:cs="Times New Roman"/>
            <w:sz w:val="24"/>
            <w:szCs w:val="24"/>
          </w:rPr>
          <w:t>https://doi.org/10.7910/DVN/IGSXBN</w:t>
        </w:r>
      </w:hyperlink>
      <w:r w:rsidRPr="006B373F">
        <w:rPr>
          <w:rFonts w:ascii="Times New Roman" w:hAnsi="Times New Roman" w:cs="Times New Roman"/>
          <w:sz w:val="24"/>
          <w:szCs w:val="24"/>
        </w:rPr>
        <w:t>)</w:t>
      </w:r>
      <w:r w:rsidR="00C956AE">
        <w:rPr>
          <w:rFonts w:ascii="Times New Roman" w:hAnsi="Times New Roman" w:cs="Times New Roman"/>
          <w:sz w:val="24"/>
          <w:szCs w:val="24"/>
        </w:rPr>
        <w:t xml:space="preserve"> (93)</w:t>
      </w:r>
      <w:r w:rsidRPr="006B373F">
        <w:rPr>
          <w:rFonts w:ascii="Times New Roman" w:hAnsi="Times New Roman" w:cs="Times New Roman"/>
          <w:sz w:val="24"/>
          <w:szCs w:val="24"/>
        </w:rPr>
        <w:t xml:space="preserve">. </w:t>
      </w:r>
      <w:r w:rsidR="00631FA6" w:rsidRPr="006B373F">
        <w:rPr>
          <w:rFonts w:ascii="Times New Roman" w:hAnsi="Times New Roman" w:cs="Times New Roman"/>
          <w:sz w:val="24"/>
          <w:szCs w:val="24"/>
        </w:rPr>
        <w:t xml:space="preserve">Code used in the analysis is available on GitHub at </w:t>
      </w:r>
      <w:hyperlink r:id="rId160" w:history="1">
        <w:r w:rsidR="00631FA6" w:rsidRPr="006B373F">
          <w:rPr>
            <w:rStyle w:val="Hyperlink"/>
            <w:rFonts w:ascii="Times New Roman" w:hAnsi="Times New Roman" w:cs="Times New Roman"/>
            <w:sz w:val="24"/>
            <w:szCs w:val="24"/>
          </w:rPr>
          <w:t>https://github.com/mwersebe/Tanner_lake_genomics</w:t>
        </w:r>
      </w:hyperlink>
      <w:r w:rsidR="00631FA6" w:rsidRPr="006B373F">
        <w:rPr>
          <w:rFonts w:ascii="Times New Roman" w:hAnsi="Times New Roman" w:cs="Times New Roman"/>
          <w:sz w:val="24"/>
          <w:szCs w:val="24"/>
        </w:rPr>
        <w:t xml:space="preserve">. </w:t>
      </w:r>
    </w:p>
    <w:p w14:paraId="028F605C" w14:textId="77777777" w:rsidR="00631FA6" w:rsidRPr="00631FA6" w:rsidRDefault="00631FA6" w:rsidP="00631FA6">
      <w:pPr>
        <w:pBdr>
          <w:top w:val="nil"/>
          <w:left w:val="nil"/>
          <w:bottom w:val="nil"/>
          <w:right w:val="nil"/>
          <w:between w:val="nil"/>
        </w:pBdr>
        <w:spacing w:line="480" w:lineRule="auto"/>
        <w:contextualSpacing/>
        <w:rPr>
          <w:rFonts w:ascii="Times New Roman" w:hAnsi="Times New Roman" w:cs="Times New Roman"/>
          <w:b/>
          <w:color w:val="000000"/>
          <w:sz w:val="24"/>
          <w:szCs w:val="24"/>
        </w:rPr>
      </w:pPr>
    </w:p>
    <w:p w14:paraId="278C862E" w14:textId="0F683987" w:rsidR="00631FA6" w:rsidRPr="00631FA6" w:rsidRDefault="006B373F" w:rsidP="00631FA6">
      <w:pPr>
        <w:pBdr>
          <w:top w:val="nil"/>
          <w:left w:val="nil"/>
          <w:bottom w:val="nil"/>
          <w:right w:val="nil"/>
          <w:between w:val="nil"/>
        </w:pBdr>
        <w:contextualSpacing/>
        <w:rPr>
          <w:rFonts w:ascii="Times New Roman" w:hAnsi="Times New Roman" w:cs="Times New Roman"/>
          <w:color w:val="000000"/>
          <w:sz w:val="24"/>
          <w:szCs w:val="24"/>
        </w:rPr>
      </w:pPr>
      <w:r>
        <w:rPr>
          <w:rFonts w:ascii="Times New Roman" w:hAnsi="Times New Roman" w:cs="Times New Roman"/>
          <w:color w:val="000000"/>
          <w:sz w:val="24"/>
          <w:szCs w:val="24"/>
        </w:rPr>
        <w:br w:type="page"/>
      </w:r>
      <w:r w:rsidR="00631FA6" w:rsidRPr="00631FA6">
        <w:rPr>
          <w:rFonts w:ascii="Times New Roman" w:hAnsi="Times New Roman" w:cs="Times New Roman"/>
          <w:b/>
          <w:color w:val="000000"/>
          <w:sz w:val="24"/>
          <w:szCs w:val="24"/>
        </w:rPr>
        <w:lastRenderedPageBreak/>
        <w:t>References</w:t>
      </w:r>
      <w:r w:rsidR="00472C92">
        <w:rPr>
          <w:rFonts w:ascii="Times New Roman" w:hAnsi="Times New Roman" w:cs="Times New Roman"/>
          <w:b/>
          <w:color w:val="000000"/>
          <w:sz w:val="24"/>
          <w:szCs w:val="24"/>
        </w:rPr>
        <w:t>:</w:t>
      </w:r>
    </w:p>
    <w:p w14:paraId="6FEE3495"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S. M. Rudman, et al., What genomic data can reveal about eco-evolutionary dynamics. Nature Ecology &amp; Evolution 2, 9–15 (2018).</w:t>
      </w:r>
    </w:p>
    <w:p w14:paraId="20643410"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N. G. Hairston, et al., Lake ecosystems: Rapid evolution revealed by dormant eggs. Nature 401, 446–446 (1999).</w:t>
      </w:r>
    </w:p>
    <w:p w14:paraId="3F2E0E13"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F. Mallard, V. Nolte, R. Tobler, M. Kapun, C. Schlötterer, A simple genetic basis of adaptation to a novel thermal environment results in complex metabolic rewiring in Drosophila. Genome Biology 19, 119 (2018).</w:t>
      </w:r>
    </w:p>
    <w:p w14:paraId="64DEB495"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P. W. Messer, D. A. Petrov, Population genomics of rapid adaptation by soft selective sweeps. Trends in Ecology and Evolution 28, 659–669 (2013).</w:t>
      </w:r>
    </w:p>
    <w:p w14:paraId="4EC2B57C"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P. W. Messer, S. P. Ellner, N. G. Hairston, Can Population Genetics Adapt to Rapid Evolution? Trends in genetics : TIG 32, 408–418 (2016).</w:t>
      </w:r>
    </w:p>
    <w:p w14:paraId="1EB92B78" w14:textId="59B351CE"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A. Eyre-Walker, P. D. Keightley, The distribution of fitness effects of new mutations. Nature Reviews Genetics 8:8 8, 610–618 (2007).</w:t>
      </w:r>
    </w:p>
    <w:p w14:paraId="40C550C4"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P. D. Keightley, A. Eyre-Walker, What can we learn about the distribution of fitness effects of new mutations from DNA sequence data? Philosophical Transactions of the Royal Society B: Biological Sciences 365, 1187–1193 (2010).</w:t>
      </w:r>
    </w:p>
    <w:p w14:paraId="6CB8558E"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A. Long, G. Liti, A. Luptak, O. Tenaillon, Elucidating the molecular architecture of adaptation via evolve and resequence experiments. Nature Reviews Genetics 16, 567–582 (2015).</w:t>
      </w:r>
    </w:p>
    <w:p w14:paraId="76B70711"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C. Schlötterer, R. Kofler, E. Versace, R. Tobler, S. U. Franssen, Combining experimental evolution with next-generation sequencing: A powerful tool to study adaptation from standing genetic variation. Heredity 114, 431–440 (2015).</w:t>
      </w:r>
    </w:p>
    <w:p w14:paraId="66971953"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T. L. Turner, A. D. Stewart, A. T. Fields, W. R. Rice, A. M. Tarone, Population-Based Resequencing of Experimentally Evolved Populations Reveals the Genetic Basis of Body Size Variation in Drosophila melanogaster. PLoS Genetics 7, e1001336 (2011).</w:t>
      </w:r>
    </w:p>
    <w:p w14:paraId="4DB3729F"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R. E. Lenski, Convergence and divergence in a long-term experiment with bacteria. American Naturalist 190, S57–S68 (2017).</w:t>
      </w:r>
    </w:p>
    <w:p w14:paraId="7841260F"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M. Dehasque, et al., Inference of natural selection from ancient DNA. Evolution Letters 4, 94–108 (2020).</w:t>
      </w:r>
    </w:p>
    <w:p w14:paraId="765E07A7"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L. J. Weider, P. D. Jeyasingh, D. Frisch, Evolutionary aspects of resurrection ecology: Progress, scope, and applications-An overview. Evolutionary Applications 11, 3–10 (2018).</w:t>
      </w:r>
    </w:p>
    <w:p w14:paraId="10589BC4"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M. Gros-Balthazard, et al., The genomes of ancient date palms germinated from 2,000 y old seeds. Proceedings of the National Academy of Sciences of the United States of America 118 (2021).</w:t>
      </w:r>
    </w:p>
    <w:p w14:paraId="325C58B0"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D. Frisch, et al., A millennial-scale chronicle of evolutionary responses to cultural eutrophication in Daphnia. Ecology Letters 17, 360–368 (2014).</w:t>
      </w:r>
    </w:p>
    <w:p w14:paraId="1BC33168"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W. C. Kerfoot, J. A. Robbins, L. J. Weider, A new approach to historical reconstruction: Combining descriptive and experimental paleolimnology. Limnology and Oceanography 44, 1232–1247 (1999).</w:t>
      </w:r>
    </w:p>
    <w:p w14:paraId="2A4B119D" w14:textId="57B99370"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 xml:space="preserve">W. C. Kerfoot, L. J. Weider, “Experimental paleoecology (resurrection ecology): Chasing Van Valen’s Red Queen hypothesis” </w:t>
      </w:r>
      <w:r w:rsidRPr="006B373F">
        <w:rPr>
          <w:rFonts w:ascii="Times New Roman" w:hAnsi="Times New Roman" w:cs="Times New Roman"/>
          <w:i/>
          <w:iCs/>
          <w:color w:val="1C1D1E"/>
          <w:sz w:val="24"/>
          <w:szCs w:val="24"/>
        </w:rPr>
        <w:t>Limnology and Oceanography</w:t>
      </w:r>
      <w:r w:rsidRPr="006B373F">
        <w:rPr>
          <w:rFonts w:ascii="Times New Roman" w:hAnsi="Times New Roman" w:cs="Times New Roman"/>
          <w:color w:val="1C1D1E"/>
          <w:sz w:val="24"/>
          <w:szCs w:val="24"/>
          <w:shd w:val="clear" w:color="auto" w:fill="FFFFFF"/>
        </w:rPr>
        <w:t>,</w:t>
      </w:r>
      <w:r w:rsidRPr="006B373F">
        <w:rPr>
          <w:rStyle w:val="apple-converted-space"/>
          <w:rFonts w:ascii="Times New Roman" w:hAnsi="Times New Roman" w:cs="Times New Roman"/>
          <w:color w:val="1C1D1E"/>
          <w:sz w:val="24"/>
          <w:szCs w:val="24"/>
          <w:shd w:val="clear" w:color="auto" w:fill="FFFFFF"/>
        </w:rPr>
        <w:t> </w:t>
      </w:r>
      <w:r w:rsidRPr="006B373F">
        <w:rPr>
          <w:rStyle w:val="vol"/>
          <w:rFonts w:ascii="Times New Roman" w:hAnsi="Times New Roman" w:cs="Times New Roman"/>
          <w:color w:val="1C1D1E"/>
          <w:sz w:val="24"/>
          <w:szCs w:val="24"/>
        </w:rPr>
        <w:t>4, 2. (2004).</w:t>
      </w:r>
    </w:p>
    <w:p w14:paraId="1CEF7BAB" w14:textId="055A0290"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lastRenderedPageBreak/>
        <w:t xml:space="preserve">L. Orsini, et al., Temporal genetic stability in natural populations of the waterflea  </w:t>
      </w:r>
      <w:r>
        <w:rPr>
          <w:rFonts w:ascii="Times New Roman" w:hAnsi="Times New Roman" w:cs="Times New Roman"/>
          <w:sz w:val="24"/>
          <w:szCs w:val="24"/>
        </w:rPr>
        <w:t>D</w:t>
      </w:r>
      <w:r w:rsidRPr="006B373F">
        <w:rPr>
          <w:rFonts w:ascii="Times New Roman" w:hAnsi="Times New Roman" w:cs="Times New Roman"/>
          <w:sz w:val="24"/>
          <w:szCs w:val="24"/>
        </w:rPr>
        <w:t>aphnia magna  in response to strong selection pressure. Molecular Ecology 25, 6024–6038 (2016).</w:t>
      </w:r>
    </w:p>
    <w:p w14:paraId="2A681B7A"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A. Chaturvedi, et al., Extensive standing genetic variation from a small number of founders enables rapid adaptation in Daphnia. Nature Communications 12, 4306 (2021).</w:t>
      </w:r>
    </w:p>
    <w:p w14:paraId="76F2CE51"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C. Cousyn, et al., Rapid, local adaptation of zooplankton behavior to changes in predation pressure in the absence of neutral genetic changes. Proceedings of the National Academy of Sciences of the United States of America 98, 6256–60 (2001).</w:t>
      </w:r>
    </w:p>
    <w:p w14:paraId="5BE1DFB4"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D. Frisch, et al., Paleogenetic records of Daphnia pulicaria in two North American lakes reveal the impact of cultural eutrophication. Global Change Biology 23, 708–718 (2017).</w:t>
      </w:r>
    </w:p>
    <w:p w14:paraId="034FD3FC"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W. Lampert, U. Sommer, Limnoecology: The Ecology of Lakes and Streams (Oxford University Press, 2007).</w:t>
      </w:r>
    </w:p>
    <w:p w14:paraId="28842AFD"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Ž. Ogorelec, C. Wunsch, A. J. Kunzmann, P. Octorina, J. I. Navarro, Large daphniids are keystone species that link fish predation and phytoplankton in trophic cascades. Fundamental and Applied Limnology 194, 297–309 (2021).</w:t>
      </w:r>
    </w:p>
    <w:p w14:paraId="7171E77A"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J. R. Walsh, S. R. Carpenter, M. J. Vander Zanden, Invasive species triggers a massive loss of ecosystem services through a trophic cascade. Proceedings of the National Academy of Sciences of the United States of America 113, 4081–5 (2016).</w:t>
      </w:r>
    </w:p>
    <w:p w14:paraId="39CA33AC"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A. J. Reid, et al., Emerging threats and persistent conservation challenges for freshwater biodiversity. Biological Reviews 94, 849–873 (2019).</w:t>
      </w:r>
    </w:p>
    <w:p w14:paraId="1D2D2D2C"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S. S. Kaushal, et al., Freshwater salinization syndrome on a continental scale. Proceedings of the National Academy of Sciences (2018) https:/doi.org/10.1073/pnas.1711234115.</w:t>
      </w:r>
    </w:p>
    <w:p w14:paraId="692AA2BC"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H. A. Dugan, et al., Lakes at Risk of Chloride Contamination. Environmental Science and Technology 54, 6639–6650 (2020).</w:t>
      </w:r>
    </w:p>
    <w:p w14:paraId="23B1F784"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H. A. Dugan, et al., Salting our freshwater lakes. Proceedings of the National Academy of Sciences of the United States of America 114, 4453–4458 (2017).</w:t>
      </w:r>
    </w:p>
    <w:p w14:paraId="7D714809"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W. D. Hintz, R. A. Relyea, A review of the species, community, and ecosystem impacts of road salt salinisation in fresh waters. Freshwater Biology 64, 1081–1097 (2019).</w:t>
      </w:r>
    </w:p>
    <w:p w14:paraId="7DE56D3D"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D. Cunillera-Montcusí, et al., Freshwater salinisation: a research agenda for a saltier world. Trends in Ecology &amp; Evolution 0 (2022).</w:t>
      </w:r>
    </w:p>
    <w:p w14:paraId="659CB39F"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M. J. Wersebe, M. B. Edlund, L. J. Weider, Does salinization impact long-term Daphnia assemblage dynamics? Evidence from the sediment egg bank in a small hard-water lake. Limnology and Oceanography Letters n/a (2021).</w:t>
      </w:r>
    </w:p>
    <w:p w14:paraId="47A3BB58"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S. Arnott, et al., Road salt impacts freshwater zooplankton at concentrations below current water quality guidelines. Environmental Science &amp; Technology (2020) https:/doi.org/10.1021/acs.est.0c02396 (August 11, 2020).</w:t>
      </w:r>
    </w:p>
    <w:p w14:paraId="6F56FDFA"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W. D. Hintz, et al., Current water quality guidelines across North America and Europe do not protect lakes from salinization. Proceedings of the National Academy of Sciences 119, e2115033119 (2022).</w:t>
      </w:r>
    </w:p>
    <w:p w14:paraId="775A45F2"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E. V. Novotny, D. Murphy, H. G. Stefan, Increase of urban lake salinity by road deicing salt. Science of The Total Environment 406, 131–144 (2008).</w:t>
      </w:r>
    </w:p>
    <w:p w14:paraId="5D3A44EE"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lastRenderedPageBreak/>
        <w:t>J. M. Ramstack, S. C. Fritz, D. R. Engstrom, Twentieth century water quality trends in Minnesota lakes compared with presettlement variability. Canadian Journal of Fisheries and Aquatic Sciences 61, 561–576 (2004).</w:t>
      </w:r>
    </w:p>
    <w:p w14:paraId="1F734D95"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J. M. Ramstack, S. C. Fritz, D. R. Engstrom, S. A. Heiskary, The Application of a Diatom-based Transfer Function to Evaluate Regional Water-Quality Trends in Minnessota Since 1970. Journal of Paleolimnology 29, 79–94 (2003).</w:t>
      </w:r>
    </w:p>
    <w:p w14:paraId="25740EEB"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R. J. Sibert, C. M. Koretsky, D. A. Wyman, Cultural meromixis: Effects of road salt on the chemical stratification of an urban kettle lake. Chemical Geology 395, 126–137 (2015).</w:t>
      </w:r>
    </w:p>
    <w:p w14:paraId="706D1347"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D. E. Allen, M. Lynch, The effect of variable frequency of sexual reproduction on the genetic structure of natural populations of a cyclical parthenogen. Evolution 66, 919–926 (2012).</w:t>
      </w:r>
    </w:p>
    <w:p w14:paraId="238976B1"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C. E. Cáceres, A. J. Tessier, Incidence of diapause varies among populations of Daphnia pulicaria. Oecologia 141, 425–431 (2004).</w:t>
      </w:r>
    </w:p>
    <w:p w14:paraId="6B9B2D5B"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L. Excoffier, et al., fastsimcoal2: demographic inference under complex evolutionary scenarios. Bioinformatics 37, 4882–4885 (2021).</w:t>
      </w:r>
    </w:p>
    <w:p w14:paraId="3B27D9B8"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H. Mi, et al., PANTHER version 16: A revised family classification, tree-based classification tool, enhancer regions and extensive API. Nucleic Acids Research 49, D394–D403 (2021).</w:t>
      </w:r>
    </w:p>
    <w:p w14:paraId="02D843C9"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W. McLaren, et al., The Ensembl Variant Effect Predictor. Genome Biology 17, 122 (2016).</w:t>
      </w:r>
    </w:p>
    <w:p w14:paraId="3DAD24A0"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S. Masaki, et al., Still life, a Protein in Synaptic Terminals of Drosophila Homologous to GDP-GTP Exchangers. Science 275, 543–547 (1997).</w:t>
      </w:r>
    </w:p>
    <w:p w14:paraId="3662E738"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P. Aspenström, N. Richnau, A.-S. Johansson, The diaphanous-related formin DAAM1 collaborates with the Rho GTPases RhoA and Cdc42, CIP4 and Src in regulating cell morphogenesis and actin dynamics. Experimental Cell Research 312, 2180–2194 (2006).</w:t>
      </w:r>
    </w:p>
    <w:p w14:paraId="0B4D18B4"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C. Klambt, The Drosophila gene pointed encodes two ETS-like proteins which are involved in the development of the midline glial cells. Development 117, 163–176 (1993).</w:t>
      </w:r>
    </w:p>
    <w:p w14:paraId="27B95E33"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C. Fangli, B. Margaret, R. K. T., Q. Adrian, H. I. K., Biological characterization of Drosophila Rapgap1, a GTPase activating protein for Rap1. Proceedings of the National Academy of Sciences 94, 12485–12490 (1997).</w:t>
      </w:r>
    </w:p>
    <w:p w14:paraId="0D5F95D5"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S. E. St Pierre, M. I. Galindo, J. P. Couso, S. Thor, Control of Drosophila imaginal disc development by rotund and roughened eye: differentially expressed transcripts of the same gene encoding functionally distinct zinc finger proteins. Development 129, 1273–1281 (2002).</w:t>
      </w:r>
    </w:p>
    <w:p w14:paraId="2703D4E9"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Style w:val="cit-name-given-names"/>
          <w:rFonts w:ascii="Times New Roman" w:hAnsi="Times New Roman" w:cs="Times New Roman"/>
          <w:color w:val="191919"/>
          <w:sz w:val="24"/>
          <w:szCs w:val="24"/>
          <w:bdr w:val="none" w:sz="0" w:space="0" w:color="auto" w:frame="1"/>
        </w:rPr>
        <w:t>J.</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Wang</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E.</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Santiago</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A.</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Caballero</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article-title"/>
          <w:rFonts w:ascii="Times New Roman" w:hAnsi="Times New Roman" w:cs="Times New Roman"/>
          <w:color w:val="191919"/>
          <w:sz w:val="24"/>
          <w:szCs w:val="24"/>
          <w:bdr w:val="none" w:sz="0" w:space="0" w:color="auto" w:frame="1"/>
        </w:rPr>
        <w:t>Prediction and estimation of effective population size</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sz w:val="24"/>
          <w:szCs w:val="24"/>
        </w:rPr>
        <w:t>Heredity (Edinb)</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vol"/>
          <w:rFonts w:ascii="Times New Roman" w:hAnsi="Times New Roman" w:cs="Times New Roman"/>
          <w:b/>
          <w:bCs/>
          <w:color w:val="191919"/>
          <w:sz w:val="24"/>
          <w:szCs w:val="24"/>
          <w:bdr w:val="none" w:sz="0" w:space="0" w:color="auto" w:frame="1"/>
        </w:rPr>
        <w:t>117</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fpage"/>
          <w:rFonts w:ascii="Times New Roman" w:hAnsi="Times New Roman" w:cs="Times New Roman"/>
          <w:color w:val="191919"/>
          <w:sz w:val="24"/>
          <w:szCs w:val="24"/>
          <w:bdr w:val="none" w:sz="0" w:space="0" w:color="auto" w:frame="1"/>
        </w:rPr>
        <w:t>193</w:t>
      </w:r>
      <w:r w:rsidRPr="006B373F">
        <w:rPr>
          <w:rFonts w:ascii="Times New Roman" w:hAnsi="Times New Roman" w:cs="Times New Roman"/>
          <w:color w:val="191919"/>
          <w:sz w:val="24"/>
          <w:szCs w:val="24"/>
          <w:shd w:val="clear" w:color="auto" w:fill="FFFFFF"/>
        </w:rPr>
        <w:t>–</w:t>
      </w:r>
      <w:r w:rsidRPr="006B373F">
        <w:rPr>
          <w:rStyle w:val="cit-lpage"/>
          <w:rFonts w:ascii="Times New Roman" w:hAnsi="Times New Roman" w:cs="Times New Roman"/>
          <w:color w:val="191919"/>
          <w:sz w:val="24"/>
          <w:szCs w:val="24"/>
          <w:bdr w:val="none" w:sz="0" w:space="0" w:color="auto" w:frame="1"/>
        </w:rPr>
        <w:t>206</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color w:val="191919"/>
          <w:sz w:val="24"/>
          <w:szCs w:val="24"/>
          <w:shd w:val="clear" w:color="auto" w:fill="FFFFFF"/>
        </w:rPr>
        <w:t>(</w:t>
      </w:r>
      <w:r w:rsidRPr="006B373F">
        <w:rPr>
          <w:rStyle w:val="cit-pub-date"/>
          <w:rFonts w:ascii="Times New Roman" w:hAnsi="Times New Roman" w:cs="Times New Roman"/>
          <w:color w:val="191919"/>
          <w:sz w:val="24"/>
          <w:szCs w:val="24"/>
          <w:bdr w:val="none" w:sz="0" w:space="0" w:color="auto" w:frame="1"/>
        </w:rPr>
        <w:t>2016</w:t>
      </w:r>
      <w:r w:rsidRPr="006B373F">
        <w:rPr>
          <w:rFonts w:ascii="Times New Roman" w:hAnsi="Times New Roman" w:cs="Times New Roman"/>
          <w:color w:val="191919"/>
          <w:sz w:val="24"/>
          <w:szCs w:val="24"/>
          <w:shd w:val="clear" w:color="auto" w:fill="FFFFFF"/>
        </w:rPr>
        <w:t>).</w:t>
      </w:r>
    </w:p>
    <w:p w14:paraId="590BC1E3"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Style w:val="cit-name-given-names"/>
          <w:rFonts w:ascii="Times New Roman" w:hAnsi="Times New Roman" w:cs="Times New Roman"/>
          <w:color w:val="191919"/>
          <w:sz w:val="24"/>
          <w:szCs w:val="24"/>
          <w:bdr w:val="none" w:sz="0" w:space="0" w:color="auto" w:frame="1"/>
        </w:rPr>
        <w:t>J. D.</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Robinson</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A. J.</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Coffman</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M. J.</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Hickerson</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R. N.</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Gutenkunst</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article-title"/>
          <w:rFonts w:ascii="Times New Roman" w:hAnsi="Times New Roman" w:cs="Times New Roman"/>
          <w:color w:val="191919"/>
          <w:sz w:val="24"/>
          <w:szCs w:val="24"/>
          <w:bdr w:val="none" w:sz="0" w:space="0" w:color="auto" w:frame="1"/>
        </w:rPr>
        <w:t>Sampling strategies for frequency spectrum-based population genomic inference</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sz w:val="24"/>
          <w:szCs w:val="24"/>
        </w:rPr>
        <w:t>BMC Evol. Biol</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vol"/>
          <w:rFonts w:ascii="Times New Roman" w:hAnsi="Times New Roman" w:cs="Times New Roman"/>
          <w:b/>
          <w:bCs/>
          <w:color w:val="191919"/>
          <w:sz w:val="24"/>
          <w:szCs w:val="24"/>
          <w:bdr w:val="none" w:sz="0" w:space="0" w:color="auto" w:frame="1"/>
        </w:rPr>
        <w:t>14</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fpage"/>
          <w:rFonts w:ascii="Times New Roman" w:hAnsi="Times New Roman" w:cs="Times New Roman"/>
          <w:color w:val="191919"/>
          <w:sz w:val="24"/>
          <w:szCs w:val="24"/>
          <w:bdr w:val="none" w:sz="0" w:space="0" w:color="auto" w:frame="1"/>
        </w:rPr>
        <w:t>254</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color w:val="191919"/>
          <w:sz w:val="24"/>
          <w:szCs w:val="24"/>
          <w:shd w:val="clear" w:color="auto" w:fill="FFFFFF"/>
        </w:rPr>
        <w:t>(</w:t>
      </w:r>
      <w:r w:rsidRPr="006B373F">
        <w:rPr>
          <w:rStyle w:val="cit-pub-date"/>
          <w:rFonts w:ascii="Times New Roman" w:hAnsi="Times New Roman" w:cs="Times New Roman"/>
          <w:color w:val="191919"/>
          <w:sz w:val="24"/>
          <w:szCs w:val="24"/>
          <w:bdr w:val="none" w:sz="0" w:space="0" w:color="auto" w:frame="1"/>
        </w:rPr>
        <w:t>2014</w:t>
      </w:r>
      <w:r w:rsidRPr="006B373F">
        <w:rPr>
          <w:rFonts w:ascii="Times New Roman" w:hAnsi="Times New Roman" w:cs="Times New Roman"/>
          <w:color w:val="191919"/>
          <w:sz w:val="24"/>
          <w:szCs w:val="24"/>
          <w:shd w:val="clear" w:color="auto" w:fill="FFFFFF"/>
        </w:rPr>
        <w:t>).</w:t>
      </w:r>
    </w:p>
    <w:p w14:paraId="331A1A1A"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Style w:val="cit-name-given-names"/>
          <w:rFonts w:ascii="Times New Roman" w:hAnsi="Times New Roman" w:cs="Times New Roman"/>
          <w:color w:val="191919"/>
          <w:sz w:val="24"/>
          <w:szCs w:val="24"/>
          <w:bdr w:val="none" w:sz="0" w:space="0" w:color="auto" w:frame="1"/>
        </w:rPr>
        <w:t>E.</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Santiago</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etal"/>
          <w:rFonts w:ascii="Times New Roman" w:hAnsi="Times New Roman" w:cs="Times New Roman"/>
          <w:color w:val="191919"/>
          <w:sz w:val="24"/>
          <w:szCs w:val="24"/>
          <w:bdr w:val="none" w:sz="0" w:space="0" w:color="auto" w:frame="1"/>
        </w:rPr>
        <w:t>et al.</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article-title"/>
          <w:rFonts w:ascii="Times New Roman" w:hAnsi="Times New Roman" w:cs="Times New Roman"/>
          <w:color w:val="191919"/>
          <w:sz w:val="24"/>
          <w:szCs w:val="24"/>
          <w:bdr w:val="none" w:sz="0" w:space="0" w:color="auto" w:frame="1"/>
        </w:rPr>
        <w:t>Recent Demographic History Inferred by High-Resolution Analysis of Linkage Disequilibrium</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sz w:val="24"/>
          <w:szCs w:val="24"/>
        </w:rPr>
        <w:t>Mol. Biol. Evol</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vol"/>
          <w:rFonts w:ascii="Times New Roman" w:hAnsi="Times New Roman" w:cs="Times New Roman"/>
          <w:b/>
          <w:bCs/>
          <w:color w:val="191919"/>
          <w:sz w:val="24"/>
          <w:szCs w:val="24"/>
          <w:bdr w:val="none" w:sz="0" w:space="0" w:color="auto" w:frame="1"/>
        </w:rPr>
        <w:t>37</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fpage"/>
          <w:rFonts w:ascii="Times New Roman" w:hAnsi="Times New Roman" w:cs="Times New Roman"/>
          <w:color w:val="191919"/>
          <w:sz w:val="24"/>
          <w:szCs w:val="24"/>
          <w:bdr w:val="none" w:sz="0" w:space="0" w:color="auto" w:frame="1"/>
        </w:rPr>
        <w:t>3642</w:t>
      </w:r>
      <w:r w:rsidRPr="006B373F">
        <w:rPr>
          <w:rFonts w:ascii="Times New Roman" w:hAnsi="Times New Roman" w:cs="Times New Roman"/>
          <w:color w:val="191919"/>
          <w:sz w:val="24"/>
          <w:szCs w:val="24"/>
          <w:shd w:val="clear" w:color="auto" w:fill="FFFFFF"/>
        </w:rPr>
        <w:t>–</w:t>
      </w:r>
      <w:r w:rsidRPr="006B373F">
        <w:rPr>
          <w:rStyle w:val="cit-lpage"/>
          <w:rFonts w:ascii="Times New Roman" w:hAnsi="Times New Roman" w:cs="Times New Roman"/>
          <w:color w:val="191919"/>
          <w:sz w:val="24"/>
          <w:szCs w:val="24"/>
          <w:bdr w:val="none" w:sz="0" w:space="0" w:color="auto" w:frame="1"/>
        </w:rPr>
        <w:t>3653</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color w:val="191919"/>
          <w:sz w:val="24"/>
          <w:szCs w:val="24"/>
          <w:shd w:val="clear" w:color="auto" w:fill="FFFFFF"/>
        </w:rPr>
        <w:t>(</w:t>
      </w:r>
      <w:r w:rsidRPr="006B373F">
        <w:rPr>
          <w:rStyle w:val="cit-pub-date"/>
          <w:rFonts w:ascii="Times New Roman" w:hAnsi="Times New Roman" w:cs="Times New Roman"/>
          <w:color w:val="191919"/>
          <w:sz w:val="24"/>
          <w:szCs w:val="24"/>
          <w:bdr w:val="none" w:sz="0" w:space="0" w:color="auto" w:frame="1"/>
        </w:rPr>
        <w:t>2020</w:t>
      </w:r>
      <w:r w:rsidRPr="006B373F">
        <w:rPr>
          <w:rFonts w:ascii="Times New Roman" w:hAnsi="Times New Roman" w:cs="Times New Roman"/>
          <w:color w:val="191919"/>
          <w:sz w:val="24"/>
          <w:szCs w:val="24"/>
          <w:shd w:val="clear" w:color="auto" w:fill="FFFFFF"/>
        </w:rPr>
        <w:t>).</w:t>
      </w:r>
    </w:p>
    <w:p w14:paraId="0B681BDC"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M. Lynch, K. Spitze, “Evolutionary Genetic of Daphnia” in Ecological Genetics, L. Real, Ed. (Princeton University Press, 1994).</w:t>
      </w:r>
    </w:p>
    <w:p w14:paraId="3401742E"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Style w:val="cit-name-given-names"/>
          <w:rFonts w:ascii="Times New Roman" w:hAnsi="Times New Roman" w:cs="Times New Roman"/>
          <w:color w:val="191919"/>
          <w:sz w:val="24"/>
          <w:szCs w:val="24"/>
          <w:bdr w:val="none" w:sz="0" w:space="0" w:color="auto" w:frame="1"/>
        </w:rPr>
        <w:lastRenderedPageBreak/>
        <w:t>L.</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De Meester</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A.</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Gómez</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B.</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Okamura</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K.</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Schwenk</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article-title"/>
          <w:rFonts w:ascii="Times New Roman" w:hAnsi="Times New Roman" w:cs="Times New Roman"/>
          <w:color w:val="191919"/>
          <w:sz w:val="24"/>
          <w:szCs w:val="24"/>
          <w:bdr w:val="none" w:sz="0" w:space="0" w:color="auto" w:frame="1"/>
        </w:rPr>
        <w:t>The Monopolization Hypothesis and the dispersal-gene flow paradox in aquatic organisms</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sz w:val="24"/>
          <w:szCs w:val="24"/>
        </w:rPr>
        <w:t>Acta Oecologica</w:t>
      </w:r>
      <w:r w:rsidRPr="006B373F">
        <w:rPr>
          <w:rStyle w:val="apple-converted-space"/>
          <w:rFonts w:ascii="Times New Roman" w:hAnsi="Times New Roman" w:cs="Times New Roman"/>
          <w:color w:val="191919"/>
          <w:sz w:val="24"/>
          <w:szCs w:val="24"/>
          <w:shd w:val="clear" w:color="auto" w:fill="FFFFFF"/>
        </w:rPr>
        <w:t> </w:t>
      </w:r>
      <w:r w:rsidRPr="006B373F">
        <w:rPr>
          <w:rStyle w:val="cit-vol"/>
          <w:rFonts w:ascii="Times New Roman" w:hAnsi="Times New Roman" w:cs="Times New Roman"/>
          <w:b/>
          <w:bCs/>
          <w:color w:val="191919"/>
          <w:sz w:val="24"/>
          <w:szCs w:val="24"/>
          <w:bdr w:val="none" w:sz="0" w:space="0" w:color="auto" w:frame="1"/>
        </w:rPr>
        <w:t>23</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fpage"/>
          <w:rFonts w:ascii="Times New Roman" w:hAnsi="Times New Roman" w:cs="Times New Roman"/>
          <w:color w:val="191919"/>
          <w:sz w:val="24"/>
          <w:szCs w:val="24"/>
          <w:bdr w:val="none" w:sz="0" w:space="0" w:color="auto" w:frame="1"/>
        </w:rPr>
        <w:t>121</w:t>
      </w:r>
      <w:r w:rsidRPr="006B373F">
        <w:rPr>
          <w:rFonts w:ascii="Times New Roman" w:hAnsi="Times New Roman" w:cs="Times New Roman"/>
          <w:color w:val="191919"/>
          <w:sz w:val="24"/>
          <w:szCs w:val="24"/>
          <w:shd w:val="clear" w:color="auto" w:fill="FFFFFF"/>
        </w:rPr>
        <w:t>–</w:t>
      </w:r>
      <w:r w:rsidRPr="006B373F">
        <w:rPr>
          <w:rStyle w:val="cit-lpage"/>
          <w:rFonts w:ascii="Times New Roman" w:hAnsi="Times New Roman" w:cs="Times New Roman"/>
          <w:color w:val="191919"/>
          <w:sz w:val="24"/>
          <w:szCs w:val="24"/>
          <w:bdr w:val="none" w:sz="0" w:space="0" w:color="auto" w:frame="1"/>
        </w:rPr>
        <w:t>135</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color w:val="191919"/>
          <w:sz w:val="24"/>
          <w:szCs w:val="24"/>
          <w:shd w:val="clear" w:color="auto" w:fill="FFFFFF"/>
        </w:rPr>
        <w:t>(</w:t>
      </w:r>
      <w:r w:rsidRPr="006B373F">
        <w:rPr>
          <w:rStyle w:val="cit-pub-date"/>
          <w:rFonts w:ascii="Times New Roman" w:hAnsi="Times New Roman" w:cs="Times New Roman"/>
          <w:color w:val="191919"/>
          <w:sz w:val="24"/>
          <w:szCs w:val="24"/>
          <w:bdr w:val="none" w:sz="0" w:space="0" w:color="auto" w:frame="1"/>
        </w:rPr>
        <w:t>2002</w:t>
      </w:r>
      <w:r w:rsidRPr="006B373F">
        <w:rPr>
          <w:rFonts w:ascii="Times New Roman" w:hAnsi="Times New Roman" w:cs="Times New Roman"/>
          <w:color w:val="191919"/>
          <w:sz w:val="24"/>
          <w:szCs w:val="24"/>
          <w:shd w:val="clear" w:color="auto" w:fill="FFFFFF"/>
        </w:rPr>
        <w:t>).</w:t>
      </w:r>
    </w:p>
    <w:p w14:paraId="36D2D776"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Style w:val="cit-name-given-names"/>
          <w:rFonts w:ascii="Times New Roman" w:hAnsi="Times New Roman" w:cs="Times New Roman"/>
          <w:color w:val="191919"/>
          <w:sz w:val="24"/>
          <w:szCs w:val="24"/>
          <w:bdr w:val="none" w:sz="0" w:space="0" w:color="auto" w:frame="1"/>
        </w:rPr>
        <w:t>L.</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De Meester</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J.</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Vanoverbeke</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K.</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De Gelas</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R.</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Ortells</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P.</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Spaak</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article-title"/>
          <w:rFonts w:ascii="Times New Roman" w:hAnsi="Times New Roman" w:cs="Times New Roman"/>
          <w:color w:val="191919"/>
          <w:sz w:val="24"/>
          <w:szCs w:val="24"/>
          <w:bdr w:val="none" w:sz="0" w:space="0" w:color="auto" w:frame="1"/>
        </w:rPr>
        <w:t>Genetic structure of cyclic parthenogenetic zooplankton populations a conceptual framework</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sz w:val="24"/>
          <w:szCs w:val="24"/>
        </w:rPr>
        <w:t>Arch. für Hydrobiol</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fpage"/>
          <w:rFonts w:ascii="Times New Roman" w:hAnsi="Times New Roman" w:cs="Times New Roman"/>
          <w:color w:val="191919"/>
          <w:sz w:val="24"/>
          <w:szCs w:val="24"/>
          <w:bdr w:val="none" w:sz="0" w:space="0" w:color="auto" w:frame="1"/>
        </w:rPr>
        <w:t>217</w:t>
      </w:r>
      <w:r w:rsidRPr="006B373F">
        <w:rPr>
          <w:rFonts w:ascii="Times New Roman" w:hAnsi="Times New Roman" w:cs="Times New Roman"/>
          <w:color w:val="191919"/>
          <w:sz w:val="24"/>
          <w:szCs w:val="24"/>
          <w:shd w:val="clear" w:color="auto" w:fill="FFFFFF"/>
        </w:rPr>
        <w:t>–</w:t>
      </w:r>
      <w:r w:rsidRPr="006B373F">
        <w:rPr>
          <w:rStyle w:val="cit-lpage"/>
          <w:rFonts w:ascii="Times New Roman" w:hAnsi="Times New Roman" w:cs="Times New Roman"/>
          <w:color w:val="191919"/>
          <w:sz w:val="24"/>
          <w:szCs w:val="24"/>
          <w:bdr w:val="none" w:sz="0" w:space="0" w:color="auto" w:frame="1"/>
        </w:rPr>
        <w:t>244</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color w:val="191919"/>
          <w:sz w:val="24"/>
          <w:szCs w:val="24"/>
          <w:shd w:val="clear" w:color="auto" w:fill="FFFFFF"/>
        </w:rPr>
        <w:t>(</w:t>
      </w:r>
      <w:r w:rsidRPr="006B373F">
        <w:rPr>
          <w:rStyle w:val="cit-pub-date"/>
          <w:rFonts w:ascii="Times New Roman" w:hAnsi="Times New Roman" w:cs="Times New Roman"/>
          <w:color w:val="191919"/>
          <w:sz w:val="24"/>
          <w:szCs w:val="24"/>
          <w:bdr w:val="none" w:sz="0" w:space="0" w:color="auto" w:frame="1"/>
        </w:rPr>
        <w:t>2006</w:t>
      </w:r>
      <w:r w:rsidRPr="006B373F">
        <w:rPr>
          <w:rFonts w:ascii="Times New Roman" w:hAnsi="Times New Roman" w:cs="Times New Roman"/>
          <w:color w:val="191919"/>
          <w:sz w:val="24"/>
          <w:szCs w:val="24"/>
          <w:shd w:val="clear" w:color="auto" w:fill="FFFFFF"/>
        </w:rPr>
        <w:t>).</w:t>
      </w:r>
    </w:p>
    <w:p w14:paraId="51A0A009"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Style w:val="cit-name-given-names"/>
          <w:rFonts w:ascii="Times New Roman" w:hAnsi="Times New Roman" w:cs="Times New Roman"/>
          <w:color w:val="191919"/>
          <w:sz w:val="24"/>
          <w:szCs w:val="24"/>
          <w:bdr w:val="none" w:sz="0" w:space="0" w:color="auto" w:frame="1"/>
        </w:rPr>
        <w:t>S. E. G.</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Findlay</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V. R.</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Kelly</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article-title"/>
          <w:rFonts w:ascii="Times New Roman" w:hAnsi="Times New Roman" w:cs="Times New Roman"/>
          <w:color w:val="191919"/>
          <w:sz w:val="24"/>
          <w:szCs w:val="24"/>
          <w:bdr w:val="none" w:sz="0" w:space="0" w:color="auto" w:frame="1"/>
        </w:rPr>
        <w:t>Emerging indirect and long-term road salt effects on ecosystems</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sz w:val="24"/>
          <w:szCs w:val="24"/>
        </w:rPr>
        <w:t>Ann. N. Y. Acad. Sci</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vol"/>
          <w:rFonts w:ascii="Times New Roman" w:hAnsi="Times New Roman" w:cs="Times New Roman"/>
          <w:b/>
          <w:bCs/>
          <w:color w:val="191919"/>
          <w:sz w:val="24"/>
          <w:szCs w:val="24"/>
          <w:bdr w:val="none" w:sz="0" w:space="0" w:color="auto" w:frame="1"/>
        </w:rPr>
        <w:t>1223</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fpage"/>
          <w:rFonts w:ascii="Times New Roman" w:hAnsi="Times New Roman" w:cs="Times New Roman"/>
          <w:color w:val="191919"/>
          <w:sz w:val="24"/>
          <w:szCs w:val="24"/>
          <w:bdr w:val="none" w:sz="0" w:space="0" w:color="auto" w:frame="1"/>
        </w:rPr>
        <w:t>58</w:t>
      </w:r>
      <w:r w:rsidRPr="006B373F">
        <w:rPr>
          <w:rFonts w:ascii="Times New Roman" w:hAnsi="Times New Roman" w:cs="Times New Roman"/>
          <w:color w:val="191919"/>
          <w:sz w:val="24"/>
          <w:szCs w:val="24"/>
          <w:shd w:val="clear" w:color="auto" w:fill="FFFFFF"/>
        </w:rPr>
        <w:t>–</w:t>
      </w:r>
      <w:r w:rsidRPr="006B373F">
        <w:rPr>
          <w:rStyle w:val="cit-lpage"/>
          <w:rFonts w:ascii="Times New Roman" w:hAnsi="Times New Roman" w:cs="Times New Roman"/>
          <w:color w:val="191919"/>
          <w:sz w:val="24"/>
          <w:szCs w:val="24"/>
          <w:bdr w:val="none" w:sz="0" w:space="0" w:color="auto" w:frame="1"/>
        </w:rPr>
        <w:t>68</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color w:val="191919"/>
          <w:sz w:val="24"/>
          <w:szCs w:val="24"/>
          <w:shd w:val="clear" w:color="auto" w:fill="FFFFFF"/>
        </w:rPr>
        <w:t>(</w:t>
      </w:r>
      <w:r w:rsidRPr="006B373F">
        <w:rPr>
          <w:rStyle w:val="cit-pub-date"/>
          <w:rFonts w:ascii="Times New Roman" w:hAnsi="Times New Roman" w:cs="Times New Roman"/>
          <w:color w:val="191919"/>
          <w:sz w:val="24"/>
          <w:szCs w:val="24"/>
          <w:bdr w:val="none" w:sz="0" w:space="0" w:color="auto" w:frame="1"/>
        </w:rPr>
        <w:t>2011</w:t>
      </w:r>
      <w:r w:rsidRPr="006B373F">
        <w:rPr>
          <w:rFonts w:ascii="Times New Roman" w:hAnsi="Times New Roman" w:cs="Times New Roman"/>
          <w:color w:val="191919"/>
          <w:sz w:val="24"/>
          <w:szCs w:val="24"/>
          <w:shd w:val="clear" w:color="auto" w:fill="FFFFFF"/>
        </w:rPr>
        <w:t>).</w:t>
      </w:r>
    </w:p>
    <w:p w14:paraId="1A284EC4" w14:textId="6920FDBD"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Style w:val="cit-name-given-names"/>
          <w:rFonts w:ascii="Times New Roman" w:hAnsi="Times New Roman" w:cs="Times New Roman"/>
          <w:color w:val="191919"/>
          <w:sz w:val="24"/>
          <w:szCs w:val="24"/>
          <w:bdr w:val="none" w:sz="0" w:space="0" w:color="auto" w:frame="1"/>
        </w:rPr>
        <w:t>L. C.</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Latta</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L. J.</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Weider</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J. K.</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Colbourne</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M. E.</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Pfrender</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article-title"/>
          <w:rFonts w:ascii="Times New Roman" w:hAnsi="Times New Roman" w:cs="Times New Roman"/>
          <w:color w:val="191919"/>
          <w:sz w:val="24"/>
          <w:szCs w:val="24"/>
          <w:bdr w:val="none" w:sz="0" w:space="0" w:color="auto" w:frame="1"/>
        </w:rPr>
        <w:t>The evolution of salinity tolerance in Daphnia: a functional genomics approach</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sz w:val="24"/>
          <w:szCs w:val="24"/>
        </w:rPr>
        <w:t>Ecol. Lett</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vol"/>
          <w:rFonts w:ascii="Times New Roman" w:hAnsi="Times New Roman" w:cs="Times New Roman"/>
          <w:b/>
          <w:bCs/>
          <w:color w:val="191919"/>
          <w:sz w:val="24"/>
          <w:szCs w:val="24"/>
          <w:bdr w:val="none" w:sz="0" w:space="0" w:color="auto" w:frame="1"/>
        </w:rPr>
        <w:t>15</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fpage"/>
          <w:rFonts w:ascii="Times New Roman" w:hAnsi="Times New Roman" w:cs="Times New Roman"/>
          <w:color w:val="191919"/>
          <w:sz w:val="24"/>
          <w:szCs w:val="24"/>
          <w:bdr w:val="none" w:sz="0" w:space="0" w:color="auto" w:frame="1"/>
        </w:rPr>
        <w:t>794</w:t>
      </w:r>
      <w:r w:rsidRPr="006B373F">
        <w:rPr>
          <w:rFonts w:ascii="Times New Roman" w:hAnsi="Times New Roman" w:cs="Times New Roman"/>
          <w:color w:val="191919"/>
          <w:sz w:val="24"/>
          <w:szCs w:val="24"/>
          <w:shd w:val="clear" w:color="auto" w:fill="FFFFFF"/>
        </w:rPr>
        <w:t>–</w:t>
      </w:r>
      <w:r w:rsidRPr="006B373F">
        <w:rPr>
          <w:rStyle w:val="cit-lpage"/>
          <w:rFonts w:ascii="Times New Roman" w:hAnsi="Times New Roman" w:cs="Times New Roman"/>
          <w:color w:val="191919"/>
          <w:sz w:val="24"/>
          <w:szCs w:val="24"/>
          <w:bdr w:val="none" w:sz="0" w:space="0" w:color="auto" w:frame="1"/>
        </w:rPr>
        <w:t>802</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color w:val="191919"/>
          <w:sz w:val="24"/>
          <w:szCs w:val="24"/>
          <w:shd w:val="clear" w:color="auto" w:fill="FFFFFF"/>
        </w:rPr>
        <w:t>(</w:t>
      </w:r>
      <w:r w:rsidRPr="006B373F">
        <w:rPr>
          <w:rStyle w:val="cit-pub-date"/>
          <w:rFonts w:ascii="Times New Roman" w:hAnsi="Times New Roman" w:cs="Times New Roman"/>
          <w:color w:val="191919"/>
          <w:sz w:val="24"/>
          <w:szCs w:val="24"/>
          <w:bdr w:val="none" w:sz="0" w:space="0" w:color="auto" w:frame="1"/>
        </w:rPr>
        <w:t>2012</w:t>
      </w:r>
      <w:r w:rsidRPr="006B373F">
        <w:rPr>
          <w:rFonts w:ascii="Times New Roman" w:hAnsi="Times New Roman" w:cs="Times New Roman"/>
          <w:color w:val="191919"/>
          <w:sz w:val="24"/>
          <w:szCs w:val="24"/>
          <w:shd w:val="clear" w:color="auto" w:fill="FFFFFF"/>
        </w:rPr>
        <w:t>).</w:t>
      </w:r>
    </w:p>
    <w:p w14:paraId="17627259" w14:textId="77777777" w:rsidR="006B373F" w:rsidRPr="006B373F" w:rsidRDefault="006B373F" w:rsidP="006B373F">
      <w:pPr>
        <w:numPr>
          <w:ilvl w:val="0"/>
          <w:numId w:val="5"/>
        </w:numPr>
        <w:spacing w:after="0" w:line="240" w:lineRule="auto"/>
        <w:textAlignment w:val="baseline"/>
        <w:rPr>
          <w:rFonts w:ascii="Times New Roman" w:eastAsia="Times New Roman" w:hAnsi="Times New Roman" w:cs="Times New Roman"/>
          <w:color w:val="191919"/>
          <w:sz w:val="24"/>
          <w:szCs w:val="24"/>
        </w:rPr>
      </w:pPr>
      <w:r w:rsidRPr="006B373F">
        <w:rPr>
          <w:rFonts w:ascii="Times New Roman" w:eastAsia="Times New Roman" w:hAnsi="Times New Roman" w:cs="Times New Roman"/>
          <w:color w:val="191919"/>
          <w:sz w:val="24"/>
          <w:szCs w:val="24"/>
          <w:bdr w:val="none" w:sz="0" w:space="0" w:color="auto" w:frame="1"/>
        </w:rPr>
        <w:t>E. S. Chang</w:t>
      </w:r>
      <w:r w:rsidRPr="006B373F">
        <w:rPr>
          <w:rFonts w:ascii="Times New Roman" w:eastAsia="Times New Roman" w:hAnsi="Times New Roman" w:cs="Times New Roman"/>
          <w:color w:val="191919"/>
          <w:sz w:val="24"/>
          <w:szCs w:val="24"/>
        </w:rPr>
        <w:t>, </w:t>
      </w:r>
      <w:r w:rsidRPr="006B373F">
        <w:rPr>
          <w:rFonts w:ascii="Times New Roman" w:eastAsia="Times New Roman" w:hAnsi="Times New Roman" w:cs="Times New Roman"/>
          <w:color w:val="191919"/>
          <w:sz w:val="24"/>
          <w:szCs w:val="24"/>
          <w:bdr w:val="none" w:sz="0" w:space="0" w:color="auto" w:frame="1"/>
        </w:rPr>
        <w:t>M. Thiel</w:t>
      </w:r>
      <w:r w:rsidRPr="006B373F">
        <w:rPr>
          <w:rFonts w:ascii="Times New Roman" w:eastAsia="Times New Roman" w:hAnsi="Times New Roman" w:cs="Times New Roman"/>
          <w:color w:val="191919"/>
          <w:sz w:val="24"/>
          <w:szCs w:val="24"/>
        </w:rPr>
        <w:t xml:space="preserve">, </w:t>
      </w:r>
      <w:r w:rsidRPr="006B373F">
        <w:rPr>
          <w:rFonts w:ascii="Times New Roman" w:eastAsia="Times New Roman" w:hAnsi="Times New Roman" w:cs="Times New Roman"/>
          <w:color w:val="191919"/>
          <w:sz w:val="24"/>
          <w:szCs w:val="24"/>
          <w:bdr w:val="none" w:sz="0" w:space="0" w:color="auto" w:frame="1"/>
        </w:rPr>
        <w:t>J. Hervé Lignot, G. Charmantier, “Chapter 8: Osmoregulation and Excretion” </w:t>
      </w:r>
      <w:r w:rsidRPr="006B373F">
        <w:rPr>
          <w:rFonts w:ascii="Times New Roman" w:eastAsia="Times New Roman" w:hAnsi="Times New Roman" w:cs="Times New Roman"/>
          <w:i/>
          <w:iCs/>
          <w:color w:val="191919"/>
          <w:sz w:val="24"/>
          <w:szCs w:val="24"/>
          <w:bdr w:val="none" w:sz="0" w:space="0" w:color="auto" w:frame="1"/>
        </w:rPr>
        <w:t>in Natural History of Crustacea Volume IV: Physiology</w:t>
      </w:r>
      <w:r w:rsidRPr="006B373F">
        <w:rPr>
          <w:rFonts w:ascii="Times New Roman" w:eastAsia="Times New Roman" w:hAnsi="Times New Roman" w:cs="Times New Roman"/>
          <w:color w:val="191919"/>
          <w:sz w:val="24"/>
          <w:szCs w:val="24"/>
          <w:bdr w:val="none" w:sz="0" w:space="0" w:color="auto" w:frame="1"/>
        </w:rPr>
        <w:t>, E. S. Chang, M. Thiel, Eds. (Oxford University Press, 2015).</w:t>
      </w:r>
    </w:p>
    <w:p w14:paraId="36C97C33" w14:textId="77777777" w:rsidR="006B373F" w:rsidRPr="006B373F" w:rsidRDefault="006B373F" w:rsidP="006B373F">
      <w:pPr>
        <w:numPr>
          <w:ilvl w:val="0"/>
          <w:numId w:val="5"/>
        </w:numPr>
        <w:spacing w:after="0" w:line="240" w:lineRule="auto"/>
        <w:textAlignment w:val="baseline"/>
        <w:rPr>
          <w:rFonts w:ascii="Times New Roman" w:eastAsia="Times New Roman" w:hAnsi="Times New Roman" w:cs="Times New Roman"/>
          <w:color w:val="191919"/>
          <w:sz w:val="24"/>
          <w:szCs w:val="24"/>
        </w:rPr>
      </w:pPr>
      <w:r w:rsidRPr="006B373F">
        <w:rPr>
          <w:rStyle w:val="cit-name-given-names"/>
          <w:rFonts w:ascii="Times New Roman" w:hAnsi="Times New Roman" w:cs="Times New Roman"/>
          <w:color w:val="191919"/>
          <w:sz w:val="24"/>
          <w:szCs w:val="24"/>
          <w:bdr w:val="none" w:sz="0" w:space="0" w:color="auto" w:frame="1"/>
        </w:rPr>
        <w:t>M. B.</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Griffith</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article-title"/>
          <w:rFonts w:ascii="Times New Roman" w:hAnsi="Times New Roman" w:cs="Times New Roman"/>
          <w:color w:val="191919"/>
          <w:sz w:val="24"/>
          <w:szCs w:val="24"/>
          <w:bdr w:val="none" w:sz="0" w:space="0" w:color="auto" w:frame="1"/>
        </w:rPr>
        <w:t>Toxicological perspective on the osmoregulation and ionoregulation physiology of major ions by freshwater animals: Teleost fish, crustacea, aquatic insects, and Mollusca</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sz w:val="24"/>
          <w:szCs w:val="24"/>
        </w:rPr>
        <w:t>Environ. Toxicol. Chem</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vol"/>
          <w:rFonts w:ascii="Times New Roman" w:hAnsi="Times New Roman" w:cs="Times New Roman"/>
          <w:b/>
          <w:bCs/>
          <w:color w:val="191919"/>
          <w:sz w:val="24"/>
          <w:szCs w:val="24"/>
          <w:bdr w:val="none" w:sz="0" w:space="0" w:color="auto" w:frame="1"/>
        </w:rPr>
        <w:t>36</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fpage"/>
          <w:rFonts w:ascii="Times New Roman" w:hAnsi="Times New Roman" w:cs="Times New Roman"/>
          <w:color w:val="191919"/>
          <w:sz w:val="24"/>
          <w:szCs w:val="24"/>
          <w:bdr w:val="none" w:sz="0" w:space="0" w:color="auto" w:frame="1"/>
        </w:rPr>
        <w:t>576</w:t>
      </w:r>
      <w:r w:rsidRPr="006B373F">
        <w:rPr>
          <w:rFonts w:ascii="Times New Roman" w:hAnsi="Times New Roman" w:cs="Times New Roman"/>
          <w:color w:val="191919"/>
          <w:sz w:val="24"/>
          <w:szCs w:val="24"/>
          <w:shd w:val="clear" w:color="auto" w:fill="FFFFFF"/>
        </w:rPr>
        <w:t>–</w:t>
      </w:r>
      <w:r w:rsidRPr="006B373F">
        <w:rPr>
          <w:rStyle w:val="cit-lpage"/>
          <w:rFonts w:ascii="Times New Roman" w:hAnsi="Times New Roman" w:cs="Times New Roman"/>
          <w:color w:val="191919"/>
          <w:sz w:val="24"/>
          <w:szCs w:val="24"/>
          <w:bdr w:val="none" w:sz="0" w:space="0" w:color="auto" w:frame="1"/>
        </w:rPr>
        <w:t>600</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color w:val="191919"/>
          <w:sz w:val="24"/>
          <w:szCs w:val="24"/>
          <w:shd w:val="clear" w:color="auto" w:fill="FFFFFF"/>
        </w:rPr>
        <w:t>(</w:t>
      </w:r>
      <w:r w:rsidRPr="006B373F">
        <w:rPr>
          <w:rStyle w:val="cit-pub-date"/>
          <w:rFonts w:ascii="Times New Roman" w:hAnsi="Times New Roman" w:cs="Times New Roman"/>
          <w:color w:val="191919"/>
          <w:sz w:val="24"/>
          <w:szCs w:val="24"/>
          <w:bdr w:val="none" w:sz="0" w:space="0" w:color="auto" w:frame="1"/>
        </w:rPr>
        <w:t>2017</w:t>
      </w:r>
      <w:r w:rsidRPr="006B373F">
        <w:rPr>
          <w:rFonts w:ascii="Times New Roman" w:hAnsi="Times New Roman" w:cs="Times New Roman"/>
          <w:color w:val="191919"/>
          <w:sz w:val="24"/>
          <w:szCs w:val="24"/>
          <w:shd w:val="clear" w:color="auto" w:fill="FFFFFF"/>
        </w:rPr>
        <w:t>).</w:t>
      </w:r>
    </w:p>
    <w:p w14:paraId="6AAE8F62" w14:textId="77777777" w:rsidR="006B373F" w:rsidRPr="006B373F" w:rsidRDefault="006B373F" w:rsidP="006B373F">
      <w:pPr>
        <w:numPr>
          <w:ilvl w:val="0"/>
          <w:numId w:val="5"/>
        </w:numPr>
        <w:spacing w:after="0" w:line="240" w:lineRule="auto"/>
        <w:textAlignment w:val="baseline"/>
        <w:rPr>
          <w:rFonts w:ascii="Times New Roman" w:eastAsia="Times New Roman" w:hAnsi="Times New Roman" w:cs="Times New Roman"/>
          <w:color w:val="191919"/>
          <w:sz w:val="24"/>
          <w:szCs w:val="24"/>
        </w:rPr>
      </w:pPr>
      <w:r w:rsidRPr="006B373F">
        <w:rPr>
          <w:rStyle w:val="cit-name-given-names"/>
          <w:rFonts w:ascii="Times New Roman" w:hAnsi="Times New Roman" w:cs="Times New Roman"/>
          <w:color w:val="191919"/>
          <w:sz w:val="24"/>
          <w:szCs w:val="24"/>
          <w:bdr w:val="none" w:sz="0" w:space="0" w:color="auto" w:frame="1"/>
        </w:rPr>
        <w:t>N. A.</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Levis</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D. W.</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Pfennig</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article-title"/>
          <w:rFonts w:ascii="Times New Roman" w:hAnsi="Times New Roman" w:cs="Times New Roman"/>
          <w:color w:val="191919"/>
          <w:sz w:val="24"/>
          <w:szCs w:val="24"/>
          <w:bdr w:val="none" w:sz="0" w:space="0" w:color="auto" w:frame="1"/>
        </w:rPr>
        <w:t>Evaluating “Plasticity-First” Evolution in Nature: Key Criteria and Empirical Approaches</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sz w:val="24"/>
          <w:szCs w:val="24"/>
        </w:rPr>
        <w:t>Trends Ecol. Evol</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vol"/>
          <w:rFonts w:ascii="Times New Roman" w:hAnsi="Times New Roman" w:cs="Times New Roman"/>
          <w:b/>
          <w:bCs/>
          <w:color w:val="191919"/>
          <w:sz w:val="24"/>
          <w:szCs w:val="24"/>
          <w:bdr w:val="none" w:sz="0" w:space="0" w:color="auto" w:frame="1"/>
        </w:rPr>
        <w:t>31</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fpage"/>
          <w:rFonts w:ascii="Times New Roman" w:hAnsi="Times New Roman" w:cs="Times New Roman"/>
          <w:color w:val="191919"/>
          <w:sz w:val="24"/>
          <w:szCs w:val="24"/>
          <w:bdr w:val="none" w:sz="0" w:space="0" w:color="auto" w:frame="1"/>
        </w:rPr>
        <w:t>563</w:t>
      </w:r>
      <w:r w:rsidRPr="006B373F">
        <w:rPr>
          <w:rFonts w:ascii="Times New Roman" w:hAnsi="Times New Roman" w:cs="Times New Roman"/>
          <w:color w:val="191919"/>
          <w:sz w:val="24"/>
          <w:szCs w:val="24"/>
          <w:shd w:val="clear" w:color="auto" w:fill="FFFFFF"/>
        </w:rPr>
        <w:t>–</w:t>
      </w:r>
      <w:r w:rsidRPr="006B373F">
        <w:rPr>
          <w:rStyle w:val="cit-lpage"/>
          <w:rFonts w:ascii="Times New Roman" w:hAnsi="Times New Roman" w:cs="Times New Roman"/>
          <w:color w:val="191919"/>
          <w:sz w:val="24"/>
          <w:szCs w:val="24"/>
          <w:bdr w:val="none" w:sz="0" w:space="0" w:color="auto" w:frame="1"/>
        </w:rPr>
        <w:t>574</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color w:val="191919"/>
          <w:sz w:val="24"/>
          <w:szCs w:val="24"/>
          <w:shd w:val="clear" w:color="auto" w:fill="FFFFFF"/>
        </w:rPr>
        <w:t>(</w:t>
      </w:r>
      <w:r w:rsidRPr="006B373F">
        <w:rPr>
          <w:rStyle w:val="cit-pub-date"/>
          <w:rFonts w:ascii="Times New Roman" w:hAnsi="Times New Roman" w:cs="Times New Roman"/>
          <w:color w:val="191919"/>
          <w:sz w:val="24"/>
          <w:szCs w:val="24"/>
          <w:bdr w:val="none" w:sz="0" w:space="0" w:color="auto" w:frame="1"/>
        </w:rPr>
        <w:t>2016</w:t>
      </w:r>
      <w:r w:rsidRPr="006B373F">
        <w:rPr>
          <w:rFonts w:ascii="Times New Roman" w:hAnsi="Times New Roman" w:cs="Times New Roman"/>
          <w:color w:val="191919"/>
          <w:sz w:val="24"/>
          <w:szCs w:val="24"/>
          <w:shd w:val="clear" w:color="auto" w:fill="FFFFFF"/>
        </w:rPr>
        <w:t>).</w:t>
      </w:r>
    </w:p>
    <w:p w14:paraId="45BFA128" w14:textId="77777777" w:rsidR="006B373F" w:rsidRPr="006B373F" w:rsidRDefault="006B373F" w:rsidP="006B373F">
      <w:pPr>
        <w:numPr>
          <w:ilvl w:val="0"/>
          <w:numId w:val="5"/>
        </w:numPr>
        <w:spacing w:after="0" w:line="240" w:lineRule="auto"/>
        <w:textAlignment w:val="baseline"/>
        <w:rPr>
          <w:rFonts w:ascii="Times New Roman" w:eastAsia="Times New Roman" w:hAnsi="Times New Roman" w:cs="Times New Roman"/>
          <w:color w:val="191919"/>
          <w:sz w:val="24"/>
          <w:szCs w:val="24"/>
        </w:rPr>
      </w:pPr>
      <w:r w:rsidRPr="006B373F">
        <w:rPr>
          <w:rStyle w:val="cit-name-given-names"/>
          <w:rFonts w:ascii="Times New Roman" w:hAnsi="Times New Roman" w:cs="Times New Roman"/>
          <w:color w:val="191919"/>
          <w:sz w:val="24"/>
          <w:szCs w:val="24"/>
          <w:bdr w:val="none" w:sz="0" w:space="0" w:color="auto" w:frame="1"/>
        </w:rPr>
        <w:t>M. J.</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West-Eberhard</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article-title"/>
          <w:rFonts w:ascii="Times New Roman" w:hAnsi="Times New Roman" w:cs="Times New Roman"/>
          <w:color w:val="191919"/>
          <w:sz w:val="24"/>
          <w:szCs w:val="24"/>
          <w:bdr w:val="none" w:sz="0" w:space="0" w:color="auto" w:frame="1"/>
        </w:rPr>
        <w:t>Developmental plasticity and the origin of species differences</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sz w:val="24"/>
          <w:szCs w:val="24"/>
        </w:rPr>
        <w:t>Proc. Natl. Acad. Sci</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vol"/>
          <w:rFonts w:ascii="Times New Roman" w:hAnsi="Times New Roman" w:cs="Times New Roman"/>
          <w:b/>
          <w:bCs/>
          <w:color w:val="191919"/>
          <w:sz w:val="24"/>
          <w:szCs w:val="24"/>
          <w:bdr w:val="none" w:sz="0" w:space="0" w:color="auto" w:frame="1"/>
        </w:rPr>
        <w:t>102</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fpage"/>
          <w:rFonts w:ascii="Times New Roman" w:hAnsi="Times New Roman" w:cs="Times New Roman"/>
          <w:color w:val="191919"/>
          <w:sz w:val="24"/>
          <w:szCs w:val="24"/>
          <w:bdr w:val="none" w:sz="0" w:space="0" w:color="auto" w:frame="1"/>
        </w:rPr>
        <w:t>6543</w:t>
      </w:r>
      <w:r w:rsidRPr="006B373F">
        <w:rPr>
          <w:rFonts w:ascii="Times New Roman" w:hAnsi="Times New Roman" w:cs="Times New Roman"/>
          <w:color w:val="191919"/>
          <w:sz w:val="24"/>
          <w:szCs w:val="24"/>
          <w:shd w:val="clear" w:color="auto" w:fill="FFFFFF"/>
        </w:rPr>
        <w:t>–</w:t>
      </w:r>
      <w:r w:rsidRPr="006B373F">
        <w:rPr>
          <w:rStyle w:val="cit-lpage"/>
          <w:rFonts w:ascii="Times New Roman" w:hAnsi="Times New Roman" w:cs="Times New Roman"/>
          <w:color w:val="191919"/>
          <w:sz w:val="24"/>
          <w:szCs w:val="24"/>
          <w:bdr w:val="none" w:sz="0" w:space="0" w:color="auto" w:frame="1"/>
        </w:rPr>
        <w:t>6549</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color w:val="191919"/>
          <w:sz w:val="24"/>
          <w:szCs w:val="24"/>
          <w:shd w:val="clear" w:color="auto" w:fill="FFFFFF"/>
        </w:rPr>
        <w:t>(</w:t>
      </w:r>
      <w:r w:rsidRPr="006B373F">
        <w:rPr>
          <w:rStyle w:val="cit-pub-date"/>
          <w:rFonts w:ascii="Times New Roman" w:hAnsi="Times New Roman" w:cs="Times New Roman"/>
          <w:color w:val="191919"/>
          <w:sz w:val="24"/>
          <w:szCs w:val="24"/>
          <w:bdr w:val="none" w:sz="0" w:space="0" w:color="auto" w:frame="1"/>
        </w:rPr>
        <w:t>2005</w:t>
      </w:r>
      <w:r w:rsidRPr="006B373F">
        <w:rPr>
          <w:rFonts w:ascii="Times New Roman" w:hAnsi="Times New Roman" w:cs="Times New Roman"/>
          <w:color w:val="191919"/>
          <w:sz w:val="24"/>
          <w:szCs w:val="24"/>
          <w:shd w:val="clear" w:color="auto" w:fill="FFFFFF"/>
        </w:rPr>
        <w:t>).</w:t>
      </w:r>
    </w:p>
    <w:p w14:paraId="63964D5A" w14:textId="77777777" w:rsidR="006B373F" w:rsidRPr="006B373F" w:rsidRDefault="006B373F" w:rsidP="006B373F">
      <w:pPr>
        <w:numPr>
          <w:ilvl w:val="0"/>
          <w:numId w:val="5"/>
        </w:numPr>
        <w:spacing w:after="0" w:line="240" w:lineRule="auto"/>
        <w:textAlignment w:val="baseline"/>
        <w:rPr>
          <w:rFonts w:ascii="Times New Roman" w:eastAsia="Times New Roman" w:hAnsi="Times New Roman" w:cs="Times New Roman"/>
          <w:color w:val="191919"/>
          <w:sz w:val="24"/>
          <w:szCs w:val="24"/>
        </w:rPr>
      </w:pPr>
      <w:r w:rsidRPr="006B373F">
        <w:rPr>
          <w:rStyle w:val="cit-name-given-names"/>
          <w:rFonts w:ascii="Times New Roman" w:hAnsi="Times New Roman" w:cs="Times New Roman"/>
          <w:color w:val="191919"/>
          <w:sz w:val="24"/>
          <w:szCs w:val="24"/>
          <w:bdr w:val="none" w:sz="0" w:space="0" w:color="auto" w:frame="1"/>
        </w:rPr>
        <w:t>K. I.</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Brans</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L.</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De Meester</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article-title"/>
          <w:rFonts w:ascii="Times New Roman" w:hAnsi="Times New Roman" w:cs="Times New Roman"/>
          <w:color w:val="191919"/>
          <w:sz w:val="24"/>
          <w:szCs w:val="24"/>
          <w:bdr w:val="none" w:sz="0" w:space="0" w:color="auto" w:frame="1"/>
        </w:rPr>
        <w:t>City life on fast lanes: Urbanization induces an evolutionary shift towards a faster lifestyle in the water flea Daphnia</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sz w:val="24"/>
          <w:szCs w:val="24"/>
        </w:rPr>
        <w:t>Funct. Ecol</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vol"/>
          <w:rFonts w:ascii="Times New Roman" w:hAnsi="Times New Roman" w:cs="Times New Roman"/>
          <w:b/>
          <w:bCs/>
          <w:color w:val="191919"/>
          <w:sz w:val="24"/>
          <w:szCs w:val="24"/>
          <w:bdr w:val="none" w:sz="0" w:space="0" w:color="auto" w:frame="1"/>
        </w:rPr>
        <w:t>32</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fpage"/>
          <w:rFonts w:ascii="Times New Roman" w:hAnsi="Times New Roman" w:cs="Times New Roman"/>
          <w:color w:val="191919"/>
          <w:sz w:val="24"/>
          <w:szCs w:val="24"/>
          <w:bdr w:val="none" w:sz="0" w:space="0" w:color="auto" w:frame="1"/>
        </w:rPr>
        <w:t>2225</w:t>
      </w:r>
      <w:r w:rsidRPr="006B373F">
        <w:rPr>
          <w:rFonts w:ascii="Times New Roman" w:hAnsi="Times New Roman" w:cs="Times New Roman"/>
          <w:color w:val="191919"/>
          <w:sz w:val="24"/>
          <w:szCs w:val="24"/>
          <w:shd w:val="clear" w:color="auto" w:fill="FFFFFF"/>
        </w:rPr>
        <w:t>–</w:t>
      </w:r>
      <w:r w:rsidRPr="006B373F">
        <w:rPr>
          <w:rStyle w:val="cit-lpage"/>
          <w:rFonts w:ascii="Times New Roman" w:hAnsi="Times New Roman" w:cs="Times New Roman"/>
          <w:color w:val="191919"/>
          <w:sz w:val="24"/>
          <w:szCs w:val="24"/>
          <w:bdr w:val="none" w:sz="0" w:space="0" w:color="auto" w:frame="1"/>
        </w:rPr>
        <w:t>2240</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color w:val="191919"/>
          <w:sz w:val="24"/>
          <w:szCs w:val="24"/>
          <w:shd w:val="clear" w:color="auto" w:fill="FFFFFF"/>
        </w:rPr>
        <w:t>(</w:t>
      </w:r>
      <w:r w:rsidRPr="006B373F">
        <w:rPr>
          <w:rStyle w:val="cit-pub-date"/>
          <w:rFonts w:ascii="Times New Roman" w:hAnsi="Times New Roman" w:cs="Times New Roman"/>
          <w:color w:val="191919"/>
          <w:sz w:val="24"/>
          <w:szCs w:val="24"/>
          <w:bdr w:val="none" w:sz="0" w:space="0" w:color="auto" w:frame="1"/>
        </w:rPr>
        <w:t>2018</w:t>
      </w:r>
      <w:r w:rsidRPr="006B373F">
        <w:rPr>
          <w:rFonts w:ascii="Times New Roman" w:hAnsi="Times New Roman" w:cs="Times New Roman"/>
          <w:color w:val="191919"/>
          <w:sz w:val="24"/>
          <w:szCs w:val="24"/>
          <w:shd w:val="clear" w:color="auto" w:fill="FFFFFF"/>
        </w:rPr>
        <w:t>).</w:t>
      </w:r>
    </w:p>
    <w:p w14:paraId="18225D06" w14:textId="77777777" w:rsidR="006B373F" w:rsidRPr="006B373F" w:rsidRDefault="006B373F" w:rsidP="006B373F">
      <w:pPr>
        <w:numPr>
          <w:ilvl w:val="0"/>
          <w:numId w:val="5"/>
        </w:numPr>
        <w:spacing w:after="0" w:line="240" w:lineRule="auto"/>
        <w:textAlignment w:val="baseline"/>
        <w:rPr>
          <w:rFonts w:ascii="Times New Roman" w:eastAsia="Times New Roman" w:hAnsi="Times New Roman" w:cs="Times New Roman"/>
          <w:color w:val="191919"/>
          <w:sz w:val="24"/>
          <w:szCs w:val="24"/>
        </w:rPr>
      </w:pPr>
      <w:r w:rsidRPr="006B373F">
        <w:rPr>
          <w:rStyle w:val="cit-name-given-names"/>
          <w:rFonts w:ascii="Times New Roman" w:hAnsi="Times New Roman" w:cs="Times New Roman"/>
          <w:color w:val="191919"/>
          <w:sz w:val="24"/>
          <w:szCs w:val="24"/>
          <w:bdr w:val="none" w:sz="0" w:space="0" w:color="auto" w:frame="1"/>
        </w:rPr>
        <w:t>N. G.</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Hairston</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etal"/>
          <w:rFonts w:ascii="Times New Roman" w:hAnsi="Times New Roman" w:cs="Times New Roman"/>
          <w:color w:val="191919"/>
          <w:sz w:val="24"/>
          <w:szCs w:val="24"/>
          <w:bdr w:val="none" w:sz="0" w:space="0" w:color="auto" w:frame="1"/>
        </w:rPr>
        <w:t>et al.</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article-title"/>
          <w:rFonts w:ascii="Times New Roman" w:hAnsi="Times New Roman" w:cs="Times New Roman"/>
          <w:color w:val="191919"/>
          <w:sz w:val="24"/>
          <w:szCs w:val="24"/>
          <w:bdr w:val="none" w:sz="0" w:space="0" w:color="auto" w:frame="1"/>
        </w:rPr>
        <w:t>Natural selection for grazer resistance to toxic cyanobacteria: Evolution of phenotypic plasticity?</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sz w:val="24"/>
          <w:szCs w:val="24"/>
        </w:rPr>
        <w:t>Evolution (N. Y)</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vol"/>
          <w:rFonts w:ascii="Times New Roman" w:hAnsi="Times New Roman" w:cs="Times New Roman"/>
          <w:b/>
          <w:bCs/>
          <w:color w:val="191919"/>
          <w:sz w:val="24"/>
          <w:szCs w:val="24"/>
          <w:bdr w:val="none" w:sz="0" w:space="0" w:color="auto" w:frame="1"/>
        </w:rPr>
        <w:t>55</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fpage"/>
          <w:rFonts w:ascii="Times New Roman" w:hAnsi="Times New Roman" w:cs="Times New Roman"/>
          <w:color w:val="191919"/>
          <w:sz w:val="24"/>
          <w:szCs w:val="24"/>
          <w:bdr w:val="none" w:sz="0" w:space="0" w:color="auto" w:frame="1"/>
        </w:rPr>
        <w:t>2203</w:t>
      </w:r>
      <w:r w:rsidRPr="006B373F">
        <w:rPr>
          <w:rFonts w:ascii="Times New Roman" w:hAnsi="Times New Roman" w:cs="Times New Roman"/>
          <w:color w:val="191919"/>
          <w:sz w:val="24"/>
          <w:szCs w:val="24"/>
          <w:shd w:val="clear" w:color="auto" w:fill="FFFFFF"/>
        </w:rPr>
        <w:t>–</w:t>
      </w:r>
      <w:r w:rsidRPr="006B373F">
        <w:rPr>
          <w:rStyle w:val="cit-lpage"/>
          <w:rFonts w:ascii="Times New Roman" w:hAnsi="Times New Roman" w:cs="Times New Roman"/>
          <w:color w:val="191919"/>
          <w:sz w:val="24"/>
          <w:szCs w:val="24"/>
          <w:bdr w:val="none" w:sz="0" w:space="0" w:color="auto" w:frame="1"/>
        </w:rPr>
        <w:t>2214</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color w:val="191919"/>
          <w:sz w:val="24"/>
          <w:szCs w:val="24"/>
          <w:shd w:val="clear" w:color="auto" w:fill="FFFFFF"/>
        </w:rPr>
        <w:t>(</w:t>
      </w:r>
      <w:r w:rsidRPr="006B373F">
        <w:rPr>
          <w:rStyle w:val="cit-pub-date"/>
          <w:rFonts w:ascii="Times New Roman" w:hAnsi="Times New Roman" w:cs="Times New Roman"/>
          <w:color w:val="191919"/>
          <w:sz w:val="24"/>
          <w:szCs w:val="24"/>
          <w:bdr w:val="none" w:sz="0" w:space="0" w:color="auto" w:frame="1"/>
        </w:rPr>
        <w:t>2001</w:t>
      </w:r>
      <w:r w:rsidRPr="006B373F">
        <w:rPr>
          <w:rFonts w:ascii="Times New Roman" w:hAnsi="Times New Roman" w:cs="Times New Roman"/>
          <w:color w:val="191919"/>
          <w:sz w:val="24"/>
          <w:szCs w:val="24"/>
          <w:shd w:val="clear" w:color="auto" w:fill="FFFFFF"/>
        </w:rPr>
        <w:t>).</w:t>
      </w:r>
    </w:p>
    <w:p w14:paraId="79577529" w14:textId="77777777" w:rsidR="006B373F" w:rsidRPr="006B373F" w:rsidRDefault="006B373F" w:rsidP="006B373F">
      <w:pPr>
        <w:numPr>
          <w:ilvl w:val="0"/>
          <w:numId w:val="5"/>
        </w:numPr>
        <w:spacing w:after="0" w:line="240" w:lineRule="auto"/>
        <w:textAlignment w:val="baseline"/>
        <w:rPr>
          <w:rFonts w:ascii="Times New Roman" w:eastAsia="Times New Roman" w:hAnsi="Times New Roman" w:cs="Times New Roman"/>
          <w:color w:val="191919"/>
          <w:sz w:val="24"/>
          <w:szCs w:val="24"/>
        </w:rPr>
      </w:pPr>
      <w:r w:rsidRPr="006B373F">
        <w:rPr>
          <w:rStyle w:val="cit-name-given-names"/>
          <w:rFonts w:ascii="Times New Roman" w:hAnsi="Times New Roman" w:cs="Times New Roman"/>
          <w:color w:val="191919"/>
          <w:sz w:val="24"/>
          <w:szCs w:val="24"/>
          <w:bdr w:val="none" w:sz="0" w:space="0" w:color="auto" w:frame="1"/>
        </w:rPr>
        <w:t>A.</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Scoville</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name-given-names"/>
          <w:rFonts w:ascii="Times New Roman" w:hAnsi="Times New Roman" w:cs="Times New Roman"/>
          <w:color w:val="191919"/>
          <w:sz w:val="24"/>
          <w:szCs w:val="24"/>
          <w:bdr w:val="none" w:sz="0" w:space="0" w:color="auto" w:frame="1"/>
        </w:rPr>
        <w:t>M.</w:t>
      </w:r>
      <w:r w:rsidRPr="006B373F">
        <w:rPr>
          <w:rStyle w:val="apple-converted-space"/>
          <w:rFonts w:ascii="Times New Roman" w:hAnsi="Times New Roman" w:cs="Times New Roman"/>
          <w:color w:val="191919"/>
          <w:sz w:val="24"/>
          <w:szCs w:val="24"/>
          <w:bdr w:val="none" w:sz="0" w:space="0" w:color="auto" w:frame="1"/>
        </w:rPr>
        <w:t> </w:t>
      </w:r>
      <w:r w:rsidRPr="006B373F">
        <w:rPr>
          <w:rStyle w:val="cit-name-surname"/>
          <w:rFonts w:ascii="Times New Roman" w:hAnsi="Times New Roman" w:cs="Times New Roman"/>
          <w:color w:val="191919"/>
          <w:sz w:val="24"/>
          <w:szCs w:val="24"/>
          <w:bdr w:val="none" w:sz="0" w:space="0" w:color="auto" w:frame="1"/>
        </w:rPr>
        <w:t>Pfrender</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article-title"/>
          <w:rFonts w:ascii="Times New Roman" w:hAnsi="Times New Roman" w:cs="Times New Roman"/>
          <w:color w:val="191919"/>
          <w:sz w:val="24"/>
          <w:szCs w:val="24"/>
          <w:bdr w:val="none" w:sz="0" w:space="0" w:color="auto" w:frame="1"/>
        </w:rPr>
        <w:t>Phenotypic plasticity facilitates recurrent rapid adaptation to introduced predators</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sz w:val="24"/>
          <w:szCs w:val="24"/>
        </w:rPr>
        <w:t>Proc. Natl. Acad. Sci</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vol"/>
          <w:rFonts w:ascii="Times New Roman" w:hAnsi="Times New Roman" w:cs="Times New Roman"/>
          <w:b/>
          <w:bCs/>
          <w:color w:val="191919"/>
          <w:sz w:val="24"/>
          <w:szCs w:val="24"/>
          <w:bdr w:val="none" w:sz="0" w:space="0" w:color="auto" w:frame="1"/>
        </w:rPr>
        <w:t>107</w:t>
      </w:r>
      <w:r w:rsidRPr="006B373F">
        <w:rPr>
          <w:rFonts w:ascii="Times New Roman" w:hAnsi="Times New Roman" w:cs="Times New Roman"/>
          <w:color w:val="191919"/>
          <w:sz w:val="24"/>
          <w:szCs w:val="24"/>
          <w:shd w:val="clear" w:color="auto" w:fill="FFFFFF"/>
        </w:rPr>
        <w:t>,</w:t>
      </w:r>
      <w:r w:rsidRPr="006B373F">
        <w:rPr>
          <w:rStyle w:val="apple-converted-space"/>
          <w:rFonts w:ascii="Times New Roman" w:hAnsi="Times New Roman" w:cs="Times New Roman"/>
          <w:color w:val="191919"/>
          <w:sz w:val="24"/>
          <w:szCs w:val="24"/>
          <w:shd w:val="clear" w:color="auto" w:fill="FFFFFF"/>
        </w:rPr>
        <w:t> </w:t>
      </w:r>
      <w:r w:rsidRPr="006B373F">
        <w:rPr>
          <w:rStyle w:val="cit-fpage"/>
          <w:rFonts w:ascii="Times New Roman" w:hAnsi="Times New Roman" w:cs="Times New Roman"/>
          <w:color w:val="191919"/>
          <w:sz w:val="24"/>
          <w:szCs w:val="24"/>
          <w:bdr w:val="none" w:sz="0" w:space="0" w:color="auto" w:frame="1"/>
        </w:rPr>
        <w:t>4260</w:t>
      </w:r>
      <w:r w:rsidRPr="006B373F">
        <w:rPr>
          <w:rFonts w:ascii="Times New Roman" w:hAnsi="Times New Roman" w:cs="Times New Roman"/>
          <w:color w:val="191919"/>
          <w:sz w:val="24"/>
          <w:szCs w:val="24"/>
          <w:shd w:val="clear" w:color="auto" w:fill="FFFFFF"/>
        </w:rPr>
        <w:t>–</w:t>
      </w:r>
      <w:r w:rsidRPr="006B373F">
        <w:rPr>
          <w:rStyle w:val="cit-lpage"/>
          <w:rFonts w:ascii="Times New Roman" w:hAnsi="Times New Roman" w:cs="Times New Roman"/>
          <w:color w:val="191919"/>
          <w:sz w:val="24"/>
          <w:szCs w:val="24"/>
          <w:bdr w:val="none" w:sz="0" w:space="0" w:color="auto" w:frame="1"/>
        </w:rPr>
        <w:t>4263</w:t>
      </w:r>
      <w:r w:rsidRPr="006B373F">
        <w:rPr>
          <w:rStyle w:val="apple-converted-space"/>
          <w:rFonts w:ascii="Times New Roman" w:hAnsi="Times New Roman" w:cs="Times New Roman"/>
          <w:color w:val="191919"/>
          <w:sz w:val="24"/>
          <w:szCs w:val="24"/>
          <w:shd w:val="clear" w:color="auto" w:fill="FFFFFF"/>
        </w:rPr>
        <w:t> </w:t>
      </w:r>
      <w:r w:rsidRPr="006B373F">
        <w:rPr>
          <w:rFonts w:ascii="Times New Roman" w:hAnsi="Times New Roman" w:cs="Times New Roman"/>
          <w:color w:val="191919"/>
          <w:sz w:val="24"/>
          <w:szCs w:val="24"/>
          <w:shd w:val="clear" w:color="auto" w:fill="FFFFFF"/>
        </w:rPr>
        <w:t>(</w:t>
      </w:r>
      <w:r w:rsidRPr="006B373F">
        <w:rPr>
          <w:rStyle w:val="cit-pub-date"/>
          <w:rFonts w:ascii="Times New Roman" w:hAnsi="Times New Roman" w:cs="Times New Roman"/>
          <w:color w:val="191919"/>
          <w:sz w:val="24"/>
          <w:szCs w:val="24"/>
          <w:bdr w:val="none" w:sz="0" w:space="0" w:color="auto" w:frame="1"/>
        </w:rPr>
        <w:t>2010</w:t>
      </w:r>
      <w:r w:rsidRPr="006B373F">
        <w:rPr>
          <w:rFonts w:ascii="Times New Roman" w:hAnsi="Times New Roman" w:cs="Times New Roman"/>
          <w:color w:val="191919"/>
          <w:sz w:val="24"/>
          <w:szCs w:val="24"/>
          <w:shd w:val="clear" w:color="auto" w:fill="FFFFFF"/>
        </w:rPr>
        <w:t>).</w:t>
      </w:r>
    </w:p>
    <w:p w14:paraId="2B3698C3" w14:textId="77777777" w:rsidR="006B373F" w:rsidRPr="006B373F" w:rsidRDefault="006B373F" w:rsidP="006B373F">
      <w:pPr>
        <w:pStyle w:val="Bibliography"/>
        <w:numPr>
          <w:ilvl w:val="0"/>
          <w:numId w:val="5"/>
        </w:numPr>
        <w:tabs>
          <w:tab w:val="clear" w:pos="500"/>
        </w:tabs>
        <w:spacing w:after="0"/>
        <w:rPr>
          <w:rFonts w:ascii="Times New Roman" w:hAnsi="Times New Roman" w:cs="Times New Roman"/>
          <w:sz w:val="24"/>
          <w:szCs w:val="24"/>
        </w:rPr>
      </w:pPr>
      <w:r w:rsidRPr="006B373F">
        <w:rPr>
          <w:rFonts w:ascii="Times New Roman" w:hAnsi="Times New Roman" w:cs="Times New Roman"/>
          <w:sz w:val="24"/>
          <w:szCs w:val="24"/>
        </w:rPr>
        <w:t xml:space="preserve">E. V. Novotny, H. G. Stefan, Projections of Chloride Concentrations in Urban Lakes Receiving Road De-icing Salt. </w:t>
      </w:r>
      <w:r w:rsidRPr="006B373F">
        <w:rPr>
          <w:rFonts w:ascii="Times New Roman" w:hAnsi="Times New Roman" w:cs="Times New Roman"/>
          <w:i/>
          <w:iCs/>
          <w:sz w:val="24"/>
          <w:szCs w:val="24"/>
        </w:rPr>
        <w:t>Water, Air, &amp; Soil Pollution</w:t>
      </w:r>
      <w:r w:rsidRPr="006B373F">
        <w:rPr>
          <w:rFonts w:ascii="Times New Roman" w:hAnsi="Times New Roman" w:cs="Times New Roman"/>
          <w:sz w:val="24"/>
          <w:szCs w:val="24"/>
        </w:rPr>
        <w:t xml:space="preserve"> </w:t>
      </w:r>
      <w:r w:rsidRPr="006B373F">
        <w:rPr>
          <w:rFonts w:ascii="Times New Roman" w:hAnsi="Times New Roman" w:cs="Times New Roman"/>
          <w:b/>
          <w:bCs/>
          <w:sz w:val="24"/>
          <w:szCs w:val="24"/>
        </w:rPr>
        <w:t>211</w:t>
      </w:r>
      <w:r w:rsidRPr="006B373F">
        <w:rPr>
          <w:rFonts w:ascii="Times New Roman" w:hAnsi="Times New Roman" w:cs="Times New Roman"/>
          <w:sz w:val="24"/>
          <w:szCs w:val="24"/>
        </w:rPr>
        <w:t>, 261–271 (2010).</w:t>
      </w:r>
    </w:p>
    <w:p w14:paraId="688F35D9"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A. E. Weis, Detecting the “invisible fraction” bias in resurrection experiments. Evolutionary Applications 11, 88–95 (2018).</w:t>
      </w:r>
    </w:p>
    <w:p w14:paraId="5911AAD6"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J. B. Lack, L. J. Weider, P. D. Jeyasingh, Whole genome amplification and sequencing of a Daphnia resting egg. Molecular Ecology Resources 18, 118–127 (2018).</w:t>
      </w:r>
    </w:p>
    <w:p w14:paraId="15D3A7E4" w14:textId="49D3ABCA"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 xml:space="preserve">M. V. Rockman, </w:t>
      </w:r>
      <w:r>
        <w:rPr>
          <w:rFonts w:ascii="Times New Roman" w:hAnsi="Times New Roman" w:cs="Times New Roman"/>
          <w:sz w:val="24"/>
          <w:szCs w:val="24"/>
        </w:rPr>
        <w:t>T</w:t>
      </w:r>
      <w:r w:rsidRPr="006B373F">
        <w:rPr>
          <w:rFonts w:ascii="Times New Roman" w:hAnsi="Times New Roman" w:cs="Times New Roman"/>
          <w:sz w:val="24"/>
          <w:szCs w:val="24"/>
        </w:rPr>
        <w:t>he qtn program and the alleles that matter for evolution: all that’s gold does not glitter. Evolution 66, 1–17 (2012).</w:t>
      </w:r>
    </w:p>
    <w:p w14:paraId="73DC88A0"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N. O. Therkildsen, et al., Contrasting genomic shifts underlie parallel phenotypic evolution in response to fishing. Science (New York, N.Y.) 365, 487–490 (2019).</w:t>
      </w:r>
    </w:p>
    <w:p w14:paraId="6E72682B"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B. C. Haller, P. W. Messer, SLiM 3: Forward Genetic Simulations Beyond the Wright-Fisher Model. Molecular Biology and Evolution 36, 632–637 (2019).</w:t>
      </w:r>
    </w:p>
    <w:p w14:paraId="3613382D"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R. E. Sherman, R. Hartnett, E. L. Kiehnau, L. J. Weider, P. D. Jeyasingh, Quantitative genetics of phosphorus content in the freshwater herbivore, Daphnia pulicaria. Journal of Animal Ecology 00, 1365-2656.13419 (2021).</w:t>
      </w:r>
    </w:p>
    <w:p w14:paraId="1A5EE83F"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lastRenderedPageBreak/>
        <w:t>M. Snyman, T. V. Huynh, M. T. Smith, S. Xu, The genome-wide rate and spectrum of EMS-induced heritable mutations in the microcrustacean Daphnia: on the prospect of forward genetics. Heredity 127, 535–545 (2021).</w:t>
      </w:r>
    </w:p>
    <w:p w14:paraId="460080D1"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C. Hiruta, K. Kakui, K. E. Tollefsen, T. Iguchi, Targeted gene disruption by use of CRISPR/Cas9 ribonucleoprotein complexes in the water flea Daphnia pulex. Genes to Cells 23, 494–502 (2018).</w:t>
      </w:r>
    </w:p>
    <w:p w14:paraId="1C5ABA27"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H. E. Wright, Coring tips. Journal of Paleolimnology 6, 37–49 (1991).</w:t>
      </w:r>
    </w:p>
    <w:p w14:paraId="5FA4370B"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S. S. Kilham, D. A. Kreeger, S. G. Lynn, C. E. Goulden, L. Herrera, COMBO: a defined freshwater culture medium for algae and zooplankton. Hydrobiologia 377, 147–159 (1998).</w:t>
      </w:r>
    </w:p>
    <w:p w14:paraId="39E088C6"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W. Lampert, Daphnia: Development of a Model Organism in Ecology and Evolution (International Ecology Institute (ECI), 2011).</w:t>
      </w:r>
    </w:p>
    <w:p w14:paraId="75EBDD5B"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A. M. Bolger, M. Lohse, B. Usadel, Trimmomatic: a flexible trimmer for Illumina sequence data. Bioinformatics 30, 2114–2120 (2014).</w:t>
      </w:r>
    </w:p>
    <w:p w14:paraId="7497EC8F"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M. J. Wersebe, R. E. Sherman, P. D. Jeyasingh, L. J. Weider, The roles of recombination and selection in shaping genomic divergence in an incipient ecological species complex. Molecular Ecology n/a (2022).</w:t>
      </w:r>
    </w:p>
    <w:p w14:paraId="035B1793"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H. Li, R. Durbin, Fast and accurate short read alignment with Burrows-Wheeler transform. Bioinformatics 25, 1754–1760 (2009).</w:t>
      </w:r>
    </w:p>
    <w:p w14:paraId="58A40BFD"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H. Li, et al., The Sequence Alignment/Map format and SAMtools. Bioinformatics 25, 2078–2079 (2009).</w:t>
      </w:r>
    </w:p>
    <w:p w14:paraId="286CBB7C"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P. Danecek, et al., Twelve years of SAMtools and BCFtools. GigaScience 10, 1–4 (2021).</w:t>
      </w:r>
    </w:p>
    <w:p w14:paraId="6E613DF7"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C. C. Chang, et al., Second-generation PLINK: Rising to the challenge of larger and richer datasets. GigaScience 4, 7 (2015).</w:t>
      </w:r>
    </w:p>
    <w:p w14:paraId="2393163B"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 xml:space="preserve">R Core Team, R: A language and environment for statistical computing. R Foundation for Statistical Computing, Vienna, Austria. (2022).  </w:t>
      </w:r>
      <w:hyperlink r:id="rId161" w:history="1">
        <w:r w:rsidRPr="006B373F">
          <w:rPr>
            <w:rStyle w:val="Hyperlink"/>
            <w:rFonts w:ascii="Times New Roman" w:hAnsi="Times New Roman" w:cs="Times New Roman"/>
            <w:sz w:val="24"/>
            <w:szCs w:val="24"/>
          </w:rPr>
          <w:t>https://www.R-project.org/</w:t>
        </w:r>
      </w:hyperlink>
      <w:r w:rsidRPr="006B373F">
        <w:rPr>
          <w:rFonts w:ascii="Times New Roman" w:hAnsi="Times New Roman" w:cs="Times New Roman"/>
          <w:sz w:val="24"/>
          <w:szCs w:val="24"/>
        </w:rPr>
        <w:t xml:space="preserve"> </w:t>
      </w:r>
    </w:p>
    <w:p w14:paraId="5CC8A5AE"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T. Jombart, adegenet: a R package for the multivariate analysis of genetic markers. Bioinformatics 24, 1403–1405 (2008).</w:t>
      </w:r>
    </w:p>
    <w:p w14:paraId="1888F2A8"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B. J. Knaus, N. J. Grünwald, vcfr: a package to manipulate and visualize variant call format data in R. Molecular Ecology Resources 17, 44–53 (2017).</w:t>
      </w:r>
    </w:p>
    <w:p w14:paraId="58D1E6D4"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T. Jombart, S. Devillard, F. Balloux, Discriminant analysis of principal components: A new method for the analysis of genetically structured populations. BMC Genetics 11, 94 (2010).</w:t>
      </w:r>
    </w:p>
    <w:p w14:paraId="07913E04"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T. A. Joseph, I. Pe’er, Inference of Population Structure from Time-Series Genotype Data. American Journal of Human Genetics 105, 317–333 (2019).</w:t>
      </w:r>
    </w:p>
    <w:p w14:paraId="6A04E19D"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J. Goudet, hierfstat, a package for r to compute and test hierarchical  F-statistics. Molecular Ecology Notes 5, 184–186 (2005).</w:t>
      </w:r>
    </w:p>
    <w:p w14:paraId="58502CC9"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K. L. Korunes, K. Samuk, pixy: Unbiased estimation of nucleotide diversity and divergence in the presence of missing data. Molecular Ecology Resources 21, 1359–1368 (2021).</w:t>
      </w:r>
    </w:p>
    <w:p w14:paraId="16D2F250"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E. Santiago, et al., Recent Demographic History Inferred by High-Resolution Analysis of Linkage Disequilibrium. Molecular Biology and Evolution 37, 3642–3653 (2020).</w:t>
      </w:r>
    </w:p>
    <w:p w14:paraId="35A6B1FE"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lastRenderedPageBreak/>
        <w:t>I. Novo, E. Santiago, A. Caballero, The estimates of effective population size based on linkage disequilibrium are virtually unaffected by natural selection. PLOS Genetics 18, e1009764 (2022).</w:t>
      </w:r>
    </w:p>
    <w:p w14:paraId="57072953"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K. E. Lotterhos, M. C. Whitlock, The relative power of genome scans to detect local adaptation depends on sampling design and statistical method. Molecular Ecology 24, 1031–1046 (2015).</w:t>
      </w:r>
    </w:p>
    <w:p w14:paraId="48C93D01"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A. R. Quinlan, I. M. Hall, BEDTools: a flexible suite of utilities for comparing genomic features. Bioinformatics 26, 841–842 (2010).</w:t>
      </w:r>
    </w:p>
    <w:p w14:paraId="6B361FC2" w14:textId="77777777" w:rsidR="006B373F" w:rsidRPr="006B373F" w:rsidRDefault="006B373F" w:rsidP="006B373F">
      <w:pPr>
        <w:pStyle w:val="ListParagraph"/>
        <w:numPr>
          <w:ilvl w:val="0"/>
          <w:numId w:val="5"/>
        </w:numPr>
        <w:suppressAutoHyphens w:val="0"/>
        <w:spacing w:after="0" w:line="240" w:lineRule="auto"/>
        <w:rPr>
          <w:rFonts w:ascii="Times New Roman" w:hAnsi="Times New Roman" w:cs="Times New Roman"/>
          <w:sz w:val="24"/>
          <w:szCs w:val="24"/>
        </w:rPr>
      </w:pPr>
      <w:r w:rsidRPr="006B373F">
        <w:rPr>
          <w:rFonts w:ascii="Times New Roman" w:hAnsi="Times New Roman" w:cs="Times New Roman"/>
          <w:sz w:val="24"/>
          <w:szCs w:val="24"/>
        </w:rPr>
        <w:t>I. Kosmidis, E. C. Kenne Pagui, N. Sartori, Mean and median bias reduction in generalized linear models. Statistics and Computing 30, 43–59 (2020).</w:t>
      </w:r>
    </w:p>
    <w:p w14:paraId="166D51DC" w14:textId="77777777" w:rsidR="006B373F" w:rsidRPr="00672E4B" w:rsidRDefault="006B373F" w:rsidP="006B373F">
      <w:pPr>
        <w:pStyle w:val="ListParagraph"/>
        <w:numPr>
          <w:ilvl w:val="0"/>
          <w:numId w:val="5"/>
        </w:numPr>
        <w:suppressAutoHyphens w:val="0"/>
        <w:spacing w:after="0" w:line="240" w:lineRule="auto"/>
        <w:rPr>
          <w:rFonts w:ascii="Calibri" w:hAnsi="Calibri" w:cs="Calibri"/>
        </w:rPr>
      </w:pPr>
      <w:r w:rsidRPr="006B373F">
        <w:rPr>
          <w:rFonts w:ascii="Times New Roman" w:hAnsi="Times New Roman" w:cs="Times New Roman"/>
          <w:sz w:val="24"/>
          <w:szCs w:val="24"/>
        </w:rPr>
        <w:t xml:space="preserve">M. Wersebe, L. Weider, Replication Data for: Resurrection genomics provides molecular and phenotypic evidence of rapid adaptation to salinization in a keystone aquatic species. Harvard Dataverse. V1. </w:t>
      </w:r>
      <w:hyperlink r:id="rId162" w:history="1">
        <w:r w:rsidRPr="006B373F">
          <w:rPr>
            <w:rStyle w:val="Hyperlink"/>
            <w:rFonts w:ascii="Times New Roman" w:hAnsi="Times New Roman" w:cs="Times New Roman"/>
            <w:sz w:val="24"/>
            <w:szCs w:val="24"/>
          </w:rPr>
          <w:t>https://doi.org/10.7910/DVN/IGSXBN</w:t>
        </w:r>
      </w:hyperlink>
    </w:p>
    <w:p w14:paraId="2EF41740" w14:textId="2146E932" w:rsidR="00823C3C" w:rsidRDefault="00823C3C" w:rsidP="00631FA6">
      <w:pPr>
        <w:spacing w:line="480" w:lineRule="auto"/>
        <w:rPr>
          <w:rFonts w:ascii="Times New Roman" w:hAnsi="Times New Roman" w:cs="Times New Roman"/>
          <w:b/>
          <w:sz w:val="24"/>
          <w:szCs w:val="24"/>
        </w:rPr>
      </w:pPr>
    </w:p>
    <w:p w14:paraId="03703697" w14:textId="77777777" w:rsidR="00823C3C" w:rsidRDefault="00823C3C" w:rsidP="00C275DC">
      <w:pPr>
        <w:spacing w:line="480" w:lineRule="auto"/>
        <w:rPr>
          <w:rFonts w:ascii="Times New Roman" w:hAnsi="Times New Roman" w:cs="Times New Roman"/>
          <w:b/>
          <w:sz w:val="24"/>
          <w:szCs w:val="24"/>
        </w:rPr>
      </w:pPr>
    </w:p>
    <w:p w14:paraId="67301216" w14:textId="77777777" w:rsidR="00C4131C" w:rsidRDefault="00C4131C" w:rsidP="00C275DC">
      <w:pPr>
        <w:spacing w:line="480" w:lineRule="auto"/>
        <w:rPr>
          <w:rFonts w:ascii="Times New Roman" w:hAnsi="Times New Roman" w:cs="Times New Roman"/>
          <w:b/>
          <w:bCs/>
          <w:sz w:val="24"/>
          <w:szCs w:val="24"/>
        </w:rPr>
      </w:pPr>
    </w:p>
    <w:p w14:paraId="44446DC8" w14:textId="77777777" w:rsidR="008515A8" w:rsidRDefault="008515A8" w:rsidP="00631FA6">
      <w:pPr>
        <w:spacing w:line="480" w:lineRule="auto"/>
        <w:rPr>
          <w:rFonts w:ascii="Times New Roman" w:hAnsi="Times New Roman" w:cs="Times New Roman"/>
          <w:b/>
          <w:sz w:val="24"/>
          <w:szCs w:val="24"/>
        </w:rPr>
      </w:pPr>
    </w:p>
    <w:p w14:paraId="4668B4AC" w14:textId="77777777" w:rsidR="008515A8" w:rsidRDefault="008515A8" w:rsidP="00631FA6">
      <w:pPr>
        <w:spacing w:line="480" w:lineRule="auto"/>
        <w:rPr>
          <w:rFonts w:ascii="Times New Roman" w:hAnsi="Times New Roman" w:cs="Times New Roman"/>
          <w:b/>
          <w:sz w:val="24"/>
          <w:szCs w:val="24"/>
        </w:rPr>
      </w:pPr>
    </w:p>
    <w:p w14:paraId="12659392" w14:textId="77777777" w:rsidR="008515A8" w:rsidRDefault="008515A8" w:rsidP="00631FA6">
      <w:pPr>
        <w:spacing w:line="480" w:lineRule="auto"/>
        <w:rPr>
          <w:rFonts w:ascii="Times New Roman" w:hAnsi="Times New Roman" w:cs="Times New Roman"/>
          <w:b/>
          <w:sz w:val="24"/>
          <w:szCs w:val="24"/>
        </w:rPr>
      </w:pPr>
    </w:p>
    <w:p w14:paraId="38EF1A96" w14:textId="77777777" w:rsidR="008515A8" w:rsidRDefault="008515A8" w:rsidP="00631FA6">
      <w:pPr>
        <w:spacing w:line="480" w:lineRule="auto"/>
        <w:rPr>
          <w:rFonts w:ascii="Times New Roman" w:hAnsi="Times New Roman" w:cs="Times New Roman"/>
          <w:b/>
          <w:sz w:val="24"/>
          <w:szCs w:val="24"/>
        </w:rPr>
      </w:pPr>
    </w:p>
    <w:p w14:paraId="53DECD5D" w14:textId="77777777" w:rsidR="008515A8" w:rsidRDefault="008515A8" w:rsidP="00631FA6">
      <w:pPr>
        <w:spacing w:line="480" w:lineRule="auto"/>
        <w:rPr>
          <w:rFonts w:ascii="Times New Roman" w:hAnsi="Times New Roman" w:cs="Times New Roman"/>
          <w:b/>
          <w:sz w:val="24"/>
          <w:szCs w:val="24"/>
        </w:rPr>
      </w:pPr>
    </w:p>
    <w:p w14:paraId="37B8C8E7" w14:textId="77777777" w:rsidR="008515A8" w:rsidRDefault="008515A8" w:rsidP="00631FA6">
      <w:pPr>
        <w:spacing w:line="480" w:lineRule="auto"/>
        <w:rPr>
          <w:rFonts w:ascii="Times New Roman" w:hAnsi="Times New Roman" w:cs="Times New Roman"/>
          <w:b/>
          <w:sz w:val="24"/>
          <w:szCs w:val="24"/>
        </w:rPr>
      </w:pPr>
    </w:p>
    <w:p w14:paraId="685103DB" w14:textId="77777777" w:rsidR="008515A8" w:rsidRDefault="008515A8" w:rsidP="00631FA6">
      <w:pPr>
        <w:spacing w:line="480" w:lineRule="auto"/>
        <w:rPr>
          <w:rFonts w:ascii="Times New Roman" w:hAnsi="Times New Roman" w:cs="Times New Roman"/>
          <w:b/>
          <w:sz w:val="24"/>
          <w:szCs w:val="24"/>
        </w:rPr>
      </w:pPr>
    </w:p>
    <w:p w14:paraId="3AB5DD60" w14:textId="77777777" w:rsidR="008515A8" w:rsidRDefault="008515A8" w:rsidP="00631FA6">
      <w:pPr>
        <w:spacing w:line="480" w:lineRule="auto"/>
        <w:rPr>
          <w:rFonts w:ascii="Times New Roman" w:hAnsi="Times New Roman" w:cs="Times New Roman"/>
          <w:b/>
          <w:sz w:val="24"/>
          <w:szCs w:val="24"/>
        </w:rPr>
      </w:pPr>
    </w:p>
    <w:p w14:paraId="536ED671" w14:textId="77777777" w:rsidR="00472C92" w:rsidRDefault="00472C92" w:rsidP="00631FA6">
      <w:pPr>
        <w:spacing w:line="480" w:lineRule="auto"/>
        <w:rPr>
          <w:rFonts w:ascii="Times New Roman" w:hAnsi="Times New Roman" w:cs="Times New Roman"/>
          <w:b/>
          <w:sz w:val="24"/>
          <w:szCs w:val="24"/>
        </w:rPr>
      </w:pPr>
    </w:p>
    <w:p w14:paraId="64078438" w14:textId="77777777" w:rsidR="00472C92" w:rsidRDefault="00472C92" w:rsidP="00631FA6">
      <w:pPr>
        <w:spacing w:line="480" w:lineRule="auto"/>
        <w:rPr>
          <w:rFonts w:ascii="Times New Roman" w:hAnsi="Times New Roman" w:cs="Times New Roman"/>
          <w:b/>
          <w:sz w:val="24"/>
          <w:szCs w:val="24"/>
        </w:rPr>
      </w:pPr>
    </w:p>
    <w:p w14:paraId="6E314331" w14:textId="5E259D11" w:rsidR="00631FA6" w:rsidRDefault="008515A8" w:rsidP="00631FA6">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Figures &amp; Tables:</w:t>
      </w:r>
    </w:p>
    <w:p w14:paraId="3443B4DD" w14:textId="12B8D036" w:rsidR="008515A8" w:rsidRDefault="007454A6" w:rsidP="00631FA6">
      <w:pPr>
        <w:spacing w:line="480" w:lineRule="auto"/>
        <w:rPr>
          <w:rFonts w:ascii="Times New Roman" w:hAnsi="Times New Roman" w:cs="Times New Roman"/>
          <w:b/>
          <w:sz w:val="24"/>
          <w:szCs w:val="24"/>
        </w:rPr>
      </w:pPr>
      <w:r>
        <w:rPr>
          <w:rFonts w:ascii="Arial" w:hAnsi="Arial" w:cs="Arial"/>
          <w:noProof/>
          <w:sz w:val="20"/>
          <w:szCs w:val="20"/>
        </w:rPr>
        <w:drawing>
          <wp:inline distT="0" distB="0" distL="0" distR="0" wp14:anchorId="5718509A" wp14:editId="5AD90B7F">
            <wp:extent cx="5486400" cy="4682490"/>
            <wp:effectExtent l="0" t="0" r="0" b="3810"/>
            <wp:docPr id="67" name="Graphic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63">
                      <a:extLst>
                        <a:ext uri="{28A0092B-C50C-407E-A947-70E740481C1C}">
                          <a14:useLocalDpi xmlns:a14="http://schemas.microsoft.com/office/drawing/2010/main" val="0"/>
                        </a:ext>
                        <a:ext uri="{96DAC541-7B7A-43D3-8B79-37D633B846F1}">
                          <asvg:svgBlip xmlns:asvg="http://schemas.microsoft.com/office/drawing/2016/SVG/main" r:embed="rId164"/>
                        </a:ext>
                      </a:extLst>
                    </a:blip>
                    <a:stretch>
                      <a:fillRect/>
                    </a:stretch>
                  </pic:blipFill>
                  <pic:spPr>
                    <a:xfrm>
                      <a:off x="0" y="0"/>
                      <a:ext cx="5486400" cy="4682490"/>
                    </a:xfrm>
                    <a:prstGeom prst="rect">
                      <a:avLst/>
                    </a:prstGeom>
                  </pic:spPr>
                </pic:pic>
              </a:graphicData>
            </a:graphic>
          </wp:inline>
        </w:drawing>
      </w:r>
    </w:p>
    <w:p w14:paraId="3930CF04" w14:textId="77777777" w:rsidR="00E545D1" w:rsidRPr="00E545D1" w:rsidRDefault="00E545D1" w:rsidP="00E545D1">
      <w:pPr>
        <w:rPr>
          <w:rFonts w:ascii="Times New Roman" w:hAnsi="Times New Roman" w:cs="Times New Roman"/>
          <w:sz w:val="24"/>
          <w:szCs w:val="24"/>
        </w:rPr>
      </w:pPr>
      <w:r w:rsidRPr="00E545D1">
        <w:rPr>
          <w:rFonts w:ascii="Times New Roman" w:hAnsi="Times New Roman" w:cs="Times New Roman"/>
          <w:b/>
          <w:bCs/>
          <w:sz w:val="24"/>
          <w:szCs w:val="24"/>
        </w:rPr>
        <w:t xml:space="preserve">Figure 1: </w:t>
      </w:r>
      <w:r w:rsidRPr="00E545D1">
        <w:rPr>
          <w:rFonts w:ascii="Times New Roman" w:hAnsi="Times New Roman" w:cs="Times New Roman"/>
          <w:sz w:val="24"/>
          <w:szCs w:val="24"/>
        </w:rPr>
        <w:t xml:space="preserve">Genetic structure, divergence, and distance across time in Tanners Lake. A) Principal Component Analysis (PCA) biplot of all clones color-coded according to the depth of recovery in the core (cm). PC1 and PC2 explain 7.6 % and 4.6 % of variance observed in the SNP data, respectively. Older clones (22-24 cm, 18-20 cm, &amp; 16-18 cm) form a cluster distinct from more recent clones (LC, 2-4 cm, 6-8 cm and 10-12 cm). B) Discriminant Analysis of Principal Components (DAPC) bar plot showing the posterior probability of assignment to the three </w:t>
      </w:r>
      <w:r w:rsidRPr="00E545D1">
        <w:rPr>
          <w:rFonts w:ascii="Times New Roman" w:hAnsi="Times New Roman" w:cs="Times New Roman"/>
          <w:i/>
          <w:iCs/>
          <w:sz w:val="24"/>
          <w:szCs w:val="24"/>
        </w:rPr>
        <w:t>a priori</w:t>
      </w:r>
      <w:r w:rsidRPr="00E545D1">
        <w:rPr>
          <w:rFonts w:ascii="Times New Roman" w:hAnsi="Times New Roman" w:cs="Times New Roman"/>
          <w:sz w:val="24"/>
          <w:szCs w:val="24"/>
        </w:rPr>
        <w:t xml:space="preserve"> defined temporal subpopulations. C) Observed Weir and Cockerham site-wise F</w:t>
      </w:r>
      <w:r w:rsidRPr="00E545D1">
        <w:rPr>
          <w:rFonts w:ascii="Times New Roman" w:hAnsi="Times New Roman" w:cs="Times New Roman"/>
          <w:sz w:val="24"/>
          <w:szCs w:val="24"/>
          <w:vertAlign w:val="subscript"/>
        </w:rPr>
        <w:t>st</w:t>
      </w:r>
      <w:r w:rsidRPr="00E545D1">
        <w:rPr>
          <w:rFonts w:ascii="Times New Roman" w:hAnsi="Times New Roman" w:cs="Times New Roman"/>
          <w:sz w:val="24"/>
          <w:szCs w:val="24"/>
        </w:rPr>
        <w:t xml:space="preserve"> estimates. Overall F</w:t>
      </w:r>
      <w:r w:rsidRPr="00E545D1">
        <w:rPr>
          <w:rFonts w:ascii="Times New Roman" w:hAnsi="Times New Roman" w:cs="Times New Roman"/>
          <w:sz w:val="24"/>
          <w:szCs w:val="24"/>
          <w:vertAlign w:val="subscript"/>
        </w:rPr>
        <w:t>st</w:t>
      </w:r>
      <w:r w:rsidRPr="00E545D1">
        <w:rPr>
          <w:rFonts w:ascii="Times New Roman" w:hAnsi="Times New Roman" w:cs="Times New Roman"/>
          <w:sz w:val="24"/>
          <w:szCs w:val="24"/>
        </w:rPr>
        <w:t xml:space="preserve"> was low (red vertical line) at only 0.0169. D) Pair-wise genetic chord distances between the three temporal subpopulations (TOP, MID and DEEP)</w:t>
      </w:r>
    </w:p>
    <w:p w14:paraId="50F706AF" w14:textId="576A01CE" w:rsidR="00607F04" w:rsidRPr="00E545D1" w:rsidRDefault="00607F04">
      <w:pPr>
        <w:rPr>
          <w:rFonts w:ascii="Times New Roman" w:hAnsi="Times New Roman" w:cs="Times New Roman"/>
          <w:sz w:val="24"/>
          <w:szCs w:val="24"/>
        </w:rPr>
      </w:pPr>
      <w:r w:rsidRPr="00E545D1">
        <w:rPr>
          <w:rFonts w:ascii="Times New Roman" w:hAnsi="Times New Roman" w:cs="Times New Roman"/>
          <w:sz w:val="24"/>
          <w:szCs w:val="24"/>
        </w:rPr>
        <w:br w:type="page"/>
      </w:r>
    </w:p>
    <w:p w14:paraId="18D42CC1" w14:textId="2A9DB8DD" w:rsidR="00A8505D" w:rsidRDefault="00426628" w:rsidP="00A8505D">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C277E73" wp14:editId="64712D5F">
            <wp:extent cx="5487035" cy="50355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487035" cy="5035550"/>
                    </a:xfrm>
                    <a:prstGeom prst="rect">
                      <a:avLst/>
                    </a:prstGeom>
                    <a:noFill/>
                  </pic:spPr>
                </pic:pic>
              </a:graphicData>
            </a:graphic>
          </wp:inline>
        </w:drawing>
      </w:r>
    </w:p>
    <w:p w14:paraId="7FC9BDD7" w14:textId="7984CCD9" w:rsidR="00731984" w:rsidRDefault="00731984" w:rsidP="00A8505D">
      <w:pPr>
        <w:spacing w:line="240" w:lineRule="auto"/>
        <w:rPr>
          <w:rFonts w:ascii="Times New Roman" w:hAnsi="Times New Roman" w:cs="Times New Roman"/>
          <w:sz w:val="24"/>
          <w:szCs w:val="24"/>
        </w:rPr>
      </w:pPr>
    </w:p>
    <w:p w14:paraId="6F4F9E83" w14:textId="63E56B22" w:rsidR="00731984" w:rsidRDefault="00731984" w:rsidP="00731984">
      <w:pPr>
        <w:spacing w:line="240" w:lineRule="auto"/>
        <w:rPr>
          <w:rFonts w:ascii="Times New Roman" w:hAnsi="Times New Roman" w:cs="Times New Roman"/>
          <w:sz w:val="24"/>
          <w:szCs w:val="24"/>
        </w:rPr>
      </w:pPr>
      <w:r w:rsidRPr="00731984">
        <w:rPr>
          <w:rFonts w:ascii="Times New Roman" w:hAnsi="Times New Roman" w:cs="Times New Roman"/>
          <w:b/>
          <w:bCs/>
          <w:sz w:val="24"/>
          <w:szCs w:val="24"/>
        </w:rPr>
        <w:t xml:space="preserve">Figure 2: </w:t>
      </w:r>
      <w:r w:rsidRPr="00731984">
        <w:rPr>
          <w:rFonts w:ascii="Times New Roman" w:hAnsi="Times New Roman" w:cs="Times New Roman"/>
          <w:sz w:val="24"/>
          <w:szCs w:val="24"/>
        </w:rPr>
        <w:t>Genome-wide F</w:t>
      </w:r>
      <w:r w:rsidRPr="00731984">
        <w:rPr>
          <w:rFonts w:ascii="Times New Roman" w:hAnsi="Times New Roman" w:cs="Times New Roman"/>
          <w:sz w:val="24"/>
          <w:szCs w:val="24"/>
          <w:vertAlign w:val="subscript"/>
        </w:rPr>
        <w:t>st</w:t>
      </w:r>
      <w:r w:rsidRPr="00731984">
        <w:rPr>
          <w:rFonts w:ascii="Times New Roman" w:hAnsi="Times New Roman" w:cs="Times New Roman"/>
          <w:sz w:val="24"/>
          <w:szCs w:val="24"/>
        </w:rPr>
        <w:t xml:space="preserve"> Manhattan plots. Each panel represents a chromosome (1-12), each point designates a Single Nucleotide Polymorphism (SNP), the horizontal line indicates genome-wide significance at p = 0.05. Points above the red line are statistical outliers. Chromosome lengths are normalized across panels. </w:t>
      </w:r>
    </w:p>
    <w:p w14:paraId="734BF23B" w14:textId="4398BD71" w:rsidR="00731984" w:rsidRDefault="00731984" w:rsidP="00731984">
      <w:pPr>
        <w:spacing w:line="240" w:lineRule="auto"/>
        <w:rPr>
          <w:rFonts w:ascii="Times New Roman" w:hAnsi="Times New Roman" w:cs="Times New Roman"/>
          <w:sz w:val="24"/>
          <w:szCs w:val="24"/>
        </w:rPr>
      </w:pPr>
    </w:p>
    <w:p w14:paraId="55A86334" w14:textId="37F2A2D9" w:rsidR="00731984" w:rsidRDefault="00731984">
      <w:pPr>
        <w:rPr>
          <w:rFonts w:ascii="Times New Roman" w:hAnsi="Times New Roman" w:cs="Times New Roman"/>
          <w:sz w:val="24"/>
          <w:szCs w:val="24"/>
        </w:rPr>
      </w:pPr>
      <w:r>
        <w:rPr>
          <w:rFonts w:ascii="Times New Roman" w:hAnsi="Times New Roman" w:cs="Times New Roman"/>
          <w:sz w:val="24"/>
          <w:szCs w:val="24"/>
        </w:rPr>
        <w:br w:type="page"/>
      </w:r>
    </w:p>
    <w:p w14:paraId="41DBEE67" w14:textId="77777777" w:rsidR="00CA0C64" w:rsidRDefault="00CA0C64" w:rsidP="00731984">
      <w:pPr>
        <w:spacing w:line="240" w:lineRule="auto"/>
        <w:rPr>
          <w:rFonts w:ascii="Times New Roman" w:hAnsi="Times New Roman" w:cs="Times New Roman"/>
          <w:sz w:val="24"/>
          <w:szCs w:val="24"/>
        </w:rPr>
      </w:pPr>
    </w:p>
    <w:p w14:paraId="4BE7EC0C" w14:textId="77777777" w:rsidR="00CA0C64" w:rsidRDefault="00CA0C64" w:rsidP="00731984">
      <w:pPr>
        <w:spacing w:line="240" w:lineRule="auto"/>
        <w:rPr>
          <w:rFonts w:ascii="Times New Roman" w:hAnsi="Times New Roman" w:cs="Times New Roman"/>
          <w:sz w:val="24"/>
          <w:szCs w:val="24"/>
        </w:rPr>
      </w:pPr>
    </w:p>
    <w:p w14:paraId="725E3A51" w14:textId="1B576619" w:rsidR="00731984" w:rsidRDefault="00B762BD" w:rsidP="00731984">
      <w:pP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83E4241" wp14:editId="711700B3">
            <wp:extent cx="5487035" cy="49930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487035" cy="4993005"/>
                    </a:xfrm>
                    <a:prstGeom prst="rect">
                      <a:avLst/>
                    </a:prstGeom>
                    <a:noFill/>
                  </pic:spPr>
                </pic:pic>
              </a:graphicData>
            </a:graphic>
          </wp:inline>
        </w:drawing>
      </w:r>
    </w:p>
    <w:p w14:paraId="02F4897A" w14:textId="7A4AD03A" w:rsidR="00CA0C64" w:rsidRDefault="00CA0C64" w:rsidP="00731984">
      <w:pPr>
        <w:spacing w:line="240" w:lineRule="auto"/>
        <w:rPr>
          <w:rFonts w:ascii="Times New Roman" w:hAnsi="Times New Roman" w:cs="Times New Roman"/>
          <w:sz w:val="24"/>
          <w:szCs w:val="24"/>
        </w:rPr>
      </w:pPr>
    </w:p>
    <w:p w14:paraId="2DD7183F" w14:textId="77777777" w:rsidR="00CA0C64" w:rsidRPr="00CA0C64" w:rsidRDefault="00CA0C64" w:rsidP="00CA0C64">
      <w:pPr>
        <w:spacing w:line="240" w:lineRule="auto"/>
        <w:rPr>
          <w:rFonts w:ascii="Times New Roman" w:hAnsi="Times New Roman" w:cs="Times New Roman"/>
          <w:sz w:val="24"/>
          <w:szCs w:val="24"/>
        </w:rPr>
      </w:pPr>
      <w:r w:rsidRPr="00CA0C64">
        <w:rPr>
          <w:rFonts w:ascii="Times New Roman" w:hAnsi="Times New Roman" w:cs="Times New Roman"/>
          <w:b/>
          <w:bCs/>
          <w:sz w:val="24"/>
          <w:szCs w:val="24"/>
        </w:rPr>
        <w:t xml:space="preserve">Figure 3: </w:t>
      </w:r>
      <w:r w:rsidRPr="00CA0C64">
        <w:rPr>
          <w:rFonts w:ascii="Times New Roman" w:hAnsi="Times New Roman" w:cs="Times New Roman"/>
          <w:sz w:val="24"/>
          <w:szCs w:val="24"/>
        </w:rPr>
        <w:t xml:space="preserve">Enriched Gene Ontology (GO) terms for molecular function. Enriched terms are set along the Y-axis. The length of each bar indicates the term’s fold enrichment in the analyzed gene list, and the bar color denotes its FDR corrected p-value. In total, 59 terms were enriched among the 286 genes found near outlier SNPs. GO term mappings are provided in table S2. </w:t>
      </w:r>
    </w:p>
    <w:p w14:paraId="23234925" w14:textId="2323EB06" w:rsidR="00CA0C64" w:rsidRDefault="00CA0C64">
      <w:pPr>
        <w:rPr>
          <w:rFonts w:ascii="Times New Roman" w:hAnsi="Times New Roman" w:cs="Times New Roman"/>
          <w:sz w:val="24"/>
          <w:szCs w:val="24"/>
        </w:rPr>
      </w:pPr>
      <w:r>
        <w:rPr>
          <w:rFonts w:ascii="Times New Roman" w:hAnsi="Times New Roman" w:cs="Times New Roman"/>
          <w:sz w:val="24"/>
          <w:szCs w:val="24"/>
        </w:rPr>
        <w:br w:type="page"/>
      </w:r>
    </w:p>
    <w:p w14:paraId="33FC04A5" w14:textId="748ABEAE" w:rsidR="00CA0C64" w:rsidRDefault="00460FB1" w:rsidP="00731984">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41AF0D4" wp14:editId="288E810F">
            <wp:extent cx="5487035" cy="4011295"/>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487035" cy="4011295"/>
                    </a:xfrm>
                    <a:prstGeom prst="rect">
                      <a:avLst/>
                    </a:prstGeom>
                    <a:noFill/>
                  </pic:spPr>
                </pic:pic>
              </a:graphicData>
            </a:graphic>
          </wp:inline>
        </w:drawing>
      </w:r>
    </w:p>
    <w:p w14:paraId="09C20A6E" w14:textId="7416E31E" w:rsidR="00460FB1" w:rsidRDefault="00460FB1" w:rsidP="00731984">
      <w:pPr>
        <w:spacing w:line="240" w:lineRule="auto"/>
        <w:rPr>
          <w:rFonts w:ascii="Times New Roman" w:hAnsi="Times New Roman" w:cs="Times New Roman"/>
          <w:sz w:val="24"/>
          <w:szCs w:val="24"/>
        </w:rPr>
      </w:pPr>
    </w:p>
    <w:p w14:paraId="627AECCE" w14:textId="2360A8A4" w:rsidR="000D00F8" w:rsidRDefault="000D00F8" w:rsidP="000D00F8">
      <w:pPr>
        <w:spacing w:line="240" w:lineRule="auto"/>
        <w:rPr>
          <w:rFonts w:ascii="Times New Roman" w:hAnsi="Times New Roman" w:cs="Times New Roman"/>
          <w:sz w:val="24"/>
          <w:szCs w:val="24"/>
        </w:rPr>
      </w:pPr>
      <w:r w:rsidRPr="000D00F8">
        <w:rPr>
          <w:rFonts w:ascii="Times New Roman" w:hAnsi="Times New Roman" w:cs="Times New Roman"/>
          <w:b/>
          <w:bCs/>
          <w:sz w:val="24"/>
          <w:szCs w:val="24"/>
        </w:rPr>
        <w:t xml:space="preserve">Figure 4: </w:t>
      </w:r>
      <w:r w:rsidRPr="000D00F8">
        <w:rPr>
          <w:rFonts w:ascii="Times New Roman" w:hAnsi="Times New Roman" w:cs="Times New Roman"/>
          <w:sz w:val="24"/>
          <w:szCs w:val="24"/>
        </w:rPr>
        <w:t>96-hour</w:t>
      </w:r>
      <w:r w:rsidRPr="000D00F8">
        <w:rPr>
          <w:rFonts w:ascii="Times New Roman" w:hAnsi="Times New Roman" w:cs="Times New Roman"/>
          <w:b/>
          <w:bCs/>
          <w:sz w:val="24"/>
          <w:szCs w:val="24"/>
        </w:rPr>
        <w:t xml:space="preserve"> </w:t>
      </w:r>
      <w:r w:rsidRPr="000D00F8">
        <w:rPr>
          <w:rFonts w:ascii="Times New Roman" w:hAnsi="Times New Roman" w:cs="Times New Roman"/>
          <w:sz w:val="24"/>
          <w:szCs w:val="24"/>
        </w:rPr>
        <w:t>lethal concentration-50% assay</w:t>
      </w:r>
      <w:r w:rsidRPr="000D00F8">
        <w:rPr>
          <w:rFonts w:ascii="Times New Roman" w:hAnsi="Times New Roman" w:cs="Times New Roman"/>
          <w:b/>
          <w:bCs/>
          <w:sz w:val="24"/>
          <w:szCs w:val="24"/>
        </w:rPr>
        <w:t xml:space="preserve"> </w:t>
      </w:r>
      <w:r w:rsidRPr="000D00F8">
        <w:rPr>
          <w:rFonts w:ascii="Times New Roman" w:hAnsi="Times New Roman" w:cs="Times New Roman"/>
          <w:sz w:val="24"/>
          <w:szCs w:val="24"/>
        </w:rPr>
        <w:t>(LC</w:t>
      </w:r>
      <w:r w:rsidRPr="000D00F8">
        <w:rPr>
          <w:rFonts w:ascii="Times New Roman" w:hAnsi="Times New Roman" w:cs="Times New Roman"/>
          <w:sz w:val="24"/>
          <w:szCs w:val="24"/>
          <w:vertAlign w:val="subscript"/>
        </w:rPr>
        <w:t>50</w:t>
      </w:r>
      <w:r w:rsidRPr="000D00F8">
        <w:rPr>
          <w:rFonts w:ascii="Times New Roman" w:hAnsi="Times New Roman" w:cs="Times New Roman"/>
          <w:sz w:val="24"/>
          <w:szCs w:val="24"/>
        </w:rPr>
        <w:t xml:space="preserve">) estimates for clones evaluated in the salinity tolerance experiments. Box plots indicate population medians and variances, each point is a clone. Overall, non-parametric ANOVA (Kruskal-Wallis) indicated a significant main effect of population. Post-hoc testing (pairwise Wilcox) confirmed that the TOP population was more tolerant than either the MID or DEEP populations, which were not different from one another. </w:t>
      </w:r>
    </w:p>
    <w:p w14:paraId="4E326143" w14:textId="7DCA1E54" w:rsidR="000D00F8" w:rsidRDefault="000D00F8" w:rsidP="000D00F8">
      <w:pPr>
        <w:spacing w:line="240" w:lineRule="auto"/>
        <w:rPr>
          <w:rFonts w:ascii="Times New Roman" w:hAnsi="Times New Roman" w:cs="Times New Roman"/>
          <w:sz w:val="24"/>
          <w:szCs w:val="24"/>
        </w:rPr>
      </w:pPr>
    </w:p>
    <w:p w14:paraId="4DFA784C" w14:textId="1CE5D826" w:rsidR="000D00F8" w:rsidRDefault="000D00F8" w:rsidP="000D00F8">
      <w:pPr>
        <w:spacing w:line="240" w:lineRule="auto"/>
        <w:rPr>
          <w:rFonts w:ascii="Times New Roman" w:hAnsi="Times New Roman" w:cs="Times New Roman"/>
          <w:sz w:val="24"/>
          <w:szCs w:val="24"/>
        </w:rPr>
      </w:pPr>
    </w:p>
    <w:p w14:paraId="38A1E9CB" w14:textId="3692EF3B" w:rsidR="000D00F8" w:rsidRDefault="000D00F8" w:rsidP="000D00F8">
      <w:pPr>
        <w:spacing w:line="240" w:lineRule="auto"/>
        <w:rPr>
          <w:rFonts w:ascii="Times New Roman" w:hAnsi="Times New Roman" w:cs="Times New Roman"/>
          <w:sz w:val="24"/>
          <w:szCs w:val="24"/>
        </w:rPr>
      </w:pPr>
    </w:p>
    <w:p w14:paraId="3DF08625" w14:textId="4F571FDE" w:rsidR="000D00F8" w:rsidRDefault="000D00F8">
      <w:pPr>
        <w:rPr>
          <w:rFonts w:ascii="Times New Roman" w:hAnsi="Times New Roman" w:cs="Times New Roman"/>
          <w:sz w:val="24"/>
          <w:szCs w:val="24"/>
        </w:rPr>
      </w:pPr>
      <w:r>
        <w:rPr>
          <w:rFonts w:ascii="Times New Roman" w:hAnsi="Times New Roman" w:cs="Times New Roman"/>
          <w:sz w:val="24"/>
          <w:szCs w:val="24"/>
        </w:rPr>
        <w:br w:type="page"/>
      </w:r>
    </w:p>
    <w:p w14:paraId="5C6E6D1A" w14:textId="6F4C5F85" w:rsidR="000D00F8" w:rsidRDefault="009B1520" w:rsidP="009B1520">
      <w:pPr>
        <w:spacing w:line="240" w:lineRule="auto"/>
        <w:jc w:val="center"/>
        <w:rPr>
          <w:rFonts w:ascii="Times New Roman" w:hAnsi="Times New Roman" w:cs="Times New Roman"/>
          <w:b/>
          <w:bCs/>
          <w:sz w:val="24"/>
          <w:szCs w:val="24"/>
        </w:rPr>
      </w:pPr>
      <w:r w:rsidRPr="009B1520">
        <w:rPr>
          <w:rFonts w:ascii="Times New Roman" w:hAnsi="Times New Roman" w:cs="Times New Roman"/>
          <w:b/>
          <w:bCs/>
          <w:sz w:val="24"/>
          <w:szCs w:val="24"/>
        </w:rPr>
        <w:lastRenderedPageBreak/>
        <w:t>Synthesis:</w:t>
      </w:r>
    </w:p>
    <w:p w14:paraId="5FF951AC" w14:textId="7ABF2419" w:rsidR="009B1520" w:rsidRDefault="009B1520" w:rsidP="009B1520">
      <w:pPr>
        <w:spacing w:line="240" w:lineRule="auto"/>
        <w:jc w:val="center"/>
        <w:rPr>
          <w:rFonts w:ascii="Times New Roman" w:hAnsi="Times New Roman" w:cs="Times New Roman"/>
          <w:b/>
          <w:bCs/>
          <w:sz w:val="24"/>
          <w:szCs w:val="24"/>
        </w:rPr>
      </w:pPr>
    </w:p>
    <w:p w14:paraId="11D8D383" w14:textId="1910CF89" w:rsidR="009B1520" w:rsidRPr="00DA40EE" w:rsidRDefault="007F43EB" w:rsidP="00DB2193">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7201A5">
        <w:rPr>
          <w:rFonts w:ascii="Times New Roman" w:hAnsi="Times New Roman" w:cs="Times New Roman"/>
          <w:sz w:val="24"/>
          <w:szCs w:val="24"/>
        </w:rPr>
        <w:t xml:space="preserve">Biological archives are incredible sources of information that we can study to better understand </w:t>
      </w:r>
      <w:r w:rsidR="005F4AB9">
        <w:rPr>
          <w:rFonts w:ascii="Times New Roman" w:hAnsi="Times New Roman" w:cs="Times New Roman"/>
          <w:sz w:val="24"/>
          <w:szCs w:val="24"/>
        </w:rPr>
        <w:t xml:space="preserve">ecosystems </w:t>
      </w:r>
      <w:r w:rsidR="00AB1A06">
        <w:rPr>
          <w:rFonts w:ascii="Times New Roman" w:hAnsi="Times New Roman" w:cs="Times New Roman"/>
          <w:sz w:val="24"/>
          <w:szCs w:val="24"/>
        </w:rPr>
        <w:t xml:space="preserve">and species </w:t>
      </w:r>
      <w:r w:rsidR="005F4AB9">
        <w:rPr>
          <w:rFonts w:ascii="Times New Roman" w:hAnsi="Times New Roman" w:cs="Times New Roman"/>
          <w:sz w:val="24"/>
          <w:szCs w:val="24"/>
        </w:rPr>
        <w:t xml:space="preserve">from the past to </w:t>
      </w:r>
      <w:r w:rsidR="00AB1A06">
        <w:rPr>
          <w:rFonts w:ascii="Times New Roman" w:hAnsi="Times New Roman" w:cs="Times New Roman"/>
          <w:sz w:val="24"/>
          <w:szCs w:val="24"/>
        </w:rPr>
        <w:t xml:space="preserve">hopefully predict their futures. </w:t>
      </w:r>
      <w:r w:rsidR="00DB2193">
        <w:rPr>
          <w:rFonts w:ascii="Times New Roman" w:hAnsi="Times New Roman" w:cs="Times New Roman"/>
          <w:sz w:val="24"/>
          <w:szCs w:val="24"/>
        </w:rPr>
        <w:t xml:space="preserve">In this dissertation, I have presented three chapters that scoured </w:t>
      </w:r>
      <w:r w:rsidR="003406F0">
        <w:rPr>
          <w:rFonts w:ascii="Times New Roman" w:hAnsi="Times New Roman" w:cs="Times New Roman"/>
          <w:sz w:val="24"/>
          <w:szCs w:val="24"/>
        </w:rPr>
        <w:t xml:space="preserve">two different types of biological archives to </w:t>
      </w:r>
      <w:r w:rsidR="00F84E82">
        <w:rPr>
          <w:rFonts w:ascii="Times New Roman" w:hAnsi="Times New Roman" w:cs="Times New Roman"/>
          <w:sz w:val="24"/>
          <w:szCs w:val="24"/>
        </w:rPr>
        <w:t xml:space="preserve">understand the lake daphniid, </w:t>
      </w:r>
      <w:r w:rsidR="00F84E82">
        <w:rPr>
          <w:rFonts w:ascii="Times New Roman" w:hAnsi="Times New Roman" w:cs="Times New Roman"/>
          <w:i/>
          <w:iCs/>
          <w:sz w:val="24"/>
          <w:szCs w:val="24"/>
        </w:rPr>
        <w:t xml:space="preserve">Daphnia pulicaria. </w:t>
      </w:r>
      <w:r w:rsidR="00F84E82">
        <w:rPr>
          <w:rFonts w:ascii="Times New Roman" w:hAnsi="Times New Roman" w:cs="Times New Roman"/>
          <w:sz w:val="24"/>
          <w:szCs w:val="24"/>
        </w:rPr>
        <w:t xml:space="preserve">In the first chapter, I </w:t>
      </w:r>
      <w:r w:rsidR="008C7EEA">
        <w:rPr>
          <w:rFonts w:ascii="Times New Roman" w:hAnsi="Times New Roman" w:cs="Times New Roman"/>
          <w:sz w:val="24"/>
          <w:szCs w:val="24"/>
        </w:rPr>
        <w:t xml:space="preserve">constructed a reference genome sequence of this species and mapped its genome. </w:t>
      </w:r>
      <w:r w:rsidR="00ED5A11">
        <w:rPr>
          <w:rFonts w:ascii="Times New Roman" w:hAnsi="Times New Roman" w:cs="Times New Roman"/>
          <w:sz w:val="24"/>
          <w:szCs w:val="24"/>
        </w:rPr>
        <w:t xml:space="preserve">Using DNA sequence variation from across the genome from </w:t>
      </w:r>
      <w:r w:rsidR="00ED5A11">
        <w:rPr>
          <w:rFonts w:ascii="Times New Roman" w:hAnsi="Times New Roman" w:cs="Times New Roman"/>
          <w:i/>
          <w:iCs/>
          <w:sz w:val="24"/>
          <w:szCs w:val="24"/>
        </w:rPr>
        <w:t xml:space="preserve">D. pulicaria </w:t>
      </w:r>
      <w:r w:rsidR="00ED5A11">
        <w:rPr>
          <w:rFonts w:ascii="Times New Roman" w:hAnsi="Times New Roman" w:cs="Times New Roman"/>
          <w:sz w:val="24"/>
          <w:szCs w:val="24"/>
        </w:rPr>
        <w:t xml:space="preserve">and </w:t>
      </w:r>
      <w:r w:rsidR="00ED5A11">
        <w:rPr>
          <w:rFonts w:ascii="Times New Roman" w:hAnsi="Times New Roman" w:cs="Times New Roman"/>
          <w:i/>
          <w:iCs/>
          <w:sz w:val="24"/>
          <w:szCs w:val="24"/>
        </w:rPr>
        <w:t>D. pulex</w:t>
      </w:r>
      <w:r w:rsidR="00DE2791">
        <w:rPr>
          <w:rFonts w:ascii="Times New Roman" w:hAnsi="Times New Roman" w:cs="Times New Roman"/>
          <w:sz w:val="24"/>
          <w:szCs w:val="24"/>
        </w:rPr>
        <w:t>,</w:t>
      </w:r>
      <w:r w:rsidR="00ED5A11">
        <w:rPr>
          <w:rFonts w:ascii="Times New Roman" w:hAnsi="Times New Roman" w:cs="Times New Roman"/>
          <w:i/>
          <w:iCs/>
          <w:sz w:val="24"/>
          <w:szCs w:val="24"/>
        </w:rPr>
        <w:t xml:space="preserve"> </w:t>
      </w:r>
      <w:r w:rsidR="00ED5A11">
        <w:rPr>
          <w:rFonts w:ascii="Times New Roman" w:hAnsi="Times New Roman" w:cs="Times New Roman"/>
          <w:sz w:val="24"/>
          <w:szCs w:val="24"/>
        </w:rPr>
        <w:t xml:space="preserve">we can understand </w:t>
      </w:r>
      <w:r w:rsidR="009A286F">
        <w:rPr>
          <w:rFonts w:ascii="Times New Roman" w:hAnsi="Times New Roman" w:cs="Times New Roman"/>
          <w:sz w:val="24"/>
          <w:szCs w:val="24"/>
        </w:rPr>
        <w:t xml:space="preserve">occurrences of the distant past- and develop knowledge of </w:t>
      </w:r>
      <w:r w:rsidR="009A286F">
        <w:rPr>
          <w:rFonts w:ascii="Times New Roman" w:hAnsi="Times New Roman" w:cs="Times New Roman"/>
          <w:i/>
          <w:iCs/>
          <w:sz w:val="24"/>
          <w:szCs w:val="24"/>
        </w:rPr>
        <w:t xml:space="preserve">D. pulicaria’s </w:t>
      </w:r>
      <w:r w:rsidR="009A286F">
        <w:rPr>
          <w:rFonts w:ascii="Times New Roman" w:hAnsi="Times New Roman" w:cs="Times New Roman"/>
          <w:sz w:val="24"/>
          <w:szCs w:val="24"/>
        </w:rPr>
        <w:t xml:space="preserve">evolutionary history. </w:t>
      </w:r>
      <w:r w:rsidR="0022578D">
        <w:rPr>
          <w:rFonts w:ascii="Times New Roman" w:hAnsi="Times New Roman" w:cs="Times New Roman"/>
          <w:sz w:val="24"/>
          <w:szCs w:val="24"/>
        </w:rPr>
        <w:t xml:space="preserve">This work sets the stage for the continued development of </w:t>
      </w:r>
      <w:r w:rsidR="00410696">
        <w:rPr>
          <w:rFonts w:ascii="Times New Roman" w:hAnsi="Times New Roman" w:cs="Times New Roman"/>
          <w:i/>
          <w:iCs/>
          <w:sz w:val="24"/>
          <w:szCs w:val="24"/>
        </w:rPr>
        <w:t xml:space="preserve">D. pulicaria </w:t>
      </w:r>
      <w:r w:rsidR="00410696">
        <w:rPr>
          <w:rFonts w:ascii="Times New Roman" w:hAnsi="Times New Roman" w:cs="Times New Roman"/>
          <w:sz w:val="24"/>
          <w:szCs w:val="24"/>
        </w:rPr>
        <w:t xml:space="preserve">as an eco-genomic model. </w:t>
      </w:r>
      <w:r w:rsidR="004C6B18">
        <w:rPr>
          <w:rFonts w:ascii="Times New Roman" w:hAnsi="Times New Roman" w:cs="Times New Roman"/>
          <w:sz w:val="24"/>
          <w:szCs w:val="24"/>
        </w:rPr>
        <w:t xml:space="preserve">Next, I turned to </w:t>
      </w:r>
      <w:r w:rsidR="00DE2791">
        <w:rPr>
          <w:rFonts w:ascii="Times New Roman" w:hAnsi="Times New Roman" w:cs="Times New Roman"/>
          <w:sz w:val="24"/>
          <w:szCs w:val="24"/>
        </w:rPr>
        <w:t xml:space="preserve">an </w:t>
      </w:r>
      <w:r w:rsidR="004C6B18">
        <w:rPr>
          <w:rFonts w:ascii="Times New Roman" w:hAnsi="Times New Roman" w:cs="Times New Roman"/>
          <w:sz w:val="24"/>
          <w:szCs w:val="24"/>
        </w:rPr>
        <w:t xml:space="preserve">altogether different archive to understand the long-term temporal dynamics of the </w:t>
      </w:r>
      <w:r w:rsidR="004C6B18">
        <w:rPr>
          <w:rFonts w:ascii="Times New Roman" w:hAnsi="Times New Roman" w:cs="Times New Roman"/>
          <w:i/>
          <w:iCs/>
          <w:sz w:val="24"/>
          <w:szCs w:val="24"/>
        </w:rPr>
        <w:t xml:space="preserve">Daphnia </w:t>
      </w:r>
      <w:r w:rsidR="004C6B18">
        <w:rPr>
          <w:rFonts w:ascii="Times New Roman" w:hAnsi="Times New Roman" w:cs="Times New Roman"/>
          <w:sz w:val="24"/>
          <w:szCs w:val="24"/>
        </w:rPr>
        <w:t xml:space="preserve">community </w:t>
      </w:r>
      <w:r w:rsidR="00BC6C73">
        <w:rPr>
          <w:rFonts w:ascii="Times New Roman" w:hAnsi="Times New Roman" w:cs="Times New Roman"/>
          <w:sz w:val="24"/>
          <w:szCs w:val="24"/>
        </w:rPr>
        <w:t xml:space="preserve">in Tanners Lake, a small suburban lake that has undergone extensive salinization recently because of human activity. </w:t>
      </w:r>
      <w:r w:rsidR="00BC6F4E">
        <w:rPr>
          <w:rFonts w:ascii="Times New Roman" w:hAnsi="Times New Roman" w:cs="Times New Roman"/>
          <w:sz w:val="24"/>
          <w:szCs w:val="24"/>
        </w:rPr>
        <w:t>I show</w:t>
      </w:r>
      <w:r w:rsidR="006F409B">
        <w:rPr>
          <w:rFonts w:ascii="Times New Roman" w:hAnsi="Times New Roman" w:cs="Times New Roman"/>
          <w:sz w:val="24"/>
          <w:szCs w:val="24"/>
        </w:rPr>
        <w:t>ed</w:t>
      </w:r>
      <w:r w:rsidR="00BC6F4E">
        <w:rPr>
          <w:rFonts w:ascii="Times New Roman" w:hAnsi="Times New Roman" w:cs="Times New Roman"/>
          <w:sz w:val="24"/>
          <w:szCs w:val="24"/>
        </w:rPr>
        <w:t xml:space="preserve"> that ephippial egg banks recorded in lake sediments can be used to reconstruct the local history and ecological dynamics of </w:t>
      </w:r>
      <w:r w:rsidR="00DB19FB">
        <w:rPr>
          <w:rFonts w:ascii="Times New Roman" w:hAnsi="Times New Roman" w:cs="Times New Roman"/>
          <w:i/>
          <w:iCs/>
          <w:sz w:val="24"/>
          <w:szCs w:val="24"/>
        </w:rPr>
        <w:t xml:space="preserve">Daphnia </w:t>
      </w:r>
      <w:r w:rsidR="00DB19FB">
        <w:rPr>
          <w:rFonts w:ascii="Times New Roman" w:hAnsi="Times New Roman" w:cs="Times New Roman"/>
          <w:sz w:val="24"/>
          <w:szCs w:val="24"/>
        </w:rPr>
        <w:t xml:space="preserve">populations. Interestingly, we found that specific to this lake, salinization, despite how extreme </w:t>
      </w:r>
      <w:r w:rsidR="003465B2">
        <w:rPr>
          <w:rFonts w:ascii="Times New Roman" w:hAnsi="Times New Roman" w:cs="Times New Roman"/>
          <w:sz w:val="24"/>
          <w:szCs w:val="24"/>
        </w:rPr>
        <w:t xml:space="preserve">it </w:t>
      </w:r>
      <w:r w:rsidR="006E37D1">
        <w:rPr>
          <w:rFonts w:ascii="Times New Roman" w:hAnsi="Times New Roman" w:cs="Times New Roman"/>
          <w:sz w:val="24"/>
          <w:szCs w:val="24"/>
        </w:rPr>
        <w:t>changes</w:t>
      </w:r>
      <w:r w:rsidR="003465B2">
        <w:rPr>
          <w:rFonts w:ascii="Times New Roman" w:hAnsi="Times New Roman" w:cs="Times New Roman"/>
          <w:sz w:val="24"/>
          <w:szCs w:val="24"/>
        </w:rPr>
        <w:t xml:space="preserve"> in this lake, does not exert a huge influence on the dynamics of the population. </w:t>
      </w:r>
      <w:r w:rsidR="006E37D1">
        <w:rPr>
          <w:rFonts w:ascii="Times New Roman" w:hAnsi="Times New Roman" w:cs="Times New Roman"/>
          <w:sz w:val="24"/>
          <w:szCs w:val="24"/>
        </w:rPr>
        <w:t xml:space="preserve">Finally, the egg bank can also be used </w:t>
      </w:r>
      <w:r w:rsidR="00590CAE">
        <w:rPr>
          <w:rFonts w:ascii="Times New Roman" w:hAnsi="Times New Roman" w:cs="Times New Roman"/>
          <w:sz w:val="24"/>
          <w:szCs w:val="24"/>
        </w:rPr>
        <w:t xml:space="preserve">in another way to look closely at the genomes of samples from across time to better understand the information in the sediment archive. </w:t>
      </w:r>
      <w:r w:rsidR="00A31863">
        <w:rPr>
          <w:rFonts w:ascii="Times New Roman" w:hAnsi="Times New Roman" w:cs="Times New Roman"/>
          <w:sz w:val="24"/>
          <w:szCs w:val="24"/>
        </w:rPr>
        <w:t>In my third and final chapter, we hatch</w:t>
      </w:r>
      <w:r w:rsidR="006F409B">
        <w:rPr>
          <w:rFonts w:ascii="Times New Roman" w:hAnsi="Times New Roman" w:cs="Times New Roman"/>
          <w:sz w:val="24"/>
          <w:szCs w:val="24"/>
        </w:rPr>
        <w:t>ed</w:t>
      </w:r>
      <w:r w:rsidR="00A31863">
        <w:rPr>
          <w:rFonts w:ascii="Times New Roman" w:hAnsi="Times New Roman" w:cs="Times New Roman"/>
          <w:sz w:val="24"/>
          <w:szCs w:val="24"/>
        </w:rPr>
        <w:t xml:space="preserve"> </w:t>
      </w:r>
      <w:r w:rsidR="008B106B">
        <w:rPr>
          <w:rFonts w:ascii="Times New Roman" w:hAnsi="Times New Roman" w:cs="Times New Roman"/>
          <w:i/>
          <w:iCs/>
          <w:sz w:val="24"/>
          <w:szCs w:val="24"/>
        </w:rPr>
        <w:t xml:space="preserve">D. pulicaria </w:t>
      </w:r>
      <w:r w:rsidR="00A31863">
        <w:rPr>
          <w:rFonts w:ascii="Times New Roman" w:hAnsi="Times New Roman" w:cs="Times New Roman"/>
          <w:sz w:val="24"/>
          <w:szCs w:val="24"/>
        </w:rPr>
        <w:t xml:space="preserve">from across </w:t>
      </w:r>
      <w:r w:rsidR="003706BF">
        <w:rPr>
          <w:rFonts w:ascii="Times New Roman" w:hAnsi="Times New Roman" w:cs="Times New Roman"/>
          <w:sz w:val="24"/>
          <w:szCs w:val="24"/>
        </w:rPr>
        <w:t xml:space="preserve">~25 years from Tanners Lake. </w:t>
      </w:r>
      <w:r w:rsidR="006F409B">
        <w:rPr>
          <w:rFonts w:ascii="Times New Roman" w:hAnsi="Times New Roman" w:cs="Times New Roman"/>
          <w:sz w:val="24"/>
          <w:szCs w:val="24"/>
        </w:rPr>
        <w:t>We then</w:t>
      </w:r>
      <w:r w:rsidR="003706BF">
        <w:rPr>
          <w:rFonts w:ascii="Times New Roman" w:hAnsi="Times New Roman" w:cs="Times New Roman"/>
          <w:sz w:val="24"/>
          <w:szCs w:val="24"/>
        </w:rPr>
        <w:t xml:space="preserve"> sequenced their genomes and </w:t>
      </w:r>
      <w:r w:rsidR="00A422A7">
        <w:rPr>
          <w:rFonts w:ascii="Times New Roman" w:hAnsi="Times New Roman" w:cs="Times New Roman"/>
          <w:sz w:val="24"/>
          <w:szCs w:val="24"/>
        </w:rPr>
        <w:t>use</w:t>
      </w:r>
      <w:r w:rsidR="006F409B">
        <w:rPr>
          <w:rFonts w:ascii="Times New Roman" w:hAnsi="Times New Roman" w:cs="Times New Roman"/>
          <w:sz w:val="24"/>
          <w:szCs w:val="24"/>
        </w:rPr>
        <w:t>d</w:t>
      </w:r>
      <w:r w:rsidR="00A422A7">
        <w:rPr>
          <w:rFonts w:ascii="Times New Roman" w:hAnsi="Times New Roman" w:cs="Times New Roman"/>
          <w:sz w:val="24"/>
          <w:szCs w:val="24"/>
        </w:rPr>
        <w:t xml:space="preserve"> the DNA sequence variation e</w:t>
      </w:r>
      <w:r w:rsidR="00BD6374">
        <w:rPr>
          <w:rFonts w:ascii="Times New Roman" w:hAnsi="Times New Roman" w:cs="Times New Roman"/>
          <w:sz w:val="24"/>
          <w:szCs w:val="24"/>
        </w:rPr>
        <w:t xml:space="preserve">ncoded in them to shed light on why we might observe very few impacts of salinization in this </w:t>
      </w:r>
      <w:r w:rsidR="00E3299E">
        <w:rPr>
          <w:rFonts w:ascii="Times New Roman" w:hAnsi="Times New Roman" w:cs="Times New Roman"/>
          <w:sz w:val="24"/>
          <w:szCs w:val="24"/>
        </w:rPr>
        <w:t>population,</w:t>
      </w:r>
      <w:r w:rsidR="00BD1AB7">
        <w:rPr>
          <w:rFonts w:ascii="Times New Roman" w:hAnsi="Times New Roman" w:cs="Times New Roman"/>
          <w:sz w:val="24"/>
          <w:szCs w:val="24"/>
        </w:rPr>
        <w:t xml:space="preserve"> and we look</w:t>
      </w:r>
      <w:r w:rsidR="006F409B">
        <w:rPr>
          <w:rFonts w:ascii="Times New Roman" w:hAnsi="Times New Roman" w:cs="Times New Roman"/>
          <w:sz w:val="24"/>
          <w:szCs w:val="24"/>
        </w:rPr>
        <w:t>ed</w:t>
      </w:r>
      <w:r w:rsidR="00BD1AB7">
        <w:rPr>
          <w:rFonts w:ascii="Times New Roman" w:hAnsi="Times New Roman" w:cs="Times New Roman"/>
          <w:sz w:val="24"/>
          <w:szCs w:val="24"/>
        </w:rPr>
        <w:t xml:space="preserve"> at the emergent phenotypic characteristics over time</w:t>
      </w:r>
      <w:r w:rsidR="00BD6374">
        <w:rPr>
          <w:rFonts w:ascii="Times New Roman" w:hAnsi="Times New Roman" w:cs="Times New Roman"/>
          <w:sz w:val="24"/>
          <w:szCs w:val="24"/>
        </w:rPr>
        <w:t xml:space="preserve">. The </w:t>
      </w:r>
      <w:r w:rsidR="00BD1AB7">
        <w:rPr>
          <w:rFonts w:ascii="Times New Roman" w:hAnsi="Times New Roman" w:cs="Times New Roman"/>
          <w:sz w:val="24"/>
          <w:szCs w:val="24"/>
        </w:rPr>
        <w:t xml:space="preserve">genomes and phenomes paint a rich picture of evolution of tolerance over time. Thus, </w:t>
      </w:r>
      <w:r w:rsidR="00E3299E">
        <w:rPr>
          <w:rFonts w:ascii="Times New Roman" w:hAnsi="Times New Roman" w:cs="Times New Roman"/>
          <w:sz w:val="24"/>
          <w:szCs w:val="24"/>
        </w:rPr>
        <w:t xml:space="preserve">it seems that evolutionary responses over relatively short times scales may help buffer </w:t>
      </w:r>
      <w:r w:rsidR="007F3FCC">
        <w:rPr>
          <w:rFonts w:ascii="Times New Roman" w:hAnsi="Times New Roman" w:cs="Times New Roman"/>
          <w:sz w:val="24"/>
          <w:szCs w:val="24"/>
        </w:rPr>
        <w:t xml:space="preserve">population from the worst impacts of salinization. </w:t>
      </w:r>
      <w:r w:rsidR="00DA40EE">
        <w:rPr>
          <w:rFonts w:ascii="Times New Roman" w:hAnsi="Times New Roman" w:cs="Times New Roman"/>
          <w:sz w:val="24"/>
          <w:szCs w:val="24"/>
        </w:rPr>
        <w:lastRenderedPageBreak/>
        <w:t>However, such a conclusion requires an important caveat.</w:t>
      </w:r>
      <w:r w:rsidR="00B32246">
        <w:rPr>
          <w:rFonts w:ascii="Times New Roman" w:hAnsi="Times New Roman" w:cs="Times New Roman"/>
          <w:sz w:val="24"/>
          <w:szCs w:val="24"/>
        </w:rPr>
        <w:t xml:space="preserve"> Lake populations </w:t>
      </w:r>
      <w:r w:rsidR="003F08C6">
        <w:rPr>
          <w:rFonts w:ascii="Times New Roman" w:hAnsi="Times New Roman" w:cs="Times New Roman"/>
          <w:sz w:val="24"/>
          <w:szCs w:val="24"/>
        </w:rPr>
        <w:t xml:space="preserve">of </w:t>
      </w:r>
      <w:r w:rsidR="003F08C6" w:rsidRPr="003F08C6">
        <w:rPr>
          <w:rFonts w:ascii="Times New Roman" w:hAnsi="Times New Roman" w:cs="Times New Roman"/>
          <w:i/>
          <w:iCs/>
          <w:sz w:val="24"/>
          <w:szCs w:val="24"/>
        </w:rPr>
        <w:t>Daphnia</w:t>
      </w:r>
      <w:r w:rsidR="00DA40EE">
        <w:rPr>
          <w:rFonts w:ascii="Times New Roman" w:hAnsi="Times New Roman" w:cs="Times New Roman"/>
          <w:i/>
          <w:iCs/>
          <w:sz w:val="24"/>
          <w:szCs w:val="24"/>
        </w:rPr>
        <w:t xml:space="preserve"> </w:t>
      </w:r>
      <w:r w:rsidR="00B32246">
        <w:rPr>
          <w:rFonts w:ascii="Times New Roman" w:hAnsi="Times New Roman" w:cs="Times New Roman"/>
          <w:sz w:val="24"/>
          <w:szCs w:val="24"/>
        </w:rPr>
        <w:t xml:space="preserve">may exhibit small effective population sizes </w:t>
      </w:r>
      <w:r w:rsidR="003F08C6">
        <w:rPr>
          <w:rFonts w:ascii="Times New Roman" w:hAnsi="Times New Roman" w:cs="Times New Roman"/>
          <w:sz w:val="24"/>
          <w:szCs w:val="24"/>
        </w:rPr>
        <w:t xml:space="preserve">resulting from </w:t>
      </w:r>
      <w:r w:rsidR="00B32246">
        <w:rPr>
          <w:rFonts w:ascii="Times New Roman" w:hAnsi="Times New Roman" w:cs="Times New Roman"/>
          <w:sz w:val="24"/>
          <w:szCs w:val="24"/>
        </w:rPr>
        <w:t>long-term clonal selection and reduced recombination</w:t>
      </w:r>
      <w:r w:rsidR="003F08C6">
        <w:rPr>
          <w:rFonts w:ascii="Times New Roman" w:hAnsi="Times New Roman" w:cs="Times New Roman"/>
          <w:sz w:val="24"/>
          <w:szCs w:val="24"/>
        </w:rPr>
        <w:t>,</w:t>
      </w:r>
      <w:r w:rsidR="00B32246">
        <w:rPr>
          <w:rFonts w:ascii="Times New Roman" w:hAnsi="Times New Roman" w:cs="Times New Roman"/>
          <w:sz w:val="24"/>
          <w:szCs w:val="24"/>
        </w:rPr>
        <w:t xml:space="preserve"> and reduced gene flow due to their</w:t>
      </w:r>
      <w:r w:rsidR="00DA40EE">
        <w:rPr>
          <w:rFonts w:ascii="Times New Roman" w:hAnsi="Times New Roman" w:cs="Times New Roman"/>
          <w:sz w:val="24"/>
          <w:szCs w:val="24"/>
        </w:rPr>
        <w:t xml:space="preserve"> inherent insular </w:t>
      </w:r>
      <w:r w:rsidR="00B32246">
        <w:rPr>
          <w:rFonts w:ascii="Times New Roman" w:hAnsi="Times New Roman" w:cs="Times New Roman"/>
          <w:sz w:val="24"/>
          <w:szCs w:val="24"/>
        </w:rPr>
        <w:t>nature. T</w:t>
      </w:r>
      <w:r w:rsidR="00DA40EE">
        <w:rPr>
          <w:rFonts w:ascii="Times New Roman" w:hAnsi="Times New Roman" w:cs="Times New Roman"/>
          <w:sz w:val="24"/>
          <w:szCs w:val="24"/>
        </w:rPr>
        <w:t>hus</w:t>
      </w:r>
      <w:r w:rsidR="00B32246">
        <w:rPr>
          <w:rFonts w:ascii="Times New Roman" w:hAnsi="Times New Roman" w:cs="Times New Roman"/>
          <w:sz w:val="24"/>
          <w:szCs w:val="24"/>
        </w:rPr>
        <w:t xml:space="preserve">, these features may </w:t>
      </w:r>
      <w:r w:rsidR="00DA40EE">
        <w:rPr>
          <w:rFonts w:ascii="Times New Roman" w:hAnsi="Times New Roman" w:cs="Times New Roman"/>
          <w:sz w:val="24"/>
          <w:szCs w:val="24"/>
        </w:rPr>
        <w:t>limit</w:t>
      </w:r>
      <w:r w:rsidR="00B32246">
        <w:rPr>
          <w:rFonts w:ascii="Times New Roman" w:hAnsi="Times New Roman" w:cs="Times New Roman"/>
          <w:sz w:val="24"/>
          <w:szCs w:val="24"/>
        </w:rPr>
        <w:t xml:space="preserve"> such populations</w:t>
      </w:r>
      <w:r w:rsidR="00DA40EE">
        <w:rPr>
          <w:rFonts w:ascii="Times New Roman" w:hAnsi="Times New Roman" w:cs="Times New Roman"/>
          <w:sz w:val="24"/>
          <w:szCs w:val="24"/>
        </w:rPr>
        <w:t xml:space="preserve"> in their capacity to evolve</w:t>
      </w:r>
      <w:r w:rsidR="00BF7807">
        <w:rPr>
          <w:rFonts w:ascii="Times New Roman" w:hAnsi="Times New Roman" w:cs="Times New Roman"/>
          <w:sz w:val="24"/>
          <w:szCs w:val="24"/>
        </w:rPr>
        <w:t xml:space="preserve">, </w:t>
      </w:r>
      <w:r w:rsidR="00DA40EE">
        <w:rPr>
          <w:rFonts w:ascii="Times New Roman" w:hAnsi="Times New Roman" w:cs="Times New Roman"/>
          <w:sz w:val="24"/>
          <w:szCs w:val="24"/>
        </w:rPr>
        <w:t xml:space="preserve">as such some lake populations will not meet the challenges of their environment and will </w:t>
      </w:r>
      <w:r w:rsidR="00DE2791">
        <w:rPr>
          <w:rFonts w:ascii="Times New Roman" w:hAnsi="Times New Roman" w:cs="Times New Roman"/>
          <w:sz w:val="24"/>
          <w:szCs w:val="24"/>
        </w:rPr>
        <w:t>be extirpated</w:t>
      </w:r>
      <w:r w:rsidR="00DA40EE">
        <w:rPr>
          <w:rFonts w:ascii="Times New Roman" w:hAnsi="Times New Roman" w:cs="Times New Roman"/>
          <w:sz w:val="24"/>
          <w:szCs w:val="24"/>
        </w:rPr>
        <w:t>. The spread of adaptive alleles will</w:t>
      </w:r>
      <w:r w:rsidR="00B32246">
        <w:rPr>
          <w:rFonts w:ascii="Times New Roman" w:hAnsi="Times New Roman" w:cs="Times New Roman"/>
          <w:sz w:val="24"/>
          <w:szCs w:val="24"/>
        </w:rPr>
        <w:t xml:space="preserve"> be</w:t>
      </w:r>
      <w:r w:rsidR="00DA40EE">
        <w:rPr>
          <w:rFonts w:ascii="Times New Roman" w:hAnsi="Times New Roman" w:cs="Times New Roman"/>
          <w:sz w:val="24"/>
          <w:szCs w:val="24"/>
        </w:rPr>
        <w:t xml:space="preserve"> highly dependent on the underlying genetic structure of the </w:t>
      </w:r>
      <w:r w:rsidR="00DA40EE">
        <w:rPr>
          <w:rFonts w:ascii="Times New Roman" w:hAnsi="Times New Roman" w:cs="Times New Roman"/>
          <w:i/>
          <w:iCs/>
          <w:sz w:val="24"/>
          <w:szCs w:val="24"/>
        </w:rPr>
        <w:t xml:space="preserve">D. pulicaria </w:t>
      </w:r>
      <w:r w:rsidR="00DA40EE">
        <w:rPr>
          <w:rFonts w:ascii="Times New Roman" w:hAnsi="Times New Roman" w:cs="Times New Roman"/>
          <w:sz w:val="24"/>
          <w:szCs w:val="24"/>
        </w:rPr>
        <w:t xml:space="preserve">metapopulation. </w:t>
      </w:r>
      <w:r w:rsidR="00423057">
        <w:rPr>
          <w:rFonts w:ascii="Times New Roman" w:hAnsi="Times New Roman" w:cs="Times New Roman"/>
          <w:sz w:val="24"/>
          <w:szCs w:val="24"/>
        </w:rPr>
        <w:t>This</w:t>
      </w:r>
      <w:r w:rsidR="00BF7807">
        <w:rPr>
          <w:rFonts w:ascii="Times New Roman" w:hAnsi="Times New Roman" w:cs="Times New Roman"/>
          <w:sz w:val="24"/>
          <w:szCs w:val="24"/>
        </w:rPr>
        <w:t>,</w:t>
      </w:r>
      <w:r w:rsidR="00423057">
        <w:rPr>
          <w:rFonts w:ascii="Times New Roman" w:hAnsi="Times New Roman" w:cs="Times New Roman"/>
          <w:sz w:val="24"/>
          <w:szCs w:val="24"/>
        </w:rPr>
        <w:t xml:space="preserve"> of course</w:t>
      </w:r>
      <w:r w:rsidR="00BF7807">
        <w:rPr>
          <w:rFonts w:ascii="Times New Roman" w:hAnsi="Times New Roman" w:cs="Times New Roman"/>
          <w:sz w:val="24"/>
          <w:szCs w:val="24"/>
        </w:rPr>
        <w:t>,</w:t>
      </w:r>
      <w:r w:rsidR="00423057">
        <w:rPr>
          <w:rFonts w:ascii="Times New Roman" w:hAnsi="Times New Roman" w:cs="Times New Roman"/>
          <w:sz w:val="24"/>
          <w:szCs w:val="24"/>
        </w:rPr>
        <w:t xml:space="preserve"> could not be explored by surveying a single lake</w:t>
      </w:r>
      <w:r w:rsidR="00B32246">
        <w:rPr>
          <w:rFonts w:ascii="Times New Roman" w:hAnsi="Times New Roman" w:cs="Times New Roman"/>
          <w:sz w:val="24"/>
          <w:szCs w:val="24"/>
        </w:rPr>
        <w:t xml:space="preserve"> in this present work</w:t>
      </w:r>
      <w:r w:rsidR="00423057">
        <w:rPr>
          <w:rFonts w:ascii="Times New Roman" w:hAnsi="Times New Roman" w:cs="Times New Roman"/>
          <w:sz w:val="24"/>
          <w:szCs w:val="24"/>
        </w:rPr>
        <w:t xml:space="preserve">. </w:t>
      </w:r>
    </w:p>
    <w:p w14:paraId="72A16B38" w14:textId="34F67178" w:rsidR="003F08C6" w:rsidRDefault="007F3FCC" w:rsidP="004B7CA0">
      <w:pPr>
        <w:spacing w:line="480" w:lineRule="auto"/>
        <w:rPr>
          <w:rFonts w:ascii="Times New Roman" w:hAnsi="Times New Roman" w:cs="Times New Roman"/>
          <w:sz w:val="24"/>
          <w:szCs w:val="24"/>
        </w:rPr>
      </w:pPr>
      <w:r>
        <w:rPr>
          <w:rFonts w:ascii="Times New Roman" w:hAnsi="Times New Roman" w:cs="Times New Roman"/>
          <w:sz w:val="24"/>
          <w:szCs w:val="24"/>
        </w:rPr>
        <w:tab/>
        <w:t>The pursuit of research</w:t>
      </w:r>
      <w:r w:rsidR="0030584E">
        <w:rPr>
          <w:rFonts w:ascii="Times New Roman" w:hAnsi="Times New Roman" w:cs="Times New Roman"/>
          <w:sz w:val="24"/>
          <w:szCs w:val="24"/>
        </w:rPr>
        <w:t xml:space="preserve"> does not conclude with one’s dissertation.</w:t>
      </w:r>
      <w:r>
        <w:rPr>
          <w:rFonts w:ascii="Times New Roman" w:hAnsi="Times New Roman" w:cs="Times New Roman"/>
          <w:sz w:val="24"/>
          <w:szCs w:val="24"/>
        </w:rPr>
        <w:t xml:space="preserve"> As I complete my </w:t>
      </w:r>
      <w:r w:rsidR="007425ED">
        <w:rPr>
          <w:rFonts w:ascii="Times New Roman" w:hAnsi="Times New Roman" w:cs="Times New Roman"/>
          <w:sz w:val="24"/>
          <w:szCs w:val="24"/>
        </w:rPr>
        <w:t>PhD,</w:t>
      </w:r>
      <w:r>
        <w:rPr>
          <w:rFonts w:ascii="Times New Roman" w:hAnsi="Times New Roman" w:cs="Times New Roman"/>
          <w:sz w:val="24"/>
          <w:szCs w:val="24"/>
        </w:rPr>
        <w:t xml:space="preserve"> I am left with many more questions than when I started. </w:t>
      </w:r>
      <w:r w:rsidR="00F23877">
        <w:rPr>
          <w:rFonts w:ascii="Times New Roman" w:hAnsi="Times New Roman" w:cs="Times New Roman"/>
          <w:sz w:val="24"/>
          <w:szCs w:val="24"/>
        </w:rPr>
        <w:t>I am lucky that as of this writing</w:t>
      </w:r>
      <w:r w:rsidR="002C2425">
        <w:rPr>
          <w:rFonts w:ascii="Times New Roman" w:hAnsi="Times New Roman" w:cs="Times New Roman"/>
          <w:sz w:val="24"/>
          <w:szCs w:val="24"/>
        </w:rPr>
        <w:t>,</w:t>
      </w:r>
      <w:r w:rsidR="00F23877">
        <w:rPr>
          <w:rFonts w:ascii="Times New Roman" w:hAnsi="Times New Roman" w:cs="Times New Roman"/>
          <w:sz w:val="24"/>
          <w:szCs w:val="24"/>
        </w:rPr>
        <w:t xml:space="preserve"> I get </w:t>
      </w:r>
      <w:r w:rsidR="0030584E">
        <w:rPr>
          <w:rFonts w:ascii="Times New Roman" w:hAnsi="Times New Roman" w:cs="Times New Roman"/>
          <w:sz w:val="24"/>
          <w:szCs w:val="24"/>
        </w:rPr>
        <w:t xml:space="preserve">to </w:t>
      </w:r>
      <w:r w:rsidR="00F23877">
        <w:rPr>
          <w:rFonts w:ascii="Times New Roman" w:hAnsi="Times New Roman" w:cs="Times New Roman"/>
          <w:sz w:val="24"/>
          <w:szCs w:val="24"/>
        </w:rPr>
        <w:t xml:space="preserve">continue in pursuit of these </w:t>
      </w:r>
      <w:r w:rsidR="00E15143">
        <w:rPr>
          <w:rFonts w:ascii="Times New Roman" w:hAnsi="Times New Roman" w:cs="Times New Roman"/>
          <w:sz w:val="24"/>
          <w:szCs w:val="24"/>
        </w:rPr>
        <w:t xml:space="preserve">with generous funding from the State of Minnesota with excellent collaborators. </w:t>
      </w:r>
      <w:r w:rsidR="00423057">
        <w:rPr>
          <w:rFonts w:ascii="Times New Roman" w:hAnsi="Times New Roman" w:cs="Times New Roman"/>
          <w:sz w:val="24"/>
          <w:szCs w:val="24"/>
        </w:rPr>
        <w:t>Soon</w:t>
      </w:r>
      <w:r w:rsidR="00E15143">
        <w:rPr>
          <w:rFonts w:ascii="Times New Roman" w:hAnsi="Times New Roman" w:cs="Times New Roman"/>
          <w:sz w:val="24"/>
          <w:szCs w:val="24"/>
        </w:rPr>
        <w:t xml:space="preserve">, I will explore the evolutionary responses of populations </w:t>
      </w:r>
      <w:r w:rsidR="00DA0236">
        <w:rPr>
          <w:rFonts w:ascii="Times New Roman" w:hAnsi="Times New Roman" w:cs="Times New Roman"/>
          <w:sz w:val="24"/>
          <w:szCs w:val="24"/>
        </w:rPr>
        <w:t>not across time, but across space</w:t>
      </w:r>
      <w:r w:rsidR="00423057">
        <w:rPr>
          <w:rFonts w:ascii="Times New Roman" w:hAnsi="Times New Roman" w:cs="Times New Roman"/>
          <w:sz w:val="24"/>
          <w:szCs w:val="24"/>
        </w:rPr>
        <w:t xml:space="preserve"> and assess the role of underlying genetic structure on adaptation to salinity. </w:t>
      </w:r>
      <w:r w:rsidR="00DA0236">
        <w:rPr>
          <w:rFonts w:ascii="Times New Roman" w:hAnsi="Times New Roman" w:cs="Times New Roman"/>
          <w:sz w:val="24"/>
          <w:szCs w:val="24"/>
        </w:rPr>
        <w:t xml:space="preserve">This work will extend much of what was done here and drive it in new directions. </w:t>
      </w:r>
      <w:r w:rsidR="00423057">
        <w:rPr>
          <w:rFonts w:ascii="Times New Roman" w:hAnsi="Times New Roman" w:cs="Times New Roman"/>
          <w:sz w:val="24"/>
          <w:szCs w:val="24"/>
        </w:rPr>
        <w:t xml:space="preserve">While these first steps are important, one aspect of the adaptation puzzle remains elusive in my dissertation. Specifically, the mappings of specific genetic variants or alleles to the salinity tolerance phenotype. Determining the specific mappings of allelic variation to </w:t>
      </w:r>
      <w:r w:rsidR="006D23AF">
        <w:rPr>
          <w:rFonts w:ascii="Times New Roman" w:hAnsi="Times New Roman" w:cs="Times New Roman"/>
          <w:sz w:val="24"/>
          <w:szCs w:val="24"/>
        </w:rPr>
        <w:t xml:space="preserve">variance in quantitative traits has been seen as the “ultimate” goal of geneticists since </w:t>
      </w:r>
      <w:r w:rsidR="002C2425">
        <w:rPr>
          <w:rFonts w:ascii="Times New Roman" w:hAnsi="Times New Roman" w:cs="Times New Roman"/>
          <w:sz w:val="24"/>
          <w:szCs w:val="24"/>
        </w:rPr>
        <w:t>the “dawn” of the Modern Evolutionary Synthesis</w:t>
      </w:r>
      <w:r w:rsidR="006D23AF">
        <w:rPr>
          <w:rFonts w:ascii="Times New Roman" w:hAnsi="Times New Roman" w:cs="Times New Roman"/>
          <w:sz w:val="24"/>
          <w:szCs w:val="24"/>
        </w:rPr>
        <w:t xml:space="preserve">. New technologies offer a promising avenue for this pursuit, particularly the use of Genome Editing (e.g., CRISPR-Cas9) to introduce mutations onto novel genetic backgrounds to explore their impact on phenotypes. As this technique becomes increasingly trackable in </w:t>
      </w:r>
      <w:r w:rsidR="006D23AF">
        <w:rPr>
          <w:rFonts w:ascii="Times New Roman" w:hAnsi="Times New Roman" w:cs="Times New Roman"/>
          <w:i/>
          <w:iCs/>
          <w:sz w:val="24"/>
          <w:szCs w:val="24"/>
        </w:rPr>
        <w:t>Daphnia</w:t>
      </w:r>
      <w:r w:rsidR="002C2425">
        <w:rPr>
          <w:rFonts w:ascii="Times New Roman" w:hAnsi="Times New Roman" w:cs="Times New Roman"/>
          <w:sz w:val="24"/>
          <w:szCs w:val="24"/>
        </w:rPr>
        <w:t xml:space="preserve">, </w:t>
      </w:r>
      <w:r w:rsidR="006D23AF">
        <w:rPr>
          <w:rFonts w:ascii="Times New Roman" w:hAnsi="Times New Roman" w:cs="Times New Roman"/>
          <w:sz w:val="24"/>
          <w:szCs w:val="24"/>
        </w:rPr>
        <w:t xml:space="preserve">the significance of the mutations </w:t>
      </w:r>
      <w:r w:rsidR="002C2425">
        <w:rPr>
          <w:rFonts w:ascii="Times New Roman" w:hAnsi="Times New Roman" w:cs="Times New Roman"/>
          <w:sz w:val="24"/>
          <w:szCs w:val="24"/>
        </w:rPr>
        <w:t>that were highlighted</w:t>
      </w:r>
      <w:r w:rsidR="006D23AF">
        <w:rPr>
          <w:rFonts w:ascii="Times New Roman" w:hAnsi="Times New Roman" w:cs="Times New Roman"/>
          <w:sz w:val="24"/>
          <w:szCs w:val="24"/>
        </w:rPr>
        <w:t xml:space="preserve"> in my third chapter can be further explored. In the future, </w:t>
      </w:r>
      <w:r w:rsidR="00FD1608">
        <w:rPr>
          <w:rFonts w:ascii="Times New Roman" w:hAnsi="Times New Roman" w:cs="Times New Roman"/>
          <w:sz w:val="24"/>
          <w:szCs w:val="24"/>
        </w:rPr>
        <w:t xml:space="preserve">unifying </w:t>
      </w:r>
      <w:r w:rsidR="006D23AF">
        <w:rPr>
          <w:rFonts w:ascii="Times New Roman" w:hAnsi="Times New Roman" w:cs="Times New Roman"/>
          <w:sz w:val="24"/>
          <w:szCs w:val="24"/>
        </w:rPr>
        <w:t xml:space="preserve">the powerful temporal approach of Resurrection Ecology </w:t>
      </w:r>
      <w:r w:rsidR="001A6A23">
        <w:rPr>
          <w:rFonts w:ascii="Times New Roman" w:hAnsi="Times New Roman" w:cs="Times New Roman"/>
          <w:sz w:val="24"/>
          <w:szCs w:val="24"/>
        </w:rPr>
        <w:t>with</w:t>
      </w:r>
      <w:r w:rsidR="002C2425">
        <w:rPr>
          <w:rFonts w:ascii="Times New Roman" w:hAnsi="Times New Roman" w:cs="Times New Roman"/>
          <w:sz w:val="24"/>
          <w:szCs w:val="24"/>
        </w:rPr>
        <w:t xml:space="preserve"> ecological and evolutionary ge</w:t>
      </w:r>
      <w:r w:rsidR="00875224">
        <w:rPr>
          <w:rFonts w:ascii="Times New Roman" w:hAnsi="Times New Roman" w:cs="Times New Roman"/>
          <w:sz w:val="24"/>
          <w:szCs w:val="24"/>
        </w:rPr>
        <w:t xml:space="preserve">nomics </w:t>
      </w:r>
      <w:r w:rsidR="006D23AF">
        <w:rPr>
          <w:rFonts w:ascii="Times New Roman" w:hAnsi="Times New Roman" w:cs="Times New Roman"/>
          <w:sz w:val="24"/>
          <w:szCs w:val="24"/>
        </w:rPr>
        <w:t xml:space="preserve">to identify a list of selected variants </w:t>
      </w:r>
      <w:r w:rsidR="004C75F3">
        <w:rPr>
          <w:rFonts w:ascii="Times New Roman" w:hAnsi="Times New Roman" w:cs="Times New Roman"/>
          <w:sz w:val="24"/>
          <w:szCs w:val="24"/>
        </w:rPr>
        <w:t xml:space="preserve">and </w:t>
      </w:r>
      <w:r w:rsidR="004C75F3">
        <w:rPr>
          <w:rFonts w:ascii="Times New Roman" w:hAnsi="Times New Roman" w:cs="Times New Roman"/>
          <w:sz w:val="24"/>
          <w:szCs w:val="24"/>
        </w:rPr>
        <w:lastRenderedPageBreak/>
        <w:t xml:space="preserve">validating the phenotypic effects </w:t>
      </w:r>
      <w:r w:rsidR="002264DD">
        <w:rPr>
          <w:rFonts w:ascii="Times New Roman" w:hAnsi="Times New Roman" w:cs="Times New Roman"/>
          <w:sz w:val="24"/>
          <w:szCs w:val="24"/>
        </w:rPr>
        <w:t>with CRISPR</w:t>
      </w:r>
      <w:r w:rsidR="002C2425">
        <w:rPr>
          <w:rFonts w:ascii="Times New Roman" w:hAnsi="Times New Roman" w:cs="Times New Roman"/>
          <w:sz w:val="24"/>
          <w:szCs w:val="24"/>
        </w:rPr>
        <w:t>-</w:t>
      </w:r>
      <w:r w:rsidR="002264DD">
        <w:rPr>
          <w:rFonts w:ascii="Times New Roman" w:hAnsi="Times New Roman" w:cs="Times New Roman"/>
          <w:sz w:val="24"/>
          <w:szCs w:val="24"/>
        </w:rPr>
        <w:t>edited clones</w:t>
      </w:r>
      <w:r w:rsidR="002C2425">
        <w:rPr>
          <w:rFonts w:ascii="Times New Roman" w:hAnsi="Times New Roman" w:cs="Times New Roman"/>
          <w:sz w:val="24"/>
          <w:szCs w:val="24"/>
        </w:rPr>
        <w:t>,</w:t>
      </w:r>
      <w:r w:rsidR="002264DD">
        <w:rPr>
          <w:rFonts w:ascii="Times New Roman" w:hAnsi="Times New Roman" w:cs="Times New Roman"/>
          <w:sz w:val="24"/>
          <w:szCs w:val="24"/>
        </w:rPr>
        <w:t xml:space="preserve"> offer a robust way to expand our understanding of the “marks” that humans continue to leave in biological archives. </w:t>
      </w:r>
      <w:r w:rsidR="0006657A">
        <w:rPr>
          <w:rFonts w:ascii="Times New Roman" w:hAnsi="Times New Roman" w:cs="Times New Roman"/>
          <w:sz w:val="24"/>
          <w:szCs w:val="24"/>
        </w:rPr>
        <w:t xml:space="preserve"> This becomes increasingly more critical in the face of the environmental challenges that the future will bring.  </w:t>
      </w:r>
    </w:p>
    <w:p w14:paraId="3DE69E81" w14:textId="2EC1ECFD" w:rsidR="007425ED" w:rsidRDefault="003F08C6" w:rsidP="003F08C6">
      <w:pPr>
        <w:rPr>
          <w:rFonts w:ascii="Times New Roman" w:hAnsi="Times New Roman" w:cs="Times New Roman"/>
          <w:sz w:val="24"/>
          <w:szCs w:val="24"/>
        </w:rPr>
      </w:pPr>
      <w:r>
        <w:rPr>
          <w:rFonts w:ascii="Times New Roman" w:hAnsi="Times New Roman" w:cs="Times New Roman"/>
          <w:sz w:val="24"/>
          <w:szCs w:val="24"/>
        </w:rPr>
        <w:br w:type="page"/>
      </w:r>
    </w:p>
    <w:p w14:paraId="2107FD32" w14:textId="0F9F556F" w:rsidR="007425ED" w:rsidRPr="002264DD" w:rsidRDefault="00BF5562" w:rsidP="00BF5562">
      <w:pPr>
        <w:spacing w:line="480" w:lineRule="auto"/>
        <w:jc w:val="center"/>
        <w:rPr>
          <w:rFonts w:ascii="Times New Roman" w:hAnsi="Times New Roman" w:cs="Times New Roman"/>
          <w:b/>
          <w:bCs/>
          <w:sz w:val="24"/>
          <w:szCs w:val="24"/>
        </w:rPr>
      </w:pPr>
      <w:r w:rsidRPr="002264DD">
        <w:rPr>
          <w:rFonts w:ascii="Times New Roman" w:hAnsi="Times New Roman" w:cs="Times New Roman"/>
          <w:b/>
          <w:bCs/>
          <w:sz w:val="24"/>
          <w:szCs w:val="24"/>
        </w:rPr>
        <w:lastRenderedPageBreak/>
        <w:t>Appendix 1</w:t>
      </w:r>
    </w:p>
    <w:p w14:paraId="5B3AFAAC" w14:textId="3D7CFAB0" w:rsidR="00D617DF" w:rsidRPr="002264DD" w:rsidRDefault="00BF5562" w:rsidP="00D617DF">
      <w:pPr>
        <w:spacing w:line="480" w:lineRule="auto"/>
        <w:jc w:val="center"/>
        <w:rPr>
          <w:rFonts w:ascii="Times New Roman" w:hAnsi="Times New Roman" w:cs="Times New Roman"/>
          <w:b/>
          <w:bCs/>
          <w:sz w:val="24"/>
          <w:szCs w:val="24"/>
        </w:rPr>
      </w:pPr>
      <w:r w:rsidRPr="002264DD">
        <w:rPr>
          <w:rFonts w:ascii="Times New Roman" w:hAnsi="Times New Roman" w:cs="Times New Roman"/>
          <w:b/>
          <w:bCs/>
          <w:sz w:val="24"/>
          <w:szCs w:val="24"/>
        </w:rPr>
        <w:t>Supplemental Materials to Chapter 1:</w:t>
      </w:r>
    </w:p>
    <w:p w14:paraId="00AF6D02" w14:textId="77777777" w:rsidR="00D617DF" w:rsidRPr="001C0D2D" w:rsidRDefault="00D617DF" w:rsidP="00EA4D1C">
      <w:pPr>
        <w:spacing w:line="480" w:lineRule="auto"/>
        <w:jc w:val="center"/>
        <w:rPr>
          <w:rFonts w:ascii="Times New Roman" w:hAnsi="Times New Roman" w:cs="Times New Roman"/>
          <w:sz w:val="24"/>
          <w:szCs w:val="24"/>
        </w:rPr>
      </w:pPr>
      <w:r w:rsidRPr="001C0D2D">
        <w:rPr>
          <w:rFonts w:ascii="Times New Roman" w:hAnsi="Times New Roman" w:cs="Times New Roman"/>
          <w:sz w:val="24"/>
          <w:szCs w:val="24"/>
        </w:rPr>
        <w:t xml:space="preserve">The roles of recombination and selection in shaping genomic divergence in an incipient ecological species complex. </w:t>
      </w:r>
    </w:p>
    <w:p w14:paraId="64F59501" w14:textId="77777777" w:rsidR="00D617DF" w:rsidRPr="001C0D2D" w:rsidRDefault="00D617DF" w:rsidP="0063401C">
      <w:pPr>
        <w:ind w:left="-1350" w:right="-1260"/>
        <w:jc w:val="center"/>
        <w:rPr>
          <w:rFonts w:ascii="Times New Roman" w:hAnsi="Times New Roman" w:cs="Times New Roman"/>
          <w:b/>
          <w:color w:val="002060"/>
          <w:sz w:val="24"/>
          <w:szCs w:val="24"/>
        </w:rPr>
      </w:pPr>
    </w:p>
    <w:p w14:paraId="3C6238CE" w14:textId="77777777" w:rsidR="00D617DF" w:rsidRPr="001C0D2D" w:rsidRDefault="00D617DF" w:rsidP="00EA4D1C">
      <w:pPr>
        <w:spacing w:line="480" w:lineRule="auto"/>
        <w:jc w:val="center"/>
        <w:rPr>
          <w:rFonts w:ascii="Times New Roman" w:hAnsi="Times New Roman" w:cs="Times New Roman"/>
          <w:sz w:val="24"/>
          <w:szCs w:val="24"/>
          <w:vertAlign w:val="superscript"/>
        </w:rPr>
      </w:pPr>
      <w:r w:rsidRPr="001C0D2D">
        <w:rPr>
          <w:rFonts w:ascii="Times New Roman" w:hAnsi="Times New Roman" w:cs="Times New Roman"/>
          <w:sz w:val="24"/>
          <w:szCs w:val="24"/>
        </w:rPr>
        <w:t>Matthew J. Wersebe</w:t>
      </w:r>
      <w:r w:rsidRPr="001C0D2D">
        <w:rPr>
          <w:rFonts w:ascii="Times New Roman" w:hAnsi="Times New Roman" w:cs="Times New Roman"/>
          <w:sz w:val="24"/>
          <w:szCs w:val="24"/>
          <w:vertAlign w:val="superscript"/>
        </w:rPr>
        <w:t>1,*</w:t>
      </w:r>
      <w:r w:rsidRPr="001C0D2D">
        <w:rPr>
          <w:rFonts w:ascii="Times New Roman" w:hAnsi="Times New Roman" w:cs="Times New Roman"/>
          <w:sz w:val="24"/>
          <w:szCs w:val="24"/>
        </w:rPr>
        <w:t>, Ryan E. Sherman</w:t>
      </w:r>
      <w:r w:rsidRPr="001C0D2D">
        <w:rPr>
          <w:rFonts w:ascii="Times New Roman" w:hAnsi="Times New Roman" w:cs="Times New Roman"/>
          <w:sz w:val="24"/>
          <w:szCs w:val="24"/>
          <w:vertAlign w:val="superscript"/>
        </w:rPr>
        <w:t>2</w:t>
      </w:r>
      <w:r w:rsidRPr="001C0D2D">
        <w:rPr>
          <w:rFonts w:ascii="Times New Roman" w:hAnsi="Times New Roman" w:cs="Times New Roman"/>
          <w:sz w:val="24"/>
          <w:szCs w:val="24"/>
        </w:rPr>
        <w:t>, Punidan D. Jeyasingh</w:t>
      </w:r>
      <w:r w:rsidRPr="001C0D2D">
        <w:rPr>
          <w:rFonts w:ascii="Times New Roman" w:hAnsi="Times New Roman" w:cs="Times New Roman"/>
          <w:sz w:val="24"/>
          <w:szCs w:val="24"/>
          <w:vertAlign w:val="superscript"/>
        </w:rPr>
        <w:t>2</w:t>
      </w:r>
      <w:r w:rsidRPr="001C0D2D">
        <w:rPr>
          <w:rFonts w:ascii="Times New Roman" w:hAnsi="Times New Roman" w:cs="Times New Roman"/>
          <w:sz w:val="24"/>
          <w:szCs w:val="24"/>
        </w:rPr>
        <w:t>, Lawrence J. Weider</w:t>
      </w:r>
      <w:r w:rsidRPr="001C0D2D">
        <w:rPr>
          <w:rFonts w:ascii="Times New Roman" w:hAnsi="Times New Roman" w:cs="Times New Roman"/>
          <w:sz w:val="24"/>
          <w:szCs w:val="24"/>
          <w:vertAlign w:val="superscript"/>
        </w:rPr>
        <w:t>1</w:t>
      </w:r>
    </w:p>
    <w:p w14:paraId="1F2A1C4B" w14:textId="77777777" w:rsidR="00D617DF" w:rsidRPr="001C0D2D" w:rsidRDefault="00D617DF" w:rsidP="00EA4D1C">
      <w:pPr>
        <w:spacing w:line="480" w:lineRule="auto"/>
        <w:jc w:val="center"/>
        <w:rPr>
          <w:rFonts w:ascii="Times New Roman" w:hAnsi="Times New Roman" w:cs="Times New Roman"/>
          <w:sz w:val="24"/>
          <w:szCs w:val="24"/>
        </w:rPr>
      </w:pPr>
      <w:r w:rsidRPr="001C0D2D">
        <w:rPr>
          <w:rFonts w:ascii="Times New Roman" w:hAnsi="Times New Roman" w:cs="Times New Roman"/>
          <w:sz w:val="24"/>
          <w:szCs w:val="24"/>
          <w:vertAlign w:val="superscript"/>
        </w:rPr>
        <w:t>1</w:t>
      </w:r>
      <w:r w:rsidRPr="001C0D2D">
        <w:rPr>
          <w:rFonts w:ascii="Times New Roman" w:hAnsi="Times New Roman" w:cs="Times New Roman"/>
          <w:sz w:val="24"/>
          <w:szCs w:val="24"/>
        </w:rPr>
        <w:t xml:space="preserve"> Department of Biology, Program in Ecology and Evolutionary Biology, University of Oklahoma, Norman, OK, USA</w:t>
      </w:r>
    </w:p>
    <w:p w14:paraId="2D8C1A7A" w14:textId="77777777" w:rsidR="00D617DF" w:rsidRPr="001C0D2D" w:rsidRDefault="00D617DF" w:rsidP="00EA4D1C">
      <w:pPr>
        <w:spacing w:line="480" w:lineRule="auto"/>
        <w:jc w:val="center"/>
        <w:rPr>
          <w:rFonts w:ascii="Times New Roman" w:hAnsi="Times New Roman" w:cs="Times New Roman"/>
          <w:sz w:val="24"/>
          <w:szCs w:val="24"/>
        </w:rPr>
      </w:pPr>
      <w:r w:rsidRPr="001C0D2D">
        <w:rPr>
          <w:rFonts w:ascii="Times New Roman" w:hAnsi="Times New Roman" w:cs="Times New Roman"/>
          <w:sz w:val="24"/>
          <w:szCs w:val="24"/>
          <w:vertAlign w:val="superscript"/>
        </w:rPr>
        <w:t xml:space="preserve">2 </w:t>
      </w:r>
      <w:r w:rsidRPr="001C0D2D">
        <w:rPr>
          <w:rFonts w:ascii="Times New Roman" w:hAnsi="Times New Roman" w:cs="Times New Roman"/>
          <w:sz w:val="24"/>
          <w:szCs w:val="24"/>
        </w:rPr>
        <w:t>Department of Integrative Biology, Oklahoma State University, Stillwater, OK, USA</w:t>
      </w:r>
    </w:p>
    <w:p w14:paraId="72E07AC2" w14:textId="77777777" w:rsidR="00D617DF" w:rsidRPr="001C0D2D" w:rsidRDefault="00D617DF" w:rsidP="00EA4D1C">
      <w:pPr>
        <w:spacing w:line="480" w:lineRule="auto"/>
        <w:jc w:val="center"/>
        <w:rPr>
          <w:rFonts w:ascii="Times New Roman" w:hAnsi="Times New Roman" w:cs="Times New Roman"/>
          <w:sz w:val="24"/>
          <w:szCs w:val="24"/>
        </w:rPr>
      </w:pPr>
      <w:r w:rsidRPr="001C0D2D">
        <w:rPr>
          <w:rFonts w:ascii="Times New Roman" w:hAnsi="Times New Roman" w:cs="Times New Roman"/>
          <w:sz w:val="24"/>
          <w:szCs w:val="24"/>
          <w:vertAlign w:val="superscript"/>
        </w:rPr>
        <w:t>*</w:t>
      </w:r>
      <w:r w:rsidRPr="001C0D2D">
        <w:rPr>
          <w:rFonts w:ascii="Times New Roman" w:hAnsi="Times New Roman" w:cs="Times New Roman"/>
          <w:sz w:val="24"/>
          <w:szCs w:val="24"/>
        </w:rPr>
        <w:t xml:space="preserve">Corresponding Author: </w:t>
      </w:r>
      <w:hyperlink r:id="rId168" w:history="1">
        <w:r w:rsidRPr="001C0D2D">
          <w:rPr>
            <w:rStyle w:val="Hyperlink"/>
            <w:rFonts w:ascii="Times New Roman" w:hAnsi="Times New Roman" w:cs="Times New Roman"/>
            <w:sz w:val="24"/>
            <w:szCs w:val="24"/>
          </w:rPr>
          <w:t>matthew.wersebe@ou.edu</w:t>
        </w:r>
      </w:hyperlink>
      <w:r w:rsidRPr="001C0D2D">
        <w:rPr>
          <w:rFonts w:ascii="Times New Roman" w:hAnsi="Times New Roman" w:cs="Times New Roman"/>
          <w:sz w:val="24"/>
          <w:szCs w:val="24"/>
        </w:rPr>
        <w:t>, 730 Van Vleet Oval, Rm 314 Norman, OK 73071</w:t>
      </w:r>
    </w:p>
    <w:p w14:paraId="28D24669" w14:textId="77777777" w:rsidR="00D617DF" w:rsidRDefault="00D617DF" w:rsidP="0063401C">
      <w:pPr>
        <w:ind w:left="-1350" w:right="-1260"/>
        <w:jc w:val="center"/>
      </w:pPr>
    </w:p>
    <w:p w14:paraId="25E3ED35" w14:textId="77777777" w:rsidR="00D617DF" w:rsidRDefault="00D617DF" w:rsidP="000C5B4D">
      <w:pPr>
        <w:ind w:right="-1260"/>
      </w:pPr>
    </w:p>
    <w:p w14:paraId="5378473C" w14:textId="77777777" w:rsidR="00D617DF" w:rsidRDefault="00D617DF" w:rsidP="001C0D2D">
      <w:pPr>
        <w:ind w:right="-1260"/>
        <w:rPr>
          <w:b/>
          <w:color w:val="002060"/>
          <w:sz w:val="32"/>
          <w:szCs w:val="32"/>
        </w:rPr>
      </w:pPr>
    </w:p>
    <w:p w14:paraId="4851A64F" w14:textId="77777777" w:rsidR="00D617DF" w:rsidRDefault="00D617DF" w:rsidP="007F3854">
      <w:pPr>
        <w:ind w:right="-1260"/>
        <w:rPr>
          <w:b/>
          <w:color w:val="002060"/>
          <w:sz w:val="32"/>
          <w:szCs w:val="32"/>
        </w:rPr>
      </w:pPr>
    </w:p>
    <w:p w14:paraId="7F65F28C" w14:textId="77777777" w:rsidR="00D617DF" w:rsidRDefault="00D617DF" w:rsidP="00EA4D1C">
      <w:pPr>
        <w:rPr>
          <w:sz w:val="32"/>
          <w:szCs w:val="32"/>
        </w:rPr>
      </w:pPr>
    </w:p>
    <w:p w14:paraId="0516DA80" w14:textId="77777777" w:rsidR="00D617DF" w:rsidRDefault="00D617DF" w:rsidP="00EA4D1C">
      <w:pPr>
        <w:rPr>
          <w:sz w:val="32"/>
          <w:szCs w:val="32"/>
        </w:rPr>
      </w:pPr>
    </w:p>
    <w:p w14:paraId="58C91ADE" w14:textId="77777777" w:rsidR="00D617DF" w:rsidRDefault="00D617DF" w:rsidP="00EA4D1C">
      <w:pPr>
        <w:rPr>
          <w:sz w:val="32"/>
          <w:szCs w:val="32"/>
        </w:rPr>
      </w:pPr>
    </w:p>
    <w:p w14:paraId="40037C9E" w14:textId="77777777" w:rsidR="00D617DF" w:rsidRDefault="00D617DF" w:rsidP="00EA4D1C">
      <w:pPr>
        <w:rPr>
          <w:sz w:val="32"/>
          <w:szCs w:val="32"/>
        </w:rPr>
      </w:pPr>
    </w:p>
    <w:p w14:paraId="71B1F713" w14:textId="77777777" w:rsidR="002264DD" w:rsidRDefault="002264DD" w:rsidP="00EA4D1C">
      <w:pPr>
        <w:rPr>
          <w:rFonts w:ascii="Times New Roman" w:hAnsi="Times New Roman" w:cs="Times New Roman"/>
          <w:i/>
          <w:iCs/>
        </w:rPr>
      </w:pPr>
    </w:p>
    <w:p w14:paraId="75A45AF0" w14:textId="77777777" w:rsidR="002264DD" w:rsidRDefault="002264DD" w:rsidP="00EA4D1C">
      <w:pPr>
        <w:rPr>
          <w:rFonts w:ascii="Times New Roman" w:hAnsi="Times New Roman" w:cs="Times New Roman"/>
          <w:i/>
          <w:iCs/>
        </w:rPr>
      </w:pPr>
    </w:p>
    <w:p w14:paraId="1CDEECB4" w14:textId="77777777" w:rsidR="002264DD" w:rsidRDefault="002264DD" w:rsidP="00EA4D1C">
      <w:pPr>
        <w:rPr>
          <w:rFonts w:ascii="Times New Roman" w:hAnsi="Times New Roman" w:cs="Times New Roman"/>
          <w:i/>
          <w:iCs/>
        </w:rPr>
      </w:pPr>
    </w:p>
    <w:p w14:paraId="216CBD39" w14:textId="7930CC68" w:rsidR="00ED44B4" w:rsidRPr="00ED44B4" w:rsidRDefault="00ED44B4" w:rsidP="00EA4D1C">
      <w:pPr>
        <w:rPr>
          <w:rFonts w:ascii="Times New Roman" w:hAnsi="Times New Roman" w:cs="Times New Roman"/>
          <w:b/>
          <w:bCs/>
          <w:sz w:val="24"/>
          <w:szCs w:val="24"/>
        </w:rPr>
      </w:pPr>
      <w:r>
        <w:rPr>
          <w:rFonts w:ascii="Times New Roman" w:hAnsi="Times New Roman" w:cs="Times New Roman"/>
          <w:b/>
          <w:bCs/>
          <w:sz w:val="24"/>
          <w:szCs w:val="24"/>
        </w:rPr>
        <w:lastRenderedPageBreak/>
        <w:t>Methods:</w:t>
      </w:r>
    </w:p>
    <w:p w14:paraId="66A7DA0D" w14:textId="7BF281DC" w:rsidR="00D617DF" w:rsidRPr="001C0D2D" w:rsidRDefault="00D617DF" w:rsidP="00EA4D1C">
      <w:pPr>
        <w:rPr>
          <w:rFonts w:ascii="Times New Roman" w:hAnsi="Times New Roman" w:cs="Times New Roman"/>
          <w:i/>
          <w:iCs/>
          <w:sz w:val="24"/>
          <w:szCs w:val="24"/>
        </w:rPr>
      </w:pPr>
      <w:r w:rsidRPr="001C0D2D">
        <w:rPr>
          <w:rFonts w:ascii="Times New Roman" w:hAnsi="Times New Roman" w:cs="Times New Roman"/>
          <w:i/>
          <w:iCs/>
          <w:sz w:val="24"/>
          <w:szCs w:val="24"/>
        </w:rPr>
        <w:t>Recombinant Panel Breeding:</w:t>
      </w:r>
    </w:p>
    <w:p w14:paraId="4DF6C6F1" w14:textId="7D22F4C7" w:rsidR="00D617DF" w:rsidRPr="001C0D2D" w:rsidRDefault="00D617DF" w:rsidP="00EA4D1C">
      <w:pPr>
        <w:rPr>
          <w:rFonts w:ascii="Times New Roman" w:eastAsia="Times New Roman" w:hAnsi="Times New Roman" w:cs="Times New Roman"/>
          <w:i/>
          <w:iCs/>
          <w:sz w:val="24"/>
          <w:szCs w:val="24"/>
        </w:rPr>
      </w:pPr>
      <w:r w:rsidRPr="001C0D2D">
        <w:rPr>
          <w:rFonts w:ascii="Times New Roman" w:hAnsi="Times New Roman" w:cs="Times New Roman"/>
          <w:sz w:val="24"/>
          <w:szCs w:val="24"/>
        </w:rPr>
        <w:t xml:space="preserve">Briefly, the above F0 (grandparental 2X and 13B) lineages were sexually crossed to produce the F1 (parental) clone, which was subsequently propagated parthenogenetically in the laboratory. The F1 clone (F1-1A) was induced to produce males under “stressful” conditions including high population densities in “crowding” water (L.J. Weider, unpublished data). F1 males were crossed with F1 females to produce potential F2 resting eggs (ephippia). F2 ephippial eggs (i.e., usually paired) were carefully removed from their ephippial casings and were placed in 24-well cell culture plates containing 1-2 mL of sterile COMBO medium per well (Kilham et al. 1998). The eggs were then subjected to hatching cues, which consisted of incubation for two weeks in cold and dark conditions at 4°C, followed by exposure to warmth and 24-hr light conditions at 20°C to establish the F2 clone bank. Approximately 7000 F2 eggs were submitted to this hatching protocol. This produced an F2 population of 255 clones; further details about the recombinant panel are detailed in </w:t>
      </w:r>
      <w:r w:rsidRPr="001C0D2D">
        <w:rPr>
          <w:rFonts w:ascii="Times New Roman" w:hAnsi="Times New Roman" w:cs="Times New Roman"/>
          <w:sz w:val="24"/>
          <w:szCs w:val="24"/>
        </w:rPr>
        <w:fldChar w:fldCharType="begin" w:fldLock="1"/>
      </w:r>
      <w:r w:rsidRPr="001C0D2D">
        <w:rPr>
          <w:rFonts w:ascii="Times New Roman" w:hAnsi="Times New Roman" w:cs="Times New Roman"/>
          <w:sz w:val="24"/>
          <w:szCs w:val="24"/>
        </w:rPr>
        <w:instrText>ADDIN CSL_CITATION {"citationItems":[{"id":"ITEM-1","itemData":{"DOI":"10.1111/1365-2656.13419","ISSN":"0021-8790","abstract":"Phosphorus (P) is essential for growth of all organisms, and P content is correlated with growth in most taxa. Although P content was initially considered to be a trait fixed at the species level, there is growing evidence for considerable intraspecific variation. Selection on such variation can thus alter the rates at which P fluxes through food webs. Nevertheless, prior work describing the sources and extent of intraspecific variation in P content were not genetically explicit, confounded by unknown genetic background and evolutionary history. We constructed an F2 recombinant population of the dominant freshwater grazer, Daphnia pulicaria to mitigate such issues. F2 recombinants exhibited considerable variation in growth rate, P content (0.49%–1.97%), P use efficiency (PUE; 51–208 mg biomass/mg P), and correlated traits such as hatching time of resting eggs, in common garden conditions. These results clearly demonstrate the scope of genetic recombination in generating variation in ecologically relevant traits. The absence of environmental selection is a likely component driving such variation not observed in natural settings. Although phosphoglucose isomerase (PGI) genotype was significantly associated with variation in hatching time of resting eggs, contrary to prior work with less rigorous designs, and allelic variation at the PGI locus did not explain variation in P content and PUE of Daphnia, indicating that such quantitative traits are under polygenic control. Together, these results suggest that although there is considerable genetic scope for variation in key ecologically relevant traits, such as P content and efficiency of P use, these traits are likely under strong stabilizing selection, most likely due to selection on growth rate and size. Importantly, our observations suggest that anthropogenic alterations to P supply due to eutrophication could alter selection on these traits, thereby rapidly altering the role Daphnia plays in the P cycle of lakes.","author":[{"dropping-particle":"","family":"Sherman","given":"Ryan E.","non-dropping-particle":"","parse-names":false,"suffix":""},{"dropping-particle":"","family":"Hartnett","given":"Rachel","non-dropping-particle":"","parse-names":false,"suffix":""},{"dropping-particle":"","family":"Kiehnau","given":"Emily L.","non-dropping-particle":"","parse-names":false,"suffix":""},{"dropping-particle":"","family":"Weider","given":"Lawrence J.","non-dropping-particle":"","parse-names":false,"suffix":""},{"dropping-particle":"","family":"Jeyasingh","given":"Punidan D.","non-dropping-particle":"","parse-names":false,"suffix":""}],"container-title":"Journal of Animal Ecology","editor":[{"dropping-particle":"","family":"Plaistow","given":"Stewart","non-dropping-particle":"","parse-names":false,"suffix":""}],"id":"ITEM-1","issued":{"date-parts":[["2021","1","15"]]},"page":"1365-2656.13419","publisher":"Blackwell Publishing Ltd","title":"Quantitative genetics of phosphorus content in the freshwater herbivore, &lt;i&gt;Daphnia pulicaria&lt;/i&gt;","type":"article-journal","volume":"00"},"uris":["http://www.mendeley.com/documents/?uuid=e9137276-094c-34ab-a7a2-f758ad6bdaa9"]}],"mendeley":{"formattedCitation":"(Sherman et al. 2021)","manualFormatting":"Sherman et al. (2021)","plainTextFormattedCitation":"(Sherman et al. 2021)","previouslyFormattedCitation":"(Sherman et al. 2021)"},"properties":{"noteIndex":0},"schema":"https://github.com/citation-style-language/schema/raw/master/csl-citation.json"}</w:instrText>
      </w:r>
      <w:r w:rsidRPr="001C0D2D">
        <w:rPr>
          <w:rFonts w:ascii="Times New Roman" w:hAnsi="Times New Roman" w:cs="Times New Roman"/>
          <w:sz w:val="24"/>
          <w:szCs w:val="24"/>
        </w:rPr>
        <w:fldChar w:fldCharType="separate"/>
      </w:r>
      <w:r w:rsidRPr="001C0D2D">
        <w:rPr>
          <w:rFonts w:ascii="Times New Roman" w:hAnsi="Times New Roman" w:cs="Times New Roman"/>
          <w:noProof/>
          <w:sz w:val="24"/>
          <w:szCs w:val="24"/>
        </w:rPr>
        <w:t>Sherman et al. (2021)</w:t>
      </w:r>
      <w:r w:rsidRPr="001C0D2D">
        <w:rPr>
          <w:rFonts w:ascii="Times New Roman" w:hAnsi="Times New Roman" w:cs="Times New Roman"/>
          <w:sz w:val="24"/>
          <w:szCs w:val="24"/>
        </w:rPr>
        <w:fldChar w:fldCharType="end"/>
      </w:r>
      <w:r w:rsidRPr="001C0D2D">
        <w:rPr>
          <w:rFonts w:ascii="Times New Roman" w:hAnsi="Times New Roman" w:cs="Times New Roman"/>
          <w:sz w:val="24"/>
          <w:szCs w:val="24"/>
        </w:rPr>
        <w:t>.</w:t>
      </w:r>
    </w:p>
    <w:p w14:paraId="6056EC52" w14:textId="426DD4EC" w:rsidR="00D617DF" w:rsidRPr="001C0D2D" w:rsidRDefault="00D617DF" w:rsidP="00EA4D1C">
      <w:pPr>
        <w:rPr>
          <w:rFonts w:ascii="Times New Roman" w:eastAsia="Times New Roman" w:hAnsi="Times New Roman" w:cs="Times New Roman"/>
          <w:i/>
          <w:iCs/>
          <w:sz w:val="24"/>
          <w:szCs w:val="24"/>
        </w:rPr>
      </w:pPr>
      <w:r w:rsidRPr="001C0D2D">
        <w:rPr>
          <w:rFonts w:ascii="Times New Roman" w:eastAsia="Times New Roman" w:hAnsi="Times New Roman" w:cs="Times New Roman"/>
          <w:i/>
          <w:iCs/>
          <w:sz w:val="24"/>
          <w:szCs w:val="24"/>
        </w:rPr>
        <w:t>Isolation of HMW DNA for Genome Assembly:</w:t>
      </w:r>
    </w:p>
    <w:p w14:paraId="134191AC" w14:textId="4E84772B" w:rsidR="00D617DF" w:rsidRPr="001C0D2D" w:rsidRDefault="00D617DF" w:rsidP="00EA4D1C">
      <w:pPr>
        <w:rPr>
          <w:rFonts w:ascii="Times New Roman" w:eastAsia="Times New Roman" w:hAnsi="Times New Roman" w:cs="Times New Roman"/>
          <w:i/>
          <w:iCs/>
          <w:sz w:val="24"/>
          <w:szCs w:val="24"/>
        </w:rPr>
      </w:pPr>
      <w:r w:rsidRPr="001C0D2D">
        <w:rPr>
          <w:rFonts w:ascii="Times New Roman" w:hAnsi="Times New Roman" w:cs="Times New Roman"/>
          <w:sz w:val="24"/>
          <w:szCs w:val="24"/>
        </w:rPr>
        <w:t>To isolate sufficient DNA for Genome Sequencing, individuals of clone F</w:t>
      </w:r>
      <w:r w:rsidRPr="001C0D2D">
        <w:rPr>
          <w:rFonts w:ascii="Times New Roman" w:hAnsi="Times New Roman" w:cs="Times New Roman"/>
          <w:sz w:val="24"/>
          <w:szCs w:val="24"/>
          <w:vertAlign w:val="subscript"/>
        </w:rPr>
        <w:t>1</w:t>
      </w:r>
      <w:r w:rsidRPr="001C0D2D">
        <w:rPr>
          <w:rFonts w:ascii="Times New Roman" w:hAnsi="Times New Roman" w:cs="Times New Roman"/>
          <w:sz w:val="24"/>
          <w:szCs w:val="24"/>
        </w:rPr>
        <w:t xml:space="preserve">-1A were grown in mass cultures in 5 gallon buckets and feed </w:t>
      </w:r>
      <w:r w:rsidRPr="001C0D2D">
        <w:rPr>
          <w:rFonts w:ascii="Times New Roman" w:hAnsi="Times New Roman" w:cs="Times New Roman"/>
          <w:i/>
          <w:iCs/>
          <w:sz w:val="24"/>
          <w:szCs w:val="24"/>
        </w:rPr>
        <w:t xml:space="preserve">ad libitum </w:t>
      </w:r>
      <w:r w:rsidRPr="001C0D2D">
        <w:rPr>
          <w:rFonts w:ascii="Times New Roman" w:hAnsi="Times New Roman" w:cs="Times New Roman"/>
          <w:sz w:val="24"/>
          <w:szCs w:val="24"/>
        </w:rPr>
        <w:t>(~25 mL/ Day/Bucket)</w:t>
      </w:r>
      <w:r w:rsidRPr="001C0D2D">
        <w:rPr>
          <w:rFonts w:ascii="Times New Roman" w:hAnsi="Times New Roman" w:cs="Times New Roman"/>
          <w:i/>
          <w:iCs/>
          <w:sz w:val="24"/>
          <w:szCs w:val="24"/>
        </w:rPr>
        <w:t xml:space="preserve"> </w:t>
      </w:r>
      <w:r w:rsidRPr="001C0D2D">
        <w:rPr>
          <w:rFonts w:ascii="Times New Roman" w:hAnsi="Times New Roman" w:cs="Times New Roman"/>
          <w:sz w:val="24"/>
          <w:szCs w:val="24"/>
        </w:rPr>
        <w:t xml:space="preserve">on chemostat cultured </w:t>
      </w:r>
      <w:r w:rsidRPr="001C0D2D">
        <w:rPr>
          <w:rFonts w:ascii="Times New Roman" w:hAnsi="Times New Roman" w:cs="Times New Roman"/>
          <w:i/>
          <w:iCs/>
          <w:sz w:val="24"/>
          <w:szCs w:val="24"/>
        </w:rPr>
        <w:t xml:space="preserve">Scenedesmus acutus </w:t>
      </w:r>
      <w:r w:rsidRPr="001C0D2D">
        <w:rPr>
          <w:rFonts w:ascii="Times New Roman" w:hAnsi="Times New Roman" w:cs="Times New Roman"/>
          <w:sz w:val="24"/>
          <w:szCs w:val="24"/>
        </w:rPr>
        <w:t xml:space="preserve">grown in High Ortho-phosphate (HOP) COMBO media </w:t>
      </w:r>
      <w:r w:rsidRPr="001C0D2D">
        <w:rPr>
          <w:rFonts w:ascii="Times New Roman" w:hAnsi="Times New Roman" w:cs="Times New Roman"/>
          <w:sz w:val="24"/>
          <w:szCs w:val="24"/>
        </w:rPr>
        <w:fldChar w:fldCharType="begin" w:fldLock="1"/>
      </w:r>
      <w:r w:rsidRPr="001C0D2D">
        <w:rPr>
          <w:rFonts w:ascii="Times New Roman" w:hAnsi="Times New Roman" w:cs="Times New Roman"/>
          <w:sz w:val="24"/>
          <w:szCs w:val="24"/>
        </w:rPr>
        <w:instrText>ADDIN CSL_CITATION {"citationItems":[{"id":"ITEM-1","itemData":{"DOI":"10.1023/A:1003231628456","ISSN":"00188158","author":[{"dropping-particle":"","family":"Kilham","given":"Susan S.","non-dropping-particle":"","parse-names":false,"suffix":""},{"dropping-particle":"","family":"Kreeger","given":"Daniel A.","non-dropping-particle":"","parse-names":false,"suffix":""},{"dropping-particle":"","family":"Lynn","given":"Scott G.","non-dropping-particle":"","parse-names":false,"suffix":""},{"dropping-particle":"","family":"Goulden","given":"Clyde E.","non-dropping-particle":"","parse-names":false,"suffix":""},{"dropping-particle":"","family":"Herrera","given":"Lazaro","non-dropping-particle":"","parse-names":false,"suffix":""}],"container-title":"Hydrobiologia","id":"ITEM-1","issue":"1/3","issued":{"date-parts":[["1998"]]},"page":"147-159","publisher":"Kluwer Academic Publishers","title":"COMBO: a defined freshwater culture medium for algae and zooplankton","type":"article-journal","volume":"377"},"uris":["http://www.mendeley.com/documents/?uuid=4759a758-7e84-3beb-8763-cec1c17405b7"]}],"mendeley":{"formattedCitation":"(Kilham et al. 1998)","plainTextFormattedCitation":"(Kilham et al. 1998)","previouslyFormattedCitation":"(Kilham et al. 1998)"},"properties":{"noteIndex":0},"schema":"https://github.com/citation-style-language/schema/raw/master/csl-citation.json"}</w:instrText>
      </w:r>
      <w:r w:rsidRPr="001C0D2D">
        <w:rPr>
          <w:rFonts w:ascii="Times New Roman" w:hAnsi="Times New Roman" w:cs="Times New Roman"/>
          <w:sz w:val="24"/>
          <w:szCs w:val="24"/>
        </w:rPr>
        <w:fldChar w:fldCharType="separate"/>
      </w:r>
      <w:r w:rsidRPr="001C0D2D">
        <w:rPr>
          <w:rFonts w:ascii="Times New Roman" w:hAnsi="Times New Roman" w:cs="Times New Roman"/>
          <w:noProof/>
          <w:sz w:val="24"/>
          <w:szCs w:val="24"/>
        </w:rPr>
        <w:t>(Kilham et al. 1998)</w:t>
      </w:r>
      <w:r w:rsidRPr="001C0D2D">
        <w:rPr>
          <w:rFonts w:ascii="Times New Roman" w:hAnsi="Times New Roman" w:cs="Times New Roman"/>
          <w:sz w:val="24"/>
          <w:szCs w:val="24"/>
        </w:rPr>
        <w:fldChar w:fldCharType="end"/>
      </w:r>
      <w:r w:rsidRPr="001C0D2D">
        <w:rPr>
          <w:rFonts w:ascii="Times New Roman" w:hAnsi="Times New Roman" w:cs="Times New Roman"/>
          <w:sz w:val="24"/>
          <w:szCs w:val="24"/>
        </w:rPr>
        <w:t>. To reduce the amount of exogeneous contamination in the DNA extraction from epibionts and the gut microflora, a total of 1,100 adult individuals from F1-1A clone were incubated in solution containing 50 mg L</w:t>
      </w:r>
      <w:r w:rsidRPr="001C0D2D">
        <w:rPr>
          <w:rFonts w:ascii="Times New Roman" w:hAnsi="Times New Roman" w:cs="Times New Roman"/>
          <w:sz w:val="24"/>
          <w:szCs w:val="24"/>
          <w:vertAlign w:val="superscript"/>
        </w:rPr>
        <w:t>-1</w:t>
      </w:r>
      <w:r w:rsidRPr="001C0D2D">
        <w:rPr>
          <w:rFonts w:ascii="Times New Roman" w:hAnsi="Times New Roman" w:cs="Times New Roman"/>
          <w:sz w:val="24"/>
          <w:szCs w:val="24"/>
        </w:rPr>
        <w:t xml:space="preserve"> each of</w:t>
      </w:r>
      <w:r w:rsidRPr="001C0D2D">
        <w:rPr>
          <w:rFonts w:ascii="Times New Roman" w:hAnsi="Times New Roman" w:cs="Times New Roman"/>
          <w:sz w:val="24"/>
          <w:szCs w:val="24"/>
          <w:vertAlign w:val="superscript"/>
        </w:rPr>
        <w:t xml:space="preserve"> </w:t>
      </w:r>
      <w:r w:rsidRPr="001C0D2D">
        <w:rPr>
          <w:rFonts w:ascii="Times New Roman" w:hAnsi="Times New Roman" w:cs="Times New Roman"/>
          <w:sz w:val="24"/>
          <w:szCs w:val="24"/>
        </w:rPr>
        <w:t>ampicillin and tetracycline (Sigma Cat. # A9518 &amp; T7660, respectively), for 72 hours and fed 1-mL of 5 g L</w:t>
      </w:r>
      <w:r w:rsidRPr="001C0D2D">
        <w:rPr>
          <w:rFonts w:ascii="Times New Roman" w:hAnsi="Times New Roman" w:cs="Times New Roman"/>
          <w:sz w:val="24"/>
          <w:szCs w:val="24"/>
          <w:vertAlign w:val="superscript"/>
        </w:rPr>
        <w:t>-1</w:t>
      </w:r>
      <w:r w:rsidRPr="001C0D2D">
        <w:rPr>
          <w:rFonts w:ascii="Times New Roman" w:hAnsi="Times New Roman" w:cs="Times New Roman"/>
          <w:sz w:val="24"/>
          <w:szCs w:val="24"/>
        </w:rPr>
        <w:t xml:space="preserve"> Sephadex beads (® Sigma Cat. # S5772) once a day. Approximately 950 individuals survived the antibiotic incubation and were isolated into 18 1.5 mL microfuge tubes containing 48-50 adult individuals per tube. First </w:t>
      </w:r>
      <w:r w:rsidRPr="001C0D2D">
        <w:rPr>
          <w:rFonts w:ascii="Times New Roman" w:hAnsi="Times New Roman" w:cs="Times New Roman"/>
          <w:i/>
          <w:iCs/>
          <w:sz w:val="24"/>
          <w:szCs w:val="24"/>
        </w:rPr>
        <w:t xml:space="preserve">Daphnia </w:t>
      </w:r>
      <w:r w:rsidRPr="001C0D2D">
        <w:rPr>
          <w:rFonts w:ascii="Times New Roman" w:hAnsi="Times New Roman" w:cs="Times New Roman"/>
          <w:sz w:val="24"/>
          <w:szCs w:val="24"/>
        </w:rPr>
        <w:t xml:space="preserve">were placed on a small (1 cm x 1 cm) Nitex® mesh patch and closed inside a 1.5 mL microfuge tube lid. These tubes were spun at 10,000 rpm for 2 minutes in centrifuge (Eppendorf 5415 C) to remove access liquid from the carapace and prevent ice crystal formation upon flash freezing. Next, tissues were then transferred to a clean 1.5 mL tube and flash frozen in a freshly charged liquid nitrogen dry shipper (Air Liquide Voyageur 12) for 30 minutes. After 30 minutes, tissues were lysed using the MasterPure DNA extraction kit with the modification that incubation with proteinase K at 60°C was extended to 1-hour with gentle tube rocking every 15 minutes. Next, proteins were precipitated according to the manufacturer’s instructions. Instead of precipitating DNA into separate tubes, the remaining liquid supernatant from 9 1.5 mL tubes was pooled into a 15 mL Falcon tube and the DNA was precipitated with 4.5 mL of cold isopropanol at -20°C overnight and collected by centrifugation at 4°C for 10 minutes. DNA was then washed with cold 70% ethanol and resuspended in TE buffer. </w:t>
      </w:r>
    </w:p>
    <w:p w14:paraId="642AEE38" w14:textId="66500B43" w:rsidR="00D617DF" w:rsidRPr="001C0D2D" w:rsidRDefault="00D617DF" w:rsidP="00EA4D1C">
      <w:pPr>
        <w:rPr>
          <w:rFonts w:ascii="Times New Roman" w:eastAsia="Times New Roman" w:hAnsi="Times New Roman" w:cs="Times New Roman"/>
          <w:i/>
          <w:iCs/>
          <w:sz w:val="24"/>
          <w:szCs w:val="24"/>
        </w:rPr>
      </w:pPr>
      <w:r w:rsidRPr="001C0D2D">
        <w:rPr>
          <w:rFonts w:ascii="Times New Roman" w:eastAsia="Times New Roman" w:hAnsi="Times New Roman" w:cs="Times New Roman"/>
          <w:i/>
          <w:iCs/>
          <w:sz w:val="24"/>
          <w:szCs w:val="24"/>
        </w:rPr>
        <w:t>Linkage Map Construction:</w:t>
      </w:r>
    </w:p>
    <w:p w14:paraId="5E01D766" w14:textId="77777777" w:rsidR="00D617DF" w:rsidRPr="001C0D2D" w:rsidRDefault="00D617DF" w:rsidP="00EA4D1C">
      <w:pPr>
        <w:rPr>
          <w:rFonts w:ascii="Times New Roman" w:eastAsia="Times New Roman" w:hAnsi="Times New Roman" w:cs="Times New Roman"/>
          <w:sz w:val="24"/>
          <w:szCs w:val="24"/>
        </w:rPr>
      </w:pPr>
      <w:r w:rsidRPr="001C0D2D">
        <w:rPr>
          <w:rFonts w:ascii="Times New Roman" w:eastAsia="Times New Roman" w:hAnsi="Times New Roman" w:cs="Times New Roman"/>
          <w:sz w:val="24"/>
          <w:szCs w:val="24"/>
        </w:rPr>
        <w:t xml:space="preserve">Due to the computational burden of calling all 105 individuals together, we chose to call variants in groups of 10 F2s together with the two F0s and the F1 using Freebayes </w:t>
      </w:r>
      <w:r w:rsidRPr="001C0D2D">
        <w:rPr>
          <w:rFonts w:ascii="Times New Roman" w:eastAsia="Times New Roman" w:hAnsi="Times New Roman" w:cs="Times New Roman"/>
          <w:sz w:val="24"/>
          <w:szCs w:val="24"/>
        </w:rPr>
        <w:fldChar w:fldCharType="begin" w:fldLock="1"/>
      </w:r>
      <w:r w:rsidRPr="001C0D2D">
        <w:rPr>
          <w:rFonts w:ascii="Times New Roman" w:eastAsia="Times New Roman" w:hAnsi="Times New Roman" w:cs="Times New Roman"/>
          <w:sz w:val="24"/>
          <w:szCs w:val="24"/>
        </w:rPr>
        <w:instrText>ADDIN CSL_CITATION {"citationItems":[{"id":"ITEM-1","itemData":{"abstract":"The direct detection of haplotypes from short-read DNA sequencing data requires changes to existing small-variant detection methods. Here, we develop a Bayesian statistical framework which is capable of modeling multiallelic loci in sets of individuals with non-uniform copy number. We then describe our implementation of this framework in a haplotype-based variant detector, FreeBayes.","author":[{"dropping-particle":"","family":"Garrison","given":"Erik","non-dropping-particle":"","parse-names":false,"suffix":""},{"dropping-particle":"","family":"Marth","given":"Gabor","non-dropping-particle":"","parse-names":false,"suffix":""}],"id":"ITEM-1","issued":{"date-parts":[["2012","7","17"]]},"title":"Haplotype-based variant detection from short-read sequencing","type":"article-journal"},"uris":["http://www.mendeley.com/documents/?uuid=4e3e21c6-4f22-3a5b-aa0a-c01804b35f94"]}],"mendeley":{"formattedCitation":"(Garrison and Marth 2012)","plainTextFormattedCitation":"(Garrison and Marth 2012)","previouslyFormattedCitation":"(Garrison and Marth 2012)"},"properties":{"noteIndex":0},"schema":"https://github.com/citation-style-language/schema/raw/master/csl-citation.json"}</w:instrText>
      </w:r>
      <w:r w:rsidRPr="001C0D2D">
        <w:rPr>
          <w:rFonts w:ascii="Times New Roman" w:eastAsia="Times New Roman" w:hAnsi="Times New Roman" w:cs="Times New Roman"/>
          <w:sz w:val="24"/>
          <w:szCs w:val="24"/>
        </w:rPr>
        <w:fldChar w:fldCharType="separate"/>
      </w:r>
      <w:r w:rsidRPr="001C0D2D">
        <w:rPr>
          <w:rFonts w:ascii="Times New Roman" w:eastAsia="Times New Roman" w:hAnsi="Times New Roman" w:cs="Times New Roman"/>
          <w:noProof/>
          <w:sz w:val="24"/>
          <w:szCs w:val="24"/>
        </w:rPr>
        <w:t>(Garrison and Marth 2012)</w:t>
      </w:r>
      <w:r w:rsidRPr="001C0D2D">
        <w:rPr>
          <w:rFonts w:ascii="Times New Roman" w:eastAsia="Times New Roman" w:hAnsi="Times New Roman" w:cs="Times New Roman"/>
          <w:sz w:val="24"/>
          <w:szCs w:val="24"/>
        </w:rPr>
        <w:fldChar w:fldCharType="end"/>
      </w:r>
      <w:r w:rsidRPr="001C0D2D">
        <w:rPr>
          <w:rFonts w:ascii="Times New Roman" w:eastAsia="Times New Roman" w:hAnsi="Times New Roman" w:cs="Times New Roman"/>
          <w:sz w:val="24"/>
          <w:szCs w:val="24"/>
        </w:rPr>
        <w:t xml:space="preserve">. The unfiltered vcf file from each group was merged and redundant samples removed </w:t>
      </w:r>
      <w:r w:rsidRPr="001C0D2D">
        <w:rPr>
          <w:rFonts w:ascii="Times New Roman" w:eastAsia="Times New Roman" w:hAnsi="Times New Roman" w:cs="Times New Roman"/>
          <w:sz w:val="24"/>
          <w:szCs w:val="24"/>
        </w:rPr>
        <w:lastRenderedPageBreak/>
        <w:t xml:space="preserve">using BCFtools </w:t>
      </w:r>
      <w:r w:rsidRPr="001C0D2D">
        <w:rPr>
          <w:rFonts w:ascii="Times New Roman" w:eastAsia="Times New Roman" w:hAnsi="Times New Roman" w:cs="Times New Roman"/>
          <w:sz w:val="24"/>
          <w:szCs w:val="24"/>
        </w:rPr>
        <w:fldChar w:fldCharType="begin" w:fldLock="1"/>
      </w:r>
      <w:r w:rsidRPr="001C0D2D">
        <w:rPr>
          <w:rFonts w:ascii="Times New Roman" w:eastAsia="Times New Roman" w:hAnsi="Times New Roman" w:cs="Times New Roman"/>
          <w:sz w:val="24"/>
          <w:szCs w:val="24"/>
        </w:rPr>
        <w:instrText>ADDIN CSL_CITATION {"citationItems":[{"id":"ITEM-1","itemData":{"DOI":"10.1093/gigascience/giab008","ISSN":"2047-217X","PMID":"33590861","abstract":"BACKGROUND SAMtools and BCFtools are widely used programs for processing and analysing high-throughput sequencing data. They include tools for file format conversion and manipulation, sorting, querying, statistics, variant calling, and effect analysis amongst other methods. FINDINGS The first version appeared online 12 years ago and has been maintained and further developed ever since, with many new features and improvements added over the years. The SAMtools and BCFtools packages represent a unique collection of tools that have been used in numerous other software projects and countless genomic pipelines. CONCLUSION Both SAMtools and BCFtools are freely available on GitHub under the permissive MIT licence, free for both non-commercial and commercial use. Both packages have been installed &gt;1 million times via Bioconda. The source code and documentation are available from https://www.htslib.org.","author":[{"dropping-particle":"","family":"Danecek","given":"Petr","non-dropping-particle":"","parse-names":false,"suffix":""},{"dropping-particle":"","family":"Bonfield","given":"James K","non-dropping-particle":"","parse-names":false,"suffix":""},{"dropping-particle":"","family":"Liddle","given":"Jennifer","non-dropping-particle":"","parse-names":false,"suffix":""},{"dropping-particle":"","family":"Marshall","given":"John","non-dropping-particle":"","parse-names":false,"suffix":""},{"dropping-particle":"","family":"Ohan","given":"Valeriu","non-dropping-particle":"","parse-names":false,"suffix":""},{"dropping-particle":"","family":"Pollard","given":"Martin O","non-dropping-particle":"","parse-names":false,"suffix":""},{"dropping-particle":"","family":"Whitwham","given":"Andrew","non-dropping-particle":"","parse-names":false,"suffix":""},{"dropping-particle":"","family":"Keane","given":"Thomas","non-dropping-particle":"","parse-names":false,"suffix":""},{"dropping-particle":"","family":"McCarthy","given":"Shane A","non-dropping-particle":"","parse-names":false,"suffix":""},{"dropping-particle":"","family":"Davies","given":"Robert M","non-dropping-particle":"","parse-names":false,"suffix":""},{"dropping-particle":"","family":"Li","given":"Heng","non-dropping-particle":"","parse-names":false,"suffix":""}],"container-title":"GigaScience","id":"ITEM-1","issue":"2","issued":{"date-parts":[["2021","2","16"]]},"page":"1-4","publisher":"Oxford Academic","title":"Twelve years of SAMtools and BCFtools.","type":"article-journal","volume":"10"},"uris":["http://www.mendeley.com/documents/?uuid=dae99a8c-baff-375f-8e6e-7669c6278a80"]}],"mendeley":{"formattedCitation":"(Danecek et al. 2021)","plainTextFormattedCitation":"(Danecek et al. 2021)","previouslyFormattedCitation":"(Danecek et al. 2021)"},"properties":{"noteIndex":0},"schema":"https://github.com/citation-style-language/schema/raw/master/csl-citation.json"}</w:instrText>
      </w:r>
      <w:r w:rsidRPr="001C0D2D">
        <w:rPr>
          <w:rFonts w:ascii="Times New Roman" w:eastAsia="Times New Roman" w:hAnsi="Times New Roman" w:cs="Times New Roman"/>
          <w:sz w:val="24"/>
          <w:szCs w:val="24"/>
        </w:rPr>
        <w:fldChar w:fldCharType="separate"/>
      </w:r>
      <w:r w:rsidRPr="001C0D2D">
        <w:rPr>
          <w:rFonts w:ascii="Times New Roman" w:eastAsia="Times New Roman" w:hAnsi="Times New Roman" w:cs="Times New Roman"/>
          <w:noProof/>
          <w:sz w:val="24"/>
          <w:szCs w:val="24"/>
        </w:rPr>
        <w:t>(Danecek et al. 2021)</w:t>
      </w:r>
      <w:r w:rsidRPr="001C0D2D">
        <w:rPr>
          <w:rFonts w:ascii="Times New Roman" w:eastAsia="Times New Roman" w:hAnsi="Times New Roman" w:cs="Times New Roman"/>
          <w:sz w:val="24"/>
          <w:szCs w:val="24"/>
        </w:rPr>
        <w:fldChar w:fldCharType="end"/>
      </w:r>
      <w:r w:rsidRPr="001C0D2D">
        <w:rPr>
          <w:rFonts w:ascii="Times New Roman" w:eastAsia="Times New Roman" w:hAnsi="Times New Roman" w:cs="Times New Roman"/>
          <w:sz w:val="24"/>
          <w:szCs w:val="24"/>
        </w:rPr>
        <w:t xml:space="preserve">. Using VCFtools </w:t>
      </w:r>
      <w:r w:rsidRPr="001C0D2D">
        <w:rPr>
          <w:rFonts w:ascii="Times New Roman" w:eastAsia="Times New Roman" w:hAnsi="Times New Roman" w:cs="Times New Roman"/>
          <w:sz w:val="24"/>
          <w:szCs w:val="24"/>
        </w:rPr>
        <w:fldChar w:fldCharType="begin" w:fldLock="1"/>
      </w:r>
      <w:r w:rsidRPr="001C0D2D">
        <w:rPr>
          <w:rFonts w:ascii="Times New Roman" w:eastAsia="Times New Roman" w:hAnsi="Times New Roman" w:cs="Times New Roman"/>
          <w:sz w:val="24"/>
          <w:szCs w:val="24"/>
        </w:rPr>
        <w:instrText>ADDIN CSL_CITATION {"citationItems":[{"id":"ITEM-1","itemData":{"DOI":"10.1093/bioinformatics/btr330","ISSN":"13674803","PMID":"21653522","abstract":"Summary: The variant call format (VCF) is a generic format for storing DNA polymorphism data such as SNPs, insertions, deletions and structural variants, together with rich annotations. VCF is usually stored in a compressed manner and can be indexed for fast data retrieval of variants from a range of positions on the reference genome. The format was developed for the 1000 Genomes Project, and has also been adopted by other projects such as UK10K, dbSNP and the NHLBI Exome Project. VCFtools is a software suite that implements various utilities for processing VCF files, including validation, merging, comparing and also provides a general Perl API. © The Author(s) 2011. Published by Oxford University Press.","author":[{"dropping-particle":"","family":"Danecek","given":"Petr","non-dropping-particle":"","parse-names":false,"suffix":""},{"dropping-particle":"","family":"Auton","given":"Adam","non-dropping-particle":"","parse-names":false,"suffix":""},{"dropping-particle":"","family":"Abecasis","given":"Goncalo","non-dropping-particle":"","parse-names":false,"suffix":""},{"dropping-particle":"","family":"Albers","given":"Cornelis A.","non-dropping-particle":"","parse-names":false,"suffix":""},{"dropping-particle":"","family":"Banks","given":"Eric","non-dropping-particle":"","parse-names":false,"suffix":""},{"dropping-particle":"","family":"DePristo","given":"Mark A.","non-dropping-particle":"","parse-names":false,"suffix":""},{"dropping-particle":"","family":"Handsaker","given":"Robert E.","non-dropping-particle":"","parse-names":false,"suffix":""},{"dropping-particle":"","family":"Lunter","given":"Gerton","non-dropping-particle":"","parse-names":false,"suffix":""},{"dropping-particle":"","family":"Marth","given":"Gabor T.","non-dropping-particle":"","parse-names":false,"suffix":""},{"dropping-particle":"","family":"Sherry","given":"Stephen T.","non-dropping-particle":"","parse-names":false,"suffix":""},{"dropping-particle":"","family":"McVean","given":"Gilean","non-dropping-particle":"","parse-names":false,"suffix":""},{"dropping-particle":"","family":"Durbin","given":"Richard","non-dropping-particle":"","parse-names":false,"suffix":""}],"container-title":"Bioinformatics","id":"ITEM-1","issue":"15","issued":{"date-parts":[["2011","8","1"]]},"page":"2156-2158","publisher":"Oxford Academic","title":"The variant call format and VCFtools","type":"article-journal","volume":"27"},"uris":["http://www.mendeley.com/documents/?uuid=d6ef77fb-234e-39b7-95c7-43c786dda454"]}],"mendeley":{"formattedCitation":"(Danecek et al. 2011)","plainTextFormattedCitation":"(Danecek et al. 2011)","previouslyFormattedCitation":"(Danecek et al. 2011)"},"properties":{"noteIndex":0},"schema":"https://github.com/citation-style-language/schema/raw/master/csl-citation.json"}</w:instrText>
      </w:r>
      <w:r w:rsidRPr="001C0D2D">
        <w:rPr>
          <w:rFonts w:ascii="Times New Roman" w:eastAsia="Times New Roman" w:hAnsi="Times New Roman" w:cs="Times New Roman"/>
          <w:sz w:val="24"/>
          <w:szCs w:val="24"/>
        </w:rPr>
        <w:fldChar w:fldCharType="separate"/>
      </w:r>
      <w:r w:rsidRPr="001C0D2D">
        <w:rPr>
          <w:rFonts w:ascii="Times New Roman" w:eastAsia="Times New Roman" w:hAnsi="Times New Roman" w:cs="Times New Roman"/>
          <w:noProof/>
          <w:sz w:val="24"/>
          <w:szCs w:val="24"/>
        </w:rPr>
        <w:t>(Danecek et al. 2011)</w:t>
      </w:r>
      <w:r w:rsidRPr="001C0D2D">
        <w:rPr>
          <w:rFonts w:ascii="Times New Roman" w:eastAsia="Times New Roman" w:hAnsi="Times New Roman" w:cs="Times New Roman"/>
          <w:sz w:val="24"/>
          <w:szCs w:val="24"/>
        </w:rPr>
        <w:fldChar w:fldCharType="end"/>
      </w:r>
      <w:r w:rsidRPr="001C0D2D">
        <w:rPr>
          <w:rFonts w:ascii="Times New Roman" w:eastAsia="Times New Roman" w:hAnsi="Times New Roman" w:cs="Times New Roman"/>
          <w:sz w:val="24"/>
          <w:szCs w:val="24"/>
        </w:rPr>
        <w:t>, the fully merged vcf file was filtered to a set of high quality SNPs and  small Indels (min Q = 30, mac =3, max-missing = 0.8, minDP = 3, maxDP=200).</w:t>
      </w:r>
    </w:p>
    <w:p w14:paraId="36892164" w14:textId="77F449CF" w:rsidR="00D617DF" w:rsidRPr="001C0D2D" w:rsidRDefault="00D617DF" w:rsidP="001C0D2D">
      <w:pPr>
        <w:ind w:firstLine="720"/>
        <w:rPr>
          <w:rFonts w:ascii="Times New Roman" w:eastAsia="Times New Roman" w:hAnsi="Times New Roman" w:cs="Times New Roman"/>
          <w:i/>
          <w:iCs/>
          <w:sz w:val="24"/>
          <w:szCs w:val="24"/>
        </w:rPr>
      </w:pPr>
      <w:r w:rsidRPr="001C0D2D">
        <w:rPr>
          <w:rFonts w:ascii="Times New Roman" w:eastAsia="Times New Roman" w:hAnsi="Times New Roman" w:cs="Times New Roman"/>
          <w:sz w:val="24"/>
          <w:szCs w:val="24"/>
        </w:rPr>
        <w:t xml:space="preserve">The genetic linkage map was constructed using LepMap3 </w:t>
      </w:r>
      <w:r w:rsidRPr="001C0D2D">
        <w:rPr>
          <w:rFonts w:ascii="Times New Roman" w:eastAsia="Times New Roman" w:hAnsi="Times New Roman" w:cs="Times New Roman"/>
          <w:sz w:val="24"/>
          <w:szCs w:val="24"/>
        </w:rPr>
        <w:fldChar w:fldCharType="begin" w:fldLock="1"/>
      </w:r>
      <w:r w:rsidRPr="001C0D2D">
        <w:rPr>
          <w:rFonts w:ascii="Times New Roman" w:eastAsia="Times New Roman" w:hAnsi="Times New Roman" w:cs="Times New Roman"/>
          <w:sz w:val="24"/>
          <w:szCs w:val="24"/>
        </w:rPr>
        <w:instrText>ADDIN CSL_CITATION {"citationItems":[{"id":"ITEM-1","itemData":{"DOI":"10.1093/bioinformatics/btx494","ISSN":"14602059","abstract":"Motivation: Accurate and dense linkage maps are useful in family-based linkage and association studies, quantitative trait locus mapping, analysis of genome synteny and other genomic data analyses. Moreover, linkage mapping is one of the best ways to detect errors in de novo genome assemblies, as well as to orient and place assembly contigs within chromosomes. A small mapping cross of tens of individuals will detect many errors where distant parts of the genome are erroneously joined together. With more individuals and markers, even more local errors can be detected and more contigs can be oriented. However, the tools that are currently available for constructing linkage maps are not well suited for large, possible low-coverage, whole genome sequencing datasets. Results: Here we present a linkage mapping software Lep-MAP3, capable of mapping high-throughput whole genome sequencing datasets. Such data allows cost-efficient genotyping of millions of single nucleotide polymorphisms (SNPs) for thousands of individual samples, enabling, among other analyses, comprehensive validation and refinement of de novo genome assemblies. The algorithms of Lep-MAP3 can analyse low-coverage datasets and reduce data filtering and cur-ation on any data. This yields more markers in the final maps with less manual work even on problematic datasets. We demonstrate that Lep-MAP3 obtains very good performance already on 5x sequencing coverage and outperforms the fastest available software on simulated data on accuracy and often on speed. We also construct de novo linkage maps on 7-12x whole-genome data on the Red postman butterfly (Heliconius erato) with almost 3 million markers.","author":[{"dropping-particle":"","family":"Rastas","given":"Pasi","non-dropping-particle":"","parse-names":false,"suffix":""}],"container-title":"Bioinformatics","id":"ITEM-1","issue":"23","issued":{"date-parts":[["2017","12","1"]]},"page":"3726-3732","publisher":"Oxford University Press","title":"Lep-MAP3: Robust linkage mapping even for low-coverage whole genome sequencing data","type":"article-journal","volume":"33"},"uris":["http://www.mendeley.com/documents/?uuid=e5f4f6a3-6cab-3b42-aa8a-5383f5322587"]}],"mendeley":{"formattedCitation":"(Rastas 2017)","plainTextFormattedCitation":"(Rastas 2017)","previouslyFormattedCitation":"(Rastas 2017)"},"properties":{"noteIndex":0},"schema":"https://github.com/citation-style-language/schema/raw/master/csl-citation.json"}</w:instrText>
      </w:r>
      <w:r w:rsidRPr="001C0D2D">
        <w:rPr>
          <w:rFonts w:ascii="Times New Roman" w:eastAsia="Times New Roman" w:hAnsi="Times New Roman" w:cs="Times New Roman"/>
          <w:sz w:val="24"/>
          <w:szCs w:val="24"/>
        </w:rPr>
        <w:fldChar w:fldCharType="separate"/>
      </w:r>
      <w:r w:rsidRPr="001C0D2D">
        <w:rPr>
          <w:rFonts w:ascii="Times New Roman" w:eastAsia="Times New Roman" w:hAnsi="Times New Roman" w:cs="Times New Roman"/>
          <w:noProof/>
          <w:sz w:val="24"/>
          <w:szCs w:val="24"/>
        </w:rPr>
        <w:t>(Rastas 2017)</w:t>
      </w:r>
      <w:r w:rsidRPr="001C0D2D">
        <w:rPr>
          <w:rFonts w:ascii="Times New Roman" w:eastAsia="Times New Roman" w:hAnsi="Times New Roman" w:cs="Times New Roman"/>
          <w:sz w:val="24"/>
          <w:szCs w:val="24"/>
        </w:rPr>
        <w:fldChar w:fldCharType="end"/>
      </w:r>
      <w:r w:rsidRPr="001C0D2D">
        <w:rPr>
          <w:rFonts w:ascii="Times New Roman" w:eastAsia="Times New Roman" w:hAnsi="Times New Roman" w:cs="Times New Roman"/>
          <w:sz w:val="24"/>
          <w:szCs w:val="24"/>
        </w:rPr>
        <w:t xml:space="preserve">. The filtered set of variants was turned into LepMap3 data format using the ParentCall2 module with the argument removeNonInformative=1. Next, we used the SeparateChromosomes2 module of LepMap3 to assign markers to linkage groups using the distortionLod=1 argument, since our pedigree included only one family. According to LepMap3’s creator (M. Wersebe, Personal Communication), the heuristic (n/10 * 3; e.g., 102/10 * 3 = 30.6), was used to define the start of our search for the best LOD to use in the SeparateChromosomes2 module of LepMap3. We ran SeparateChromosomes2 separately for values ranging from 32 to 20 for the lodLimit argument. Next, we calculated the number or markers assigned to the first 12 linkage groups (LGs) and chose runs of SeparateChromosomes2 that maximized the placement of markers into the first 12 LGs and had the greatest difference between LG 12 and LG 13. Then, we singled out all markers forming LGs above the first 12 and submitted this map to the module JoinSingles2All to place more markers into the 12 defined LGs, with the arguments lodLimit=6, lodDifference=1, and iterate=1. From these, we selected maps that placed most of the markers into the 12 LGs and prevented one large and several small LGs (e.g., all LGs between 150,000 and 10,000 markers) to form. LGs from Maps with these characteristics were passed to the OrderMarkers2 module separately and ordered with 12 phasing iterations. After 12 phasing iterations, the LepMap graphs were produced using the module LMPlot and inspected for any irregularities. If another run of OrderMarkers2 was warranted after inspection of the LMPlots, these were run with the parameters above. The completed maps were finally passed to LepAnchor to scaffold the genomes assembly using the default parameters </w:t>
      </w:r>
      <w:r w:rsidRPr="001C0D2D">
        <w:rPr>
          <w:rFonts w:ascii="Times New Roman" w:eastAsia="Times New Roman" w:hAnsi="Times New Roman" w:cs="Times New Roman"/>
          <w:sz w:val="24"/>
          <w:szCs w:val="24"/>
        </w:rPr>
        <w:fldChar w:fldCharType="begin" w:fldLock="1"/>
      </w:r>
      <w:r w:rsidRPr="001C0D2D">
        <w:rPr>
          <w:rFonts w:ascii="Times New Roman" w:eastAsia="Times New Roman" w:hAnsi="Times New Roman" w:cs="Times New Roman"/>
          <w:sz w:val="24"/>
          <w:szCs w:val="24"/>
        </w:rPr>
        <w:instrText>ADDIN CSL_CITATION {"citationItems":[{"id":"ITEM-1","itemData":{"DOI":"10.1093/bioinformatics/btz978","ISSN":"14602059","PMID":"31913460","abstract":"Motivation: Linkage mapping provides a practical way to anchor de novo genome assemblies into chromosomes and to detect chimeric or otherwise erroneous contigs. Such anchoring improves with higher number of markers and individuals, as long as the mapping software can handle all the information. Recent software Lep-MAP3 can robustly construct linkage maps for millions of genotyped markers and on thousands of individuals, providing optimal maps for genome anchoring. For such large datasets, automated and robust genome anchoring tool is especially valuable and can significantly reduce intensive computational and manual work involved. Results: Here, we present a software Lep-Anchor (LA) to anchor genome assemblies automatically using dense linkage maps. As the main novelty, it takes into account the uncertainty of the linkage map positions caused by low recombination regions, cross type or poor mapping data quality. Furthermore, it can automatically detect and cut chimeric contigs, and use contig-contig, single read or alternative genome assembly alignments as additional information on contig order and orientations and to collapse haplotype contigs. We demonstrate the performance of LA using real data and show that it outperforms ALLMAPS on anchoring completeness and speed. Accuracy-wise LA and ALLMAPS are about equal, but at the expense of lower completeness of ALLMAPS. The software Chromonomer was faster than the other two methods but has major limitations and is lower in accuracy. We also show that with additional information, such as contig-contig and read alignments, the anchoring completeness can be improved by up to 70% without significant loss in accuracy. Based on simulated data, we conclude that the anchoring accuracy can be improved by utilizing information about map position uncertainty. Accuracy is the rate of contigs in correct orientation and completeness is the number contigs with inferred orientation.","author":[{"dropping-particle":"","family":"Rastas","given":"Pasi","non-dropping-particle":"","parse-names":false,"suffix":""}],"container-title":"Bioinformatics","id":"ITEM-1","issue":"8","issued":{"date-parts":[["2020","4","15"]]},"page":"2359-2364","publisher":"Oxford University Press","title":"Lep-Anchor: Automated construction of linkage map anchored haploid genomes","type":"article-journal","volume":"36"},"uris":["http://www.mendeley.com/documents/?uuid=40e42046-93e1-3a8e-8966-4cdf320e92f5"]}],"mendeley":{"formattedCitation":"(Rastas 2020)","plainTextFormattedCitation":"(Rastas 2020)","previouslyFormattedCitation":"(Rastas 2020)"},"properties":{"noteIndex":0},"schema":"https://github.com/citation-style-language/schema/raw/master/csl-citation.json"}</w:instrText>
      </w:r>
      <w:r w:rsidRPr="001C0D2D">
        <w:rPr>
          <w:rFonts w:ascii="Times New Roman" w:eastAsia="Times New Roman" w:hAnsi="Times New Roman" w:cs="Times New Roman"/>
          <w:sz w:val="24"/>
          <w:szCs w:val="24"/>
        </w:rPr>
        <w:fldChar w:fldCharType="separate"/>
      </w:r>
      <w:r w:rsidRPr="001C0D2D">
        <w:rPr>
          <w:rFonts w:ascii="Times New Roman" w:eastAsia="Times New Roman" w:hAnsi="Times New Roman" w:cs="Times New Roman"/>
          <w:noProof/>
          <w:sz w:val="24"/>
          <w:szCs w:val="24"/>
        </w:rPr>
        <w:t>(Rastas 2020)</w:t>
      </w:r>
      <w:r w:rsidRPr="001C0D2D">
        <w:rPr>
          <w:rFonts w:ascii="Times New Roman" w:eastAsia="Times New Roman" w:hAnsi="Times New Roman" w:cs="Times New Roman"/>
          <w:sz w:val="24"/>
          <w:szCs w:val="24"/>
        </w:rPr>
        <w:fldChar w:fldCharType="end"/>
      </w:r>
      <w:r w:rsidRPr="001C0D2D">
        <w:rPr>
          <w:rFonts w:ascii="Times New Roman" w:eastAsia="Times New Roman" w:hAnsi="Times New Roman" w:cs="Times New Roman"/>
          <w:sz w:val="24"/>
          <w:szCs w:val="24"/>
        </w:rPr>
        <w:t xml:space="preserve">. A single map was chosen based on the results from LepAnchor which best matched the distribution in hypothesized chromosome sizes of the </w:t>
      </w:r>
      <w:r w:rsidRPr="001C0D2D">
        <w:rPr>
          <w:rFonts w:ascii="Times New Roman" w:eastAsia="Times New Roman" w:hAnsi="Times New Roman" w:cs="Times New Roman"/>
          <w:i/>
          <w:iCs/>
          <w:sz w:val="24"/>
          <w:szCs w:val="24"/>
        </w:rPr>
        <w:t xml:space="preserve">D. pulex </w:t>
      </w:r>
      <w:r w:rsidRPr="001C0D2D">
        <w:rPr>
          <w:rFonts w:ascii="Times New Roman" w:eastAsia="Times New Roman" w:hAnsi="Times New Roman" w:cs="Times New Roman"/>
          <w:sz w:val="24"/>
          <w:szCs w:val="24"/>
        </w:rPr>
        <w:t>group.</w:t>
      </w:r>
    </w:p>
    <w:p w14:paraId="3FE2B97F" w14:textId="61924731" w:rsidR="00D617DF" w:rsidRPr="001C0D2D" w:rsidRDefault="00D617DF" w:rsidP="00EA4D1C">
      <w:pPr>
        <w:rPr>
          <w:rFonts w:ascii="Times New Roman" w:eastAsia="Times New Roman" w:hAnsi="Times New Roman" w:cs="Times New Roman"/>
          <w:i/>
          <w:iCs/>
          <w:sz w:val="24"/>
          <w:szCs w:val="24"/>
        </w:rPr>
      </w:pPr>
      <w:r w:rsidRPr="001C0D2D">
        <w:rPr>
          <w:rFonts w:ascii="Times New Roman" w:eastAsia="Times New Roman" w:hAnsi="Times New Roman" w:cs="Times New Roman"/>
          <w:i/>
          <w:iCs/>
          <w:sz w:val="24"/>
          <w:szCs w:val="24"/>
        </w:rPr>
        <w:t>Demographic Analysis:</w:t>
      </w:r>
    </w:p>
    <w:p w14:paraId="44E7996E" w14:textId="54EC2E31" w:rsidR="00D617DF" w:rsidRPr="001C0D2D" w:rsidRDefault="00D617DF" w:rsidP="00EA4D1C">
      <w:pPr>
        <w:rPr>
          <w:rFonts w:ascii="Times New Roman" w:eastAsia="Times New Roman" w:hAnsi="Times New Roman" w:cs="Times New Roman"/>
          <w:i/>
          <w:iCs/>
          <w:sz w:val="24"/>
          <w:szCs w:val="24"/>
        </w:rPr>
      </w:pPr>
      <w:r w:rsidRPr="001C0D2D">
        <w:rPr>
          <w:rFonts w:ascii="Times New Roman" w:eastAsia="Times New Roman" w:hAnsi="Times New Roman" w:cs="Times New Roman"/>
          <w:sz w:val="24"/>
          <w:szCs w:val="24"/>
        </w:rPr>
        <w:t xml:space="preserve">Each run of Fastsimcoal2 </w:t>
      </w:r>
      <w:r w:rsidRPr="001C0D2D">
        <w:rPr>
          <w:rFonts w:ascii="Times New Roman" w:eastAsia="Times New Roman" w:hAnsi="Times New Roman" w:cs="Times New Roman"/>
          <w:sz w:val="24"/>
          <w:szCs w:val="24"/>
        </w:rPr>
        <w:fldChar w:fldCharType="begin" w:fldLock="1"/>
      </w:r>
      <w:r w:rsidRPr="001C0D2D">
        <w:rPr>
          <w:rFonts w:ascii="Times New Roman" w:eastAsia="Times New Roman" w:hAnsi="Times New Roman" w:cs="Times New Roman"/>
          <w:sz w:val="24"/>
          <w:szCs w:val="24"/>
        </w:rPr>
        <w:instrText>ADDIN CSL_CITATION {"citationItems":[{"id":"ITEM-1","itemData":{"DOI":"10.1371/journal.pgen.1003905","ISSN":"15537390","PMID":"24204310","abstract":"We introduce a flexible and robust simulation-based framework to infer demographic parameters from the site frequency spectrum (SFS) computed on large genomic datasets. We show that our composite-likelihood approach allows one to study evolutionary models of arbitrary complexity, which cannot be tackled by other current likelihood-based methods. For simple scenarios, our approach compares favorably in terms of accuracy and speed with ∂a∂i, the current reference in the field, while showing better convergence properties for complex models. We first apply our methodology to non-coding genomic SNP data from four human populations. To infer their demographic history, we compare neutral evolutionary models of increasing complexity, including unsampled populations. We further show the versatility of our framework by extending it to the inference of demographic parameters from SNP chips with known ascertainment, such as that recently released by Affymetrix to study human origins. Whereas previous ways of handling ascertained SNPs were either restricted to a single population or only allowed the inference of divergence time between a pair of populations, our framework can correctly infer parameters of more complex models including the divergence of several populations, bottlenecks and migration. We apply this approach to the reconstruction of African demography using two distinct ascertained human SNP panels studied under two evolutionary models. The two SNP panels lead to globally very similar estimates and confidence intervals, and suggest an ancient divergence (&gt;110 Ky) between Yoruba and San populations. Our methodology appears well suited to the study of complex scenarios from large genomic data sets. © 2013 Excoffier et al.","author":[{"dropping-particle":"","family":"Excoffier","given":"Laurent","non-dropping-particle":"","parse-names":false,"suffix":""},{"dropping-particle":"","family":"Dupanloup","given":"Isabelle","non-dropping-particle":"","parse-names":false,"suffix":""},{"dropping-particle":"","family":"Huerta-Sánchez","given":"Emilia","non-dropping-particle":"","parse-names":false,"suffix":""},{"dropping-particle":"","family":"Sousa","given":"Vitor C.","non-dropping-particle":"","parse-names":false,"suffix":""},{"dropping-particle":"","family":"Foll","given":"Matthieu","non-dropping-particle":"","parse-names":false,"suffix":""}],"container-title":"PLoS Genetics","id":"ITEM-1","issue":"10","issued":{"date-parts":[["2013","10"]]},"page":"1003905","publisher":"Public Library of Science","title":"Robust Demographic Inference from Genomic and SNP Data","type":"article-journal","volume":"9"},"uris":["http://www.mendeley.com/documents/?uuid=59ec5d9e-21b0-3db4-b64d-36158a8d28e7"]}],"mendeley":{"formattedCitation":"(Excoffier et al. 2013)","plainTextFormattedCitation":"(Excoffier et al. 2013)"},"properties":{"noteIndex":0},"schema":"https://github.com/citation-style-language/schema/raw/master/csl-citation.json"}</w:instrText>
      </w:r>
      <w:r w:rsidRPr="001C0D2D">
        <w:rPr>
          <w:rFonts w:ascii="Times New Roman" w:eastAsia="Times New Roman" w:hAnsi="Times New Roman" w:cs="Times New Roman"/>
          <w:sz w:val="24"/>
          <w:szCs w:val="24"/>
        </w:rPr>
        <w:fldChar w:fldCharType="separate"/>
      </w:r>
      <w:r w:rsidRPr="001C0D2D">
        <w:rPr>
          <w:rFonts w:ascii="Times New Roman" w:eastAsia="Times New Roman" w:hAnsi="Times New Roman" w:cs="Times New Roman"/>
          <w:noProof/>
          <w:sz w:val="24"/>
          <w:szCs w:val="24"/>
        </w:rPr>
        <w:t>(Excoffier et al. 2013)</w:t>
      </w:r>
      <w:r w:rsidRPr="001C0D2D">
        <w:rPr>
          <w:rFonts w:ascii="Times New Roman" w:eastAsia="Times New Roman" w:hAnsi="Times New Roman" w:cs="Times New Roman"/>
          <w:sz w:val="24"/>
          <w:szCs w:val="24"/>
        </w:rPr>
        <w:fldChar w:fldCharType="end"/>
      </w:r>
      <w:r w:rsidRPr="001C0D2D">
        <w:rPr>
          <w:rFonts w:ascii="Times New Roman" w:eastAsia="Times New Roman" w:hAnsi="Times New Roman" w:cs="Times New Roman"/>
          <w:sz w:val="24"/>
          <w:szCs w:val="24"/>
        </w:rPr>
        <w:t xml:space="preserve"> consisted of 40 optimization cycles implementing 1000000 coalescent simulations. We determined the best model parameters by extracting the run with highest likelihood. Next, we estimated 95% confidence intervals for model parameter estimates by generating non-parametric bootstrapped SFS. Then we simulated 100 SFS for the model estimated with the best likelihood. For each of the 100 simulated SFS, we re-ran fastsimcoal2 40 times with each run undergoing 40 optimization cycles implementing 250000 coalescent simulations. The parameter estimates for the best run based on the likelihood were extracted and 95% confidence intervals determined using a T-test.</w:t>
      </w:r>
    </w:p>
    <w:p w14:paraId="0D0C82D6" w14:textId="03B4F85A" w:rsidR="00D617DF" w:rsidRPr="001C0D2D" w:rsidRDefault="00D617DF" w:rsidP="00EA4D1C">
      <w:pPr>
        <w:rPr>
          <w:rFonts w:ascii="Times New Roman" w:eastAsia="Times New Roman" w:hAnsi="Times New Roman" w:cs="Times New Roman"/>
          <w:i/>
          <w:iCs/>
          <w:sz w:val="24"/>
          <w:szCs w:val="24"/>
        </w:rPr>
      </w:pPr>
      <w:r w:rsidRPr="001C0D2D">
        <w:rPr>
          <w:rFonts w:ascii="Times New Roman" w:eastAsia="Times New Roman" w:hAnsi="Times New Roman" w:cs="Times New Roman"/>
          <w:i/>
          <w:iCs/>
          <w:sz w:val="24"/>
          <w:szCs w:val="24"/>
        </w:rPr>
        <w:t>Genome Co-linearity:</w:t>
      </w:r>
    </w:p>
    <w:p w14:paraId="340408F6" w14:textId="77777777" w:rsidR="00D617DF" w:rsidRDefault="00D617DF" w:rsidP="00EA4D1C">
      <w:pPr>
        <w:rPr>
          <w:rFonts w:ascii="Times New Roman" w:eastAsia="Times New Roman" w:hAnsi="Times New Roman" w:cs="Times New Roman"/>
        </w:rPr>
      </w:pPr>
      <w:r w:rsidRPr="001C0D2D">
        <w:rPr>
          <w:rFonts w:ascii="Times New Roman" w:eastAsia="Times New Roman" w:hAnsi="Times New Roman" w:cs="Times New Roman"/>
          <w:sz w:val="24"/>
          <w:szCs w:val="24"/>
        </w:rPr>
        <w:t xml:space="preserve">To assess the co-linearity of our assembly with that of </w:t>
      </w:r>
      <w:r w:rsidRPr="001C0D2D">
        <w:rPr>
          <w:rFonts w:ascii="Times New Roman" w:eastAsia="Times New Roman" w:hAnsi="Times New Roman" w:cs="Times New Roman"/>
          <w:i/>
          <w:iCs/>
          <w:sz w:val="24"/>
          <w:szCs w:val="24"/>
        </w:rPr>
        <w:t xml:space="preserve">D. pulex, </w:t>
      </w:r>
      <w:r w:rsidRPr="001C0D2D">
        <w:rPr>
          <w:rFonts w:ascii="Times New Roman" w:eastAsia="Times New Roman" w:hAnsi="Times New Roman" w:cs="Times New Roman"/>
          <w:sz w:val="24"/>
          <w:szCs w:val="24"/>
        </w:rPr>
        <w:t xml:space="preserve">we conducted a whole genome alignment and constructed a dot plot to survey for any large-scale rearrangements that could be suppressing recombination. We aligned the recent </w:t>
      </w:r>
      <w:r w:rsidRPr="001C0D2D">
        <w:rPr>
          <w:rFonts w:ascii="Times New Roman" w:eastAsia="Times New Roman" w:hAnsi="Times New Roman" w:cs="Times New Roman"/>
          <w:i/>
          <w:iCs/>
          <w:sz w:val="24"/>
          <w:szCs w:val="24"/>
        </w:rPr>
        <w:t xml:space="preserve">D. pulex </w:t>
      </w:r>
      <w:r w:rsidRPr="001C0D2D">
        <w:rPr>
          <w:rFonts w:ascii="Times New Roman" w:eastAsia="Times New Roman" w:hAnsi="Times New Roman" w:cs="Times New Roman"/>
          <w:sz w:val="24"/>
          <w:szCs w:val="24"/>
        </w:rPr>
        <w:t xml:space="preserve">assembly PA42 version 4.1 from </w:t>
      </w:r>
      <w:r w:rsidRPr="001C0D2D">
        <w:rPr>
          <w:rFonts w:ascii="Times New Roman" w:eastAsia="Times New Roman" w:hAnsi="Times New Roman" w:cs="Times New Roman"/>
          <w:sz w:val="24"/>
          <w:szCs w:val="24"/>
        </w:rPr>
        <w:fldChar w:fldCharType="begin" w:fldLock="1"/>
      </w:r>
      <w:r w:rsidRPr="001C0D2D">
        <w:rPr>
          <w:rFonts w:ascii="Times New Roman" w:eastAsia="Times New Roman" w:hAnsi="Times New Roman" w:cs="Times New Roman"/>
          <w:sz w:val="24"/>
          <w:szCs w:val="24"/>
        </w:rPr>
        <w:instrText>ADDIN CSL_CITATION {"citationItems":[{"id":"ITEM-1","itemData":{"DOI":"10.1534/g3.116.038638","ISSN":"21601836","abstract":"Comparing genomes of closely related genotypes from populations with distinct demographic histories can help reveal the impact of effective population size on genome evolution. For this purpose, we present a high quality genome assembly of Daphnia pulex (PA42), and compare this with the first sequenced genome of this species (TCO), which was derived from an isolate from a population with &gt;90% reduction in nucleotide diversity. PA42 has numerous similarities to TCO at the gene level, with an average amino acid sequence identity of 98.8 and &gt;60% of orthologous proteins identical. Nonetheless, there is a highly elevated number of genes in the TCO genome annotation, with 7000 excess genes appearing to be false positives. This view is supported by the high GC content, lack of introns, and short length of these suspicious gene annotations. Consistent with the view that reduced effective population size can facilitate the accumulation of slightly deleterious genomic features, we observe more proliferation of transposable elements (TEs) and a higher frequency of gained introns in the TCO genome.","author":[{"dropping-particle":"","family":"Ye","given":"Zhiqiang","non-dropping-particle":"","parse-names":false,"suffix":""},{"dropping-particle":"","family":"Xu","given":"Sen","non-dropping-particle":"","parse-names":false,"suffix":""},{"dropping-particle":"","family":"Spitze","given":"Ken","non-dropping-particle":"","parse-names":false,"suffix":""},{"dropping-particle":"","family":"Asselman","given":"Jana","non-dropping-particle":"","parse-names":false,"suffix":""},{"dropping-particle":"","family":"Jiang","given":"Xiaoqian","non-dropping-particle":"","parse-names":false,"suffix":""},{"dropping-particle":"","family":"Ackerman","given":"Matthew S.","non-dropping-particle":"","parse-names":false,"suffix":""},{"dropping-particle":"","family":"Lopez","given":"Jacqueline","non-dropping-particle":"","parse-names":false,"suffix":""},{"dropping-particle":"","family":"Harker","given":"Brent","non-dropping-particle":"","parse-names":false,"suffix":""},{"dropping-particle":"","family":"Raborn","given":"R. Taylor","non-dropping-particle":"","parse-names":false,"suffix":""},{"dropping-particle":"","family":"Thomas","given":"W. Kelley","non-dropping-particle":"","parse-names":false,"suffix":""},{"dropping-particle":"","family":"Ramsdell","given":"Jordan","non-dropping-particle":"","parse-names":false,"suffix":""},{"dropping-particle":"","family":"Pfrender","given":"Michael E.","non-dropping-particle":"","parse-names":false,"suffix":""},{"dropping-particle":"","family":"Lynch","given":"Michael","non-dropping-particle":"","parse-names":false,"suffix":""}],"container-title":"G3: Genes, Genomes, Genetics","id":"ITEM-1","issue":"5","issued":{"date-parts":[["2017","5","1"]]},"page":"1405-1416","publisher":"Genetics Society of America","title":"A new reference genome assembly for the microcrustacean Daphnia pulex","type":"article-journal","volume":"7"},"uris":["http://www.mendeley.com/documents/?uuid=11ae7595-16fb-348b-ad46-67f624d750b5"]}],"mendeley":{"formattedCitation":"(Ye et al. 2017)","manualFormatting":"Ye et al. (2017)","plainTextFormattedCitation":"(Ye et al. 2017)","previouslyFormattedCitation":"(Ye et al. 2017)"},"properties":{"noteIndex":0},"schema":"https://github.com/citation-style-language/schema/raw/master/csl-citation.json"}</w:instrText>
      </w:r>
      <w:r w:rsidRPr="001C0D2D">
        <w:rPr>
          <w:rFonts w:ascii="Times New Roman" w:eastAsia="Times New Roman" w:hAnsi="Times New Roman" w:cs="Times New Roman"/>
          <w:sz w:val="24"/>
          <w:szCs w:val="24"/>
        </w:rPr>
        <w:fldChar w:fldCharType="separate"/>
      </w:r>
      <w:r w:rsidRPr="001C0D2D">
        <w:rPr>
          <w:rFonts w:ascii="Times New Roman" w:eastAsia="Times New Roman" w:hAnsi="Times New Roman" w:cs="Times New Roman"/>
          <w:noProof/>
          <w:sz w:val="24"/>
          <w:szCs w:val="24"/>
        </w:rPr>
        <w:t>Ye et al. (2017)</w:t>
      </w:r>
      <w:r w:rsidRPr="001C0D2D">
        <w:rPr>
          <w:rFonts w:ascii="Times New Roman" w:eastAsia="Times New Roman" w:hAnsi="Times New Roman" w:cs="Times New Roman"/>
          <w:sz w:val="24"/>
          <w:szCs w:val="24"/>
        </w:rPr>
        <w:fldChar w:fldCharType="end"/>
      </w:r>
      <w:r w:rsidRPr="001C0D2D">
        <w:rPr>
          <w:rFonts w:ascii="Times New Roman" w:eastAsia="Times New Roman" w:hAnsi="Times New Roman" w:cs="Times New Roman"/>
          <w:sz w:val="24"/>
          <w:szCs w:val="24"/>
        </w:rPr>
        <w:t xml:space="preserve"> to the 13B haplotype assembly (scaffolded by our genetic map) using Minimap2 </w:t>
      </w:r>
      <w:r w:rsidRPr="001C0D2D">
        <w:rPr>
          <w:rFonts w:ascii="Times New Roman" w:eastAsia="Times New Roman" w:hAnsi="Times New Roman" w:cs="Times New Roman"/>
          <w:sz w:val="24"/>
          <w:szCs w:val="24"/>
        </w:rPr>
        <w:fldChar w:fldCharType="begin" w:fldLock="1"/>
      </w:r>
      <w:r w:rsidRPr="001C0D2D">
        <w:rPr>
          <w:rFonts w:ascii="Times New Roman" w:eastAsia="Times New Roman" w:hAnsi="Times New Roman" w:cs="Times New Roman"/>
          <w:sz w:val="24"/>
          <w:szCs w:val="24"/>
        </w:rPr>
        <w:instrText>ADDIN CSL_CITATION {"citationItems":[{"id":"ITEM-1","itemData":{"DOI":"10.1093/bioinformatics/bty191","ISSN":"1367-4803","abstract":"Motivation: Recent advances in sequencing technologies promise ultra-long reads of ~100 kb in average, full-length mRNA or cDNA reads in high throughput and genomic contigs over 100 Mb in length. Existing alignment programs are unable or inefficient to process such data at scale, which presses for the development of new alignment algorithms. Results: Minimap2 is a general-purpose alignment program to map DNA or long mRNA sequences against a large reference database. It works with accurate short reads of ≥100 bp in length, ≥1 kb genomic reads at error rate ~15%, full-length noisy Direct RNA or cDNA reads and assembly contigs or closely related full chromosomes of hundreds of megabases in length. Minimap2 does split-read alignment, employs concave gap cost for long insertions and deletions and introduces new heuristics to reduce spurious alignments. It is 3–4 times as fast as mainstream short-read mappers at comparable accuracy, and is ≥30 times faster than long-read genomic or cDNA mappers at higher accuracy, surpassing most aligners specialized in one type of alignment.","author":[{"dropping-particle":"","family":"Li","given":"Heng","non-dropping-particle":"","parse-names":false,"suffix":""}],"container-title":"Bioinformatics","editor":[{"dropping-particle":"","family":"Birol","given":"Inanc","non-dropping-particle":"","parse-names":false,"suffix":""}],"id":"ITEM-1","issue":"18","issued":{"date-parts":[["2018","9","15"]]},"page":"3094-3100","publisher":"Oxford University Press","title":"Minimap2: pairwise alignment for nucleotide sequences","type":"article-journal","volume":"34"},"uris":["http://www.mendeley.com/documents/?uuid=2dd8b5dd-4f91-3026-91ab-1e3eedd31d67"]}],"mendeley":{"formattedCitation":"(Li 2018)","plainTextFormattedCitation":"(Li 2018)","previouslyFormattedCitation":"(Li 2018)"},"properties":{"noteIndex":0},"schema":"https://github.com/citation-style-language/schema/raw/master/csl-citation.json"}</w:instrText>
      </w:r>
      <w:r w:rsidRPr="001C0D2D">
        <w:rPr>
          <w:rFonts w:ascii="Times New Roman" w:eastAsia="Times New Roman" w:hAnsi="Times New Roman" w:cs="Times New Roman"/>
          <w:sz w:val="24"/>
          <w:szCs w:val="24"/>
        </w:rPr>
        <w:fldChar w:fldCharType="separate"/>
      </w:r>
      <w:r w:rsidRPr="001C0D2D">
        <w:rPr>
          <w:rFonts w:ascii="Times New Roman" w:eastAsia="Times New Roman" w:hAnsi="Times New Roman" w:cs="Times New Roman"/>
          <w:noProof/>
          <w:sz w:val="24"/>
          <w:szCs w:val="24"/>
        </w:rPr>
        <w:t xml:space="preserve">(Li </w:t>
      </w:r>
      <w:r w:rsidRPr="001C0D2D">
        <w:rPr>
          <w:rFonts w:ascii="Times New Roman" w:eastAsia="Times New Roman" w:hAnsi="Times New Roman" w:cs="Times New Roman"/>
          <w:noProof/>
          <w:sz w:val="24"/>
          <w:szCs w:val="24"/>
        </w:rPr>
        <w:lastRenderedPageBreak/>
        <w:t>2018)</w:t>
      </w:r>
      <w:r w:rsidRPr="001C0D2D">
        <w:rPr>
          <w:rFonts w:ascii="Times New Roman" w:eastAsia="Times New Roman" w:hAnsi="Times New Roman" w:cs="Times New Roman"/>
          <w:sz w:val="24"/>
          <w:szCs w:val="24"/>
        </w:rPr>
        <w:fldChar w:fldCharType="end"/>
      </w:r>
      <w:r w:rsidRPr="001C0D2D">
        <w:rPr>
          <w:rFonts w:ascii="Times New Roman" w:eastAsia="Times New Roman" w:hAnsi="Times New Roman" w:cs="Times New Roman"/>
          <w:sz w:val="24"/>
          <w:szCs w:val="24"/>
        </w:rPr>
        <w:t xml:space="preserve"> on the D-GENIES webserver to construct a dot plot </w:t>
      </w:r>
      <w:r w:rsidRPr="001C0D2D">
        <w:rPr>
          <w:rFonts w:ascii="Times New Roman" w:eastAsia="Times New Roman" w:hAnsi="Times New Roman" w:cs="Times New Roman"/>
          <w:sz w:val="24"/>
          <w:szCs w:val="24"/>
        </w:rPr>
        <w:fldChar w:fldCharType="begin" w:fldLock="1"/>
      </w:r>
      <w:r w:rsidRPr="001C0D2D">
        <w:rPr>
          <w:rFonts w:ascii="Times New Roman" w:eastAsia="Times New Roman" w:hAnsi="Times New Roman" w:cs="Times New Roman"/>
          <w:sz w:val="24"/>
          <w:szCs w:val="24"/>
        </w:rPr>
        <w:instrText>ADDIN CSL_CITATION {"citationItems":[{"id":"ITEM-1","itemData":{"DOI":"10.7717/PEERJ.4958/TABLE-2","ISSN":"21678359","abstract":"Dot plots are widely used to quickly compare sequence sets. They provide a synthetic similarity overview, highlighting repetitions, breaks and inversions. Different tools have been developed to easily generated genomic alignment dot plots, but they are often limited in the input sequence size. D-GENIES is a standalone and web application performing large genome alignments using minimap2 software package and generating interactive dot plots. It enables users to sort query sequences along the reference, zoom in the plot and download several image, alignment or sequence files. D-GENIES is an easy-to-install, open-source software package (GPL) developed in Python and JavaScript.","author":[{"dropping-particle":"","family":"Cabanettes","given":"Floréal","non-dropping-particle":"","parse-names":false,"suffix":""},{"dropping-particle":"","family":"Klopp","given":"Christophe","non-dropping-particle":"","parse-names":false,"suffix":""}],"container-title":"PeerJ","id":"ITEM-1","issue":"6","issued":{"date-parts":[["2018","6","4"]]},"page":"e4958","publisher":"PeerJ Inc.","title":"D-GENIES: Dot plot large genomes in an interactive, efficient and simple way","type":"article-journal","volume":"2018"},"uris":["http://www.mendeley.com/documents/?uuid=2f87bcbc-b5ba-3ea3-a61f-7541acc00750"]}],"mendeley":{"formattedCitation":"(Cabanettes and Klopp 2018)","plainTextFormattedCitation":"(Cabanettes and Klopp 2018)","previouslyFormattedCitation":"(Cabanettes and Klopp 2018)"},"properties":{"noteIndex":0},"schema":"https://github.com/citation-style-language/schema/raw/master/csl-citation.json"}</w:instrText>
      </w:r>
      <w:r w:rsidRPr="001C0D2D">
        <w:rPr>
          <w:rFonts w:ascii="Times New Roman" w:eastAsia="Times New Roman" w:hAnsi="Times New Roman" w:cs="Times New Roman"/>
          <w:sz w:val="24"/>
          <w:szCs w:val="24"/>
        </w:rPr>
        <w:fldChar w:fldCharType="separate"/>
      </w:r>
      <w:r w:rsidRPr="001C0D2D">
        <w:rPr>
          <w:rFonts w:ascii="Times New Roman" w:eastAsia="Times New Roman" w:hAnsi="Times New Roman" w:cs="Times New Roman"/>
          <w:noProof/>
          <w:sz w:val="24"/>
          <w:szCs w:val="24"/>
        </w:rPr>
        <w:t>(Cabanettes and Klopp 2018)</w:t>
      </w:r>
      <w:r w:rsidRPr="001C0D2D">
        <w:rPr>
          <w:rFonts w:ascii="Times New Roman" w:eastAsia="Times New Roman" w:hAnsi="Times New Roman" w:cs="Times New Roman"/>
          <w:sz w:val="24"/>
          <w:szCs w:val="24"/>
        </w:rPr>
        <w:fldChar w:fldCharType="end"/>
      </w:r>
      <w:r w:rsidRPr="001C0D2D">
        <w:rPr>
          <w:rFonts w:ascii="Times New Roman" w:eastAsia="Times New Roman" w:hAnsi="Times New Roman" w:cs="Times New Roman"/>
          <w:sz w:val="24"/>
          <w:szCs w:val="24"/>
        </w:rPr>
        <w:t>. The resulting dot plot is presented in supplemental figure S30.</w:t>
      </w:r>
    </w:p>
    <w:p w14:paraId="19D88835" w14:textId="77777777" w:rsidR="00D617DF" w:rsidRDefault="00D617DF" w:rsidP="00EA4D1C">
      <w:pPr>
        <w:jc w:val="center"/>
        <w:rPr>
          <w:rFonts w:ascii="Times New Roman" w:eastAsia="Times New Roman" w:hAnsi="Times New Roman" w:cs="Times New Roman"/>
        </w:rPr>
      </w:pPr>
    </w:p>
    <w:p w14:paraId="4F9D3822" w14:textId="77777777" w:rsidR="001C0D2D" w:rsidRDefault="001C0D2D" w:rsidP="00EA4D1C">
      <w:pPr>
        <w:jc w:val="center"/>
        <w:rPr>
          <w:rFonts w:ascii="Times New Roman" w:eastAsia="Times New Roman" w:hAnsi="Times New Roman" w:cs="Times New Roman"/>
          <w:b/>
          <w:bCs/>
        </w:rPr>
      </w:pPr>
    </w:p>
    <w:p w14:paraId="22EE0DA2" w14:textId="75E79071" w:rsidR="00D617DF" w:rsidRDefault="00D617DF" w:rsidP="00ED44B4">
      <w:pPr>
        <w:rPr>
          <w:rFonts w:ascii="Times New Roman" w:eastAsia="Times New Roman" w:hAnsi="Times New Roman" w:cs="Times New Roman"/>
          <w:b/>
          <w:bCs/>
        </w:rPr>
      </w:pPr>
      <w:r>
        <w:rPr>
          <w:rFonts w:ascii="Times New Roman" w:eastAsia="Times New Roman" w:hAnsi="Times New Roman" w:cs="Times New Roman"/>
          <w:b/>
          <w:bCs/>
        </w:rPr>
        <w:t>Supplemental Figures:</w:t>
      </w:r>
    </w:p>
    <w:p w14:paraId="218DB20E" w14:textId="77777777" w:rsidR="00D617DF" w:rsidRDefault="00D617DF" w:rsidP="00EA4D1C">
      <w:pPr>
        <w:jc w:val="center"/>
        <w:rPr>
          <w:rFonts w:ascii="Times New Roman" w:eastAsia="Times New Roman" w:hAnsi="Times New Roman" w:cs="Times New Roman"/>
          <w:b/>
          <w:bCs/>
        </w:rPr>
      </w:pPr>
      <w:r>
        <w:rPr>
          <w:rFonts w:ascii="Times New Roman" w:eastAsia="Times New Roman" w:hAnsi="Times New Roman" w:cs="Times New Roman"/>
          <w:b/>
          <w:bCs/>
          <w:noProof/>
        </w:rPr>
        <w:drawing>
          <wp:inline distT="0" distB="0" distL="0" distR="0" wp14:anchorId="03F1B405" wp14:editId="6A93E3BA">
            <wp:extent cx="5944235" cy="3127375"/>
            <wp:effectExtent l="0" t="0" r="0" b="0"/>
            <wp:docPr id="41" name="Picture 4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 bar chart&#10;&#10;Description automatically generated"/>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944235" cy="3127375"/>
                    </a:xfrm>
                    <a:prstGeom prst="rect">
                      <a:avLst/>
                    </a:prstGeom>
                    <a:noFill/>
                  </pic:spPr>
                </pic:pic>
              </a:graphicData>
            </a:graphic>
          </wp:inline>
        </w:drawing>
      </w:r>
    </w:p>
    <w:p w14:paraId="53F49163" w14:textId="77777777" w:rsidR="00D617DF" w:rsidRDefault="00D617DF" w:rsidP="00EA4D1C">
      <w:pPr>
        <w:rPr>
          <w:rFonts w:ascii="Times New Roman" w:hAnsi="Times New Roman" w:cs="Times New Roman"/>
        </w:rPr>
      </w:pPr>
      <w:r w:rsidRPr="00E26F08">
        <w:rPr>
          <w:rFonts w:ascii="Times New Roman" w:hAnsi="Times New Roman" w:cs="Times New Roman"/>
          <w:b/>
          <w:bCs/>
        </w:rPr>
        <w:t>Figure S</w:t>
      </w:r>
      <w:r>
        <w:rPr>
          <w:rFonts w:ascii="Times New Roman" w:hAnsi="Times New Roman" w:cs="Times New Roman"/>
          <w:b/>
          <w:bCs/>
        </w:rPr>
        <w:t>1</w:t>
      </w:r>
      <w:r w:rsidRPr="00E26F08">
        <w:rPr>
          <w:rFonts w:ascii="Times New Roman" w:hAnsi="Times New Roman" w:cs="Times New Roman"/>
          <w:b/>
          <w:bCs/>
        </w:rPr>
        <w:t xml:space="preserve">: </w:t>
      </w:r>
      <w:r>
        <w:rPr>
          <w:rFonts w:ascii="Times New Roman" w:hAnsi="Times New Roman" w:cs="Times New Roman"/>
        </w:rPr>
        <w:t>Crossover events per linkage group. The number of crossovers per linkage group per individual ranged from a high of 7 (on LG 1), to 0 (all but LGs 1 &amp; 6). Most individuals experienced 2 to 3 crossovers per chromosome.</w:t>
      </w:r>
    </w:p>
    <w:p w14:paraId="687A55AF" w14:textId="77777777" w:rsidR="00D617DF" w:rsidRDefault="00D617DF" w:rsidP="00EA4D1C">
      <w:pPr>
        <w:rPr>
          <w:rFonts w:ascii="Times New Roman" w:hAnsi="Times New Roman" w:cs="Times New Roman"/>
        </w:rPr>
      </w:pPr>
      <w:r>
        <w:rPr>
          <w:noProof/>
        </w:rPr>
        <w:lastRenderedPageBreak/>
        <w:drawing>
          <wp:inline distT="0" distB="0" distL="0" distR="0" wp14:anchorId="46945473" wp14:editId="43789F9C">
            <wp:extent cx="5943600" cy="5943600"/>
            <wp:effectExtent l="0" t="0" r="0" b="0"/>
            <wp:docPr id="42" name="Picture 4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383608CB" w14:textId="77777777" w:rsidR="00D617DF" w:rsidRDefault="00D617DF" w:rsidP="00EA4D1C">
      <w:pPr>
        <w:rPr>
          <w:rFonts w:ascii="Times New Roman" w:eastAsia="Times New Roman" w:hAnsi="Times New Roman" w:cs="Times New Roman"/>
          <w:b/>
          <w:bCs/>
        </w:rPr>
      </w:pPr>
      <w:r>
        <w:rPr>
          <w:rFonts w:ascii="Times New Roman" w:hAnsi="Times New Roman" w:cs="Times New Roman"/>
          <w:b/>
          <w:bCs/>
        </w:rPr>
        <w:t xml:space="preserve">Figure S2: </w:t>
      </w:r>
      <w:r>
        <w:rPr>
          <w:rFonts w:ascii="Times New Roman" w:hAnsi="Times New Roman" w:cs="Times New Roman"/>
        </w:rPr>
        <w:t xml:space="preserve">Correlations between Linkage Group (LG) physical lengths, genetic lengths and recombination rates. A) Correlation between LG physical lengths and their corresponding genetic lengths for the male map. B) Correlation between LG physical lengths and their corresponding genetic lengths for the female map. Positive slopes of the correlation across both maps indicate that the physically longest chromosomes are hosting the greatest number of recombination events. C) </w:t>
      </w:r>
      <w:bookmarkStart w:id="4" w:name="_Hlk78187623"/>
      <w:r>
        <w:rPr>
          <w:rFonts w:ascii="Times New Roman" w:hAnsi="Times New Roman" w:cs="Times New Roman"/>
        </w:rPr>
        <w:t xml:space="preserve">Correlation between LG physical lengths and their corresponding recombination rates in cM/MB for the male map. </w:t>
      </w:r>
      <w:bookmarkEnd w:id="4"/>
      <w:r>
        <w:rPr>
          <w:rFonts w:ascii="Times New Roman" w:hAnsi="Times New Roman" w:cs="Times New Roman"/>
        </w:rPr>
        <w:t xml:space="preserve">D) Correlation between LG physical lengths and their corresponding recombination rates in cM/MB for the female map. Negative correlations indicate that larger LGs host regions of suppressed recombination. This effect is likely driven in part by the fact that the smallest LG may only approximate arms of chromosomes.   </w:t>
      </w:r>
    </w:p>
    <w:p w14:paraId="0BFC3502" w14:textId="77777777" w:rsidR="00D617DF" w:rsidRDefault="00D617DF" w:rsidP="00EA4D1C">
      <w:pPr>
        <w:rPr>
          <w:rFonts w:ascii="Times New Roman" w:eastAsia="Times New Roman" w:hAnsi="Times New Roman" w:cs="Times New Roman"/>
          <w:b/>
          <w:bCs/>
        </w:rPr>
      </w:pPr>
      <w:r>
        <w:rPr>
          <w:rFonts w:ascii="Times New Roman" w:eastAsia="Times New Roman" w:hAnsi="Times New Roman" w:cs="Times New Roman"/>
          <w:noProof/>
        </w:rPr>
        <w:lastRenderedPageBreak/>
        <w:drawing>
          <wp:inline distT="0" distB="0" distL="0" distR="0" wp14:anchorId="059009BA" wp14:editId="01D1E730">
            <wp:extent cx="5600700" cy="5600700"/>
            <wp:effectExtent l="0" t="0" r="0" b="0"/>
            <wp:docPr id="23" name="Picture 2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171">
                      <a:extLst>
                        <a:ext uri="{28A0092B-C50C-407E-A947-70E740481C1C}">
                          <a14:useLocalDpi xmlns:a14="http://schemas.microsoft.com/office/drawing/2010/main" val="0"/>
                        </a:ext>
                      </a:extLst>
                    </a:blip>
                    <a:stretch>
                      <a:fillRect/>
                    </a:stretch>
                  </pic:blipFill>
                  <pic:spPr>
                    <a:xfrm>
                      <a:off x="0" y="0"/>
                      <a:ext cx="5600700" cy="5600700"/>
                    </a:xfrm>
                    <a:prstGeom prst="rect">
                      <a:avLst/>
                    </a:prstGeom>
                  </pic:spPr>
                </pic:pic>
              </a:graphicData>
            </a:graphic>
          </wp:inline>
        </w:drawing>
      </w:r>
    </w:p>
    <w:p w14:paraId="658A385C" w14:textId="77777777" w:rsidR="00D617DF" w:rsidRPr="005B41DC" w:rsidRDefault="00D617DF" w:rsidP="00377115">
      <w:pPr>
        <w:pStyle w:val="HTMLPreformatted"/>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Figure S3: </w:t>
      </w:r>
      <w:r>
        <w:rPr>
          <w:rFonts w:ascii="Times New Roman" w:eastAsia="Times New Roman" w:hAnsi="Times New Roman" w:cs="Times New Roman"/>
          <w:sz w:val="24"/>
          <w:szCs w:val="24"/>
        </w:rPr>
        <w:t xml:space="preserve">Aggregate correlations between sequence content and recombination rates in the </w:t>
      </w:r>
      <w:r>
        <w:rPr>
          <w:rFonts w:ascii="Times New Roman" w:eastAsia="Times New Roman" w:hAnsi="Times New Roman" w:cs="Times New Roman"/>
          <w:i/>
          <w:iCs/>
          <w:sz w:val="24"/>
          <w:szCs w:val="24"/>
        </w:rPr>
        <w:t xml:space="preserve">Daphnia pulicaria </w:t>
      </w:r>
      <w:r>
        <w:rPr>
          <w:rFonts w:ascii="Times New Roman" w:eastAsia="Times New Roman" w:hAnsi="Times New Roman" w:cs="Times New Roman"/>
          <w:sz w:val="24"/>
          <w:szCs w:val="24"/>
        </w:rPr>
        <w:t xml:space="preserve">genome. A) Negative correlation between recombination rate (cM/Mb; calculated using the male genetic map) and the repeat sequence content in 1-Mb windows through the genome. B) Negative correlation between recombination rate (cM/Mb; calculated using the female genetic map) and the repeat sequence content in 1-Mb windows through the genome. C) Positive correlation between recombination rate (cM/Mb; calculated using the male genetic map) and Coding DNA Sequence (CDS) content in 1-Mb windows throughout the genome. D) Positive correlation between recombination rate (cM/Mb; calculated using the female genetic map) and Coding DNA Sequence (CDS) content in 1-Mb windows throughout the genome. In all cases windows were 1-Mb in length stepping 10-Kb along chromosomes. Recombination rates were determined by subtracting the ending genetic location (in cM) of the window from the starting marker and dividing by physical distance (i.e., 1-Mb). CDS content and Repeat was extracted from the predicted gene models from Augustus (CDS) or from </w:t>
      </w:r>
      <w:r>
        <w:rPr>
          <w:rFonts w:ascii="Times New Roman" w:eastAsia="Times New Roman" w:hAnsi="Times New Roman" w:cs="Times New Roman"/>
          <w:sz w:val="24"/>
          <w:szCs w:val="24"/>
        </w:rPr>
        <w:lastRenderedPageBreak/>
        <w:t>RepeatMasker (Repeats) in the same windows in which recombination rates were estimated across the genome.</w:t>
      </w:r>
    </w:p>
    <w:p w14:paraId="02A108D4" w14:textId="77777777" w:rsidR="00D617DF" w:rsidRPr="00CD78D1" w:rsidRDefault="00D617DF" w:rsidP="00EA4D1C">
      <w:pPr>
        <w:rPr>
          <w:rFonts w:ascii="Times New Roman" w:hAnsi="Times New Roman" w:cs="Times New Roman"/>
        </w:rPr>
      </w:pPr>
      <w:r>
        <w:rPr>
          <w:noProof/>
        </w:rPr>
        <w:drawing>
          <wp:inline distT="0" distB="0" distL="0" distR="0" wp14:anchorId="6C9EBBE8" wp14:editId="209B9837">
            <wp:extent cx="5943600" cy="3972560"/>
            <wp:effectExtent l="0" t="0" r="0" b="8890"/>
            <wp:docPr id="43" name="Picture 3" descr="Chart, histogram&#10;&#10;Description automatically generated">
              <a:extLst xmlns:a="http://schemas.openxmlformats.org/drawingml/2006/main">
                <a:ext uri="{FF2B5EF4-FFF2-40B4-BE49-F238E27FC236}">
                  <a16:creationId xmlns:a16="http://schemas.microsoft.com/office/drawing/2014/main" id="{889B5B19-50E4-44E4-A45E-84E80D2D91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 histogram&#10;&#10;Description automatically generated">
                      <a:extLst>
                        <a:ext uri="{FF2B5EF4-FFF2-40B4-BE49-F238E27FC236}">
                          <a16:creationId xmlns:a16="http://schemas.microsoft.com/office/drawing/2014/main" id="{889B5B19-50E4-44E4-A45E-84E80D2D91A7}"/>
                        </a:ext>
                      </a:extLst>
                    </pic:cNvPr>
                    <pic:cNvPicPr>
                      <a:picLocks noChangeAspect="1"/>
                    </pic:cNvPicPr>
                  </pic:nvPicPr>
                  <pic:blipFill>
                    <a:blip r:embed="rId172">
                      <a:extLst>
                        <a:ext uri="{28A0092B-C50C-407E-A947-70E740481C1C}">
                          <a14:useLocalDpi xmlns:a14="http://schemas.microsoft.com/office/drawing/2010/main" val="0"/>
                        </a:ext>
                      </a:extLst>
                    </a:blip>
                    <a:stretch>
                      <a:fillRect/>
                    </a:stretch>
                  </pic:blipFill>
                  <pic:spPr>
                    <a:xfrm>
                      <a:off x="0" y="0"/>
                      <a:ext cx="5943600" cy="3972560"/>
                    </a:xfrm>
                    <a:prstGeom prst="rect">
                      <a:avLst/>
                    </a:prstGeom>
                  </pic:spPr>
                </pic:pic>
              </a:graphicData>
            </a:graphic>
          </wp:inline>
        </w:drawing>
      </w:r>
      <w:r>
        <w:rPr>
          <w:rFonts w:ascii="Times New Roman" w:hAnsi="Times New Roman" w:cs="Times New Roman"/>
          <w:b/>
          <w:bCs/>
        </w:rPr>
        <w:t xml:space="preserve">Figure S4: </w:t>
      </w:r>
      <w:r>
        <w:rPr>
          <w:rFonts w:ascii="Times New Roman" w:hAnsi="Times New Roman" w:cs="Times New Roman"/>
        </w:rPr>
        <w:t>Kimura 2-parameter distances and percent genome coverage of repeat families. Color of stacked bar plot indicates the identity of the repeat family. There is a peak of &gt; 4% of the genome covered in low divergence (genetic distance = 0) indicating that transposition is active and ongoing in the genome. A more ancient transposition burst also occurred, indicated by the bi-modal distribution primarily driven by RC Helitron superfamily of repeat elements.</w:t>
      </w:r>
      <w:r>
        <w:rPr>
          <w:rFonts w:ascii="Times New Roman" w:hAnsi="Times New Roman" w:cs="Times New Roman"/>
          <w:b/>
          <w:bCs/>
        </w:rPr>
        <w:br w:type="page"/>
      </w:r>
    </w:p>
    <w:p w14:paraId="76DC539A" w14:textId="77777777" w:rsidR="00D617DF" w:rsidRDefault="00D617DF" w:rsidP="00EA4D1C">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0C2B33CD" wp14:editId="706EED53">
            <wp:extent cx="5859891" cy="4886325"/>
            <wp:effectExtent l="0" t="0" r="7620" b="0"/>
            <wp:docPr id="44" name="Picture 4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864868" cy="4890475"/>
                    </a:xfrm>
                    <a:prstGeom prst="rect">
                      <a:avLst/>
                    </a:prstGeom>
                    <a:noFill/>
                  </pic:spPr>
                </pic:pic>
              </a:graphicData>
            </a:graphic>
          </wp:inline>
        </w:drawing>
      </w:r>
    </w:p>
    <w:p w14:paraId="7D8029B0" w14:textId="77777777" w:rsidR="00D617DF" w:rsidRDefault="00D617DF" w:rsidP="00EA4D1C">
      <w:pPr>
        <w:rPr>
          <w:rFonts w:ascii="Times New Roman" w:hAnsi="Times New Roman" w:cs="Times New Roman"/>
        </w:rPr>
      </w:pPr>
      <w:r>
        <w:rPr>
          <w:rFonts w:ascii="Times New Roman" w:hAnsi="Times New Roman" w:cs="Times New Roman"/>
          <w:b/>
          <w:bCs/>
        </w:rPr>
        <w:t xml:space="preserve">Figure S5: </w:t>
      </w:r>
      <w:r w:rsidRPr="00EE443A">
        <w:rPr>
          <w:rFonts w:ascii="Times New Roman" w:hAnsi="Times New Roman" w:cs="Times New Roman"/>
        </w:rPr>
        <w:t>Benchmarking Universal Single-Copy Orthologs</w:t>
      </w:r>
      <w:r>
        <w:rPr>
          <w:rFonts w:ascii="Times New Roman" w:hAnsi="Times New Roman" w:cs="Times New Roman"/>
        </w:rPr>
        <w:t xml:space="preserve"> (</w:t>
      </w:r>
      <w:r w:rsidRPr="00BF2373">
        <w:rPr>
          <w:rFonts w:ascii="Times New Roman" w:hAnsi="Times New Roman" w:cs="Times New Roman"/>
        </w:rPr>
        <w:t>BUSCO</w:t>
      </w:r>
      <w:r>
        <w:rPr>
          <w:rFonts w:ascii="Times New Roman" w:hAnsi="Times New Roman" w:cs="Times New Roman"/>
        </w:rPr>
        <w:t xml:space="preserve">) results for each assembly haplotype. Stacked bar plot indicates the percent of BUSCO genes in each category; C: complete, S: single copy, D: duplicated, F: fragmented, M: missing. Haplotypes refer to the phased assembly inherited by the F1 genotype from each of the F0 parental genotypes. Genomes were assayed against the Arthropod Gene set downloaded from OrthoDB version 10 </w:t>
      </w:r>
      <w:r>
        <w:rPr>
          <w:rFonts w:ascii="Times New Roman" w:hAnsi="Times New Roman" w:cs="Times New Roman"/>
        </w:rPr>
        <w:fldChar w:fldCharType="begin" w:fldLock="1"/>
      </w:r>
      <w:r>
        <w:rPr>
          <w:rFonts w:ascii="Times New Roman" w:hAnsi="Times New Roman" w:cs="Times New Roman"/>
        </w:rPr>
        <w:instrText>ADDIN CSL_CITATION {"citationItems":[{"id":"ITEM-1","itemData":{"DOI":"10.1093/nar/gky1053","ISSN":"13624962","PMID":"30395283","abstract":"OrthoDB (https://www.orthodb.org) provides evolutionary and functional annotations of orthologs. This update features a major scaling up of the resource coverage, sampling the genomic diversity of 1271 eukaryotes, 6013 prokaryotes and 6488 viruses. These include putative orthologs among 448 metazoan, 117 plant, 549 fungal, 148 protist, 5609 bacterial, and 404 archaeal genomes, picking up the best sequenced and annotated representatives for each species or operational taxonomic unit. OrthoDB relies on a concept of hierarchy of levels-of-orthology to enable more finely resolved gene orthologies for more closely related species. Since orthologs are the most likely candidates to retain functions of their ancestor gene, OrthoDB is aimed at narrowing down hypotheses about gene functions and enabling comparative evolutionary studies. Optional registered-user sessions allow on-line BUSCO assessments of gene set completeness and mapping of the uploaded data to OrthoDB to enable further interactive exploration of related annotations and generation of comparative charts. The accelerating expansion of genomics data continues to add valuable information, and OrthoDB strives to provide orthologs from the broadest coverage of species, as well as to extensively collate available functional annotations and to compute evolutionary annotations. The data can be browsed online, downloaded or assessed via REST API or SPARQL RDF compatible with both UniProt and Ensembl.","author":[{"dropping-particle":"V.","family":"Kriventseva","given":"Evgenia","non-dropping-particle":"","parse-names":false,"suffix":""},{"dropping-particle":"","family":"Kuznetsov","given":"Dmitry","non-dropping-particle":"","parse-names":false,"suffix":""},{"dropping-particle":"","family":"Tegenfeldt","given":"Fredrik","non-dropping-particle":"","parse-names":false,"suffix":""},{"dropping-particle":"","family":"Manni","given":"Mosè","non-dropping-particle":"","parse-names":false,"suffix":""},{"dropping-particle":"","family":"Dias","given":"Renata","non-dropping-particle":"","parse-names":false,"suffix":""},{"dropping-particle":"","family":"Simão","given":"Felipe A.","non-dropping-particle":"","parse-names":false,"suffix":""},{"dropping-particle":"","family":"Zdobnov","given":"Evgeny M.","non-dropping-particle":"","parse-names":false,"suffix":""}],"container-title":"Nucleic Acids Research","id":"ITEM-1","issue":"D1","issued":{"date-parts":[["2019","1","8"]]},"page":"D807-D811","publisher":"Oxford University Press","title":"OrthoDB v10: Sampling the diversity of animal, plant, fungal, protist, bacterial and viral genomes for evolutionary and functional annotations of orthologs","type":"article-journal","volume":"47"},"uris":["http://www.mendeley.com/documents/?uuid=a1987bf8-b601-3d6c-9bd9-b9ceac95e3d0"]}],"mendeley":{"formattedCitation":"(Kriventseva et al. 2019)","plainTextFormattedCitation":"(Kriventseva et al. 2019)","previouslyFormattedCitation":"(Kriventseva et al. 2019)"},"properties":{"noteIndex":0},"schema":"https://github.com/citation-style-language/schema/raw/master/csl-citation.json"}</w:instrText>
      </w:r>
      <w:r>
        <w:rPr>
          <w:rFonts w:ascii="Times New Roman" w:hAnsi="Times New Roman" w:cs="Times New Roman"/>
        </w:rPr>
        <w:fldChar w:fldCharType="separate"/>
      </w:r>
      <w:r w:rsidRPr="00A6543F">
        <w:rPr>
          <w:rFonts w:ascii="Times New Roman" w:hAnsi="Times New Roman" w:cs="Times New Roman"/>
          <w:noProof/>
        </w:rPr>
        <w:t>(Kriventseva et al. 2019)</w:t>
      </w:r>
      <w:r>
        <w:rPr>
          <w:rFonts w:ascii="Times New Roman" w:hAnsi="Times New Roman" w:cs="Times New Roman"/>
        </w:rPr>
        <w:fldChar w:fldCharType="end"/>
      </w:r>
      <w:r>
        <w:rPr>
          <w:rFonts w:ascii="Times New Roman" w:hAnsi="Times New Roman" w:cs="Times New Roman"/>
        </w:rPr>
        <w:t xml:space="preserve">. Figure was produced using the supplemental Python and R scripts packaged with BUSCO </w:t>
      </w:r>
      <w:r>
        <w:rPr>
          <w:rFonts w:ascii="Times New Roman" w:hAnsi="Times New Roman" w:cs="Times New Roman"/>
        </w:rPr>
        <w:fldChar w:fldCharType="begin" w:fldLock="1"/>
      </w:r>
      <w:r>
        <w:rPr>
          <w:rFonts w:ascii="Times New Roman" w:hAnsi="Times New Roman" w:cs="Times New Roman"/>
        </w:rPr>
        <w:instrText>ADDIN CSL_CITATION {"citationItems":[{"id":"ITEM-1","itemData":{"DOI":"10.1093/bioinformatics/btv351","ISSN":"14602059","PMID":"26059717","abstract":"Motivation: Genomics has revolutionized biological research, but quality assessment of the resulting assembled sequences is complicated and remains mostly limited to technical measures like N50. Results: We propose a measure for quantitative assessment of genome assembly and annotation completeness based on evolutionarily informed expectations of gene content. We implemented the assessment procedure in open-source software, with sets of Benchmarking Universal Single-Copy Orthologs, named BUSCO.","author":[{"dropping-particle":"","family":"Simão","given":"Felipe A.","non-dropping-particle":"","parse-names":false,"suffix":""},{"dropping-particle":"","family":"Waterhouse","given":"Robert M.","non-dropping-particle":"","parse-names":false,"suffix":""},{"dropping-particle":"","family":"Ioannidis","given":"Panagiotis","non-dropping-particle":"","parse-names":false,"suffix":""},{"dropping-particle":"V.","family":"Kriventseva","given":"Evgenia","non-dropping-particle":"","parse-names":false,"suffix":""},{"dropping-particle":"","family":"Zdobnov","given":"Evgeny M.","non-dropping-particle":"","parse-names":false,"suffix":""}],"container-title":"Bioinformatics","id":"ITEM-1","issue":"19","issued":{"date-parts":[["2015","10","1"]]},"page":"3210-3212","publisher":"Oxford University Press","title":"BUSCO: Assessing genome assembly and annotation completeness with single-copy orthologs","type":"article-journal","volume":"31"},"uris":["http://www.mendeley.com/documents/?uuid=a0176ceb-1139-33ec-a695-8c92d2ff5a3c"]}],"mendeley":{"formattedCitation":"(Simão et al. 2015)","plainTextFormattedCitation":"(Simão et al. 2015)","previouslyFormattedCitation":"(Simão et al. 2015)"},"properties":{"noteIndex":0},"schema":"https://github.com/citation-style-language/schema/raw/master/csl-citation.json"}</w:instrText>
      </w:r>
      <w:r>
        <w:rPr>
          <w:rFonts w:ascii="Times New Roman" w:hAnsi="Times New Roman" w:cs="Times New Roman"/>
        </w:rPr>
        <w:fldChar w:fldCharType="separate"/>
      </w:r>
      <w:r w:rsidRPr="006F578C">
        <w:rPr>
          <w:rFonts w:ascii="Times New Roman" w:hAnsi="Times New Roman" w:cs="Times New Roman"/>
          <w:noProof/>
        </w:rPr>
        <w:t>(Simão et al. 2015)</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br w:type="page"/>
      </w:r>
    </w:p>
    <w:p w14:paraId="38CC47B0" w14:textId="77777777" w:rsidR="00D617DF" w:rsidRPr="00CB0DD2" w:rsidRDefault="00D617DF" w:rsidP="00EA4D1C">
      <w:pPr>
        <w:rPr>
          <w:rFonts w:ascii="Times New Roman" w:hAnsi="Times New Roman" w:cs="Times New Roman"/>
          <w:b/>
          <w:bCs/>
        </w:rPr>
      </w:pPr>
      <w:r>
        <w:rPr>
          <w:noProof/>
        </w:rPr>
        <w:lastRenderedPageBreak/>
        <w:drawing>
          <wp:inline distT="0" distB="0" distL="0" distR="0" wp14:anchorId="6A938FA5" wp14:editId="39FAAEF1">
            <wp:extent cx="5943600" cy="5943600"/>
            <wp:effectExtent l="0" t="0" r="0" b="0"/>
            <wp:docPr id="30" name="Picture 3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10;&#10;Description automatically generated"/>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0FE7036E" w14:textId="77777777" w:rsidR="00D617DF" w:rsidRDefault="00D617DF" w:rsidP="00EA4D1C">
      <w:pPr>
        <w:pStyle w:val="HTMLPreformatted"/>
        <w:rPr>
          <w:rFonts w:ascii="Times New Roman" w:eastAsia="Times New Roman" w:hAnsi="Times New Roman" w:cs="Times New Roman"/>
          <w:sz w:val="24"/>
          <w:szCs w:val="24"/>
        </w:rPr>
      </w:pPr>
      <w:bookmarkStart w:id="5" w:name="_Hlk78188454"/>
      <w:r>
        <w:rPr>
          <w:rFonts w:ascii="Times New Roman" w:hAnsi="Times New Roman" w:cs="Times New Roman"/>
          <w:b/>
          <w:bCs/>
          <w:sz w:val="24"/>
          <w:szCs w:val="24"/>
        </w:rPr>
        <w:t xml:space="preserve">Figure S6: </w:t>
      </w:r>
      <w:r>
        <w:rPr>
          <w:rFonts w:ascii="Times New Roman" w:eastAsia="Times New Roman" w:hAnsi="Times New Roman" w:cs="Times New Roman"/>
          <w:sz w:val="24"/>
          <w:szCs w:val="24"/>
        </w:rPr>
        <w:t>Sliding window analysis of Linkage Group (LG)-1 landscapes. (Top) Recombination landscape in 1-Mb windows stepping 10-Kb along the LG. Colors reflect the male (blue) and female (red) map positions. (Second from top) Sliding window F</w:t>
      </w:r>
      <w:r>
        <w:rPr>
          <w:rFonts w:ascii="Times New Roman" w:eastAsia="Times New Roman" w:hAnsi="Times New Roman" w:cs="Times New Roman"/>
          <w:sz w:val="24"/>
          <w:szCs w:val="24"/>
          <w:vertAlign w:val="subscript"/>
        </w:rPr>
        <w:t xml:space="preserve">st </w:t>
      </w:r>
      <w:r>
        <w:rPr>
          <w:rFonts w:ascii="Times New Roman" w:eastAsia="Times New Roman" w:hAnsi="Times New Roman" w:cs="Times New Roman"/>
          <w:sz w:val="24"/>
          <w:szCs w:val="24"/>
        </w:rPr>
        <w:t xml:space="preserve">(relative differentiation) calculated between </w:t>
      </w:r>
      <w:r>
        <w:rPr>
          <w:rFonts w:ascii="Times New Roman" w:eastAsia="Times New Roman" w:hAnsi="Times New Roman" w:cs="Times New Roman"/>
          <w:i/>
          <w:iCs/>
          <w:sz w:val="24"/>
          <w:szCs w:val="24"/>
        </w:rPr>
        <w:t xml:space="preserve">D. pulicaria </w:t>
      </w:r>
      <w:r>
        <w:rPr>
          <w:rFonts w:ascii="Times New Roman" w:eastAsia="Times New Roman" w:hAnsi="Times New Roman" w:cs="Times New Roman"/>
          <w:sz w:val="24"/>
          <w:szCs w:val="24"/>
        </w:rPr>
        <w:t xml:space="preserve">and </w:t>
      </w:r>
      <w:r>
        <w:rPr>
          <w:rFonts w:ascii="Times New Roman" w:eastAsia="Times New Roman" w:hAnsi="Times New Roman" w:cs="Times New Roman"/>
          <w:i/>
          <w:iCs/>
          <w:sz w:val="24"/>
          <w:szCs w:val="24"/>
        </w:rPr>
        <w:t xml:space="preserve">D. pulex </w:t>
      </w:r>
      <w:r>
        <w:rPr>
          <w:rFonts w:ascii="Times New Roman" w:eastAsia="Times New Roman" w:hAnsi="Times New Roman" w:cs="Times New Roman"/>
          <w:sz w:val="24"/>
          <w:szCs w:val="24"/>
        </w:rPr>
        <w:t xml:space="preserve">in 1-Mb windows stepping 10-Kb along the LG. (Third from top) Sliding window π (nucleotide diversity) calculated for both </w:t>
      </w:r>
      <w:r>
        <w:rPr>
          <w:rFonts w:ascii="Times New Roman" w:eastAsia="Times New Roman" w:hAnsi="Times New Roman" w:cs="Times New Roman"/>
          <w:i/>
          <w:iCs/>
          <w:sz w:val="24"/>
          <w:szCs w:val="24"/>
        </w:rPr>
        <w:t xml:space="preserve">D. pulex </w:t>
      </w:r>
      <w:r>
        <w:rPr>
          <w:rFonts w:ascii="Times New Roman" w:eastAsia="Times New Roman" w:hAnsi="Times New Roman" w:cs="Times New Roman"/>
          <w:sz w:val="24"/>
          <w:szCs w:val="24"/>
        </w:rPr>
        <w:t xml:space="preserve">(red) and </w:t>
      </w:r>
      <w:r>
        <w:rPr>
          <w:rFonts w:ascii="Times New Roman" w:eastAsia="Times New Roman" w:hAnsi="Times New Roman" w:cs="Times New Roman"/>
          <w:i/>
          <w:iCs/>
          <w:sz w:val="24"/>
          <w:szCs w:val="24"/>
        </w:rPr>
        <w:t xml:space="preserve">D. pulicaria </w:t>
      </w:r>
      <w:r>
        <w:rPr>
          <w:rFonts w:ascii="Times New Roman" w:eastAsia="Times New Roman" w:hAnsi="Times New Roman" w:cs="Times New Roman"/>
          <w:sz w:val="24"/>
          <w:szCs w:val="24"/>
        </w:rPr>
        <w:t>(blue) in the 1-Mb windows stepping 10-Kb along the LG. (Fourth from top) Sliding window D</w:t>
      </w:r>
      <w:r>
        <w:rPr>
          <w:rFonts w:ascii="Times New Roman" w:eastAsia="Times New Roman" w:hAnsi="Times New Roman" w:cs="Times New Roman"/>
          <w:sz w:val="24"/>
          <w:szCs w:val="24"/>
          <w:vertAlign w:val="subscript"/>
        </w:rPr>
        <w:t>xy</w:t>
      </w:r>
      <w:r>
        <w:rPr>
          <w:rFonts w:ascii="Times New Roman" w:eastAsia="Times New Roman" w:hAnsi="Times New Roman" w:cs="Times New Roman"/>
          <w:sz w:val="24"/>
          <w:szCs w:val="24"/>
        </w:rPr>
        <w:t xml:space="preserve"> (absolute divergence) calculated between </w:t>
      </w:r>
      <w:r>
        <w:rPr>
          <w:rFonts w:ascii="Times New Roman" w:eastAsia="Times New Roman" w:hAnsi="Times New Roman" w:cs="Times New Roman"/>
          <w:i/>
          <w:iCs/>
          <w:sz w:val="24"/>
          <w:szCs w:val="24"/>
        </w:rPr>
        <w:t xml:space="preserve">D. pulicaria </w:t>
      </w:r>
      <w:r>
        <w:rPr>
          <w:rFonts w:ascii="Times New Roman" w:eastAsia="Times New Roman" w:hAnsi="Times New Roman" w:cs="Times New Roman"/>
          <w:sz w:val="24"/>
          <w:szCs w:val="24"/>
        </w:rPr>
        <w:t xml:space="preserve">and </w:t>
      </w:r>
      <w:r>
        <w:rPr>
          <w:rFonts w:ascii="Times New Roman" w:eastAsia="Times New Roman" w:hAnsi="Times New Roman" w:cs="Times New Roman"/>
          <w:i/>
          <w:iCs/>
          <w:sz w:val="24"/>
          <w:szCs w:val="24"/>
        </w:rPr>
        <w:t xml:space="preserve">D. pulex </w:t>
      </w:r>
      <w:r>
        <w:rPr>
          <w:rFonts w:ascii="Times New Roman" w:eastAsia="Times New Roman" w:hAnsi="Times New Roman" w:cs="Times New Roman"/>
          <w:sz w:val="24"/>
          <w:szCs w:val="24"/>
        </w:rPr>
        <w:t>in the 1-Mb windows stepping 10-Kb along the LG. (Bottom) Sliding window analysis of DNA sequence features along LG 1 in 1-Mb windows stepping 10-Kb. The black line is Coding DNA Sequence (CDS) content, blue indicates the DNA transposons content, green Long Interspersed Nuclear Elements (LINEs) content and red indicates Long Terminal Repeats (LTR) contents.</w:t>
      </w:r>
    </w:p>
    <w:bookmarkEnd w:id="5"/>
    <w:p w14:paraId="2C7B5A4B"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rPr>
        <w:br w:type="page"/>
      </w:r>
    </w:p>
    <w:p w14:paraId="1343C617" w14:textId="77777777" w:rsidR="00D617DF" w:rsidRDefault="00D617DF" w:rsidP="00EA4D1C">
      <w:pPr>
        <w:rPr>
          <w:rFonts w:ascii="Times New Roman" w:hAnsi="Times New Roman" w:cs="Times New Roman"/>
          <w:b/>
          <w:bCs/>
        </w:rPr>
      </w:pPr>
      <w:r>
        <w:rPr>
          <w:noProof/>
        </w:rPr>
        <w:lastRenderedPageBreak/>
        <w:drawing>
          <wp:inline distT="0" distB="0" distL="0" distR="0" wp14:anchorId="61163302" wp14:editId="2BAFBD4D">
            <wp:extent cx="5943600" cy="5943600"/>
            <wp:effectExtent l="0" t="0" r="0" b="0"/>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A1327D7" w14:textId="77777777" w:rsidR="00D617DF" w:rsidRDefault="00D617DF" w:rsidP="00EA4D1C">
      <w:pPr>
        <w:rPr>
          <w:rFonts w:ascii="Times New Roman" w:hAnsi="Times New Roman" w:cs="Times New Roman"/>
          <w:b/>
          <w:bCs/>
        </w:rPr>
      </w:pPr>
    </w:p>
    <w:p w14:paraId="3BEC2185" w14:textId="77777777" w:rsidR="00D617DF" w:rsidRDefault="00D617DF" w:rsidP="00EA4D1C">
      <w:pPr>
        <w:pStyle w:val="HTMLPreformatted"/>
        <w:rPr>
          <w:rFonts w:ascii="Times New Roman" w:eastAsia="Times New Roman" w:hAnsi="Times New Roman" w:cs="Times New Roman"/>
          <w:sz w:val="24"/>
          <w:szCs w:val="24"/>
        </w:rPr>
      </w:pPr>
      <w:bookmarkStart w:id="6" w:name="_Hlk78188535"/>
      <w:r>
        <w:rPr>
          <w:rFonts w:ascii="Times New Roman" w:hAnsi="Times New Roman" w:cs="Times New Roman"/>
          <w:b/>
          <w:bCs/>
          <w:sz w:val="24"/>
          <w:szCs w:val="24"/>
        </w:rPr>
        <w:t xml:space="preserve">Figure S7: </w:t>
      </w:r>
      <w:r>
        <w:rPr>
          <w:rFonts w:ascii="Times New Roman" w:eastAsia="Times New Roman" w:hAnsi="Times New Roman" w:cs="Times New Roman"/>
          <w:sz w:val="24"/>
          <w:szCs w:val="24"/>
        </w:rPr>
        <w:t>Sliding window analysis of Linkage Group (LG)-3 landscapes. Description same as above (Figure S6).</w:t>
      </w:r>
      <w:bookmarkEnd w:id="6"/>
    </w:p>
    <w:p w14:paraId="6CCED0EB" w14:textId="77777777" w:rsidR="00D617DF" w:rsidRDefault="00D617DF" w:rsidP="00EA4D1C">
      <w:pPr>
        <w:pStyle w:val="HTMLPreformatted"/>
        <w:rPr>
          <w:rFonts w:ascii="Times New Roman" w:hAnsi="Times New Roman" w:cs="Times New Roman"/>
          <w:b/>
          <w:bCs/>
          <w:sz w:val="24"/>
          <w:szCs w:val="24"/>
        </w:rPr>
      </w:pPr>
    </w:p>
    <w:p w14:paraId="5531ACE6" w14:textId="77777777" w:rsidR="00D617DF" w:rsidRDefault="00D617DF" w:rsidP="00EA4D1C">
      <w:pPr>
        <w:pStyle w:val="HTMLPreformatted"/>
        <w:rPr>
          <w:rFonts w:ascii="Times New Roman" w:hAnsi="Times New Roman" w:cs="Times New Roman"/>
          <w:b/>
          <w:bCs/>
          <w:sz w:val="24"/>
          <w:szCs w:val="24"/>
        </w:rPr>
      </w:pPr>
      <w:r>
        <w:rPr>
          <w:noProof/>
        </w:rPr>
        <w:lastRenderedPageBreak/>
        <w:drawing>
          <wp:inline distT="0" distB="0" distL="0" distR="0" wp14:anchorId="0FFE0A31" wp14:editId="1FD9BDC3">
            <wp:extent cx="5943600" cy="5943600"/>
            <wp:effectExtent l="0" t="0" r="0" b="0"/>
            <wp:docPr id="32" name="Picture 3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with medium confidence"/>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6DC2D230" w14:textId="77777777" w:rsidR="00D617DF" w:rsidRPr="00CB0DD2" w:rsidRDefault="00D617DF" w:rsidP="00EA4D1C">
      <w:pPr>
        <w:pStyle w:val="HTMLPreformatted"/>
        <w:rPr>
          <w:rFonts w:ascii="Times New Roman" w:eastAsia="Times New Roman" w:hAnsi="Times New Roman" w:cs="Times New Roman"/>
          <w:sz w:val="24"/>
          <w:szCs w:val="24"/>
        </w:rPr>
      </w:pPr>
      <w:r>
        <w:rPr>
          <w:rFonts w:ascii="Times New Roman" w:hAnsi="Times New Roman" w:cs="Times New Roman"/>
          <w:b/>
          <w:bCs/>
          <w:sz w:val="24"/>
          <w:szCs w:val="24"/>
        </w:rPr>
        <w:t xml:space="preserve">Figure S8: </w:t>
      </w:r>
      <w:r>
        <w:rPr>
          <w:rFonts w:ascii="Times New Roman" w:eastAsia="Times New Roman" w:hAnsi="Times New Roman" w:cs="Times New Roman"/>
          <w:sz w:val="24"/>
          <w:szCs w:val="24"/>
        </w:rPr>
        <w:t>Sliding window analysis of Linkage Group (LG)-4 landscapes. Description same as above (Figure S6).</w:t>
      </w:r>
      <w:r>
        <w:rPr>
          <w:rFonts w:ascii="Times New Roman" w:eastAsia="Times New Roman" w:hAnsi="Times New Roman" w:cs="Times New Roman"/>
          <w:sz w:val="24"/>
          <w:szCs w:val="24"/>
        </w:rPr>
        <w:br w:type="page"/>
      </w:r>
    </w:p>
    <w:p w14:paraId="66066516" w14:textId="77777777" w:rsidR="00D617DF" w:rsidRDefault="00D617DF" w:rsidP="00EA4D1C">
      <w:pPr>
        <w:pStyle w:val="HTMLPreformatted"/>
        <w:rPr>
          <w:rFonts w:ascii="Times New Roman" w:hAnsi="Times New Roman" w:cs="Times New Roman"/>
          <w:b/>
          <w:bCs/>
          <w:sz w:val="24"/>
          <w:szCs w:val="24"/>
        </w:rPr>
      </w:pPr>
      <w:r>
        <w:rPr>
          <w:noProof/>
        </w:rPr>
        <w:lastRenderedPageBreak/>
        <w:drawing>
          <wp:inline distT="0" distB="0" distL="0" distR="0" wp14:anchorId="7F51B202" wp14:editId="7C270490">
            <wp:extent cx="5943600" cy="5943600"/>
            <wp:effectExtent l="0" t="0" r="0" b="0"/>
            <wp:docPr id="33" name="Picture 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line chart&#10;&#10;Description automatically generated"/>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E60DB54" w14:textId="77777777" w:rsidR="00D617DF" w:rsidRPr="00CB0DD2" w:rsidRDefault="00D617DF" w:rsidP="00EA4D1C">
      <w:pPr>
        <w:pStyle w:val="HTMLPreformatted"/>
        <w:rPr>
          <w:rFonts w:ascii="Times New Roman" w:eastAsia="Times New Roman" w:hAnsi="Times New Roman" w:cs="Times New Roman"/>
          <w:sz w:val="24"/>
          <w:szCs w:val="24"/>
        </w:rPr>
      </w:pPr>
      <w:r>
        <w:rPr>
          <w:rFonts w:ascii="Times New Roman" w:hAnsi="Times New Roman" w:cs="Times New Roman"/>
          <w:b/>
          <w:bCs/>
          <w:sz w:val="24"/>
          <w:szCs w:val="24"/>
        </w:rPr>
        <w:t xml:space="preserve">Figure S9: </w:t>
      </w:r>
      <w:r>
        <w:rPr>
          <w:rFonts w:ascii="Times New Roman" w:eastAsia="Times New Roman" w:hAnsi="Times New Roman" w:cs="Times New Roman"/>
          <w:sz w:val="24"/>
          <w:szCs w:val="24"/>
        </w:rPr>
        <w:t>Sliding window analysis of Linkage Group (LG)-5 landscapes. Description same as above (Figure S6).</w:t>
      </w:r>
      <w:r>
        <w:rPr>
          <w:rFonts w:ascii="Times New Roman" w:eastAsia="Times New Roman" w:hAnsi="Times New Roman" w:cs="Times New Roman"/>
          <w:sz w:val="24"/>
          <w:szCs w:val="24"/>
        </w:rPr>
        <w:br w:type="page"/>
      </w:r>
    </w:p>
    <w:p w14:paraId="04CAF34C" w14:textId="77777777" w:rsidR="00D617DF" w:rsidRDefault="00D617DF" w:rsidP="00EA4D1C">
      <w:pPr>
        <w:rPr>
          <w:rFonts w:ascii="Times New Roman" w:hAnsi="Times New Roman" w:cs="Times New Roman"/>
          <w:b/>
          <w:bCs/>
        </w:rPr>
      </w:pPr>
      <w:r>
        <w:rPr>
          <w:noProof/>
        </w:rPr>
        <w:lastRenderedPageBreak/>
        <w:drawing>
          <wp:inline distT="0" distB="0" distL="0" distR="0" wp14:anchorId="7FE702AB" wp14:editId="5C5E4BC9">
            <wp:extent cx="5943600" cy="5943600"/>
            <wp:effectExtent l="0" t="0" r="0" b="0"/>
            <wp:docPr id="34" name="Picture 3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10;&#10;Description automatically generated with medium confidence"/>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78E44C8C" w14:textId="77777777" w:rsidR="00D617DF" w:rsidRPr="00CB0DD2" w:rsidRDefault="00D617DF" w:rsidP="00EA4D1C">
      <w:pPr>
        <w:pStyle w:val="HTMLPreformatted"/>
        <w:rPr>
          <w:rFonts w:ascii="Times New Roman" w:eastAsia="Times New Roman" w:hAnsi="Times New Roman" w:cs="Times New Roman"/>
          <w:sz w:val="24"/>
          <w:szCs w:val="24"/>
        </w:rPr>
      </w:pPr>
      <w:r>
        <w:rPr>
          <w:rFonts w:ascii="Times New Roman" w:hAnsi="Times New Roman" w:cs="Times New Roman"/>
          <w:b/>
          <w:bCs/>
          <w:sz w:val="24"/>
          <w:szCs w:val="24"/>
        </w:rPr>
        <w:t xml:space="preserve">Figure S10: </w:t>
      </w:r>
      <w:r>
        <w:rPr>
          <w:rFonts w:ascii="Times New Roman" w:eastAsia="Times New Roman" w:hAnsi="Times New Roman" w:cs="Times New Roman"/>
          <w:sz w:val="24"/>
          <w:szCs w:val="24"/>
        </w:rPr>
        <w:t>Sliding window analysis of Linkage Group (LG)-6 landscapes. Description same as above (Figure S6).</w:t>
      </w:r>
    </w:p>
    <w:p w14:paraId="6959A1ED" w14:textId="77777777" w:rsidR="00D617DF" w:rsidRDefault="00D617DF" w:rsidP="00EA4D1C">
      <w:pPr>
        <w:rPr>
          <w:rFonts w:ascii="Times New Roman" w:hAnsi="Times New Roman" w:cs="Times New Roman"/>
          <w:b/>
          <w:bCs/>
        </w:rPr>
      </w:pPr>
    </w:p>
    <w:p w14:paraId="2EA5DFBC" w14:textId="77777777" w:rsidR="00D617DF" w:rsidRDefault="00D617DF" w:rsidP="00EA4D1C">
      <w:pPr>
        <w:rPr>
          <w:rFonts w:ascii="Times New Roman" w:hAnsi="Times New Roman" w:cs="Times New Roman"/>
          <w:b/>
          <w:bCs/>
        </w:rPr>
      </w:pPr>
      <w:r>
        <w:rPr>
          <w:noProof/>
        </w:rPr>
        <w:lastRenderedPageBreak/>
        <w:drawing>
          <wp:inline distT="0" distB="0" distL="0" distR="0" wp14:anchorId="288E4CFD" wp14:editId="762C601F">
            <wp:extent cx="5943600" cy="5943600"/>
            <wp:effectExtent l="0" t="0" r="0" b="0"/>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C84F296" w14:textId="77777777" w:rsidR="00D617DF" w:rsidRPr="00CB0DD2" w:rsidRDefault="00D617DF" w:rsidP="00EA4D1C">
      <w:pPr>
        <w:pStyle w:val="HTMLPreformatted"/>
        <w:rPr>
          <w:rFonts w:ascii="Times New Roman" w:eastAsia="Times New Roman" w:hAnsi="Times New Roman" w:cs="Times New Roman"/>
          <w:sz w:val="24"/>
          <w:szCs w:val="24"/>
        </w:rPr>
      </w:pPr>
      <w:r>
        <w:rPr>
          <w:rFonts w:ascii="Times New Roman" w:hAnsi="Times New Roman" w:cs="Times New Roman"/>
          <w:b/>
          <w:bCs/>
          <w:sz w:val="24"/>
          <w:szCs w:val="24"/>
        </w:rPr>
        <w:t xml:space="preserve">Figure S11: </w:t>
      </w:r>
      <w:r>
        <w:rPr>
          <w:rFonts w:ascii="Times New Roman" w:eastAsia="Times New Roman" w:hAnsi="Times New Roman" w:cs="Times New Roman"/>
          <w:sz w:val="24"/>
          <w:szCs w:val="24"/>
        </w:rPr>
        <w:t>Sliding window analysis of Linkage Group (LG)-7 landscapes. Description same as above (Figure S6).</w:t>
      </w:r>
      <w:r>
        <w:rPr>
          <w:rFonts w:ascii="Times New Roman" w:hAnsi="Times New Roman" w:cs="Times New Roman"/>
          <w:b/>
          <w:bCs/>
          <w:sz w:val="24"/>
          <w:szCs w:val="24"/>
        </w:rPr>
        <w:br w:type="page"/>
      </w:r>
    </w:p>
    <w:p w14:paraId="035B1C51" w14:textId="77777777" w:rsidR="00D617DF" w:rsidRDefault="00D617DF" w:rsidP="00EA4D1C">
      <w:pPr>
        <w:rPr>
          <w:rFonts w:ascii="Times New Roman" w:hAnsi="Times New Roman" w:cs="Times New Roman"/>
          <w:b/>
          <w:bCs/>
        </w:rPr>
      </w:pPr>
      <w:r>
        <w:rPr>
          <w:noProof/>
        </w:rPr>
        <w:lastRenderedPageBreak/>
        <w:drawing>
          <wp:inline distT="0" distB="0" distL="0" distR="0" wp14:anchorId="1F7079C7" wp14:editId="38FC8C27">
            <wp:extent cx="5943600" cy="5943600"/>
            <wp:effectExtent l="0" t="0" r="0" b="0"/>
            <wp:docPr id="36" name="Picture 3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chart&#10;&#10;Description automatically generated"/>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95A0F43" w14:textId="77777777" w:rsidR="00D617DF" w:rsidRPr="00CB0DD2" w:rsidRDefault="00D617DF" w:rsidP="00EA4D1C">
      <w:pPr>
        <w:pStyle w:val="HTMLPreformatted"/>
        <w:rPr>
          <w:rFonts w:ascii="Times New Roman" w:eastAsia="Times New Roman" w:hAnsi="Times New Roman" w:cs="Times New Roman"/>
          <w:sz w:val="24"/>
          <w:szCs w:val="24"/>
        </w:rPr>
      </w:pPr>
      <w:r>
        <w:rPr>
          <w:rFonts w:ascii="Times New Roman" w:hAnsi="Times New Roman" w:cs="Times New Roman"/>
          <w:b/>
          <w:bCs/>
          <w:sz w:val="24"/>
          <w:szCs w:val="24"/>
        </w:rPr>
        <w:t xml:space="preserve">Figure S12: </w:t>
      </w:r>
      <w:r>
        <w:rPr>
          <w:rFonts w:ascii="Times New Roman" w:eastAsia="Times New Roman" w:hAnsi="Times New Roman" w:cs="Times New Roman"/>
          <w:sz w:val="24"/>
          <w:szCs w:val="24"/>
        </w:rPr>
        <w:t>Sliding window analysis of Linkage Group (LG)-8 landscapes. Description same as above (Figure S6).</w:t>
      </w:r>
    </w:p>
    <w:p w14:paraId="6F087440" w14:textId="77777777" w:rsidR="00D617DF" w:rsidRDefault="00D617DF" w:rsidP="00EA4D1C">
      <w:pPr>
        <w:rPr>
          <w:rFonts w:ascii="Times New Roman" w:hAnsi="Times New Roman" w:cs="Times New Roman"/>
          <w:b/>
          <w:bCs/>
        </w:rPr>
      </w:pPr>
    </w:p>
    <w:p w14:paraId="32609F35" w14:textId="77777777" w:rsidR="00D617DF" w:rsidRDefault="00D617DF" w:rsidP="00EA4D1C">
      <w:pPr>
        <w:rPr>
          <w:rFonts w:ascii="Times New Roman" w:hAnsi="Times New Roman" w:cs="Times New Roman"/>
          <w:b/>
          <w:bCs/>
        </w:rPr>
      </w:pPr>
      <w:r>
        <w:rPr>
          <w:noProof/>
        </w:rPr>
        <w:lastRenderedPageBreak/>
        <w:drawing>
          <wp:inline distT="0" distB="0" distL="0" distR="0" wp14:anchorId="4B998B3C" wp14:editId="5C7F592F">
            <wp:extent cx="5943600" cy="5943600"/>
            <wp:effectExtent l="0" t="0" r="0" b="0"/>
            <wp:docPr id="37" name="Picture 3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with medium confidence"/>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3FC873B8" w14:textId="77777777" w:rsidR="00D617DF" w:rsidRPr="00CB0DD2" w:rsidRDefault="00D617DF" w:rsidP="00EA4D1C">
      <w:pPr>
        <w:pStyle w:val="HTMLPreformatted"/>
        <w:rPr>
          <w:rFonts w:ascii="Times New Roman" w:eastAsia="Times New Roman" w:hAnsi="Times New Roman" w:cs="Times New Roman"/>
          <w:sz w:val="24"/>
          <w:szCs w:val="24"/>
        </w:rPr>
      </w:pPr>
      <w:r>
        <w:rPr>
          <w:rFonts w:ascii="Times New Roman" w:hAnsi="Times New Roman" w:cs="Times New Roman"/>
          <w:b/>
          <w:bCs/>
          <w:sz w:val="24"/>
          <w:szCs w:val="24"/>
        </w:rPr>
        <w:t xml:space="preserve">Figure S13: </w:t>
      </w:r>
      <w:r>
        <w:rPr>
          <w:rFonts w:ascii="Times New Roman" w:eastAsia="Times New Roman" w:hAnsi="Times New Roman" w:cs="Times New Roman"/>
          <w:sz w:val="24"/>
          <w:szCs w:val="24"/>
        </w:rPr>
        <w:t>Sliding window analysis of Linkage Group (LG)-9 landscapes. Description same as above (Figure S6).</w:t>
      </w:r>
      <w:r>
        <w:rPr>
          <w:rFonts w:ascii="Times New Roman" w:hAnsi="Times New Roman" w:cs="Times New Roman"/>
          <w:b/>
          <w:bCs/>
          <w:sz w:val="24"/>
          <w:szCs w:val="24"/>
        </w:rPr>
        <w:br w:type="page"/>
      </w:r>
    </w:p>
    <w:p w14:paraId="080C2DEB" w14:textId="77777777" w:rsidR="00D617DF" w:rsidRDefault="00D617DF" w:rsidP="00EA4D1C">
      <w:pPr>
        <w:rPr>
          <w:rFonts w:ascii="Times New Roman" w:hAnsi="Times New Roman" w:cs="Times New Roman"/>
          <w:b/>
          <w:bCs/>
        </w:rPr>
      </w:pPr>
      <w:r>
        <w:rPr>
          <w:noProof/>
        </w:rPr>
        <w:lastRenderedPageBreak/>
        <w:drawing>
          <wp:inline distT="0" distB="0" distL="0" distR="0" wp14:anchorId="1C8D387E" wp14:editId="70BCFA22">
            <wp:extent cx="5943600" cy="5943600"/>
            <wp:effectExtent l="0" t="0" r="0" b="0"/>
            <wp:docPr id="38" name="Picture 3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line chart&#10;&#10;Description automatically generated"/>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64A3C34" w14:textId="77777777" w:rsidR="00D617DF" w:rsidRPr="00CB0DD2" w:rsidRDefault="00D617DF" w:rsidP="00EA4D1C">
      <w:pPr>
        <w:pStyle w:val="HTMLPreformatted"/>
        <w:rPr>
          <w:rFonts w:ascii="Times New Roman" w:eastAsia="Times New Roman" w:hAnsi="Times New Roman" w:cs="Times New Roman"/>
          <w:sz w:val="24"/>
          <w:szCs w:val="24"/>
        </w:rPr>
      </w:pPr>
      <w:r>
        <w:rPr>
          <w:rFonts w:ascii="Times New Roman" w:hAnsi="Times New Roman" w:cs="Times New Roman"/>
          <w:b/>
          <w:bCs/>
          <w:sz w:val="24"/>
          <w:szCs w:val="24"/>
        </w:rPr>
        <w:t xml:space="preserve">Figure S14: </w:t>
      </w:r>
      <w:r>
        <w:rPr>
          <w:rFonts w:ascii="Times New Roman" w:eastAsia="Times New Roman" w:hAnsi="Times New Roman" w:cs="Times New Roman"/>
          <w:sz w:val="24"/>
          <w:szCs w:val="24"/>
        </w:rPr>
        <w:t>Sliding window analysis of Linkage Group (LG)-10 landscapes. Description same as above (Figure S6).</w:t>
      </w:r>
      <w:r>
        <w:rPr>
          <w:rFonts w:ascii="Times New Roman" w:hAnsi="Times New Roman" w:cs="Times New Roman"/>
          <w:b/>
          <w:bCs/>
          <w:sz w:val="24"/>
          <w:szCs w:val="24"/>
        </w:rPr>
        <w:br w:type="page"/>
      </w:r>
    </w:p>
    <w:p w14:paraId="78F47AB1" w14:textId="77777777" w:rsidR="00D617DF" w:rsidRDefault="00D617DF" w:rsidP="00EA4D1C">
      <w:pPr>
        <w:rPr>
          <w:rFonts w:ascii="Times New Roman" w:hAnsi="Times New Roman" w:cs="Times New Roman"/>
          <w:b/>
          <w:bCs/>
        </w:rPr>
      </w:pPr>
      <w:r>
        <w:rPr>
          <w:noProof/>
        </w:rPr>
        <w:lastRenderedPageBreak/>
        <w:drawing>
          <wp:inline distT="0" distB="0" distL="0" distR="0" wp14:anchorId="1CD4EBAE" wp14:editId="2F623978">
            <wp:extent cx="5943600" cy="5943600"/>
            <wp:effectExtent l="0" t="0" r="0" b="0"/>
            <wp:docPr id="39" name="Picture 39"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with medium confidence"/>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613D667" w14:textId="77777777" w:rsidR="00D617DF" w:rsidRPr="00CB0DD2" w:rsidRDefault="00D617DF" w:rsidP="00EA4D1C">
      <w:pPr>
        <w:pStyle w:val="HTMLPreformatted"/>
        <w:rPr>
          <w:rFonts w:ascii="Times New Roman" w:eastAsia="Times New Roman" w:hAnsi="Times New Roman" w:cs="Times New Roman"/>
          <w:sz w:val="24"/>
          <w:szCs w:val="24"/>
        </w:rPr>
      </w:pPr>
      <w:r>
        <w:rPr>
          <w:rFonts w:ascii="Times New Roman" w:hAnsi="Times New Roman" w:cs="Times New Roman"/>
          <w:b/>
          <w:bCs/>
          <w:sz w:val="24"/>
          <w:szCs w:val="24"/>
        </w:rPr>
        <w:t xml:space="preserve">Figure S15: </w:t>
      </w:r>
      <w:r>
        <w:rPr>
          <w:rFonts w:ascii="Times New Roman" w:eastAsia="Times New Roman" w:hAnsi="Times New Roman" w:cs="Times New Roman"/>
          <w:sz w:val="24"/>
          <w:szCs w:val="24"/>
        </w:rPr>
        <w:t>Sliding window analysis of Linkage Group (LG)-11 landscapes. Description same as above (Figure S6).</w:t>
      </w:r>
    </w:p>
    <w:p w14:paraId="5215223B" w14:textId="77777777" w:rsidR="00D617DF" w:rsidRDefault="00D617DF" w:rsidP="00EA4D1C">
      <w:pPr>
        <w:rPr>
          <w:rFonts w:ascii="Times New Roman" w:hAnsi="Times New Roman" w:cs="Times New Roman"/>
          <w:b/>
          <w:bCs/>
        </w:rPr>
      </w:pPr>
    </w:p>
    <w:p w14:paraId="0FCF1218" w14:textId="77777777" w:rsidR="00D617DF" w:rsidRDefault="00D617DF" w:rsidP="00EA4D1C">
      <w:pPr>
        <w:rPr>
          <w:rFonts w:ascii="Times New Roman" w:hAnsi="Times New Roman" w:cs="Times New Roman"/>
          <w:b/>
          <w:bCs/>
        </w:rPr>
      </w:pPr>
      <w:r>
        <w:rPr>
          <w:noProof/>
        </w:rPr>
        <w:lastRenderedPageBreak/>
        <w:drawing>
          <wp:inline distT="0" distB="0" distL="0" distR="0" wp14:anchorId="66438077" wp14:editId="46A44732">
            <wp:extent cx="5943600" cy="5943600"/>
            <wp:effectExtent l="0" t="0" r="0" b="0"/>
            <wp:docPr id="40" name="Picture 4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with medium confidence"/>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5F5E256" w14:textId="77777777" w:rsidR="00D617DF" w:rsidRDefault="00D617DF" w:rsidP="00EA4D1C">
      <w:pPr>
        <w:pStyle w:val="HTMLPreformatted"/>
        <w:rPr>
          <w:rFonts w:ascii="Times New Roman" w:eastAsia="Times New Roman" w:hAnsi="Times New Roman" w:cs="Times New Roman"/>
          <w:sz w:val="24"/>
          <w:szCs w:val="24"/>
        </w:rPr>
      </w:pPr>
      <w:r>
        <w:rPr>
          <w:rFonts w:ascii="Times New Roman" w:hAnsi="Times New Roman" w:cs="Times New Roman"/>
          <w:b/>
          <w:bCs/>
          <w:sz w:val="24"/>
          <w:szCs w:val="24"/>
        </w:rPr>
        <w:t xml:space="preserve">Figure S16: </w:t>
      </w:r>
      <w:r>
        <w:rPr>
          <w:rFonts w:ascii="Times New Roman" w:eastAsia="Times New Roman" w:hAnsi="Times New Roman" w:cs="Times New Roman"/>
          <w:sz w:val="24"/>
          <w:szCs w:val="24"/>
        </w:rPr>
        <w:t>Sliding window analysis of Linkage Group (LG)-12 landscapes. Description same as above (Figure S6).</w:t>
      </w:r>
      <w:r>
        <w:rPr>
          <w:rFonts w:ascii="Times New Roman" w:eastAsia="Times New Roman" w:hAnsi="Times New Roman" w:cs="Times New Roman"/>
          <w:sz w:val="24"/>
          <w:szCs w:val="24"/>
        </w:rPr>
        <w:br w:type="page"/>
      </w:r>
    </w:p>
    <w:p w14:paraId="14F8B8E3" w14:textId="77777777" w:rsidR="00D617DF" w:rsidRDefault="00D617DF" w:rsidP="00EA4D1C">
      <w:pPr>
        <w:rPr>
          <w:rFonts w:ascii="Times New Roman" w:eastAsia="Times New Roman" w:hAnsi="Times New Roman" w:cs="Times New Roman"/>
        </w:rPr>
      </w:pPr>
      <w:r>
        <w:rPr>
          <w:noProof/>
        </w:rPr>
        <w:lastRenderedPageBreak/>
        <w:drawing>
          <wp:inline distT="0" distB="0" distL="0" distR="0" wp14:anchorId="274C2D92" wp14:editId="307CFCCD">
            <wp:extent cx="5943600" cy="7109460"/>
            <wp:effectExtent l="0" t="0" r="0" b="0"/>
            <wp:docPr id="45" name="Picture 45"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able&#10;&#10;Description automatically generated"/>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943600" cy="7109460"/>
                    </a:xfrm>
                    <a:prstGeom prst="rect">
                      <a:avLst/>
                    </a:prstGeom>
                    <a:noFill/>
                    <a:ln>
                      <a:noFill/>
                    </a:ln>
                  </pic:spPr>
                </pic:pic>
              </a:graphicData>
            </a:graphic>
          </wp:inline>
        </w:drawing>
      </w:r>
    </w:p>
    <w:p w14:paraId="24D9A66C" w14:textId="77777777" w:rsidR="00D617DF" w:rsidRDefault="00D617DF" w:rsidP="00EA4D1C">
      <w:pPr>
        <w:rPr>
          <w:rFonts w:ascii="Times New Roman" w:eastAsia="Times New Roman" w:hAnsi="Times New Roman" w:cs="Times New Roman"/>
          <w:b/>
          <w:bCs/>
        </w:rPr>
      </w:pPr>
      <w:bookmarkStart w:id="7" w:name="_Hlk78190431"/>
    </w:p>
    <w:p w14:paraId="4CD23B6D" w14:textId="77777777" w:rsidR="00D617DF" w:rsidRDefault="00D617DF" w:rsidP="00EA4D1C">
      <w:pPr>
        <w:rPr>
          <w:rFonts w:ascii="Times New Roman" w:eastAsia="Times New Roman" w:hAnsi="Times New Roman" w:cs="Times New Roman"/>
          <w:b/>
          <w:bCs/>
        </w:rPr>
      </w:pPr>
    </w:p>
    <w:p w14:paraId="383E954C" w14:textId="77777777" w:rsidR="00D617DF" w:rsidRDefault="00D617DF" w:rsidP="00EA4D1C">
      <w:pPr>
        <w:rPr>
          <w:rFonts w:ascii="Times New Roman" w:eastAsia="Times New Roman" w:hAnsi="Times New Roman" w:cs="Times New Roman"/>
          <w:b/>
          <w:bCs/>
        </w:rPr>
      </w:pPr>
    </w:p>
    <w:p w14:paraId="53F25023"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b/>
          <w:bCs/>
        </w:rPr>
        <w:lastRenderedPageBreak/>
        <w:t xml:space="preserve">Figure S17: </w:t>
      </w:r>
      <w:r>
        <w:rPr>
          <w:rFonts w:ascii="Times New Roman" w:eastAsia="Times New Roman" w:hAnsi="Times New Roman" w:cs="Times New Roman"/>
        </w:rPr>
        <w:t xml:space="preserve">Sliding window nucleotide diversity and Tajima’s D on Linkage Group (LG)-1 for </w:t>
      </w:r>
      <w:r>
        <w:rPr>
          <w:rFonts w:ascii="Times New Roman" w:eastAsia="Times New Roman" w:hAnsi="Times New Roman" w:cs="Times New Roman"/>
          <w:i/>
          <w:iCs/>
        </w:rPr>
        <w:t xml:space="preserve">Daphnia pulicaria </w:t>
      </w:r>
      <w:r>
        <w:rPr>
          <w:rFonts w:ascii="Times New Roman" w:eastAsia="Times New Roman" w:hAnsi="Times New Roman" w:cs="Times New Roman"/>
        </w:rPr>
        <w:t xml:space="preserve">and </w:t>
      </w:r>
      <w:r>
        <w:rPr>
          <w:rFonts w:ascii="Times New Roman" w:eastAsia="Times New Roman" w:hAnsi="Times New Roman" w:cs="Times New Roman"/>
          <w:i/>
          <w:iCs/>
        </w:rPr>
        <w:t xml:space="preserve">Daphnia pulex. </w:t>
      </w:r>
      <w:bookmarkEnd w:id="7"/>
      <w:r>
        <w:rPr>
          <w:rFonts w:ascii="Times New Roman" w:eastAsia="Times New Roman" w:hAnsi="Times New Roman" w:cs="Times New Roman"/>
        </w:rPr>
        <w:t xml:space="preserve">(Top) </w:t>
      </w:r>
      <w:r>
        <w:rPr>
          <w:rFonts w:ascii="Times New Roman" w:eastAsia="Times New Roman" w:hAnsi="Times New Roman" w:cs="Times New Roman"/>
          <w:i/>
          <w:iCs/>
        </w:rPr>
        <w:t xml:space="preserve">D. pulicaria </w:t>
      </w:r>
      <w:r>
        <w:rPr>
          <w:rFonts w:ascii="Times New Roman" w:eastAsia="Times New Roman" w:hAnsi="Times New Roman" w:cs="Times New Roman"/>
        </w:rPr>
        <w:t xml:space="preserve">landscape of nucleotide diversity in landscape in 1-Mb windows stepping 10-Kb along the LG. (Second) </w:t>
      </w:r>
      <w:r>
        <w:rPr>
          <w:rFonts w:ascii="Times New Roman" w:eastAsia="Times New Roman" w:hAnsi="Times New Roman" w:cs="Times New Roman"/>
          <w:i/>
          <w:iCs/>
        </w:rPr>
        <w:t xml:space="preserve">D. pulicaria </w:t>
      </w:r>
      <w:r>
        <w:rPr>
          <w:rFonts w:ascii="Times New Roman" w:eastAsia="Times New Roman" w:hAnsi="Times New Roman" w:cs="Times New Roman"/>
        </w:rPr>
        <w:t xml:space="preserve">landscape of Tajima’s in landscape in 1-Mb windows stepping 10-Kb along the LG. (Third) </w:t>
      </w:r>
      <w:r>
        <w:rPr>
          <w:rFonts w:ascii="Times New Roman" w:eastAsia="Times New Roman" w:hAnsi="Times New Roman" w:cs="Times New Roman"/>
          <w:i/>
          <w:iCs/>
        </w:rPr>
        <w:t xml:space="preserve">D. pulex </w:t>
      </w:r>
      <w:r>
        <w:rPr>
          <w:rFonts w:ascii="Times New Roman" w:eastAsia="Times New Roman" w:hAnsi="Times New Roman" w:cs="Times New Roman"/>
        </w:rPr>
        <w:t xml:space="preserve">landscape of nucleotide diversity in landscape in 1-Mb windows stepping 10-Kb along the LG. (Bottom) </w:t>
      </w:r>
      <w:r>
        <w:rPr>
          <w:rFonts w:ascii="Times New Roman" w:eastAsia="Times New Roman" w:hAnsi="Times New Roman" w:cs="Times New Roman"/>
          <w:i/>
          <w:iCs/>
        </w:rPr>
        <w:t xml:space="preserve">D. pulex </w:t>
      </w:r>
      <w:r>
        <w:rPr>
          <w:rFonts w:ascii="Times New Roman" w:eastAsia="Times New Roman" w:hAnsi="Times New Roman" w:cs="Times New Roman"/>
        </w:rPr>
        <w:t xml:space="preserve">landscape of Tajima’s in landscape in 1-Mb windows stepping 10-Kb along the LG. Troughs in Pi along the chromosome for </w:t>
      </w:r>
      <w:r>
        <w:rPr>
          <w:rFonts w:ascii="Times New Roman" w:eastAsia="Times New Roman" w:hAnsi="Times New Roman" w:cs="Times New Roman"/>
          <w:i/>
          <w:iCs/>
        </w:rPr>
        <w:t xml:space="preserve">D. pulicaria </w:t>
      </w:r>
      <w:r>
        <w:rPr>
          <w:rFonts w:ascii="Times New Roman" w:eastAsia="Times New Roman" w:hAnsi="Times New Roman" w:cs="Times New Roman"/>
        </w:rPr>
        <w:t>generally correspond well with peaks in F</w:t>
      </w:r>
      <w:r>
        <w:rPr>
          <w:rFonts w:ascii="Times New Roman" w:eastAsia="Times New Roman" w:hAnsi="Times New Roman" w:cs="Times New Roman"/>
          <w:vertAlign w:val="subscript"/>
        </w:rPr>
        <w:t xml:space="preserve">st </w:t>
      </w:r>
      <w:r>
        <w:rPr>
          <w:rFonts w:ascii="Times New Roman" w:eastAsia="Times New Roman" w:hAnsi="Times New Roman" w:cs="Times New Roman"/>
        </w:rPr>
        <w:t>and D</w:t>
      </w:r>
      <w:r>
        <w:rPr>
          <w:rFonts w:ascii="Times New Roman" w:eastAsia="Times New Roman" w:hAnsi="Times New Roman" w:cs="Times New Roman"/>
          <w:vertAlign w:val="subscript"/>
        </w:rPr>
        <w:t xml:space="preserve">xy </w:t>
      </w:r>
      <w:r>
        <w:rPr>
          <w:rFonts w:ascii="Times New Roman" w:eastAsia="Times New Roman" w:hAnsi="Times New Roman" w:cs="Times New Roman"/>
        </w:rPr>
        <w:t xml:space="preserve">when comparing </w:t>
      </w:r>
      <w:r>
        <w:rPr>
          <w:rFonts w:ascii="Times New Roman" w:eastAsia="Times New Roman" w:hAnsi="Times New Roman" w:cs="Times New Roman"/>
          <w:i/>
          <w:iCs/>
        </w:rPr>
        <w:t xml:space="preserve">D. pulex </w:t>
      </w:r>
      <w:r>
        <w:rPr>
          <w:rFonts w:ascii="Times New Roman" w:eastAsia="Times New Roman" w:hAnsi="Times New Roman" w:cs="Times New Roman"/>
        </w:rPr>
        <w:t xml:space="preserve">&amp; </w:t>
      </w:r>
      <w:r>
        <w:rPr>
          <w:rFonts w:ascii="Times New Roman" w:eastAsia="Times New Roman" w:hAnsi="Times New Roman" w:cs="Times New Roman"/>
          <w:i/>
          <w:iCs/>
        </w:rPr>
        <w:t xml:space="preserve">D. pulicaria. </w:t>
      </w:r>
      <w:r>
        <w:rPr>
          <w:rFonts w:ascii="Times New Roman" w:eastAsia="Times New Roman" w:hAnsi="Times New Roman" w:cs="Times New Roman"/>
        </w:rPr>
        <w:t xml:space="preserve">This suggests that selection is operating primarily in </w:t>
      </w:r>
      <w:r>
        <w:rPr>
          <w:rFonts w:ascii="Times New Roman" w:eastAsia="Times New Roman" w:hAnsi="Times New Roman" w:cs="Times New Roman"/>
          <w:i/>
          <w:iCs/>
        </w:rPr>
        <w:t>D. pulicaria.</w:t>
      </w:r>
      <w:r>
        <w:rPr>
          <w:rFonts w:ascii="Times New Roman" w:eastAsia="Times New Roman" w:hAnsi="Times New Roman" w:cs="Times New Roman"/>
        </w:rPr>
        <w:t xml:space="preserve"> Estimates of Pi are also consistently higher in </w:t>
      </w:r>
      <w:r>
        <w:rPr>
          <w:rFonts w:ascii="Times New Roman" w:eastAsia="Times New Roman" w:hAnsi="Times New Roman" w:cs="Times New Roman"/>
          <w:i/>
          <w:iCs/>
        </w:rPr>
        <w:t xml:space="preserve">D. pulex </w:t>
      </w:r>
      <w:r>
        <w:rPr>
          <w:rFonts w:ascii="Times New Roman" w:eastAsia="Times New Roman" w:hAnsi="Times New Roman" w:cs="Times New Roman"/>
        </w:rPr>
        <w:t xml:space="preserve">(note the difference in the Y-axis in first and third panels), indicating that </w:t>
      </w:r>
      <w:r>
        <w:rPr>
          <w:rFonts w:ascii="Times New Roman" w:eastAsia="Times New Roman" w:hAnsi="Times New Roman" w:cs="Times New Roman"/>
          <w:i/>
          <w:iCs/>
        </w:rPr>
        <w:t xml:space="preserve">D. pulex </w:t>
      </w:r>
      <w:r>
        <w:rPr>
          <w:rFonts w:ascii="Times New Roman" w:eastAsia="Times New Roman" w:hAnsi="Times New Roman" w:cs="Times New Roman"/>
        </w:rPr>
        <w:t xml:space="preserve">has a consistently higher effective population size when compared to </w:t>
      </w:r>
      <w:r>
        <w:rPr>
          <w:rFonts w:ascii="Times New Roman" w:eastAsia="Times New Roman" w:hAnsi="Times New Roman" w:cs="Times New Roman"/>
          <w:i/>
          <w:iCs/>
        </w:rPr>
        <w:t>D. pulicaria.</w:t>
      </w:r>
      <w:r>
        <w:rPr>
          <w:rFonts w:ascii="Times New Roman" w:eastAsia="Times New Roman" w:hAnsi="Times New Roman" w:cs="Times New Roman"/>
        </w:rPr>
        <w:t xml:space="preserve"> Tajima’s D for both species is on average negative, indicating population expansion in both species.</w:t>
      </w:r>
    </w:p>
    <w:p w14:paraId="11F92C27"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rPr>
        <w:br w:type="page"/>
      </w:r>
    </w:p>
    <w:p w14:paraId="1F1F9B0D" w14:textId="77777777" w:rsidR="00D617DF" w:rsidRDefault="00D617DF" w:rsidP="00EA4D1C">
      <w:pPr>
        <w:rPr>
          <w:rFonts w:ascii="Times New Roman" w:eastAsia="Times New Roman" w:hAnsi="Times New Roman" w:cs="Times New Roman"/>
        </w:rPr>
      </w:pPr>
      <w:r>
        <w:rPr>
          <w:noProof/>
        </w:rPr>
        <w:lastRenderedPageBreak/>
        <w:drawing>
          <wp:inline distT="0" distB="0" distL="0" distR="0" wp14:anchorId="45FB183E" wp14:editId="4CDDDF36">
            <wp:extent cx="5733288" cy="6858000"/>
            <wp:effectExtent l="0" t="0" r="1270" b="0"/>
            <wp:docPr id="18" name="Picture 3" descr="Chart, line chart&#10;&#10;Description automatically generated">
              <a:extLst xmlns:a="http://schemas.openxmlformats.org/drawingml/2006/main">
                <a:ext uri="{FF2B5EF4-FFF2-40B4-BE49-F238E27FC236}">
                  <a16:creationId xmlns:a16="http://schemas.microsoft.com/office/drawing/2014/main" id="{04EA6F18-15D7-44B4-851C-8DD7D0C7FF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descr="Chart, line chart&#10;&#10;Description automatically generated">
                      <a:extLst>
                        <a:ext uri="{FF2B5EF4-FFF2-40B4-BE49-F238E27FC236}">
                          <a16:creationId xmlns:a16="http://schemas.microsoft.com/office/drawing/2014/main" id="{04EA6F18-15D7-44B4-851C-8DD7D0C7FF1F}"/>
                        </a:ext>
                      </a:extLst>
                    </pic:cNvPr>
                    <pic:cNvPicPr>
                      <a:picLocks noChangeAspect="1"/>
                    </pic:cNvPicPr>
                  </pic:nvPicPr>
                  <pic:blipFill>
                    <a:blip r:embed="rId186"/>
                    <a:stretch>
                      <a:fillRect/>
                    </a:stretch>
                  </pic:blipFill>
                  <pic:spPr>
                    <a:xfrm>
                      <a:off x="0" y="0"/>
                      <a:ext cx="5733288" cy="6858000"/>
                    </a:xfrm>
                    <a:prstGeom prst="rect">
                      <a:avLst/>
                    </a:prstGeom>
                  </pic:spPr>
                </pic:pic>
              </a:graphicData>
            </a:graphic>
          </wp:inline>
        </w:drawing>
      </w:r>
      <w:r>
        <w:rPr>
          <w:rFonts w:ascii="Times New Roman" w:eastAsia="Times New Roman" w:hAnsi="Times New Roman" w:cs="Times New Roman"/>
        </w:rPr>
        <w:t xml:space="preserve">  </w:t>
      </w:r>
    </w:p>
    <w:p w14:paraId="1A8C151F" w14:textId="77777777" w:rsidR="00D617DF" w:rsidRDefault="00D617DF" w:rsidP="00EA4D1C">
      <w:pPr>
        <w:rPr>
          <w:rFonts w:ascii="Times New Roman" w:eastAsia="Times New Roman" w:hAnsi="Times New Roman" w:cs="Times New Roman"/>
        </w:rPr>
      </w:pPr>
      <w:bookmarkStart w:id="8" w:name="_Hlk78190924"/>
      <w:r>
        <w:rPr>
          <w:rFonts w:ascii="Times New Roman" w:eastAsia="Times New Roman" w:hAnsi="Times New Roman" w:cs="Times New Roman"/>
          <w:b/>
          <w:bCs/>
        </w:rPr>
        <w:t xml:space="preserve">Figure S18: </w:t>
      </w:r>
      <w:r>
        <w:rPr>
          <w:rFonts w:ascii="Times New Roman" w:eastAsia="Times New Roman" w:hAnsi="Times New Roman" w:cs="Times New Roman"/>
        </w:rPr>
        <w:t xml:space="preserve">Sliding window nucleotide diversity and Tajima’s D on Linkage Group (LG)-2 for </w:t>
      </w:r>
      <w:r>
        <w:rPr>
          <w:rFonts w:ascii="Times New Roman" w:eastAsia="Times New Roman" w:hAnsi="Times New Roman" w:cs="Times New Roman"/>
          <w:i/>
          <w:iCs/>
        </w:rPr>
        <w:t xml:space="preserve">Daphnia pulicaria </w:t>
      </w:r>
      <w:r>
        <w:rPr>
          <w:rFonts w:ascii="Times New Roman" w:eastAsia="Times New Roman" w:hAnsi="Times New Roman" w:cs="Times New Roman"/>
        </w:rPr>
        <w:t xml:space="preserve">and </w:t>
      </w:r>
      <w:r>
        <w:rPr>
          <w:rFonts w:ascii="Times New Roman" w:eastAsia="Times New Roman" w:hAnsi="Times New Roman" w:cs="Times New Roman"/>
          <w:i/>
          <w:iCs/>
        </w:rPr>
        <w:t xml:space="preserve">Daphnia pulex. </w:t>
      </w:r>
      <w:r>
        <w:rPr>
          <w:rFonts w:ascii="Times New Roman" w:eastAsia="Times New Roman" w:hAnsi="Times New Roman" w:cs="Times New Roman"/>
        </w:rPr>
        <w:t>Description same as above (Figure S17).</w:t>
      </w:r>
    </w:p>
    <w:bookmarkEnd w:id="8"/>
    <w:p w14:paraId="0B13001C"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rPr>
        <w:br w:type="page"/>
      </w:r>
    </w:p>
    <w:p w14:paraId="72F7EE56" w14:textId="77777777" w:rsidR="00D617DF" w:rsidRDefault="00D617DF" w:rsidP="00EA4D1C">
      <w:pPr>
        <w:rPr>
          <w:rFonts w:ascii="Times New Roman" w:eastAsia="Times New Roman" w:hAnsi="Times New Roman" w:cs="Times New Roman"/>
        </w:rPr>
      </w:pPr>
      <w:r>
        <w:rPr>
          <w:noProof/>
        </w:rPr>
        <w:lastRenderedPageBreak/>
        <w:drawing>
          <wp:inline distT="0" distB="0" distL="0" distR="0" wp14:anchorId="76C8E88A" wp14:editId="148DF2BE">
            <wp:extent cx="5733288" cy="6858000"/>
            <wp:effectExtent l="0" t="0" r="1270" b="0"/>
            <wp:docPr id="19" name="Picture 3" descr="Diagram&#10;&#10;Description automatically generated with medium confidence">
              <a:extLst xmlns:a="http://schemas.openxmlformats.org/drawingml/2006/main">
                <a:ext uri="{FF2B5EF4-FFF2-40B4-BE49-F238E27FC236}">
                  <a16:creationId xmlns:a16="http://schemas.microsoft.com/office/drawing/2014/main" id="{5AAA22E7-3289-4D13-9BD0-5C17562D16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Diagram&#10;&#10;Description automatically generated with medium confidence">
                      <a:extLst>
                        <a:ext uri="{FF2B5EF4-FFF2-40B4-BE49-F238E27FC236}">
                          <a16:creationId xmlns:a16="http://schemas.microsoft.com/office/drawing/2014/main" id="{5AAA22E7-3289-4D13-9BD0-5C17562D1611}"/>
                        </a:ext>
                      </a:extLst>
                    </pic:cNvPr>
                    <pic:cNvPicPr>
                      <a:picLocks noChangeAspect="1"/>
                    </pic:cNvPicPr>
                  </pic:nvPicPr>
                  <pic:blipFill>
                    <a:blip r:embed="rId187"/>
                    <a:stretch>
                      <a:fillRect/>
                    </a:stretch>
                  </pic:blipFill>
                  <pic:spPr>
                    <a:xfrm>
                      <a:off x="0" y="0"/>
                      <a:ext cx="5733288" cy="6858000"/>
                    </a:xfrm>
                    <a:prstGeom prst="rect">
                      <a:avLst/>
                    </a:prstGeom>
                  </pic:spPr>
                </pic:pic>
              </a:graphicData>
            </a:graphic>
          </wp:inline>
        </w:drawing>
      </w:r>
    </w:p>
    <w:p w14:paraId="2C7F53FA"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b/>
          <w:bCs/>
        </w:rPr>
        <w:t xml:space="preserve">Figure S19: </w:t>
      </w:r>
      <w:r>
        <w:rPr>
          <w:rFonts w:ascii="Times New Roman" w:eastAsia="Times New Roman" w:hAnsi="Times New Roman" w:cs="Times New Roman"/>
        </w:rPr>
        <w:t xml:space="preserve">Sliding window nucleotide diversity and Tajima’s D on Linkage Group (LG)-3 for </w:t>
      </w:r>
      <w:r>
        <w:rPr>
          <w:rFonts w:ascii="Times New Roman" w:eastAsia="Times New Roman" w:hAnsi="Times New Roman" w:cs="Times New Roman"/>
          <w:i/>
          <w:iCs/>
        </w:rPr>
        <w:t xml:space="preserve">Daphnia pulicaria </w:t>
      </w:r>
      <w:r>
        <w:rPr>
          <w:rFonts w:ascii="Times New Roman" w:eastAsia="Times New Roman" w:hAnsi="Times New Roman" w:cs="Times New Roman"/>
        </w:rPr>
        <w:t xml:space="preserve">and </w:t>
      </w:r>
      <w:r>
        <w:rPr>
          <w:rFonts w:ascii="Times New Roman" w:eastAsia="Times New Roman" w:hAnsi="Times New Roman" w:cs="Times New Roman"/>
          <w:i/>
          <w:iCs/>
        </w:rPr>
        <w:t xml:space="preserve">Daphnia pulex. </w:t>
      </w:r>
      <w:r>
        <w:rPr>
          <w:rFonts w:ascii="Times New Roman" w:eastAsia="Times New Roman" w:hAnsi="Times New Roman" w:cs="Times New Roman"/>
        </w:rPr>
        <w:t>Description same as above (Figure S17).</w:t>
      </w:r>
    </w:p>
    <w:p w14:paraId="2BC565AE"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rPr>
        <w:br w:type="page"/>
      </w:r>
    </w:p>
    <w:p w14:paraId="4EDA7F1B" w14:textId="77777777" w:rsidR="00D617DF" w:rsidRDefault="00D617DF" w:rsidP="00EA4D1C">
      <w:pPr>
        <w:rPr>
          <w:rFonts w:ascii="Times New Roman" w:eastAsia="Times New Roman" w:hAnsi="Times New Roman" w:cs="Times New Roman"/>
        </w:rPr>
      </w:pPr>
      <w:r>
        <w:rPr>
          <w:noProof/>
        </w:rPr>
        <w:lastRenderedPageBreak/>
        <w:drawing>
          <wp:inline distT="0" distB="0" distL="0" distR="0" wp14:anchorId="24A61933" wp14:editId="13217985">
            <wp:extent cx="5733288" cy="6858000"/>
            <wp:effectExtent l="0" t="0" r="1270" b="0"/>
            <wp:docPr id="20" name="Picture 3" descr="Diagram&#10;&#10;Description automatically generated">
              <a:extLst xmlns:a="http://schemas.openxmlformats.org/drawingml/2006/main">
                <a:ext uri="{FF2B5EF4-FFF2-40B4-BE49-F238E27FC236}">
                  <a16:creationId xmlns:a16="http://schemas.microsoft.com/office/drawing/2014/main" id="{825FED1D-3419-4E4A-954A-1C0220D128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descr="Diagram&#10;&#10;Description automatically generated">
                      <a:extLst>
                        <a:ext uri="{FF2B5EF4-FFF2-40B4-BE49-F238E27FC236}">
                          <a16:creationId xmlns:a16="http://schemas.microsoft.com/office/drawing/2014/main" id="{825FED1D-3419-4E4A-954A-1C0220D128B9}"/>
                        </a:ext>
                      </a:extLst>
                    </pic:cNvPr>
                    <pic:cNvPicPr>
                      <a:picLocks noChangeAspect="1"/>
                    </pic:cNvPicPr>
                  </pic:nvPicPr>
                  <pic:blipFill>
                    <a:blip r:embed="rId188"/>
                    <a:stretch>
                      <a:fillRect/>
                    </a:stretch>
                  </pic:blipFill>
                  <pic:spPr>
                    <a:xfrm>
                      <a:off x="0" y="0"/>
                      <a:ext cx="5733288" cy="6858000"/>
                    </a:xfrm>
                    <a:prstGeom prst="rect">
                      <a:avLst/>
                    </a:prstGeom>
                  </pic:spPr>
                </pic:pic>
              </a:graphicData>
            </a:graphic>
          </wp:inline>
        </w:drawing>
      </w:r>
    </w:p>
    <w:p w14:paraId="2F4AFFCF"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b/>
          <w:bCs/>
        </w:rPr>
        <w:t xml:space="preserve">Figure S20: </w:t>
      </w:r>
      <w:r>
        <w:rPr>
          <w:rFonts w:ascii="Times New Roman" w:eastAsia="Times New Roman" w:hAnsi="Times New Roman" w:cs="Times New Roman"/>
        </w:rPr>
        <w:t xml:space="preserve">Sliding window nucleotide diversity and Tajima’s D on Linkage Group (LG)-4 for </w:t>
      </w:r>
      <w:r>
        <w:rPr>
          <w:rFonts w:ascii="Times New Roman" w:eastAsia="Times New Roman" w:hAnsi="Times New Roman" w:cs="Times New Roman"/>
          <w:i/>
          <w:iCs/>
        </w:rPr>
        <w:t xml:space="preserve">Daphnia pulicaria </w:t>
      </w:r>
      <w:r>
        <w:rPr>
          <w:rFonts w:ascii="Times New Roman" w:eastAsia="Times New Roman" w:hAnsi="Times New Roman" w:cs="Times New Roman"/>
        </w:rPr>
        <w:t xml:space="preserve">and </w:t>
      </w:r>
      <w:r>
        <w:rPr>
          <w:rFonts w:ascii="Times New Roman" w:eastAsia="Times New Roman" w:hAnsi="Times New Roman" w:cs="Times New Roman"/>
          <w:i/>
          <w:iCs/>
        </w:rPr>
        <w:t xml:space="preserve">Daphnia pulex. </w:t>
      </w:r>
      <w:r>
        <w:rPr>
          <w:rFonts w:ascii="Times New Roman" w:eastAsia="Times New Roman" w:hAnsi="Times New Roman" w:cs="Times New Roman"/>
        </w:rPr>
        <w:t>Description same as above (Figure S17).</w:t>
      </w:r>
    </w:p>
    <w:p w14:paraId="6B44693C"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rPr>
        <w:br w:type="page"/>
      </w:r>
    </w:p>
    <w:p w14:paraId="3A86161D" w14:textId="77777777" w:rsidR="00D617DF" w:rsidRDefault="00D617DF" w:rsidP="00EA4D1C">
      <w:pPr>
        <w:rPr>
          <w:rFonts w:ascii="Times New Roman" w:eastAsia="Times New Roman" w:hAnsi="Times New Roman" w:cs="Times New Roman"/>
        </w:rPr>
      </w:pPr>
      <w:r>
        <w:rPr>
          <w:noProof/>
        </w:rPr>
        <w:lastRenderedPageBreak/>
        <w:drawing>
          <wp:inline distT="0" distB="0" distL="0" distR="0" wp14:anchorId="063F9B71" wp14:editId="513AF366">
            <wp:extent cx="5733288" cy="6858000"/>
            <wp:effectExtent l="0" t="0" r="1270" b="0"/>
            <wp:docPr id="21" name="Picture 3" descr="Chart, line chart&#10;&#10;Description automatically generated">
              <a:extLst xmlns:a="http://schemas.openxmlformats.org/drawingml/2006/main">
                <a:ext uri="{FF2B5EF4-FFF2-40B4-BE49-F238E27FC236}">
                  <a16:creationId xmlns:a16="http://schemas.microsoft.com/office/drawing/2014/main" id="{C0B6A8CA-05BF-4E33-B717-91246CAF31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 descr="Chart, line chart&#10;&#10;Description automatically generated">
                      <a:extLst>
                        <a:ext uri="{FF2B5EF4-FFF2-40B4-BE49-F238E27FC236}">
                          <a16:creationId xmlns:a16="http://schemas.microsoft.com/office/drawing/2014/main" id="{C0B6A8CA-05BF-4E33-B717-91246CAF3107}"/>
                        </a:ext>
                      </a:extLst>
                    </pic:cNvPr>
                    <pic:cNvPicPr>
                      <a:picLocks noChangeAspect="1"/>
                    </pic:cNvPicPr>
                  </pic:nvPicPr>
                  <pic:blipFill>
                    <a:blip r:embed="rId189"/>
                    <a:stretch>
                      <a:fillRect/>
                    </a:stretch>
                  </pic:blipFill>
                  <pic:spPr>
                    <a:xfrm>
                      <a:off x="0" y="0"/>
                      <a:ext cx="5733288" cy="6858000"/>
                    </a:xfrm>
                    <a:prstGeom prst="rect">
                      <a:avLst/>
                    </a:prstGeom>
                  </pic:spPr>
                </pic:pic>
              </a:graphicData>
            </a:graphic>
          </wp:inline>
        </w:drawing>
      </w:r>
    </w:p>
    <w:p w14:paraId="450B1EFE"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b/>
          <w:bCs/>
        </w:rPr>
        <w:t xml:space="preserve">Figure S21: </w:t>
      </w:r>
      <w:r>
        <w:rPr>
          <w:rFonts w:ascii="Times New Roman" w:eastAsia="Times New Roman" w:hAnsi="Times New Roman" w:cs="Times New Roman"/>
        </w:rPr>
        <w:t xml:space="preserve">Sliding window nucleotide diversity and Tajima’s D on Linkage Group (LG)-5 for </w:t>
      </w:r>
      <w:r>
        <w:rPr>
          <w:rFonts w:ascii="Times New Roman" w:eastAsia="Times New Roman" w:hAnsi="Times New Roman" w:cs="Times New Roman"/>
          <w:i/>
          <w:iCs/>
        </w:rPr>
        <w:t xml:space="preserve">Daphnia pulicaria </w:t>
      </w:r>
      <w:r>
        <w:rPr>
          <w:rFonts w:ascii="Times New Roman" w:eastAsia="Times New Roman" w:hAnsi="Times New Roman" w:cs="Times New Roman"/>
        </w:rPr>
        <w:t xml:space="preserve">and </w:t>
      </w:r>
      <w:r>
        <w:rPr>
          <w:rFonts w:ascii="Times New Roman" w:eastAsia="Times New Roman" w:hAnsi="Times New Roman" w:cs="Times New Roman"/>
          <w:i/>
          <w:iCs/>
        </w:rPr>
        <w:t xml:space="preserve">Daphnia pulex. </w:t>
      </w:r>
      <w:r>
        <w:rPr>
          <w:rFonts w:ascii="Times New Roman" w:eastAsia="Times New Roman" w:hAnsi="Times New Roman" w:cs="Times New Roman"/>
        </w:rPr>
        <w:t>Description same as above (Figure S17).</w:t>
      </w:r>
    </w:p>
    <w:p w14:paraId="56B0C28D"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rPr>
        <w:br w:type="page"/>
      </w:r>
    </w:p>
    <w:p w14:paraId="5624719D" w14:textId="77777777" w:rsidR="00D617DF" w:rsidRDefault="00D617DF" w:rsidP="00EA4D1C">
      <w:pPr>
        <w:rPr>
          <w:rFonts w:ascii="Times New Roman" w:eastAsia="Times New Roman" w:hAnsi="Times New Roman" w:cs="Times New Roman"/>
        </w:rPr>
      </w:pPr>
      <w:r>
        <w:rPr>
          <w:noProof/>
        </w:rPr>
        <w:lastRenderedPageBreak/>
        <w:drawing>
          <wp:inline distT="0" distB="0" distL="0" distR="0" wp14:anchorId="5D98767B" wp14:editId="3D063223">
            <wp:extent cx="5733288" cy="6858000"/>
            <wp:effectExtent l="0" t="0" r="1270" b="0"/>
            <wp:docPr id="22" name="Picture 3" descr="A picture containing chart&#10;&#10;Description automatically generated">
              <a:extLst xmlns:a="http://schemas.openxmlformats.org/drawingml/2006/main">
                <a:ext uri="{FF2B5EF4-FFF2-40B4-BE49-F238E27FC236}">
                  <a16:creationId xmlns:a16="http://schemas.microsoft.com/office/drawing/2014/main" id="{6509C139-731E-459E-A803-3E03CD7646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 descr="A picture containing chart&#10;&#10;Description automatically generated">
                      <a:extLst>
                        <a:ext uri="{FF2B5EF4-FFF2-40B4-BE49-F238E27FC236}">
                          <a16:creationId xmlns:a16="http://schemas.microsoft.com/office/drawing/2014/main" id="{6509C139-731E-459E-A803-3E03CD764647}"/>
                        </a:ext>
                      </a:extLst>
                    </pic:cNvPr>
                    <pic:cNvPicPr>
                      <a:picLocks noChangeAspect="1"/>
                    </pic:cNvPicPr>
                  </pic:nvPicPr>
                  <pic:blipFill>
                    <a:blip r:embed="rId190"/>
                    <a:stretch>
                      <a:fillRect/>
                    </a:stretch>
                  </pic:blipFill>
                  <pic:spPr>
                    <a:xfrm>
                      <a:off x="0" y="0"/>
                      <a:ext cx="5733288" cy="6858000"/>
                    </a:xfrm>
                    <a:prstGeom prst="rect">
                      <a:avLst/>
                    </a:prstGeom>
                  </pic:spPr>
                </pic:pic>
              </a:graphicData>
            </a:graphic>
          </wp:inline>
        </w:drawing>
      </w:r>
    </w:p>
    <w:p w14:paraId="4F277E6F"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b/>
          <w:bCs/>
        </w:rPr>
        <w:t xml:space="preserve">Figure S22: </w:t>
      </w:r>
      <w:r>
        <w:rPr>
          <w:rFonts w:ascii="Times New Roman" w:eastAsia="Times New Roman" w:hAnsi="Times New Roman" w:cs="Times New Roman"/>
        </w:rPr>
        <w:t xml:space="preserve">Sliding window nucleotide diversity and Tajima’s D on Linkage Group (LG)-6 for </w:t>
      </w:r>
      <w:r>
        <w:rPr>
          <w:rFonts w:ascii="Times New Roman" w:eastAsia="Times New Roman" w:hAnsi="Times New Roman" w:cs="Times New Roman"/>
          <w:i/>
          <w:iCs/>
        </w:rPr>
        <w:t xml:space="preserve">Daphnia pulicaria </w:t>
      </w:r>
      <w:r>
        <w:rPr>
          <w:rFonts w:ascii="Times New Roman" w:eastAsia="Times New Roman" w:hAnsi="Times New Roman" w:cs="Times New Roman"/>
        </w:rPr>
        <w:t xml:space="preserve">and </w:t>
      </w:r>
      <w:r>
        <w:rPr>
          <w:rFonts w:ascii="Times New Roman" w:eastAsia="Times New Roman" w:hAnsi="Times New Roman" w:cs="Times New Roman"/>
          <w:i/>
          <w:iCs/>
        </w:rPr>
        <w:t xml:space="preserve">Daphnia pulex. </w:t>
      </w:r>
      <w:r>
        <w:rPr>
          <w:rFonts w:ascii="Times New Roman" w:eastAsia="Times New Roman" w:hAnsi="Times New Roman" w:cs="Times New Roman"/>
        </w:rPr>
        <w:t>Description same as above (Figure S17).</w:t>
      </w:r>
    </w:p>
    <w:p w14:paraId="392A3F77"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rPr>
        <w:br w:type="page"/>
      </w:r>
    </w:p>
    <w:p w14:paraId="24D19B96" w14:textId="77777777" w:rsidR="00D617DF" w:rsidRDefault="00D617DF" w:rsidP="00EA4D1C">
      <w:pPr>
        <w:rPr>
          <w:rFonts w:ascii="Times New Roman" w:eastAsia="Times New Roman" w:hAnsi="Times New Roman" w:cs="Times New Roman"/>
        </w:rPr>
      </w:pPr>
      <w:r>
        <w:rPr>
          <w:noProof/>
        </w:rPr>
        <w:lastRenderedPageBreak/>
        <w:drawing>
          <wp:inline distT="0" distB="0" distL="0" distR="0" wp14:anchorId="31BE404F" wp14:editId="6AB5D723">
            <wp:extent cx="5733288" cy="6858000"/>
            <wp:effectExtent l="0" t="0" r="1270" b="0"/>
            <wp:docPr id="24" name="Picture 3" descr="A picture containing chart&#10;&#10;Description automatically generated">
              <a:extLst xmlns:a="http://schemas.openxmlformats.org/drawingml/2006/main">
                <a:ext uri="{FF2B5EF4-FFF2-40B4-BE49-F238E27FC236}">
                  <a16:creationId xmlns:a16="http://schemas.microsoft.com/office/drawing/2014/main" id="{7979FC20-EC52-481E-89AA-BA9C403F94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descr="A picture containing chart&#10;&#10;Description automatically generated">
                      <a:extLst>
                        <a:ext uri="{FF2B5EF4-FFF2-40B4-BE49-F238E27FC236}">
                          <a16:creationId xmlns:a16="http://schemas.microsoft.com/office/drawing/2014/main" id="{7979FC20-EC52-481E-89AA-BA9C403F94CC}"/>
                        </a:ext>
                      </a:extLst>
                    </pic:cNvPr>
                    <pic:cNvPicPr>
                      <a:picLocks noChangeAspect="1"/>
                    </pic:cNvPicPr>
                  </pic:nvPicPr>
                  <pic:blipFill>
                    <a:blip r:embed="rId191"/>
                    <a:stretch>
                      <a:fillRect/>
                    </a:stretch>
                  </pic:blipFill>
                  <pic:spPr>
                    <a:xfrm>
                      <a:off x="0" y="0"/>
                      <a:ext cx="5733288" cy="6858000"/>
                    </a:xfrm>
                    <a:prstGeom prst="rect">
                      <a:avLst/>
                    </a:prstGeom>
                  </pic:spPr>
                </pic:pic>
              </a:graphicData>
            </a:graphic>
          </wp:inline>
        </w:drawing>
      </w:r>
    </w:p>
    <w:p w14:paraId="184A9DCA"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b/>
          <w:bCs/>
        </w:rPr>
        <w:t xml:space="preserve">Figure S23: </w:t>
      </w:r>
      <w:r>
        <w:rPr>
          <w:rFonts w:ascii="Times New Roman" w:eastAsia="Times New Roman" w:hAnsi="Times New Roman" w:cs="Times New Roman"/>
        </w:rPr>
        <w:t xml:space="preserve">Sliding window nucleotide diversity and Tajima’s D on Linkage Group (LG)-7 for </w:t>
      </w:r>
      <w:r>
        <w:rPr>
          <w:rFonts w:ascii="Times New Roman" w:eastAsia="Times New Roman" w:hAnsi="Times New Roman" w:cs="Times New Roman"/>
          <w:i/>
          <w:iCs/>
        </w:rPr>
        <w:t xml:space="preserve">Daphnia pulicaria </w:t>
      </w:r>
      <w:r>
        <w:rPr>
          <w:rFonts w:ascii="Times New Roman" w:eastAsia="Times New Roman" w:hAnsi="Times New Roman" w:cs="Times New Roman"/>
        </w:rPr>
        <w:t xml:space="preserve">and </w:t>
      </w:r>
      <w:r>
        <w:rPr>
          <w:rFonts w:ascii="Times New Roman" w:eastAsia="Times New Roman" w:hAnsi="Times New Roman" w:cs="Times New Roman"/>
          <w:i/>
          <w:iCs/>
        </w:rPr>
        <w:t xml:space="preserve">Daphnia pulex. </w:t>
      </w:r>
      <w:r>
        <w:rPr>
          <w:rFonts w:ascii="Times New Roman" w:eastAsia="Times New Roman" w:hAnsi="Times New Roman" w:cs="Times New Roman"/>
        </w:rPr>
        <w:t>Description same as above (Figure S17).</w:t>
      </w:r>
    </w:p>
    <w:p w14:paraId="01940F20"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rPr>
        <w:br w:type="page"/>
      </w:r>
    </w:p>
    <w:p w14:paraId="2814EFB4" w14:textId="77777777" w:rsidR="00D617DF" w:rsidRDefault="00D617DF" w:rsidP="00EA4D1C">
      <w:pPr>
        <w:rPr>
          <w:rFonts w:ascii="Times New Roman" w:eastAsia="Times New Roman" w:hAnsi="Times New Roman" w:cs="Times New Roman"/>
        </w:rPr>
      </w:pPr>
      <w:r>
        <w:rPr>
          <w:noProof/>
        </w:rPr>
        <w:lastRenderedPageBreak/>
        <w:drawing>
          <wp:inline distT="0" distB="0" distL="0" distR="0" wp14:anchorId="5D0B3BA5" wp14:editId="12FC124B">
            <wp:extent cx="5733288" cy="6858000"/>
            <wp:effectExtent l="0" t="0" r="1270" b="0"/>
            <wp:docPr id="25" name="Picture 3" descr="Chart, line chart&#10;&#10;Description automatically generated">
              <a:extLst xmlns:a="http://schemas.openxmlformats.org/drawingml/2006/main">
                <a:ext uri="{FF2B5EF4-FFF2-40B4-BE49-F238E27FC236}">
                  <a16:creationId xmlns:a16="http://schemas.microsoft.com/office/drawing/2014/main" id="{FDF9BE99-3526-4366-A9EB-186E25DFEE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 descr="Chart, line chart&#10;&#10;Description automatically generated">
                      <a:extLst>
                        <a:ext uri="{FF2B5EF4-FFF2-40B4-BE49-F238E27FC236}">
                          <a16:creationId xmlns:a16="http://schemas.microsoft.com/office/drawing/2014/main" id="{FDF9BE99-3526-4366-A9EB-186E25DFEEAD}"/>
                        </a:ext>
                      </a:extLst>
                    </pic:cNvPr>
                    <pic:cNvPicPr>
                      <a:picLocks noChangeAspect="1"/>
                    </pic:cNvPicPr>
                  </pic:nvPicPr>
                  <pic:blipFill>
                    <a:blip r:embed="rId192"/>
                    <a:stretch>
                      <a:fillRect/>
                    </a:stretch>
                  </pic:blipFill>
                  <pic:spPr>
                    <a:xfrm>
                      <a:off x="0" y="0"/>
                      <a:ext cx="5733288" cy="6858000"/>
                    </a:xfrm>
                    <a:prstGeom prst="rect">
                      <a:avLst/>
                    </a:prstGeom>
                  </pic:spPr>
                </pic:pic>
              </a:graphicData>
            </a:graphic>
          </wp:inline>
        </w:drawing>
      </w:r>
    </w:p>
    <w:p w14:paraId="463CA542"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b/>
          <w:bCs/>
        </w:rPr>
        <w:t xml:space="preserve">Figure S24: </w:t>
      </w:r>
      <w:r>
        <w:rPr>
          <w:rFonts w:ascii="Times New Roman" w:eastAsia="Times New Roman" w:hAnsi="Times New Roman" w:cs="Times New Roman"/>
        </w:rPr>
        <w:t xml:space="preserve">Sliding window nucleotide diversity and Tajima’s D on Linkage Group (LG)-8 for </w:t>
      </w:r>
      <w:r>
        <w:rPr>
          <w:rFonts w:ascii="Times New Roman" w:eastAsia="Times New Roman" w:hAnsi="Times New Roman" w:cs="Times New Roman"/>
          <w:i/>
          <w:iCs/>
        </w:rPr>
        <w:t xml:space="preserve">Daphnia pulicaria </w:t>
      </w:r>
      <w:r>
        <w:rPr>
          <w:rFonts w:ascii="Times New Roman" w:eastAsia="Times New Roman" w:hAnsi="Times New Roman" w:cs="Times New Roman"/>
        </w:rPr>
        <w:t xml:space="preserve">and </w:t>
      </w:r>
      <w:r>
        <w:rPr>
          <w:rFonts w:ascii="Times New Roman" w:eastAsia="Times New Roman" w:hAnsi="Times New Roman" w:cs="Times New Roman"/>
          <w:i/>
          <w:iCs/>
        </w:rPr>
        <w:t xml:space="preserve">Daphnia pulex. </w:t>
      </w:r>
      <w:r>
        <w:rPr>
          <w:rFonts w:ascii="Times New Roman" w:eastAsia="Times New Roman" w:hAnsi="Times New Roman" w:cs="Times New Roman"/>
        </w:rPr>
        <w:t>Description same as above (Figure S17).</w:t>
      </w:r>
    </w:p>
    <w:p w14:paraId="1F9CA44A"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rPr>
        <w:br w:type="page"/>
      </w:r>
    </w:p>
    <w:p w14:paraId="57577BCE" w14:textId="77777777" w:rsidR="00D617DF" w:rsidRDefault="00D617DF" w:rsidP="00EA4D1C">
      <w:pPr>
        <w:rPr>
          <w:rFonts w:ascii="Times New Roman" w:eastAsia="Times New Roman" w:hAnsi="Times New Roman" w:cs="Times New Roman"/>
        </w:rPr>
      </w:pPr>
      <w:r>
        <w:rPr>
          <w:noProof/>
        </w:rPr>
        <w:lastRenderedPageBreak/>
        <w:drawing>
          <wp:inline distT="0" distB="0" distL="0" distR="0" wp14:anchorId="6B56898E" wp14:editId="71E80345">
            <wp:extent cx="5733288" cy="6858000"/>
            <wp:effectExtent l="0" t="0" r="1270" b="0"/>
            <wp:docPr id="26" name="Picture 3" descr="Chart&#10;&#10;Description automatically generated">
              <a:extLst xmlns:a="http://schemas.openxmlformats.org/drawingml/2006/main">
                <a:ext uri="{FF2B5EF4-FFF2-40B4-BE49-F238E27FC236}">
                  <a16:creationId xmlns:a16="http://schemas.microsoft.com/office/drawing/2014/main" id="{6CD59687-1020-4F0B-884B-BC625AA3B2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descr="Chart&#10;&#10;Description automatically generated">
                      <a:extLst>
                        <a:ext uri="{FF2B5EF4-FFF2-40B4-BE49-F238E27FC236}">
                          <a16:creationId xmlns:a16="http://schemas.microsoft.com/office/drawing/2014/main" id="{6CD59687-1020-4F0B-884B-BC625AA3B2A9}"/>
                        </a:ext>
                      </a:extLst>
                    </pic:cNvPr>
                    <pic:cNvPicPr>
                      <a:picLocks noChangeAspect="1"/>
                    </pic:cNvPicPr>
                  </pic:nvPicPr>
                  <pic:blipFill>
                    <a:blip r:embed="rId193"/>
                    <a:stretch>
                      <a:fillRect/>
                    </a:stretch>
                  </pic:blipFill>
                  <pic:spPr>
                    <a:xfrm>
                      <a:off x="0" y="0"/>
                      <a:ext cx="5733288" cy="6858000"/>
                    </a:xfrm>
                    <a:prstGeom prst="rect">
                      <a:avLst/>
                    </a:prstGeom>
                  </pic:spPr>
                </pic:pic>
              </a:graphicData>
            </a:graphic>
          </wp:inline>
        </w:drawing>
      </w:r>
    </w:p>
    <w:p w14:paraId="52356E45"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b/>
          <w:bCs/>
        </w:rPr>
        <w:t xml:space="preserve">Figure S25: </w:t>
      </w:r>
      <w:r>
        <w:rPr>
          <w:rFonts w:ascii="Times New Roman" w:eastAsia="Times New Roman" w:hAnsi="Times New Roman" w:cs="Times New Roman"/>
        </w:rPr>
        <w:t xml:space="preserve">Sliding window nucleotide diversity and Tajima’s D on Linkage Group (LG)-9 for </w:t>
      </w:r>
      <w:r>
        <w:rPr>
          <w:rFonts w:ascii="Times New Roman" w:eastAsia="Times New Roman" w:hAnsi="Times New Roman" w:cs="Times New Roman"/>
          <w:i/>
          <w:iCs/>
        </w:rPr>
        <w:t xml:space="preserve">Daphnia pulicaria </w:t>
      </w:r>
      <w:r>
        <w:rPr>
          <w:rFonts w:ascii="Times New Roman" w:eastAsia="Times New Roman" w:hAnsi="Times New Roman" w:cs="Times New Roman"/>
        </w:rPr>
        <w:t xml:space="preserve">and </w:t>
      </w:r>
      <w:r>
        <w:rPr>
          <w:rFonts w:ascii="Times New Roman" w:eastAsia="Times New Roman" w:hAnsi="Times New Roman" w:cs="Times New Roman"/>
          <w:i/>
          <w:iCs/>
        </w:rPr>
        <w:t xml:space="preserve">Daphnia pulex. </w:t>
      </w:r>
      <w:r>
        <w:rPr>
          <w:rFonts w:ascii="Times New Roman" w:eastAsia="Times New Roman" w:hAnsi="Times New Roman" w:cs="Times New Roman"/>
        </w:rPr>
        <w:t>Description same as above (Figure S17).</w:t>
      </w:r>
    </w:p>
    <w:p w14:paraId="66D41E23"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rPr>
        <w:br w:type="page"/>
      </w:r>
    </w:p>
    <w:p w14:paraId="72951315" w14:textId="77777777" w:rsidR="00D617DF" w:rsidRDefault="00D617DF" w:rsidP="00EA4D1C">
      <w:pPr>
        <w:rPr>
          <w:rFonts w:ascii="Times New Roman" w:eastAsia="Times New Roman" w:hAnsi="Times New Roman" w:cs="Times New Roman"/>
        </w:rPr>
      </w:pPr>
      <w:r>
        <w:rPr>
          <w:noProof/>
        </w:rPr>
        <w:lastRenderedPageBreak/>
        <w:drawing>
          <wp:inline distT="0" distB="0" distL="0" distR="0" wp14:anchorId="6CD2637A" wp14:editId="5E3F316F">
            <wp:extent cx="5733288" cy="6858000"/>
            <wp:effectExtent l="0" t="0" r="1270" b="0"/>
            <wp:docPr id="27" name="Picture 3" descr="Chart&#10;&#10;Description automatically generated">
              <a:extLst xmlns:a="http://schemas.openxmlformats.org/drawingml/2006/main">
                <a:ext uri="{FF2B5EF4-FFF2-40B4-BE49-F238E27FC236}">
                  <a16:creationId xmlns:a16="http://schemas.microsoft.com/office/drawing/2014/main" id="{4D97449F-3D0D-4164-A634-D49A64F7C4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descr="Chart&#10;&#10;Description automatically generated">
                      <a:extLst>
                        <a:ext uri="{FF2B5EF4-FFF2-40B4-BE49-F238E27FC236}">
                          <a16:creationId xmlns:a16="http://schemas.microsoft.com/office/drawing/2014/main" id="{4D97449F-3D0D-4164-A634-D49A64F7C42F}"/>
                        </a:ext>
                      </a:extLst>
                    </pic:cNvPr>
                    <pic:cNvPicPr>
                      <a:picLocks noChangeAspect="1"/>
                    </pic:cNvPicPr>
                  </pic:nvPicPr>
                  <pic:blipFill>
                    <a:blip r:embed="rId194"/>
                    <a:stretch>
                      <a:fillRect/>
                    </a:stretch>
                  </pic:blipFill>
                  <pic:spPr>
                    <a:xfrm>
                      <a:off x="0" y="0"/>
                      <a:ext cx="5733288" cy="6858000"/>
                    </a:xfrm>
                    <a:prstGeom prst="rect">
                      <a:avLst/>
                    </a:prstGeom>
                  </pic:spPr>
                </pic:pic>
              </a:graphicData>
            </a:graphic>
          </wp:inline>
        </w:drawing>
      </w:r>
    </w:p>
    <w:p w14:paraId="5C09FBD2"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b/>
          <w:bCs/>
        </w:rPr>
        <w:t xml:space="preserve">Figure S26: </w:t>
      </w:r>
      <w:r>
        <w:rPr>
          <w:rFonts w:ascii="Times New Roman" w:eastAsia="Times New Roman" w:hAnsi="Times New Roman" w:cs="Times New Roman"/>
        </w:rPr>
        <w:t xml:space="preserve">Sliding window nucleotide diversity and Tajima’s D on Linkage Group (LG)-10 for </w:t>
      </w:r>
      <w:r>
        <w:rPr>
          <w:rFonts w:ascii="Times New Roman" w:eastAsia="Times New Roman" w:hAnsi="Times New Roman" w:cs="Times New Roman"/>
          <w:i/>
          <w:iCs/>
        </w:rPr>
        <w:t xml:space="preserve">Daphnia pulicaria </w:t>
      </w:r>
      <w:r>
        <w:rPr>
          <w:rFonts w:ascii="Times New Roman" w:eastAsia="Times New Roman" w:hAnsi="Times New Roman" w:cs="Times New Roman"/>
        </w:rPr>
        <w:t xml:space="preserve">and </w:t>
      </w:r>
      <w:r>
        <w:rPr>
          <w:rFonts w:ascii="Times New Roman" w:eastAsia="Times New Roman" w:hAnsi="Times New Roman" w:cs="Times New Roman"/>
          <w:i/>
          <w:iCs/>
        </w:rPr>
        <w:t xml:space="preserve">Daphnia pulex. </w:t>
      </w:r>
      <w:r>
        <w:rPr>
          <w:rFonts w:ascii="Times New Roman" w:eastAsia="Times New Roman" w:hAnsi="Times New Roman" w:cs="Times New Roman"/>
        </w:rPr>
        <w:t>Description same as above (Figure S17).</w:t>
      </w:r>
    </w:p>
    <w:p w14:paraId="060E9669"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rPr>
        <w:br w:type="page"/>
      </w:r>
    </w:p>
    <w:p w14:paraId="78ACFBEE" w14:textId="77777777" w:rsidR="00D617DF" w:rsidRDefault="00D617DF" w:rsidP="00EA4D1C">
      <w:pPr>
        <w:rPr>
          <w:rFonts w:ascii="Times New Roman" w:eastAsia="Times New Roman" w:hAnsi="Times New Roman" w:cs="Times New Roman"/>
        </w:rPr>
      </w:pPr>
      <w:r>
        <w:rPr>
          <w:noProof/>
        </w:rPr>
        <w:lastRenderedPageBreak/>
        <w:drawing>
          <wp:inline distT="0" distB="0" distL="0" distR="0" wp14:anchorId="395861BE" wp14:editId="0EAA7784">
            <wp:extent cx="5733288" cy="6858000"/>
            <wp:effectExtent l="0" t="0" r="1270" b="0"/>
            <wp:docPr id="28" name="Picture 3" descr="A picture containing chart&#10;&#10;Description automatically generated">
              <a:extLst xmlns:a="http://schemas.openxmlformats.org/drawingml/2006/main">
                <a:ext uri="{FF2B5EF4-FFF2-40B4-BE49-F238E27FC236}">
                  <a16:creationId xmlns:a16="http://schemas.microsoft.com/office/drawing/2014/main" id="{41653F3F-607B-404C-85DD-08C00ED94D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 descr="A picture containing chart&#10;&#10;Description automatically generated">
                      <a:extLst>
                        <a:ext uri="{FF2B5EF4-FFF2-40B4-BE49-F238E27FC236}">
                          <a16:creationId xmlns:a16="http://schemas.microsoft.com/office/drawing/2014/main" id="{41653F3F-607B-404C-85DD-08C00ED94DA7}"/>
                        </a:ext>
                      </a:extLst>
                    </pic:cNvPr>
                    <pic:cNvPicPr>
                      <a:picLocks noChangeAspect="1"/>
                    </pic:cNvPicPr>
                  </pic:nvPicPr>
                  <pic:blipFill>
                    <a:blip r:embed="rId195"/>
                    <a:stretch>
                      <a:fillRect/>
                    </a:stretch>
                  </pic:blipFill>
                  <pic:spPr>
                    <a:xfrm>
                      <a:off x="0" y="0"/>
                      <a:ext cx="5733288" cy="6858000"/>
                    </a:xfrm>
                    <a:prstGeom prst="rect">
                      <a:avLst/>
                    </a:prstGeom>
                  </pic:spPr>
                </pic:pic>
              </a:graphicData>
            </a:graphic>
          </wp:inline>
        </w:drawing>
      </w:r>
    </w:p>
    <w:p w14:paraId="1F49C5BC"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b/>
          <w:bCs/>
        </w:rPr>
        <w:t xml:space="preserve">Figure S27: </w:t>
      </w:r>
      <w:r>
        <w:rPr>
          <w:rFonts w:ascii="Times New Roman" w:eastAsia="Times New Roman" w:hAnsi="Times New Roman" w:cs="Times New Roman"/>
        </w:rPr>
        <w:t xml:space="preserve">Sliding window nucleotide diversity and Tajima’s D on Linkage Group (LG)-11 for </w:t>
      </w:r>
      <w:r>
        <w:rPr>
          <w:rFonts w:ascii="Times New Roman" w:eastAsia="Times New Roman" w:hAnsi="Times New Roman" w:cs="Times New Roman"/>
          <w:i/>
          <w:iCs/>
        </w:rPr>
        <w:t xml:space="preserve">Daphnia pulicaria </w:t>
      </w:r>
      <w:r>
        <w:rPr>
          <w:rFonts w:ascii="Times New Roman" w:eastAsia="Times New Roman" w:hAnsi="Times New Roman" w:cs="Times New Roman"/>
        </w:rPr>
        <w:t xml:space="preserve">and </w:t>
      </w:r>
      <w:r>
        <w:rPr>
          <w:rFonts w:ascii="Times New Roman" w:eastAsia="Times New Roman" w:hAnsi="Times New Roman" w:cs="Times New Roman"/>
          <w:i/>
          <w:iCs/>
        </w:rPr>
        <w:t xml:space="preserve">Daphnia pulex. </w:t>
      </w:r>
      <w:r>
        <w:rPr>
          <w:rFonts w:ascii="Times New Roman" w:eastAsia="Times New Roman" w:hAnsi="Times New Roman" w:cs="Times New Roman"/>
        </w:rPr>
        <w:t>Description same as above (Figure S17).</w:t>
      </w:r>
    </w:p>
    <w:p w14:paraId="6C3382E7"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rPr>
        <w:br w:type="page"/>
      </w:r>
    </w:p>
    <w:p w14:paraId="0F31CE4F" w14:textId="77777777" w:rsidR="00D617DF" w:rsidRDefault="00D617DF" w:rsidP="00EA4D1C">
      <w:pPr>
        <w:rPr>
          <w:rFonts w:ascii="Times New Roman" w:eastAsia="Times New Roman" w:hAnsi="Times New Roman" w:cs="Times New Roman"/>
        </w:rPr>
      </w:pPr>
      <w:r>
        <w:rPr>
          <w:noProof/>
        </w:rPr>
        <w:lastRenderedPageBreak/>
        <w:drawing>
          <wp:inline distT="0" distB="0" distL="0" distR="0" wp14:anchorId="3CB7ACFD" wp14:editId="6D743BED">
            <wp:extent cx="5733288" cy="6858000"/>
            <wp:effectExtent l="0" t="0" r="1270" b="0"/>
            <wp:docPr id="29" name="Picture 3" descr="A picture containing diagram&#10;&#10;Description automatically generated">
              <a:extLst xmlns:a="http://schemas.openxmlformats.org/drawingml/2006/main">
                <a:ext uri="{FF2B5EF4-FFF2-40B4-BE49-F238E27FC236}">
                  <a16:creationId xmlns:a16="http://schemas.microsoft.com/office/drawing/2014/main" id="{3DAC3A5C-2C68-442D-A281-79FF3A110C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 descr="A picture containing diagram&#10;&#10;Description automatically generated">
                      <a:extLst>
                        <a:ext uri="{FF2B5EF4-FFF2-40B4-BE49-F238E27FC236}">
                          <a16:creationId xmlns:a16="http://schemas.microsoft.com/office/drawing/2014/main" id="{3DAC3A5C-2C68-442D-A281-79FF3A110C17}"/>
                        </a:ext>
                      </a:extLst>
                    </pic:cNvPr>
                    <pic:cNvPicPr>
                      <a:picLocks noChangeAspect="1"/>
                    </pic:cNvPicPr>
                  </pic:nvPicPr>
                  <pic:blipFill>
                    <a:blip r:embed="rId196"/>
                    <a:stretch>
                      <a:fillRect/>
                    </a:stretch>
                  </pic:blipFill>
                  <pic:spPr>
                    <a:xfrm>
                      <a:off x="0" y="0"/>
                      <a:ext cx="5733288" cy="6858000"/>
                    </a:xfrm>
                    <a:prstGeom prst="rect">
                      <a:avLst/>
                    </a:prstGeom>
                  </pic:spPr>
                </pic:pic>
              </a:graphicData>
            </a:graphic>
          </wp:inline>
        </w:drawing>
      </w:r>
    </w:p>
    <w:p w14:paraId="04C45FE1" w14:textId="77777777" w:rsidR="00D617DF" w:rsidRDefault="00D617DF" w:rsidP="00EA4D1C">
      <w:pPr>
        <w:rPr>
          <w:rFonts w:ascii="Times New Roman" w:eastAsia="Times New Roman" w:hAnsi="Times New Roman" w:cs="Times New Roman"/>
        </w:rPr>
      </w:pPr>
      <w:r>
        <w:rPr>
          <w:rFonts w:ascii="Times New Roman" w:eastAsia="Times New Roman" w:hAnsi="Times New Roman" w:cs="Times New Roman"/>
          <w:b/>
          <w:bCs/>
        </w:rPr>
        <w:t xml:space="preserve">Figure S28: </w:t>
      </w:r>
      <w:r>
        <w:rPr>
          <w:rFonts w:ascii="Times New Roman" w:eastAsia="Times New Roman" w:hAnsi="Times New Roman" w:cs="Times New Roman"/>
        </w:rPr>
        <w:t xml:space="preserve">Sliding window nucleotide diversity and Tajima’s D on Linkage Group (LG)-12 for </w:t>
      </w:r>
      <w:r>
        <w:rPr>
          <w:rFonts w:ascii="Times New Roman" w:eastAsia="Times New Roman" w:hAnsi="Times New Roman" w:cs="Times New Roman"/>
          <w:i/>
          <w:iCs/>
        </w:rPr>
        <w:t xml:space="preserve">Daphnia pulicaria </w:t>
      </w:r>
      <w:r>
        <w:rPr>
          <w:rFonts w:ascii="Times New Roman" w:eastAsia="Times New Roman" w:hAnsi="Times New Roman" w:cs="Times New Roman"/>
        </w:rPr>
        <w:t xml:space="preserve">and </w:t>
      </w:r>
      <w:r>
        <w:rPr>
          <w:rFonts w:ascii="Times New Roman" w:eastAsia="Times New Roman" w:hAnsi="Times New Roman" w:cs="Times New Roman"/>
          <w:i/>
          <w:iCs/>
        </w:rPr>
        <w:t xml:space="preserve">Daphnia pulex. </w:t>
      </w:r>
      <w:r>
        <w:rPr>
          <w:rFonts w:ascii="Times New Roman" w:eastAsia="Times New Roman" w:hAnsi="Times New Roman" w:cs="Times New Roman"/>
        </w:rPr>
        <w:t>Description same as above (Figure S17).</w:t>
      </w:r>
    </w:p>
    <w:p w14:paraId="7C9EF089" w14:textId="77777777" w:rsidR="00D617DF" w:rsidRPr="00CB0DD2" w:rsidRDefault="00D617DF" w:rsidP="00EA4D1C">
      <w:pPr>
        <w:rPr>
          <w:rFonts w:ascii="Times New Roman" w:eastAsia="Times New Roman" w:hAnsi="Times New Roman" w:cs="Times New Roman"/>
        </w:rPr>
      </w:pPr>
      <w:r>
        <w:rPr>
          <w:rFonts w:ascii="Times New Roman" w:eastAsia="Times New Roman" w:hAnsi="Times New Roman" w:cs="Times New Roman"/>
        </w:rPr>
        <w:br w:type="page"/>
      </w:r>
    </w:p>
    <w:p w14:paraId="787EA1A4" w14:textId="77777777" w:rsidR="00D617DF" w:rsidRDefault="00D617DF" w:rsidP="00EA4D1C">
      <w:pPr>
        <w:rPr>
          <w:rFonts w:ascii="Times New Roman" w:hAnsi="Times New Roman" w:cs="Times New Roman"/>
          <w:b/>
          <w:bCs/>
        </w:rPr>
      </w:pPr>
      <w:r>
        <w:rPr>
          <w:noProof/>
        </w:rPr>
        <w:lastRenderedPageBreak/>
        <w:drawing>
          <wp:inline distT="0" distB="0" distL="0" distR="0" wp14:anchorId="1F2BE105" wp14:editId="71644246">
            <wp:extent cx="5591175" cy="6336665"/>
            <wp:effectExtent l="0" t="0" r="9525" b="6985"/>
            <wp:docPr id="46" name="Picture 4" descr="Chart, scatter chart&#10;&#10;Description automatically generated">
              <a:extLst xmlns:a="http://schemas.openxmlformats.org/drawingml/2006/main">
                <a:ext uri="{FF2B5EF4-FFF2-40B4-BE49-F238E27FC236}">
                  <a16:creationId xmlns:a16="http://schemas.microsoft.com/office/drawing/2014/main" id="{45DDB82C-0A1D-4D2D-8BE3-5CF5C0371F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scatter chart&#10;&#10;Description automatically generated">
                      <a:extLst>
                        <a:ext uri="{FF2B5EF4-FFF2-40B4-BE49-F238E27FC236}">
                          <a16:creationId xmlns:a16="http://schemas.microsoft.com/office/drawing/2014/main" id="{45DDB82C-0A1D-4D2D-8BE3-5CF5C0371F55}"/>
                        </a:ext>
                      </a:extLst>
                    </pic:cNvPr>
                    <pic:cNvPicPr>
                      <a:picLocks noChangeAspect="1"/>
                    </pic:cNvPicPr>
                  </pic:nvPicPr>
                  <pic:blipFill>
                    <a:blip r:embed="rId197">
                      <a:extLst>
                        <a:ext uri="{28A0092B-C50C-407E-A947-70E740481C1C}">
                          <a14:useLocalDpi xmlns:a14="http://schemas.microsoft.com/office/drawing/2010/main" val="0"/>
                        </a:ext>
                      </a:extLst>
                    </a:blip>
                    <a:stretch>
                      <a:fillRect/>
                    </a:stretch>
                  </pic:blipFill>
                  <pic:spPr>
                    <a:xfrm>
                      <a:off x="0" y="0"/>
                      <a:ext cx="5591175" cy="6336665"/>
                    </a:xfrm>
                    <a:prstGeom prst="rect">
                      <a:avLst/>
                    </a:prstGeom>
                  </pic:spPr>
                </pic:pic>
              </a:graphicData>
            </a:graphic>
          </wp:inline>
        </w:drawing>
      </w:r>
    </w:p>
    <w:p w14:paraId="2D0C03BF" w14:textId="77777777" w:rsidR="00D617DF" w:rsidRDefault="00D617DF" w:rsidP="00EA4D1C">
      <w:pPr>
        <w:rPr>
          <w:rFonts w:ascii="Times New Roman" w:hAnsi="Times New Roman" w:cs="Times New Roman"/>
        </w:rPr>
      </w:pPr>
      <w:r>
        <w:rPr>
          <w:rFonts w:ascii="Times New Roman" w:hAnsi="Times New Roman" w:cs="Times New Roman"/>
          <w:b/>
          <w:bCs/>
        </w:rPr>
        <w:t xml:space="preserve">Figure S29: </w:t>
      </w:r>
      <w:r>
        <w:rPr>
          <w:rFonts w:ascii="Times New Roman" w:hAnsi="Times New Roman" w:cs="Times New Roman"/>
        </w:rPr>
        <w:t xml:space="preserve">Supplementary Plots of PCAdapt </w:t>
      </w:r>
      <w:r>
        <w:rPr>
          <w:rFonts w:ascii="Times New Roman" w:hAnsi="Times New Roman" w:cs="Times New Roman"/>
        </w:rPr>
        <w:fldChar w:fldCharType="begin" w:fldLock="1"/>
      </w:r>
      <w:r>
        <w:rPr>
          <w:rFonts w:ascii="Times New Roman" w:hAnsi="Times New Roman" w:cs="Times New Roman"/>
        </w:rPr>
        <w:instrText>ADDIN CSL_CITATION {"citationItems":[{"id":"ITEM-1","itemData":{"DOI":"10.1093/molbev/msaa053","ISSN":"15371719","PMID":"32343802","abstract":"R package pcadapt is a user-friendly R package for performing genome scans for local adaptation. Here, we present version 4 of pcadapt which substantially improves computational efficiency while providing similar results. This improvement is made possible by using a different format for storing genotypes and a different algorithm for computing principal components of the genotype matrix, which is the most computationally demanding step in method pcadapt. These changes are seamlessly integrated into the existing pcadapt package, and users will experience a large reduction in computation time (by a factor of 20-60 in our analyses) as compared with previous versions.","author":[{"dropping-particle":"","family":"Privé","given":"Florian","non-dropping-particle":"","parse-names":false,"suffix":""},{"dropping-particle":"","family":"Luu","given":"Keurcien","non-dropping-particle":"","parse-names":false,"suffix":""},{"dropping-particle":"","family":"Vilhjálmsson","given":"Bjarni J.","non-dropping-particle":"","parse-names":false,"suffix":""},{"dropping-particle":"","family":"Blum","given":"Michael G.B.","non-dropping-particle":"","parse-names":false,"suffix":""},{"dropping-particle":"","family":"Rosenberg","given":"Michael","non-dropping-particle":"","parse-names":false,"suffix":""}],"container-title":"Molecular Biology and Evolution","id":"ITEM-1","issue":"7","issued":{"date-parts":[["2020","7","1"]]},"page":"2153-2154","publisher":"Oxford University Press","title":"Performing Highly Efficient Genome Scans for Local Adaptation with R Package pcadapt Version 4","type":"article-journal","volume":"37"},"uris":["http://www.mendeley.com/documents/?uuid=6a5449c4-9083-3b69-b2bd-bf33e5082984"]}],"mendeley":{"formattedCitation":"(Privé et al. 2020)","plainTextFormattedCitation":"(Privé et al. 2020)","previouslyFormattedCitation":"(Privé et al. 2020)"},"properties":{"noteIndex":0},"schema":"https://github.com/citation-style-language/schema/raw/master/csl-citation.json"}</w:instrText>
      </w:r>
      <w:r>
        <w:rPr>
          <w:rFonts w:ascii="Times New Roman" w:hAnsi="Times New Roman" w:cs="Times New Roman"/>
        </w:rPr>
        <w:fldChar w:fldCharType="separate"/>
      </w:r>
      <w:r w:rsidRPr="007F1034">
        <w:rPr>
          <w:rFonts w:ascii="Times New Roman" w:hAnsi="Times New Roman" w:cs="Times New Roman"/>
          <w:noProof/>
        </w:rPr>
        <w:t>(Privé et al. 2020)</w:t>
      </w:r>
      <w:r>
        <w:rPr>
          <w:rFonts w:ascii="Times New Roman" w:hAnsi="Times New Roman" w:cs="Times New Roman"/>
        </w:rPr>
        <w:fldChar w:fldCharType="end"/>
      </w:r>
      <w:r>
        <w:rPr>
          <w:rFonts w:ascii="Times New Roman" w:hAnsi="Times New Roman" w:cs="Times New Roman"/>
        </w:rPr>
        <w:t xml:space="preserve"> Outlier Tests. A) Scree plot for the Principal Components Analysis (PCA). The first 2 PCs explain the majority of the variance in the SNP data. B) Individuals plotted on PCs 1 and 2, clearly indicate the distinct groupings of </w:t>
      </w:r>
      <w:r>
        <w:rPr>
          <w:rFonts w:ascii="Times New Roman" w:hAnsi="Times New Roman" w:cs="Times New Roman"/>
          <w:i/>
          <w:iCs/>
        </w:rPr>
        <w:t xml:space="preserve">D. pulex </w:t>
      </w:r>
      <w:r>
        <w:rPr>
          <w:rFonts w:ascii="Times New Roman" w:hAnsi="Times New Roman" w:cs="Times New Roman"/>
        </w:rPr>
        <w:t xml:space="preserve">versus </w:t>
      </w:r>
      <w:r>
        <w:rPr>
          <w:rFonts w:ascii="Times New Roman" w:hAnsi="Times New Roman" w:cs="Times New Roman"/>
          <w:i/>
          <w:iCs/>
        </w:rPr>
        <w:t xml:space="preserve">D. pulicaria. </w:t>
      </w:r>
      <w:r>
        <w:rPr>
          <w:rFonts w:ascii="Times New Roman" w:hAnsi="Times New Roman" w:cs="Times New Roman"/>
        </w:rPr>
        <w:t xml:space="preserve">C) Projection of data onto PCs 3 and 4 indicate that there may be residual structure present in the </w:t>
      </w:r>
      <w:r>
        <w:rPr>
          <w:rFonts w:ascii="Times New Roman" w:hAnsi="Times New Roman" w:cs="Times New Roman"/>
          <w:i/>
          <w:iCs/>
        </w:rPr>
        <w:t xml:space="preserve">D. pulex </w:t>
      </w:r>
      <w:r>
        <w:rPr>
          <w:rFonts w:ascii="Times New Roman" w:hAnsi="Times New Roman" w:cs="Times New Roman"/>
        </w:rPr>
        <w:t>data. D) Q-Q plot of observed P-values for the test statistic. Deviation away from the slope of the expected P-values indicate the presence of outliers in the data. E) Test P-value histogram, inflation of P-values near zero indicate the presence of outliers. F) Fit of the observed χ</w:t>
      </w:r>
      <w:r>
        <w:rPr>
          <w:rFonts w:ascii="Times New Roman" w:hAnsi="Times New Roman" w:cs="Times New Roman"/>
          <w:vertAlign w:val="superscript"/>
        </w:rPr>
        <w:t>2</w:t>
      </w:r>
      <w:r>
        <w:rPr>
          <w:rFonts w:ascii="Times New Roman" w:hAnsi="Times New Roman" w:cs="Times New Roman"/>
        </w:rPr>
        <w:t xml:space="preserve"> statistic distribution to the expected distribution. </w:t>
      </w:r>
    </w:p>
    <w:p w14:paraId="40F870E8" w14:textId="77777777" w:rsidR="00D617DF" w:rsidRDefault="00D617DF" w:rsidP="00EA4D1C">
      <w:pPr>
        <w:rPr>
          <w:rFonts w:ascii="Times New Roman" w:hAnsi="Times New Roman" w:cs="Times New Roman"/>
        </w:rPr>
      </w:pPr>
      <w:r>
        <w:rPr>
          <w:noProof/>
        </w:rPr>
        <w:lastRenderedPageBreak/>
        <w:drawing>
          <wp:inline distT="0" distB="0" distL="0" distR="0" wp14:anchorId="2E4F5FE2" wp14:editId="361E1CAC">
            <wp:extent cx="4514850" cy="4514850"/>
            <wp:effectExtent l="0" t="0" r="0" b="0"/>
            <wp:docPr id="47" name="Picture 4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514850" cy="4514850"/>
                    </a:xfrm>
                    <a:prstGeom prst="rect">
                      <a:avLst/>
                    </a:prstGeom>
                    <a:noFill/>
                    <a:ln>
                      <a:noFill/>
                    </a:ln>
                  </pic:spPr>
                </pic:pic>
              </a:graphicData>
            </a:graphic>
          </wp:inline>
        </w:drawing>
      </w:r>
    </w:p>
    <w:p w14:paraId="161048CE" w14:textId="77777777" w:rsidR="00D617DF" w:rsidRDefault="00D617DF" w:rsidP="00EA4D1C">
      <w:pPr>
        <w:rPr>
          <w:rFonts w:ascii="Times New Roman" w:hAnsi="Times New Roman" w:cs="Times New Roman"/>
        </w:rPr>
      </w:pPr>
    </w:p>
    <w:p w14:paraId="09C5B61F" w14:textId="77777777" w:rsidR="00D617DF" w:rsidRPr="00B9370B" w:rsidRDefault="00D617DF" w:rsidP="00EA4D1C">
      <w:pPr>
        <w:rPr>
          <w:rFonts w:ascii="Times New Roman" w:hAnsi="Times New Roman" w:cs="Times New Roman"/>
        </w:rPr>
      </w:pPr>
      <w:r w:rsidRPr="00B9370B">
        <w:rPr>
          <w:rFonts w:ascii="Times New Roman" w:hAnsi="Times New Roman" w:cs="Times New Roman"/>
          <w:b/>
          <w:bCs/>
        </w:rPr>
        <w:t>Figure S30:</w:t>
      </w:r>
      <w:r>
        <w:rPr>
          <w:rFonts w:ascii="Times New Roman" w:hAnsi="Times New Roman" w:cs="Times New Roman"/>
          <w:b/>
          <w:bCs/>
        </w:rPr>
        <w:t xml:space="preserve"> </w:t>
      </w:r>
      <w:r>
        <w:rPr>
          <w:rFonts w:ascii="Times New Roman" w:hAnsi="Times New Roman" w:cs="Times New Roman"/>
        </w:rPr>
        <w:t xml:space="preserve">Dot plot of the whole genome alignment of SC F1-1A haplotype 13B to </w:t>
      </w:r>
      <w:r>
        <w:rPr>
          <w:rFonts w:ascii="Times New Roman" w:hAnsi="Times New Roman" w:cs="Times New Roman"/>
          <w:i/>
          <w:iCs/>
        </w:rPr>
        <w:t xml:space="preserve">Daphnia pulex </w:t>
      </w:r>
      <w:r>
        <w:rPr>
          <w:rFonts w:ascii="Times New Roman" w:hAnsi="Times New Roman" w:cs="Times New Roman"/>
        </w:rPr>
        <w:t xml:space="preserve">assembly PA42v4.1. Top axis: Scaffold IDs belonging to SC F1-1A haplotype 13B. Right: Alignment of scaffolds from PA42v4.1. Bottom: cumulative assembly length for PA42v4.1. Left: cumulative assembly length for SC F1-1A 13B. Color of alignment indicated pairwise alignment score. Scores with slopes of 1 demonstrate co-linearity of regions. Scores with slopes of -1 are probable rearrangements. </w:t>
      </w:r>
    </w:p>
    <w:p w14:paraId="00E867FB" w14:textId="77777777" w:rsidR="00D617DF" w:rsidRDefault="00D617DF" w:rsidP="00EA4D1C">
      <w:pPr>
        <w:rPr>
          <w:rFonts w:ascii="Times New Roman" w:hAnsi="Times New Roman" w:cs="Times New Roman"/>
        </w:rPr>
      </w:pPr>
    </w:p>
    <w:p w14:paraId="6EE9BBCF" w14:textId="77777777" w:rsidR="00D617DF" w:rsidRDefault="00D617DF" w:rsidP="00EA4D1C">
      <w:pPr>
        <w:rPr>
          <w:rFonts w:ascii="Times New Roman" w:hAnsi="Times New Roman" w:cs="Times New Roman"/>
        </w:rPr>
      </w:pPr>
    </w:p>
    <w:p w14:paraId="17D6D3D0" w14:textId="77777777" w:rsidR="00D617DF" w:rsidRDefault="00D617DF" w:rsidP="00EA4D1C">
      <w:pPr>
        <w:rPr>
          <w:rFonts w:ascii="Times New Roman" w:hAnsi="Times New Roman" w:cs="Times New Roman"/>
        </w:rPr>
      </w:pPr>
    </w:p>
    <w:p w14:paraId="278888E3" w14:textId="77777777" w:rsidR="00D617DF" w:rsidRDefault="00D617DF" w:rsidP="00EA4D1C">
      <w:pPr>
        <w:rPr>
          <w:rFonts w:ascii="Times New Roman" w:hAnsi="Times New Roman" w:cs="Times New Roman"/>
        </w:rPr>
      </w:pPr>
    </w:p>
    <w:p w14:paraId="3BF83A64" w14:textId="77777777" w:rsidR="00D617DF" w:rsidRDefault="00D617DF" w:rsidP="00EA4D1C">
      <w:pPr>
        <w:rPr>
          <w:rFonts w:ascii="Times New Roman" w:hAnsi="Times New Roman" w:cs="Times New Roman"/>
        </w:rPr>
      </w:pPr>
    </w:p>
    <w:p w14:paraId="3CE4E492" w14:textId="77777777" w:rsidR="00D617DF" w:rsidRDefault="00D617DF" w:rsidP="00EA4D1C">
      <w:pPr>
        <w:rPr>
          <w:rFonts w:ascii="Times New Roman" w:hAnsi="Times New Roman" w:cs="Times New Roman"/>
        </w:rPr>
      </w:pPr>
    </w:p>
    <w:p w14:paraId="34219180" w14:textId="77777777" w:rsidR="00D617DF" w:rsidRDefault="00D617DF" w:rsidP="00EA4D1C">
      <w:pPr>
        <w:rPr>
          <w:rFonts w:ascii="Times New Roman" w:hAnsi="Times New Roman" w:cs="Times New Roman"/>
        </w:rPr>
      </w:pPr>
    </w:p>
    <w:p w14:paraId="06D7BAE3" w14:textId="77777777" w:rsidR="00D617DF" w:rsidRDefault="00D617DF" w:rsidP="00EA4D1C">
      <w:pPr>
        <w:rPr>
          <w:rFonts w:ascii="Times New Roman" w:hAnsi="Times New Roman" w:cs="Times New Roman"/>
        </w:rPr>
      </w:pPr>
    </w:p>
    <w:p w14:paraId="1D2952B6" w14:textId="77777777" w:rsidR="00D617DF" w:rsidRDefault="00D617DF" w:rsidP="00EA4D1C">
      <w:pPr>
        <w:rPr>
          <w:rFonts w:ascii="Times New Roman" w:hAnsi="Times New Roman" w:cs="Times New Roman"/>
        </w:rPr>
      </w:pPr>
    </w:p>
    <w:p w14:paraId="5556C517" w14:textId="77777777" w:rsidR="00D617DF" w:rsidRDefault="00D617DF" w:rsidP="00EA4D1C">
      <w:pPr>
        <w:rPr>
          <w:rFonts w:ascii="Times New Roman" w:hAnsi="Times New Roman" w:cs="Times New Roman"/>
        </w:rPr>
      </w:pPr>
    </w:p>
    <w:p w14:paraId="7CD3ED4D" w14:textId="77777777" w:rsidR="00D617DF" w:rsidRDefault="00D617DF" w:rsidP="00EA4D1C">
      <w:pPr>
        <w:rPr>
          <w:rFonts w:ascii="Times New Roman" w:hAnsi="Times New Roman" w:cs="Times New Roman"/>
        </w:rPr>
      </w:pPr>
    </w:p>
    <w:p w14:paraId="69439D07" w14:textId="77777777" w:rsidR="00D617DF" w:rsidRDefault="00D617DF" w:rsidP="00EA4D1C">
      <w:pPr>
        <w:rPr>
          <w:rFonts w:ascii="Times New Roman" w:hAnsi="Times New Roman" w:cs="Times New Roman"/>
        </w:rPr>
      </w:pPr>
    </w:p>
    <w:p w14:paraId="61EC11B3" w14:textId="77777777" w:rsidR="00D617DF" w:rsidRDefault="00D617DF" w:rsidP="00EA4D1C">
      <w:pPr>
        <w:rPr>
          <w:rFonts w:ascii="Times New Roman" w:hAnsi="Times New Roman" w:cs="Times New Roman"/>
        </w:rPr>
      </w:pPr>
    </w:p>
    <w:p w14:paraId="386FD90B" w14:textId="77777777" w:rsidR="00D617DF" w:rsidRDefault="00D617DF" w:rsidP="00EA4D1C">
      <w:pPr>
        <w:rPr>
          <w:rFonts w:ascii="Times New Roman" w:hAnsi="Times New Roman" w:cs="Times New Roman"/>
        </w:rPr>
      </w:pPr>
    </w:p>
    <w:p w14:paraId="35E64CBE" w14:textId="77777777" w:rsidR="00D617DF" w:rsidRDefault="00D617DF" w:rsidP="00EA4D1C">
      <w:pPr>
        <w:rPr>
          <w:rFonts w:ascii="Times New Roman" w:hAnsi="Times New Roman" w:cs="Times New Roman"/>
        </w:rPr>
      </w:pPr>
    </w:p>
    <w:tbl>
      <w:tblPr>
        <w:tblStyle w:val="TableGrid"/>
        <w:tblW w:w="0" w:type="auto"/>
        <w:tblLook w:val="04A0" w:firstRow="1" w:lastRow="0" w:firstColumn="1" w:lastColumn="0" w:noHBand="0" w:noVBand="1"/>
      </w:tblPr>
      <w:tblGrid>
        <w:gridCol w:w="3116"/>
        <w:gridCol w:w="3117"/>
        <w:gridCol w:w="3117"/>
      </w:tblGrid>
      <w:tr w:rsidR="00D617DF" w14:paraId="1766CF8F" w14:textId="77777777" w:rsidTr="00FE5E0D">
        <w:tc>
          <w:tcPr>
            <w:tcW w:w="3116" w:type="dxa"/>
          </w:tcPr>
          <w:p w14:paraId="5F1AF561" w14:textId="77777777" w:rsidR="00D617DF" w:rsidRPr="00277658" w:rsidRDefault="00D617DF" w:rsidP="00FE5E0D">
            <w:pPr>
              <w:rPr>
                <w:rFonts w:ascii="Times New Roman" w:hAnsi="Times New Roman" w:cs="Times New Roman"/>
                <w:b/>
                <w:bCs/>
              </w:rPr>
            </w:pPr>
            <w:r w:rsidRPr="00277658">
              <w:rPr>
                <w:rFonts w:ascii="Times New Roman" w:hAnsi="Times New Roman" w:cs="Times New Roman"/>
                <w:b/>
                <w:bCs/>
              </w:rPr>
              <w:t>Species</w:t>
            </w:r>
          </w:p>
        </w:tc>
        <w:tc>
          <w:tcPr>
            <w:tcW w:w="3117" w:type="dxa"/>
          </w:tcPr>
          <w:p w14:paraId="28447AB5" w14:textId="77777777" w:rsidR="00D617DF" w:rsidRPr="00277658" w:rsidRDefault="00D617DF" w:rsidP="00FE5E0D">
            <w:pPr>
              <w:rPr>
                <w:rFonts w:ascii="Times New Roman" w:hAnsi="Times New Roman" w:cs="Times New Roman"/>
                <w:b/>
                <w:bCs/>
              </w:rPr>
            </w:pPr>
            <w:r w:rsidRPr="00277658">
              <w:rPr>
                <w:rFonts w:ascii="Times New Roman" w:hAnsi="Times New Roman" w:cs="Times New Roman"/>
                <w:b/>
                <w:bCs/>
              </w:rPr>
              <w:t>NCBI Accession</w:t>
            </w:r>
          </w:p>
        </w:tc>
        <w:tc>
          <w:tcPr>
            <w:tcW w:w="3117" w:type="dxa"/>
          </w:tcPr>
          <w:p w14:paraId="66243DE1" w14:textId="77777777" w:rsidR="00D617DF" w:rsidRPr="00277658" w:rsidRDefault="00D617DF" w:rsidP="00FE5E0D">
            <w:pPr>
              <w:rPr>
                <w:rFonts w:ascii="Times New Roman" w:hAnsi="Times New Roman" w:cs="Times New Roman"/>
                <w:b/>
                <w:bCs/>
              </w:rPr>
            </w:pPr>
            <w:r w:rsidRPr="00277658">
              <w:rPr>
                <w:rFonts w:ascii="Times New Roman" w:hAnsi="Times New Roman" w:cs="Times New Roman"/>
                <w:b/>
                <w:bCs/>
              </w:rPr>
              <w:t>Genome Type</w:t>
            </w:r>
          </w:p>
        </w:tc>
      </w:tr>
      <w:tr w:rsidR="00D617DF" w14:paraId="4CAFBCD8" w14:textId="77777777" w:rsidTr="00FE5E0D">
        <w:tc>
          <w:tcPr>
            <w:tcW w:w="3116" w:type="dxa"/>
          </w:tcPr>
          <w:p w14:paraId="5E356D3A" w14:textId="77777777" w:rsidR="00D617DF" w:rsidRPr="0061441D" w:rsidRDefault="00D617DF" w:rsidP="00FE5E0D">
            <w:pPr>
              <w:rPr>
                <w:rFonts w:ascii="Times New Roman" w:hAnsi="Times New Roman" w:cs="Times New Roman"/>
                <w:i/>
                <w:iCs/>
              </w:rPr>
            </w:pPr>
            <w:r>
              <w:rPr>
                <w:rFonts w:ascii="Times New Roman" w:hAnsi="Times New Roman" w:cs="Times New Roman"/>
                <w:i/>
                <w:iCs/>
              </w:rPr>
              <w:t>Daphnia pulex</w:t>
            </w:r>
          </w:p>
        </w:tc>
        <w:tc>
          <w:tcPr>
            <w:tcW w:w="3117" w:type="dxa"/>
          </w:tcPr>
          <w:p w14:paraId="42AC2076" w14:textId="77777777" w:rsidR="00D617DF" w:rsidRDefault="00D617DF" w:rsidP="00FE5E0D">
            <w:pPr>
              <w:rPr>
                <w:rFonts w:ascii="Times New Roman" w:hAnsi="Times New Roman" w:cs="Times New Roman"/>
              </w:rPr>
            </w:pPr>
            <w:r w:rsidRPr="00277658">
              <w:rPr>
                <w:rFonts w:ascii="Times New Roman" w:hAnsi="Times New Roman" w:cs="Times New Roman"/>
              </w:rPr>
              <w:t>PRJNA11866</w:t>
            </w:r>
          </w:p>
        </w:tc>
        <w:tc>
          <w:tcPr>
            <w:tcW w:w="3117" w:type="dxa"/>
          </w:tcPr>
          <w:p w14:paraId="60663944" w14:textId="77777777" w:rsidR="00D617DF" w:rsidRDefault="00D617DF" w:rsidP="00FE5E0D">
            <w:pPr>
              <w:rPr>
                <w:rFonts w:ascii="Times New Roman" w:hAnsi="Times New Roman" w:cs="Times New Roman"/>
              </w:rPr>
            </w:pPr>
            <w:r>
              <w:rPr>
                <w:rFonts w:ascii="Times New Roman" w:hAnsi="Times New Roman" w:cs="Times New Roman"/>
              </w:rPr>
              <w:t>Mitochondrial genome</w:t>
            </w:r>
          </w:p>
        </w:tc>
      </w:tr>
      <w:tr w:rsidR="00D617DF" w14:paraId="422252E5" w14:textId="77777777" w:rsidTr="00FE5E0D">
        <w:tc>
          <w:tcPr>
            <w:tcW w:w="3116" w:type="dxa"/>
          </w:tcPr>
          <w:p w14:paraId="0CEC8DD4" w14:textId="77777777" w:rsidR="00D617DF" w:rsidRPr="0061441D" w:rsidRDefault="00D617DF" w:rsidP="00FE5E0D">
            <w:pPr>
              <w:rPr>
                <w:rFonts w:ascii="Times New Roman" w:hAnsi="Times New Roman" w:cs="Times New Roman"/>
                <w:i/>
                <w:iCs/>
              </w:rPr>
            </w:pPr>
            <w:r>
              <w:rPr>
                <w:rFonts w:ascii="Times New Roman" w:hAnsi="Times New Roman" w:cs="Times New Roman"/>
                <w:i/>
                <w:iCs/>
              </w:rPr>
              <w:t>Daphnia pulex</w:t>
            </w:r>
          </w:p>
        </w:tc>
        <w:tc>
          <w:tcPr>
            <w:tcW w:w="3117" w:type="dxa"/>
          </w:tcPr>
          <w:p w14:paraId="6A09ABF2" w14:textId="77777777" w:rsidR="00D617DF" w:rsidRDefault="00D617DF" w:rsidP="00FE5E0D">
            <w:pPr>
              <w:rPr>
                <w:rFonts w:ascii="Times New Roman" w:hAnsi="Times New Roman" w:cs="Times New Roman"/>
              </w:rPr>
            </w:pPr>
            <w:r w:rsidRPr="00DB03E3">
              <w:rPr>
                <w:rFonts w:ascii="Times New Roman" w:hAnsi="Times New Roman" w:cs="Times New Roman"/>
              </w:rPr>
              <w:t>GCA_900092285.2</w:t>
            </w:r>
          </w:p>
        </w:tc>
        <w:tc>
          <w:tcPr>
            <w:tcW w:w="3117" w:type="dxa"/>
          </w:tcPr>
          <w:p w14:paraId="10164A05" w14:textId="77777777" w:rsidR="00D617DF" w:rsidRDefault="00D617DF" w:rsidP="00FE5E0D">
            <w:pPr>
              <w:rPr>
                <w:rFonts w:ascii="Times New Roman" w:hAnsi="Times New Roman" w:cs="Times New Roman"/>
              </w:rPr>
            </w:pPr>
            <w:r>
              <w:rPr>
                <w:rFonts w:ascii="Times New Roman" w:hAnsi="Times New Roman" w:cs="Times New Roman"/>
              </w:rPr>
              <w:t>Nuclear Genome</w:t>
            </w:r>
          </w:p>
        </w:tc>
      </w:tr>
      <w:tr w:rsidR="00D617DF" w14:paraId="7172321E" w14:textId="77777777" w:rsidTr="00FE5E0D">
        <w:tc>
          <w:tcPr>
            <w:tcW w:w="3116" w:type="dxa"/>
          </w:tcPr>
          <w:p w14:paraId="39D2F40F" w14:textId="77777777" w:rsidR="00D617DF" w:rsidRPr="0061441D" w:rsidRDefault="00D617DF" w:rsidP="00FE5E0D">
            <w:pPr>
              <w:rPr>
                <w:rFonts w:ascii="Times New Roman" w:hAnsi="Times New Roman" w:cs="Times New Roman"/>
                <w:i/>
                <w:iCs/>
              </w:rPr>
            </w:pPr>
            <w:r>
              <w:rPr>
                <w:rFonts w:ascii="Times New Roman" w:hAnsi="Times New Roman" w:cs="Times New Roman"/>
                <w:i/>
                <w:iCs/>
              </w:rPr>
              <w:t>Daphnia magna</w:t>
            </w:r>
          </w:p>
        </w:tc>
        <w:tc>
          <w:tcPr>
            <w:tcW w:w="3117" w:type="dxa"/>
          </w:tcPr>
          <w:p w14:paraId="6CE9A742" w14:textId="77777777" w:rsidR="00D617DF" w:rsidRDefault="00D617DF" w:rsidP="00FE5E0D">
            <w:pPr>
              <w:rPr>
                <w:rFonts w:ascii="Times New Roman" w:hAnsi="Times New Roman" w:cs="Times New Roman"/>
              </w:rPr>
            </w:pPr>
            <w:r w:rsidRPr="00277658">
              <w:rPr>
                <w:rFonts w:ascii="Times New Roman" w:hAnsi="Times New Roman" w:cs="Times New Roman"/>
              </w:rPr>
              <w:t>GCF_003990815.1</w:t>
            </w:r>
          </w:p>
        </w:tc>
        <w:tc>
          <w:tcPr>
            <w:tcW w:w="3117" w:type="dxa"/>
          </w:tcPr>
          <w:p w14:paraId="5AC27793" w14:textId="77777777" w:rsidR="00D617DF" w:rsidRDefault="00D617DF" w:rsidP="00FE5E0D">
            <w:pPr>
              <w:rPr>
                <w:rFonts w:ascii="Times New Roman" w:hAnsi="Times New Roman" w:cs="Times New Roman"/>
              </w:rPr>
            </w:pPr>
            <w:r>
              <w:rPr>
                <w:rFonts w:ascii="Times New Roman" w:hAnsi="Times New Roman" w:cs="Times New Roman"/>
              </w:rPr>
              <w:t>Nuclear Genome</w:t>
            </w:r>
          </w:p>
        </w:tc>
      </w:tr>
      <w:tr w:rsidR="00D617DF" w14:paraId="0A9CCAD9" w14:textId="77777777" w:rsidTr="00FE5E0D">
        <w:tc>
          <w:tcPr>
            <w:tcW w:w="3116" w:type="dxa"/>
          </w:tcPr>
          <w:p w14:paraId="44F9A26F" w14:textId="77777777" w:rsidR="00D617DF" w:rsidRPr="0061441D" w:rsidRDefault="00D617DF" w:rsidP="00FE5E0D">
            <w:pPr>
              <w:rPr>
                <w:rFonts w:ascii="Times New Roman" w:hAnsi="Times New Roman" w:cs="Times New Roman"/>
                <w:i/>
                <w:iCs/>
              </w:rPr>
            </w:pPr>
            <w:r>
              <w:rPr>
                <w:rFonts w:ascii="Times New Roman" w:hAnsi="Times New Roman" w:cs="Times New Roman"/>
                <w:i/>
                <w:iCs/>
              </w:rPr>
              <w:t>Daphnia carinata</w:t>
            </w:r>
          </w:p>
        </w:tc>
        <w:tc>
          <w:tcPr>
            <w:tcW w:w="3117" w:type="dxa"/>
          </w:tcPr>
          <w:p w14:paraId="37D947C7" w14:textId="77777777" w:rsidR="00D617DF" w:rsidRDefault="00D617DF" w:rsidP="00FE5E0D">
            <w:pPr>
              <w:rPr>
                <w:rFonts w:ascii="Times New Roman" w:hAnsi="Times New Roman" w:cs="Times New Roman"/>
              </w:rPr>
            </w:pPr>
            <w:r w:rsidRPr="00BB7192">
              <w:rPr>
                <w:rFonts w:ascii="Times New Roman" w:hAnsi="Times New Roman" w:cs="Times New Roman"/>
              </w:rPr>
              <w:t>PRJNA300739</w:t>
            </w:r>
            <w:r>
              <w:rPr>
                <w:rFonts w:ascii="Times New Roman" w:hAnsi="Times New Roman" w:cs="Times New Roman"/>
              </w:rPr>
              <w:t>*</w:t>
            </w:r>
          </w:p>
        </w:tc>
        <w:tc>
          <w:tcPr>
            <w:tcW w:w="3117" w:type="dxa"/>
          </w:tcPr>
          <w:p w14:paraId="25A373C3" w14:textId="77777777" w:rsidR="00D617DF" w:rsidRDefault="00D617DF" w:rsidP="00FE5E0D">
            <w:pPr>
              <w:rPr>
                <w:rFonts w:ascii="Times New Roman" w:hAnsi="Times New Roman" w:cs="Times New Roman"/>
              </w:rPr>
            </w:pPr>
            <w:r>
              <w:rPr>
                <w:rFonts w:ascii="Times New Roman" w:hAnsi="Times New Roman" w:cs="Times New Roman"/>
              </w:rPr>
              <w:t>Nuclear Genome</w:t>
            </w:r>
          </w:p>
        </w:tc>
      </w:tr>
      <w:tr w:rsidR="00D617DF" w14:paraId="225074D8" w14:textId="77777777" w:rsidTr="00FE5E0D">
        <w:tc>
          <w:tcPr>
            <w:tcW w:w="3116" w:type="dxa"/>
          </w:tcPr>
          <w:p w14:paraId="3C1E937D" w14:textId="77777777" w:rsidR="00D617DF" w:rsidRPr="0061441D" w:rsidRDefault="00D617DF" w:rsidP="00FE5E0D">
            <w:pPr>
              <w:rPr>
                <w:rFonts w:ascii="Times New Roman" w:hAnsi="Times New Roman" w:cs="Times New Roman"/>
                <w:i/>
                <w:iCs/>
              </w:rPr>
            </w:pPr>
            <w:r>
              <w:rPr>
                <w:rFonts w:ascii="Times New Roman" w:hAnsi="Times New Roman" w:cs="Times New Roman"/>
                <w:i/>
                <w:iCs/>
              </w:rPr>
              <w:t>Daphnia dubia</w:t>
            </w:r>
          </w:p>
        </w:tc>
        <w:tc>
          <w:tcPr>
            <w:tcW w:w="3117" w:type="dxa"/>
          </w:tcPr>
          <w:p w14:paraId="7C0D0623" w14:textId="77777777" w:rsidR="00D617DF" w:rsidRPr="00DB03E3" w:rsidRDefault="00D617DF" w:rsidP="00FE5E0D">
            <w:pPr>
              <w:rPr>
                <w:rFonts w:ascii="Times New Roman" w:hAnsi="Times New Roman" w:cs="Times New Roman"/>
              </w:rPr>
            </w:pPr>
            <w:r w:rsidRPr="00DB03E3">
              <w:rPr>
                <w:rFonts w:ascii="Times New Roman" w:hAnsi="Times New Roman" w:cs="Times New Roman"/>
                <w:color w:val="000000"/>
                <w:shd w:val="clear" w:color="auto" w:fill="FFFFFF"/>
              </w:rPr>
              <w:t>GCA_013387435.1</w:t>
            </w:r>
          </w:p>
        </w:tc>
        <w:tc>
          <w:tcPr>
            <w:tcW w:w="3117" w:type="dxa"/>
          </w:tcPr>
          <w:p w14:paraId="1AB163DA" w14:textId="77777777" w:rsidR="00D617DF" w:rsidRDefault="00D617DF" w:rsidP="00FE5E0D">
            <w:pPr>
              <w:rPr>
                <w:rFonts w:ascii="Times New Roman" w:hAnsi="Times New Roman" w:cs="Times New Roman"/>
              </w:rPr>
            </w:pPr>
            <w:r>
              <w:rPr>
                <w:rFonts w:ascii="Times New Roman" w:hAnsi="Times New Roman" w:cs="Times New Roman"/>
              </w:rPr>
              <w:t>Nuclear Genome</w:t>
            </w:r>
          </w:p>
        </w:tc>
      </w:tr>
    </w:tbl>
    <w:p w14:paraId="039F435C" w14:textId="77777777" w:rsidR="00D617DF" w:rsidRDefault="00D617DF" w:rsidP="00EA4D1C">
      <w:pPr>
        <w:rPr>
          <w:rFonts w:ascii="Times New Roman" w:hAnsi="Times New Roman" w:cs="Times New Roman"/>
        </w:rPr>
      </w:pPr>
    </w:p>
    <w:p w14:paraId="0FE7DF71" w14:textId="0D3C0D3C" w:rsidR="00D617DF" w:rsidRPr="005B41DC" w:rsidRDefault="00D617DF" w:rsidP="00EA4D1C">
      <w:pPr>
        <w:rPr>
          <w:rFonts w:ascii="Times New Roman" w:hAnsi="Times New Roman" w:cs="Times New Roman"/>
        </w:rPr>
        <w:sectPr w:rsidR="00D617DF" w:rsidRPr="005B41DC" w:rsidSect="007365E2">
          <w:footerReference w:type="default" r:id="rId199"/>
          <w:headerReference w:type="first" r:id="rId200"/>
          <w:type w:val="continuous"/>
          <w:pgSz w:w="12240" w:h="15840"/>
          <w:pgMar w:top="1440" w:right="1440" w:bottom="1440" w:left="1440" w:header="720" w:footer="720" w:gutter="0"/>
          <w:pgNumType w:start="1"/>
          <w:cols w:space="720"/>
          <w:docGrid w:linePitch="360"/>
        </w:sectPr>
      </w:pPr>
      <w:r w:rsidRPr="0061441D">
        <w:rPr>
          <w:rFonts w:ascii="Times New Roman" w:hAnsi="Times New Roman" w:cs="Times New Roman"/>
          <w:b/>
          <w:bCs/>
        </w:rPr>
        <w:t>Table S1:</w:t>
      </w:r>
      <w:r>
        <w:rPr>
          <w:rFonts w:ascii="Times New Roman" w:hAnsi="Times New Roman" w:cs="Times New Roman"/>
          <w:b/>
          <w:bCs/>
        </w:rPr>
        <w:t xml:space="preserve"> </w:t>
      </w:r>
      <w:r w:rsidRPr="00F06388">
        <w:rPr>
          <w:rFonts w:ascii="Times New Roman" w:hAnsi="Times New Roman" w:cs="Times New Roman"/>
          <w:i/>
          <w:iCs/>
        </w:rPr>
        <w:t>Daphnia</w:t>
      </w:r>
      <w:r>
        <w:rPr>
          <w:rFonts w:ascii="Times New Roman" w:hAnsi="Times New Roman" w:cs="Times New Roman"/>
        </w:rPr>
        <w:t xml:space="preserve"> sequences used to filter contamination from Assembly. * The </w:t>
      </w:r>
      <w:r>
        <w:rPr>
          <w:rFonts w:ascii="Times New Roman" w:hAnsi="Times New Roman" w:cs="Times New Roman"/>
          <w:i/>
          <w:iCs/>
        </w:rPr>
        <w:t xml:space="preserve">Daphnia carinata </w:t>
      </w:r>
      <w:r>
        <w:rPr>
          <w:rFonts w:ascii="Times New Roman" w:hAnsi="Times New Roman" w:cs="Times New Roman"/>
        </w:rPr>
        <w:t>is no longer available on NCBI, however the raw sequencing reads are archived at the noted bioproject accession (see Jia et al. 2021</w:t>
      </w:r>
      <w:r w:rsidR="00B15556">
        <w:rPr>
          <w:rFonts w:ascii="Times New Roman" w:hAnsi="Times New Roman" w:cs="Times New Roman"/>
        </w:rPr>
        <w:t>)</w:t>
      </w:r>
    </w:p>
    <w:p w14:paraId="2B35395C" w14:textId="201E9854" w:rsidR="004C0CC8" w:rsidRDefault="004C0CC8" w:rsidP="004C0CC8">
      <w:pPr>
        <w:tabs>
          <w:tab w:val="left" w:pos="3225"/>
        </w:tabs>
        <w:rPr>
          <w:rFonts w:ascii="Times New Roman" w:hAnsi="Times New Roman" w:cs="Times New Roman"/>
        </w:rPr>
      </w:pPr>
    </w:p>
    <w:p w14:paraId="2DBA4E52"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file name: SC_F1-1A_hap13B_scaffold_LOD26_purged.fa</w:t>
      </w:r>
    </w:p>
    <w:p w14:paraId="5F5B664C" w14:textId="77777777" w:rsidR="00D617DF" w:rsidRDefault="00D617DF" w:rsidP="00EA4D1C">
      <w:pPr>
        <w:rPr>
          <w:rFonts w:ascii="Times New Roman" w:hAnsi="Times New Roman" w:cs="Times New Roman"/>
        </w:rPr>
      </w:pPr>
      <w:r w:rsidRPr="00C6228D">
        <w:rPr>
          <w:rFonts w:ascii="Times New Roman" w:hAnsi="Times New Roman" w:cs="Times New Roman"/>
        </w:rPr>
        <w:t>sequences:           160</w:t>
      </w:r>
    </w:p>
    <w:p w14:paraId="50704887" w14:textId="77777777" w:rsidR="00D617DF" w:rsidRPr="00C6228D" w:rsidRDefault="00D617DF" w:rsidP="00EA4D1C">
      <w:pPr>
        <w:rPr>
          <w:rFonts w:ascii="Times New Roman" w:hAnsi="Times New Roman" w:cs="Times New Roman"/>
        </w:rPr>
      </w:pPr>
      <w:r>
        <w:rPr>
          <w:rFonts w:ascii="Times New Roman" w:hAnsi="Times New Roman" w:cs="Times New Roman"/>
        </w:rPr>
        <w:t>T</w:t>
      </w:r>
      <w:r w:rsidRPr="00C6228D">
        <w:rPr>
          <w:rFonts w:ascii="Times New Roman" w:hAnsi="Times New Roman" w:cs="Times New Roman"/>
        </w:rPr>
        <w:t>otal length:  185226602 bp  (185212202 bp excl N/X-runs)</w:t>
      </w:r>
    </w:p>
    <w:p w14:paraId="7E9B317D"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GC level:         41.29 %</w:t>
      </w:r>
    </w:p>
    <w:p w14:paraId="22C68F6F"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bases masked:   50605297 bp ( 27.32 %)</w:t>
      </w:r>
    </w:p>
    <w:p w14:paraId="36795517"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w:t>
      </w:r>
    </w:p>
    <w:p w14:paraId="67C21CEF"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number of elements*</w:t>
      </w:r>
      <w:r>
        <w:rPr>
          <w:rFonts w:ascii="Times New Roman" w:hAnsi="Times New Roman" w:cs="Times New Roman"/>
        </w:rPr>
        <w:t xml:space="preserve"> </w:t>
      </w:r>
      <w:r w:rsidRPr="00C6228D">
        <w:rPr>
          <w:rFonts w:ascii="Times New Roman" w:hAnsi="Times New Roman" w:cs="Times New Roman"/>
        </w:rPr>
        <w:t>length</w:t>
      </w:r>
      <w:r>
        <w:rPr>
          <w:rFonts w:ascii="Times New Roman" w:hAnsi="Times New Roman" w:cs="Times New Roman"/>
        </w:rPr>
        <w:t xml:space="preserve"> </w:t>
      </w:r>
      <w:r w:rsidRPr="00C6228D">
        <w:rPr>
          <w:rFonts w:ascii="Times New Roman" w:hAnsi="Times New Roman" w:cs="Times New Roman"/>
        </w:rPr>
        <w:t>occupied  percentage</w:t>
      </w:r>
      <w:r>
        <w:rPr>
          <w:rFonts w:ascii="Times New Roman" w:hAnsi="Times New Roman" w:cs="Times New Roman"/>
        </w:rPr>
        <w:t xml:space="preserve"> </w:t>
      </w:r>
      <w:r w:rsidRPr="00C6228D">
        <w:rPr>
          <w:rFonts w:ascii="Times New Roman" w:hAnsi="Times New Roman" w:cs="Times New Roman"/>
        </w:rPr>
        <w:t>of sequence</w:t>
      </w:r>
    </w:p>
    <w:p w14:paraId="1CDCE4E7"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w:t>
      </w:r>
    </w:p>
    <w:p w14:paraId="614630DB"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Retroelements         7427      5830358 bp    3.15 %</w:t>
      </w:r>
    </w:p>
    <w:p w14:paraId="5CCD3193"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SINEs:                0            0 bp    0.00 %</w:t>
      </w:r>
    </w:p>
    <w:p w14:paraId="46F3C372"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Penelope            391       378464 bp    0.20 %</w:t>
      </w:r>
    </w:p>
    <w:p w14:paraId="109DCD99"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LINEs:             2717      1738572 bp    0.94 %</w:t>
      </w:r>
    </w:p>
    <w:p w14:paraId="10E5309D"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CRE/SLACS            0            0 bp    0.00 %</w:t>
      </w:r>
    </w:p>
    <w:p w14:paraId="4386BC32"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L2/CR1/Rex       1573       526273 bp    0.28 %</w:t>
      </w:r>
    </w:p>
    <w:p w14:paraId="22EE96BE"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R1/LOA/Jockey     262       282928 bp    0.15 %</w:t>
      </w:r>
    </w:p>
    <w:p w14:paraId="3619C2ED"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R2/R4/NeSL        129       167694 bp    0.09 %</w:t>
      </w:r>
    </w:p>
    <w:p w14:paraId="1557D804"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RTE/Bov-B           0            0 bp    0.00 %</w:t>
      </w:r>
    </w:p>
    <w:p w14:paraId="6606C3BA"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L1/CIN4             0            0 bp    0.00 %</w:t>
      </w:r>
    </w:p>
    <w:p w14:paraId="2C8FB234"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LTR elements:      4710      4091786 bp    2.21 %</w:t>
      </w:r>
    </w:p>
    <w:p w14:paraId="1FB4437E"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BEL/Pao           776      1038509 bp    0.56 %</w:t>
      </w:r>
    </w:p>
    <w:p w14:paraId="618E0101"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Ty1/Copia        1029       493453 bp    0.27 %</w:t>
      </w:r>
    </w:p>
    <w:p w14:paraId="1FC9611A"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Gypsy/DIRS1      2905      2559824 bp    1.38 %</w:t>
      </w:r>
    </w:p>
    <w:p w14:paraId="0B9EDED7"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Retroviral        0            0 bp    0.00 %</w:t>
      </w:r>
    </w:p>
    <w:p w14:paraId="68D7A104" w14:textId="77777777" w:rsidR="00D617DF" w:rsidRPr="00C6228D" w:rsidRDefault="00D617DF" w:rsidP="00EA4D1C">
      <w:pPr>
        <w:rPr>
          <w:rFonts w:ascii="Times New Roman" w:hAnsi="Times New Roman" w:cs="Times New Roman"/>
        </w:rPr>
      </w:pPr>
    </w:p>
    <w:p w14:paraId="3348F829"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DNA transposons       1803       781358 bp    0.42 %</w:t>
      </w:r>
    </w:p>
    <w:p w14:paraId="11651158"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hobo-Activator      168        67673 bp    0.04 %</w:t>
      </w:r>
    </w:p>
    <w:p w14:paraId="6D570547"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Tc1-IS630-Pogo      197       112120 bp    0.06 %</w:t>
      </w:r>
    </w:p>
    <w:p w14:paraId="3E726A5B"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En-Spm                0            0 bp    0.00 %</w:t>
      </w:r>
    </w:p>
    <w:p w14:paraId="4666FEBF"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MuDR-IS905            0            0 bp    0.00 %</w:t>
      </w:r>
    </w:p>
    <w:p w14:paraId="7847CF7B"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lastRenderedPageBreak/>
        <w:t xml:space="preserve">   PiggyBac             64        87732 bp    0.05 %</w:t>
      </w:r>
    </w:p>
    <w:p w14:paraId="75EFA9AD"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Tourist/Harbinger     0            0 bp    0.00 %</w:t>
      </w:r>
    </w:p>
    <w:p w14:paraId="064D45C4"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Other (Mirage,        0            0 bp    0.00 %</w:t>
      </w:r>
    </w:p>
    <w:p w14:paraId="5D7A23AD"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P-element, Transib)</w:t>
      </w:r>
    </w:p>
    <w:p w14:paraId="31B79BE2" w14:textId="77777777" w:rsidR="00D617DF" w:rsidRPr="00C6228D" w:rsidRDefault="00D617DF" w:rsidP="00EA4D1C">
      <w:pPr>
        <w:rPr>
          <w:rFonts w:ascii="Times New Roman" w:hAnsi="Times New Roman" w:cs="Times New Roman"/>
        </w:rPr>
      </w:pPr>
    </w:p>
    <w:p w14:paraId="6BE4067D"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Rolling-circles       6322      8830819 bp    4.77 %</w:t>
      </w:r>
    </w:p>
    <w:p w14:paraId="25D9DE00" w14:textId="77777777" w:rsidR="00D617DF" w:rsidRPr="00C6228D" w:rsidRDefault="00D617DF" w:rsidP="00EA4D1C">
      <w:pPr>
        <w:rPr>
          <w:rFonts w:ascii="Times New Roman" w:hAnsi="Times New Roman" w:cs="Times New Roman"/>
        </w:rPr>
      </w:pPr>
    </w:p>
    <w:p w14:paraId="322671C1"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Unclassified:        98861     35162762 bp   18.98 %</w:t>
      </w:r>
    </w:p>
    <w:p w14:paraId="07E6C518" w14:textId="77777777" w:rsidR="00D617DF" w:rsidRPr="00C6228D" w:rsidRDefault="00D617DF" w:rsidP="00EA4D1C">
      <w:pPr>
        <w:rPr>
          <w:rFonts w:ascii="Times New Roman" w:hAnsi="Times New Roman" w:cs="Times New Roman"/>
        </w:rPr>
      </w:pPr>
    </w:p>
    <w:p w14:paraId="3B23E43D"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Total interspersed repeats:    41774478 bp   22.55 %</w:t>
      </w:r>
    </w:p>
    <w:p w14:paraId="6AF7CCAD" w14:textId="77777777" w:rsidR="00D617DF" w:rsidRPr="00C6228D" w:rsidRDefault="00D617DF" w:rsidP="00EA4D1C">
      <w:pPr>
        <w:rPr>
          <w:rFonts w:ascii="Times New Roman" w:hAnsi="Times New Roman" w:cs="Times New Roman"/>
        </w:rPr>
      </w:pPr>
    </w:p>
    <w:p w14:paraId="3F7404DB" w14:textId="77777777" w:rsidR="00D617DF" w:rsidRPr="00C6228D" w:rsidRDefault="00D617DF" w:rsidP="00EA4D1C">
      <w:pPr>
        <w:rPr>
          <w:rFonts w:ascii="Times New Roman" w:hAnsi="Times New Roman" w:cs="Times New Roman"/>
        </w:rPr>
      </w:pPr>
    </w:p>
    <w:p w14:paraId="60EB10B6"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Small RNA:               0            0 bp    0.00 %</w:t>
      </w:r>
    </w:p>
    <w:p w14:paraId="34ECF713" w14:textId="77777777" w:rsidR="00D617DF" w:rsidRPr="00C6228D" w:rsidRDefault="00D617DF" w:rsidP="00EA4D1C">
      <w:pPr>
        <w:rPr>
          <w:rFonts w:ascii="Times New Roman" w:hAnsi="Times New Roman" w:cs="Times New Roman"/>
        </w:rPr>
      </w:pPr>
    </w:p>
    <w:p w14:paraId="01CF6F65"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Satellites:              0            0 bp    0.00 %</w:t>
      </w:r>
    </w:p>
    <w:p w14:paraId="0DF120DA"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Simple repeats:          0            0 bp    0.00 %</w:t>
      </w:r>
    </w:p>
    <w:p w14:paraId="768616A6"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Low complexity:          0            0 bp    0.00 %</w:t>
      </w:r>
    </w:p>
    <w:p w14:paraId="111FCBC7" w14:textId="77777777" w:rsidR="00D617DF" w:rsidRDefault="00D617DF" w:rsidP="00EA4D1C">
      <w:pPr>
        <w:rPr>
          <w:rFonts w:ascii="Times New Roman" w:hAnsi="Times New Roman" w:cs="Times New Roman"/>
        </w:rPr>
      </w:pPr>
      <w:r w:rsidRPr="00C6228D">
        <w:rPr>
          <w:rFonts w:ascii="Times New Roman" w:hAnsi="Times New Roman" w:cs="Times New Roman"/>
        </w:rPr>
        <w:t xml:space="preserve">================================================== </w:t>
      </w:r>
    </w:p>
    <w:p w14:paraId="0BD9534F" w14:textId="77777777" w:rsidR="00D617DF" w:rsidRDefault="00D617DF" w:rsidP="00EA4D1C">
      <w:pPr>
        <w:rPr>
          <w:rFonts w:ascii="Times New Roman" w:hAnsi="Times New Roman" w:cs="Times New Roman"/>
        </w:rPr>
      </w:pPr>
      <w:bookmarkStart w:id="9" w:name="_Hlk78205806"/>
      <w:r>
        <w:rPr>
          <w:rFonts w:ascii="Times New Roman" w:hAnsi="Times New Roman" w:cs="Times New Roman"/>
          <w:b/>
          <w:bCs/>
        </w:rPr>
        <w:t xml:space="preserve">Table S2: </w:t>
      </w:r>
      <w:r>
        <w:rPr>
          <w:rFonts w:ascii="Times New Roman" w:hAnsi="Times New Roman" w:cs="Times New Roman"/>
        </w:rPr>
        <w:t>Repeatmasker output for Haplotype 13B (primary haplotype). *M</w:t>
      </w:r>
      <w:r w:rsidRPr="00C6228D">
        <w:rPr>
          <w:rFonts w:ascii="Times New Roman" w:hAnsi="Times New Roman" w:cs="Times New Roman"/>
        </w:rPr>
        <w:t>ost repeats fragmented by insertions or deletions have been counted as one element</w:t>
      </w:r>
      <w:r>
        <w:rPr>
          <w:rFonts w:ascii="Times New Roman" w:hAnsi="Times New Roman" w:cs="Times New Roman"/>
        </w:rPr>
        <w:t>.</w:t>
      </w:r>
    </w:p>
    <w:bookmarkEnd w:id="9"/>
    <w:p w14:paraId="2B5DB227" w14:textId="77777777" w:rsidR="00D617DF" w:rsidRDefault="00D617DF" w:rsidP="00EA4D1C">
      <w:pPr>
        <w:rPr>
          <w:rFonts w:ascii="Times New Roman" w:hAnsi="Times New Roman" w:cs="Times New Roman"/>
        </w:rPr>
      </w:pPr>
    </w:p>
    <w:p w14:paraId="44883B57" w14:textId="77777777" w:rsidR="00D617DF" w:rsidRDefault="00D617DF" w:rsidP="00EA4D1C">
      <w:pPr>
        <w:rPr>
          <w:rFonts w:ascii="Times New Roman" w:hAnsi="Times New Roman" w:cs="Times New Roman"/>
        </w:rPr>
      </w:pPr>
      <w:r>
        <w:rPr>
          <w:rFonts w:ascii="Times New Roman" w:hAnsi="Times New Roman" w:cs="Times New Roman"/>
        </w:rPr>
        <w:br w:type="page"/>
      </w:r>
    </w:p>
    <w:p w14:paraId="395942C9"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lastRenderedPageBreak/>
        <w:t>==================================================</w:t>
      </w:r>
    </w:p>
    <w:p w14:paraId="3063EC1E"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file name: SC_F1-1A_hap2X_scaffold_ragtag_purged.fa</w:t>
      </w:r>
    </w:p>
    <w:p w14:paraId="0465FF3D"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sequences:           205</w:t>
      </w:r>
    </w:p>
    <w:p w14:paraId="57FD6D73"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total length:  179420049 bp  (179392649 bp excl N/X-runs)</w:t>
      </w:r>
    </w:p>
    <w:p w14:paraId="305CA7A6"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GC level:         41.25 %</w:t>
      </w:r>
    </w:p>
    <w:p w14:paraId="6D986118"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bases masked:   48806325 bp ( 27.20 %)</w:t>
      </w:r>
    </w:p>
    <w:p w14:paraId="09D1D51A"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w:t>
      </w:r>
    </w:p>
    <w:p w14:paraId="51E8F1D4"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number of elements*     length</w:t>
      </w:r>
      <w:r>
        <w:rPr>
          <w:rFonts w:ascii="Times New Roman" w:hAnsi="Times New Roman" w:cs="Times New Roman"/>
        </w:rPr>
        <w:t xml:space="preserve"> </w:t>
      </w:r>
      <w:r w:rsidRPr="00C6228D">
        <w:rPr>
          <w:rFonts w:ascii="Times New Roman" w:hAnsi="Times New Roman" w:cs="Times New Roman"/>
        </w:rPr>
        <w:t>occupied   percentage</w:t>
      </w:r>
      <w:r>
        <w:rPr>
          <w:rFonts w:ascii="Times New Roman" w:hAnsi="Times New Roman" w:cs="Times New Roman"/>
        </w:rPr>
        <w:t xml:space="preserve"> </w:t>
      </w:r>
      <w:r w:rsidRPr="00C6228D">
        <w:rPr>
          <w:rFonts w:ascii="Times New Roman" w:hAnsi="Times New Roman" w:cs="Times New Roman"/>
        </w:rPr>
        <w:t>of sequence</w:t>
      </w:r>
    </w:p>
    <w:p w14:paraId="7092325F"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w:t>
      </w:r>
    </w:p>
    <w:p w14:paraId="33A356FB"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Retroelements         7299      5972014 bp    3.33 %</w:t>
      </w:r>
    </w:p>
    <w:p w14:paraId="1C4CA763"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SINEs:                0            0 bp    0.00 %</w:t>
      </w:r>
    </w:p>
    <w:p w14:paraId="43BE5064"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Penelope            635       558944 bp    0.31 %</w:t>
      </w:r>
    </w:p>
    <w:p w14:paraId="771ED47B"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LINEs:             2515      1796601 bp    1.00 %</w:t>
      </w:r>
    </w:p>
    <w:p w14:paraId="74CA6FD0"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CRE/SLACS            0            0 bp    0.00 %</w:t>
      </w:r>
    </w:p>
    <w:p w14:paraId="15306598"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L2/CR1/Rex       1144       486799 bp    0.27 %</w:t>
      </w:r>
    </w:p>
    <w:p w14:paraId="7CB62266"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R1/LOA/Jockey     256       262670 bp    0.15 %</w:t>
      </w:r>
    </w:p>
    <w:p w14:paraId="7252AD5F"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R2/R4/NeSL        141       174768 bp    0.10 %</w:t>
      </w:r>
    </w:p>
    <w:p w14:paraId="68D1FB56"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RTE/Bov-B           0            0 bp    0.00 %</w:t>
      </w:r>
    </w:p>
    <w:p w14:paraId="5AA40CC0"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L1/CIN4             0            0 bp    0.00 %</w:t>
      </w:r>
    </w:p>
    <w:p w14:paraId="6289FAEA"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LTR elements:      4784      4175413 bp    2.33 %</w:t>
      </w:r>
    </w:p>
    <w:p w14:paraId="626BC2B1"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BEL/Pao           792      1005151 bp    0.56 %</w:t>
      </w:r>
    </w:p>
    <w:p w14:paraId="5B18D86A"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Ty1/Copia         994       492221 bp    0.27 %</w:t>
      </w:r>
    </w:p>
    <w:p w14:paraId="63334BB9"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Gypsy/DIRS1      2998      2678041 bp    1.49 %</w:t>
      </w:r>
    </w:p>
    <w:p w14:paraId="41ECE3A8"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Retroviral        0            0 bp    0.00 %</w:t>
      </w:r>
    </w:p>
    <w:p w14:paraId="37E669A4" w14:textId="77777777" w:rsidR="00D617DF" w:rsidRPr="00C6228D" w:rsidRDefault="00D617DF" w:rsidP="00EA4D1C">
      <w:pPr>
        <w:rPr>
          <w:rFonts w:ascii="Times New Roman" w:hAnsi="Times New Roman" w:cs="Times New Roman"/>
        </w:rPr>
      </w:pPr>
    </w:p>
    <w:p w14:paraId="1D6F889B"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DNA transposons       1848       855237 bp    0.48 %</w:t>
      </w:r>
    </w:p>
    <w:p w14:paraId="5AD8557C"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hobo-Activator      172        85740 bp    0.05 %</w:t>
      </w:r>
    </w:p>
    <w:p w14:paraId="38545236"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Tc1-IS630-Pogo      224       130960 bp    0.07 %</w:t>
      </w:r>
    </w:p>
    <w:p w14:paraId="15E2A521"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En-Spm                0            0 bp    0.00 %</w:t>
      </w:r>
    </w:p>
    <w:p w14:paraId="32E5AFB7"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MuDR-IS905            0            0 bp    0.00 %</w:t>
      </w:r>
    </w:p>
    <w:p w14:paraId="3092D952"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lastRenderedPageBreak/>
        <w:t xml:space="preserve">   PiggyBac             64        83495 bp    0.05 %</w:t>
      </w:r>
    </w:p>
    <w:p w14:paraId="0CA7F077"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Tourist/Harbinger     0            0 bp    0.00 %</w:t>
      </w:r>
    </w:p>
    <w:p w14:paraId="21C0B842"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Other (Mirage,        0            0 bp    0.00 %</w:t>
      </w:r>
    </w:p>
    <w:p w14:paraId="79698A33"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 xml:space="preserve">    P-element, Transib)</w:t>
      </w:r>
    </w:p>
    <w:p w14:paraId="60E7B8A4" w14:textId="77777777" w:rsidR="00D617DF" w:rsidRPr="00C6228D" w:rsidRDefault="00D617DF" w:rsidP="00EA4D1C">
      <w:pPr>
        <w:rPr>
          <w:rFonts w:ascii="Times New Roman" w:hAnsi="Times New Roman" w:cs="Times New Roman"/>
        </w:rPr>
      </w:pPr>
    </w:p>
    <w:p w14:paraId="34A35DFF"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Rolling-circles       6355      8463072 bp    4.72 %</w:t>
      </w:r>
    </w:p>
    <w:p w14:paraId="7A59C11F" w14:textId="77777777" w:rsidR="00D617DF" w:rsidRPr="00C6228D" w:rsidRDefault="00D617DF" w:rsidP="00EA4D1C">
      <w:pPr>
        <w:rPr>
          <w:rFonts w:ascii="Times New Roman" w:hAnsi="Times New Roman" w:cs="Times New Roman"/>
        </w:rPr>
      </w:pPr>
    </w:p>
    <w:p w14:paraId="6052B905"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Unclassified:        96413     33516002 bp   18.68 %</w:t>
      </w:r>
    </w:p>
    <w:p w14:paraId="6090F145" w14:textId="77777777" w:rsidR="00D617DF" w:rsidRPr="00C6228D" w:rsidRDefault="00D617DF" w:rsidP="00EA4D1C">
      <w:pPr>
        <w:rPr>
          <w:rFonts w:ascii="Times New Roman" w:hAnsi="Times New Roman" w:cs="Times New Roman"/>
        </w:rPr>
      </w:pPr>
    </w:p>
    <w:p w14:paraId="3384D8F5"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Total interspersed repeats:    40343253 bp   22.49 %</w:t>
      </w:r>
    </w:p>
    <w:p w14:paraId="0A83F045" w14:textId="77777777" w:rsidR="00D617DF" w:rsidRPr="00C6228D" w:rsidRDefault="00D617DF" w:rsidP="00EA4D1C">
      <w:pPr>
        <w:rPr>
          <w:rFonts w:ascii="Times New Roman" w:hAnsi="Times New Roman" w:cs="Times New Roman"/>
        </w:rPr>
      </w:pPr>
    </w:p>
    <w:p w14:paraId="02A54290" w14:textId="77777777" w:rsidR="00D617DF" w:rsidRPr="00C6228D" w:rsidRDefault="00D617DF" w:rsidP="00EA4D1C">
      <w:pPr>
        <w:rPr>
          <w:rFonts w:ascii="Times New Roman" w:hAnsi="Times New Roman" w:cs="Times New Roman"/>
        </w:rPr>
      </w:pPr>
    </w:p>
    <w:p w14:paraId="18F74A55"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Small RNA:               0            0 bp    0.00 %</w:t>
      </w:r>
    </w:p>
    <w:p w14:paraId="61EB6550" w14:textId="77777777" w:rsidR="00D617DF" w:rsidRPr="00C6228D" w:rsidRDefault="00D617DF" w:rsidP="00EA4D1C">
      <w:pPr>
        <w:rPr>
          <w:rFonts w:ascii="Times New Roman" w:hAnsi="Times New Roman" w:cs="Times New Roman"/>
        </w:rPr>
      </w:pPr>
    </w:p>
    <w:p w14:paraId="1E9A9504"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Satellites:              0            0 bp    0.00 %</w:t>
      </w:r>
    </w:p>
    <w:p w14:paraId="2B5383F6"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Simple repeats:          0            0 bp    0.00 %</w:t>
      </w:r>
    </w:p>
    <w:p w14:paraId="3DFA2F1D" w14:textId="77777777" w:rsidR="00D617DF" w:rsidRPr="00C6228D" w:rsidRDefault="00D617DF" w:rsidP="00EA4D1C">
      <w:pPr>
        <w:rPr>
          <w:rFonts w:ascii="Times New Roman" w:hAnsi="Times New Roman" w:cs="Times New Roman"/>
        </w:rPr>
      </w:pPr>
      <w:r w:rsidRPr="00C6228D">
        <w:rPr>
          <w:rFonts w:ascii="Times New Roman" w:hAnsi="Times New Roman" w:cs="Times New Roman"/>
        </w:rPr>
        <w:t>Low complexity:          0            0 bp    0.00 %</w:t>
      </w:r>
    </w:p>
    <w:p w14:paraId="41EE2E99" w14:textId="77777777" w:rsidR="00D617DF" w:rsidRDefault="00D617DF" w:rsidP="00EA4D1C">
      <w:pPr>
        <w:rPr>
          <w:rFonts w:ascii="Times New Roman" w:hAnsi="Times New Roman" w:cs="Times New Roman"/>
        </w:rPr>
      </w:pPr>
      <w:r w:rsidRPr="00C6228D">
        <w:rPr>
          <w:rFonts w:ascii="Times New Roman" w:hAnsi="Times New Roman" w:cs="Times New Roman"/>
        </w:rPr>
        <w:t xml:space="preserve">================================================== </w:t>
      </w:r>
    </w:p>
    <w:p w14:paraId="697E6CDC" w14:textId="77777777" w:rsidR="00D617DF" w:rsidRDefault="00D617DF" w:rsidP="00EA4D1C">
      <w:pPr>
        <w:rPr>
          <w:rFonts w:ascii="Times New Roman" w:hAnsi="Times New Roman" w:cs="Times New Roman"/>
        </w:rPr>
      </w:pPr>
      <w:r>
        <w:rPr>
          <w:rFonts w:ascii="Times New Roman" w:hAnsi="Times New Roman" w:cs="Times New Roman"/>
          <w:b/>
          <w:bCs/>
        </w:rPr>
        <w:t xml:space="preserve">Table S3: </w:t>
      </w:r>
      <w:r>
        <w:rPr>
          <w:rFonts w:ascii="Times New Roman" w:hAnsi="Times New Roman" w:cs="Times New Roman"/>
        </w:rPr>
        <w:t>Repeatmasker output for Haplotype 2X (secondary haplotype). *M</w:t>
      </w:r>
      <w:r w:rsidRPr="00C6228D">
        <w:rPr>
          <w:rFonts w:ascii="Times New Roman" w:hAnsi="Times New Roman" w:cs="Times New Roman"/>
        </w:rPr>
        <w:t>ost repeats fragmented by insertions or deletions have been counted as one element</w:t>
      </w:r>
      <w:r>
        <w:rPr>
          <w:rFonts w:ascii="Times New Roman" w:hAnsi="Times New Roman" w:cs="Times New Roman"/>
        </w:rPr>
        <w:t>.</w:t>
      </w:r>
    </w:p>
    <w:p w14:paraId="3223267D" w14:textId="77777777" w:rsidR="00D617DF" w:rsidRDefault="00D617DF" w:rsidP="00EA4D1C">
      <w:pPr>
        <w:rPr>
          <w:rFonts w:ascii="Times New Roman" w:hAnsi="Times New Roman" w:cs="Times New Roman"/>
        </w:rPr>
      </w:pPr>
    </w:p>
    <w:p w14:paraId="098858D6" w14:textId="77777777" w:rsidR="00D617DF" w:rsidRDefault="00D617DF" w:rsidP="00EA4D1C">
      <w:pPr>
        <w:rPr>
          <w:rFonts w:ascii="Times New Roman" w:hAnsi="Times New Roman" w:cs="Times New Roman"/>
        </w:rPr>
      </w:pPr>
    </w:p>
    <w:p w14:paraId="4EC4D1E6" w14:textId="77777777" w:rsidR="00D617DF" w:rsidRDefault="00D617DF" w:rsidP="00EA4D1C">
      <w:pPr>
        <w:rPr>
          <w:rFonts w:ascii="Times New Roman" w:hAnsi="Times New Roman" w:cs="Times New Roman"/>
        </w:rPr>
      </w:pPr>
    </w:p>
    <w:p w14:paraId="6FB53B52" w14:textId="77777777" w:rsidR="00D617DF" w:rsidRDefault="00D617DF" w:rsidP="00EA4D1C">
      <w:pPr>
        <w:rPr>
          <w:rFonts w:ascii="Times New Roman" w:hAnsi="Times New Roman" w:cs="Times New Roman"/>
        </w:rPr>
      </w:pPr>
    </w:p>
    <w:p w14:paraId="16B19FAB" w14:textId="77777777" w:rsidR="00D617DF" w:rsidRDefault="00D617DF" w:rsidP="00EA4D1C">
      <w:pPr>
        <w:rPr>
          <w:rFonts w:ascii="Times New Roman" w:hAnsi="Times New Roman" w:cs="Times New Roman"/>
        </w:rPr>
      </w:pPr>
    </w:p>
    <w:p w14:paraId="374725BC" w14:textId="77777777" w:rsidR="00D617DF" w:rsidRDefault="00D617DF" w:rsidP="00EA4D1C">
      <w:pPr>
        <w:rPr>
          <w:rFonts w:ascii="Times New Roman" w:hAnsi="Times New Roman" w:cs="Times New Roman"/>
        </w:rPr>
      </w:pPr>
    </w:p>
    <w:p w14:paraId="3F7F6321" w14:textId="77777777" w:rsidR="00D617DF" w:rsidRDefault="00D617DF" w:rsidP="00EA4D1C">
      <w:pPr>
        <w:rPr>
          <w:rFonts w:ascii="Times New Roman" w:hAnsi="Times New Roman" w:cs="Times New Roman"/>
        </w:rPr>
      </w:pPr>
    </w:p>
    <w:p w14:paraId="150ACDEB" w14:textId="77777777" w:rsidR="00D617DF" w:rsidRDefault="00D617DF" w:rsidP="00EA4D1C">
      <w:pPr>
        <w:rPr>
          <w:rFonts w:ascii="Times New Roman" w:hAnsi="Times New Roman" w:cs="Times New Roman"/>
        </w:rPr>
      </w:pPr>
    </w:p>
    <w:p w14:paraId="484F65CF" w14:textId="77777777" w:rsidR="00D617DF" w:rsidRDefault="00D617DF" w:rsidP="00EA4D1C">
      <w:pPr>
        <w:rPr>
          <w:rFonts w:ascii="Times New Roman" w:hAnsi="Times New Roman" w:cs="Times New Roman"/>
        </w:rPr>
      </w:pPr>
    </w:p>
    <w:p w14:paraId="29018D6B" w14:textId="77777777" w:rsidR="00D617DF" w:rsidRDefault="00D617DF" w:rsidP="00EA4D1C">
      <w:pPr>
        <w:rPr>
          <w:rFonts w:ascii="Times New Roman" w:hAnsi="Times New Roman" w:cs="Times New Roman"/>
        </w:rPr>
      </w:pPr>
    </w:p>
    <w:p w14:paraId="3B9B05D5" w14:textId="77777777" w:rsidR="00D617DF" w:rsidRDefault="00D617DF" w:rsidP="00EA4D1C">
      <w:pPr>
        <w:rPr>
          <w:rFonts w:ascii="Times New Roman" w:hAnsi="Times New Roman" w:cs="Times New Roman"/>
        </w:rPr>
      </w:pPr>
    </w:p>
    <w:p w14:paraId="453B8C8D" w14:textId="77777777" w:rsidR="00D617DF" w:rsidRDefault="00D617DF" w:rsidP="00EA4D1C">
      <w:pPr>
        <w:rPr>
          <w:rFonts w:ascii="Times New Roman" w:hAnsi="Times New Roman" w:cs="Times New Roman"/>
        </w:rPr>
      </w:pPr>
    </w:p>
    <w:p w14:paraId="3E2C034A" w14:textId="77777777" w:rsidR="00D617DF" w:rsidRDefault="00D617DF" w:rsidP="00EA4D1C">
      <w:pPr>
        <w:rPr>
          <w:rFonts w:ascii="Times New Roman" w:hAnsi="Times New Roman" w:cs="Times New Roman"/>
        </w:rPr>
      </w:pPr>
    </w:p>
    <w:p w14:paraId="39870B78" w14:textId="77777777" w:rsidR="00D617DF" w:rsidRDefault="00D617DF" w:rsidP="00EA4D1C">
      <w:pPr>
        <w:rPr>
          <w:rFonts w:ascii="Times New Roman" w:hAnsi="Times New Roman" w:cs="Times New Roman"/>
        </w:rPr>
      </w:pPr>
    </w:p>
    <w:tbl>
      <w:tblPr>
        <w:tblStyle w:val="TableGrid"/>
        <w:tblW w:w="0" w:type="auto"/>
        <w:tblLook w:val="04A0" w:firstRow="1" w:lastRow="0" w:firstColumn="1" w:lastColumn="0" w:noHBand="0" w:noVBand="1"/>
      </w:tblPr>
      <w:tblGrid>
        <w:gridCol w:w="3116"/>
        <w:gridCol w:w="3117"/>
        <w:gridCol w:w="3117"/>
      </w:tblGrid>
      <w:tr w:rsidR="00D617DF" w14:paraId="62B71C2E" w14:textId="77777777" w:rsidTr="00FE5E0D">
        <w:tc>
          <w:tcPr>
            <w:tcW w:w="3116" w:type="dxa"/>
          </w:tcPr>
          <w:p w14:paraId="0CCFCF6B" w14:textId="77777777" w:rsidR="00D617DF" w:rsidRDefault="00D617DF" w:rsidP="00FE5E0D">
            <w:pPr>
              <w:rPr>
                <w:rFonts w:ascii="Times New Roman" w:hAnsi="Times New Roman" w:cs="Times New Roman"/>
                <w:b/>
                <w:bCs/>
              </w:rPr>
            </w:pPr>
            <w:r>
              <w:rPr>
                <w:rFonts w:ascii="Times New Roman" w:hAnsi="Times New Roman" w:cs="Times New Roman"/>
                <w:b/>
                <w:bCs/>
              </w:rPr>
              <w:t xml:space="preserve">Feature </w:t>
            </w:r>
          </w:p>
        </w:tc>
        <w:tc>
          <w:tcPr>
            <w:tcW w:w="3117" w:type="dxa"/>
          </w:tcPr>
          <w:p w14:paraId="1B54E0AA" w14:textId="77777777" w:rsidR="00D617DF" w:rsidRDefault="00D617DF" w:rsidP="00FE5E0D">
            <w:pPr>
              <w:rPr>
                <w:rFonts w:ascii="Times New Roman" w:hAnsi="Times New Roman" w:cs="Times New Roman"/>
                <w:b/>
                <w:bCs/>
              </w:rPr>
            </w:pPr>
            <w:r>
              <w:rPr>
                <w:rFonts w:ascii="Times New Roman" w:hAnsi="Times New Roman" w:cs="Times New Roman"/>
                <w:b/>
                <w:bCs/>
              </w:rPr>
              <w:t>Haplotype 13B</w:t>
            </w:r>
          </w:p>
        </w:tc>
        <w:tc>
          <w:tcPr>
            <w:tcW w:w="3117" w:type="dxa"/>
          </w:tcPr>
          <w:p w14:paraId="223B945B" w14:textId="77777777" w:rsidR="00D617DF" w:rsidRDefault="00D617DF" w:rsidP="00FE5E0D">
            <w:pPr>
              <w:rPr>
                <w:rFonts w:ascii="Times New Roman" w:hAnsi="Times New Roman" w:cs="Times New Roman"/>
                <w:b/>
                <w:bCs/>
              </w:rPr>
            </w:pPr>
            <w:r>
              <w:rPr>
                <w:rFonts w:ascii="Times New Roman" w:hAnsi="Times New Roman" w:cs="Times New Roman"/>
                <w:b/>
                <w:bCs/>
              </w:rPr>
              <w:t>Haplotype 2X</w:t>
            </w:r>
          </w:p>
        </w:tc>
      </w:tr>
      <w:tr w:rsidR="00D617DF" w14:paraId="62F099D0" w14:textId="77777777" w:rsidTr="00FE5E0D">
        <w:tc>
          <w:tcPr>
            <w:tcW w:w="3116" w:type="dxa"/>
          </w:tcPr>
          <w:p w14:paraId="25C10899" w14:textId="77777777" w:rsidR="00D617DF" w:rsidRPr="0012713B" w:rsidRDefault="00D617DF" w:rsidP="00FE5E0D">
            <w:pPr>
              <w:rPr>
                <w:rFonts w:ascii="Times New Roman" w:hAnsi="Times New Roman" w:cs="Times New Roman"/>
              </w:rPr>
            </w:pPr>
            <w:r w:rsidRPr="0012713B">
              <w:rPr>
                <w:rFonts w:ascii="Times New Roman" w:hAnsi="Times New Roman" w:cs="Times New Roman"/>
              </w:rPr>
              <w:t>Mean Gene Length (SE)</w:t>
            </w:r>
          </w:p>
        </w:tc>
        <w:tc>
          <w:tcPr>
            <w:tcW w:w="3117" w:type="dxa"/>
          </w:tcPr>
          <w:p w14:paraId="7973A108" w14:textId="77777777" w:rsidR="00D617DF" w:rsidRPr="0012713B" w:rsidRDefault="00D617DF" w:rsidP="00FE5E0D">
            <w:pPr>
              <w:rPr>
                <w:rFonts w:ascii="Times New Roman" w:hAnsi="Times New Roman" w:cs="Times New Roman"/>
              </w:rPr>
            </w:pPr>
            <w:r>
              <w:rPr>
                <w:rFonts w:ascii="Times New Roman" w:hAnsi="Times New Roman" w:cs="Times New Roman"/>
              </w:rPr>
              <w:t>2749.6 (28.2)</w:t>
            </w:r>
          </w:p>
        </w:tc>
        <w:tc>
          <w:tcPr>
            <w:tcW w:w="3117" w:type="dxa"/>
          </w:tcPr>
          <w:p w14:paraId="63F5ACBC" w14:textId="77777777" w:rsidR="00D617DF" w:rsidRPr="0012713B" w:rsidRDefault="00D617DF" w:rsidP="00FE5E0D">
            <w:pPr>
              <w:rPr>
                <w:rFonts w:ascii="Times New Roman" w:hAnsi="Times New Roman" w:cs="Times New Roman"/>
              </w:rPr>
            </w:pPr>
            <w:r>
              <w:rPr>
                <w:rFonts w:ascii="Times New Roman" w:hAnsi="Times New Roman" w:cs="Times New Roman"/>
              </w:rPr>
              <w:t>2747.0 (27.4)</w:t>
            </w:r>
          </w:p>
        </w:tc>
      </w:tr>
      <w:tr w:rsidR="00D617DF" w14:paraId="77747ADF" w14:textId="77777777" w:rsidTr="00FE5E0D">
        <w:tc>
          <w:tcPr>
            <w:tcW w:w="3116" w:type="dxa"/>
          </w:tcPr>
          <w:p w14:paraId="4349A185" w14:textId="77777777" w:rsidR="00D617DF" w:rsidRPr="0012713B" w:rsidRDefault="00D617DF" w:rsidP="00FE5E0D">
            <w:pPr>
              <w:rPr>
                <w:rFonts w:ascii="Times New Roman" w:hAnsi="Times New Roman" w:cs="Times New Roman"/>
              </w:rPr>
            </w:pPr>
            <w:r w:rsidRPr="0012713B">
              <w:rPr>
                <w:rFonts w:ascii="Times New Roman" w:hAnsi="Times New Roman" w:cs="Times New Roman"/>
              </w:rPr>
              <w:t>Mean Intron Length (SE)</w:t>
            </w:r>
          </w:p>
        </w:tc>
        <w:tc>
          <w:tcPr>
            <w:tcW w:w="3117" w:type="dxa"/>
          </w:tcPr>
          <w:p w14:paraId="7AC646CD" w14:textId="77777777" w:rsidR="00D617DF" w:rsidRPr="0012713B" w:rsidRDefault="00D617DF" w:rsidP="00FE5E0D">
            <w:pPr>
              <w:rPr>
                <w:rFonts w:ascii="Times New Roman" w:hAnsi="Times New Roman" w:cs="Times New Roman"/>
              </w:rPr>
            </w:pPr>
            <w:r>
              <w:rPr>
                <w:rFonts w:ascii="Times New Roman" w:hAnsi="Times New Roman" w:cs="Times New Roman"/>
              </w:rPr>
              <w:t>292.9 (3.5)</w:t>
            </w:r>
          </w:p>
        </w:tc>
        <w:tc>
          <w:tcPr>
            <w:tcW w:w="3117" w:type="dxa"/>
          </w:tcPr>
          <w:p w14:paraId="23971E5C" w14:textId="77777777" w:rsidR="00D617DF" w:rsidRPr="0012713B" w:rsidRDefault="00D617DF" w:rsidP="00FE5E0D">
            <w:pPr>
              <w:rPr>
                <w:rFonts w:ascii="Times New Roman" w:hAnsi="Times New Roman" w:cs="Times New Roman"/>
              </w:rPr>
            </w:pPr>
            <w:r>
              <w:rPr>
                <w:rFonts w:ascii="Times New Roman" w:hAnsi="Times New Roman" w:cs="Times New Roman"/>
              </w:rPr>
              <w:t>294.9 (3.5)</w:t>
            </w:r>
          </w:p>
        </w:tc>
      </w:tr>
      <w:tr w:rsidR="00D617DF" w14:paraId="7F7DA054" w14:textId="77777777" w:rsidTr="00FE5E0D">
        <w:tc>
          <w:tcPr>
            <w:tcW w:w="3116" w:type="dxa"/>
          </w:tcPr>
          <w:p w14:paraId="4A9AB9D8" w14:textId="77777777" w:rsidR="00D617DF" w:rsidRPr="0012713B" w:rsidRDefault="00D617DF" w:rsidP="00FE5E0D">
            <w:pPr>
              <w:rPr>
                <w:rFonts w:ascii="Times New Roman" w:hAnsi="Times New Roman" w:cs="Times New Roman"/>
              </w:rPr>
            </w:pPr>
            <w:r w:rsidRPr="0012713B">
              <w:rPr>
                <w:rFonts w:ascii="Times New Roman" w:hAnsi="Times New Roman" w:cs="Times New Roman"/>
              </w:rPr>
              <w:t>Mean Exon Length (SE)</w:t>
            </w:r>
          </w:p>
        </w:tc>
        <w:tc>
          <w:tcPr>
            <w:tcW w:w="3117" w:type="dxa"/>
          </w:tcPr>
          <w:p w14:paraId="2CD85EA0" w14:textId="77777777" w:rsidR="00D617DF" w:rsidRPr="0012713B" w:rsidRDefault="00D617DF" w:rsidP="00FE5E0D">
            <w:pPr>
              <w:rPr>
                <w:rFonts w:ascii="Times New Roman" w:hAnsi="Times New Roman" w:cs="Times New Roman"/>
              </w:rPr>
            </w:pPr>
            <w:r>
              <w:rPr>
                <w:rFonts w:ascii="Times New Roman" w:hAnsi="Times New Roman" w:cs="Times New Roman"/>
              </w:rPr>
              <w:t>247.4 (0.97)</w:t>
            </w:r>
          </w:p>
        </w:tc>
        <w:tc>
          <w:tcPr>
            <w:tcW w:w="3117" w:type="dxa"/>
          </w:tcPr>
          <w:p w14:paraId="03B2DAB9" w14:textId="77777777" w:rsidR="00D617DF" w:rsidRPr="0012713B" w:rsidRDefault="00D617DF" w:rsidP="00FE5E0D">
            <w:pPr>
              <w:rPr>
                <w:rFonts w:ascii="Times New Roman" w:hAnsi="Times New Roman" w:cs="Times New Roman"/>
              </w:rPr>
            </w:pPr>
            <w:r>
              <w:rPr>
                <w:rFonts w:ascii="Times New Roman" w:hAnsi="Times New Roman" w:cs="Times New Roman"/>
              </w:rPr>
              <w:t>244.1 (0.97)</w:t>
            </w:r>
          </w:p>
        </w:tc>
      </w:tr>
      <w:tr w:rsidR="00D617DF" w14:paraId="67EDC6D6" w14:textId="77777777" w:rsidTr="00FE5E0D">
        <w:tc>
          <w:tcPr>
            <w:tcW w:w="3116" w:type="dxa"/>
          </w:tcPr>
          <w:p w14:paraId="117CAE67" w14:textId="77777777" w:rsidR="00D617DF" w:rsidRPr="0012713B" w:rsidRDefault="00D617DF" w:rsidP="00FE5E0D">
            <w:pPr>
              <w:rPr>
                <w:rFonts w:ascii="Times New Roman" w:hAnsi="Times New Roman" w:cs="Times New Roman"/>
              </w:rPr>
            </w:pPr>
            <w:r w:rsidRPr="0012713B">
              <w:rPr>
                <w:rFonts w:ascii="Times New Roman" w:hAnsi="Times New Roman" w:cs="Times New Roman"/>
              </w:rPr>
              <w:t>Mean Inter-gene Space (SE)</w:t>
            </w:r>
            <w:r>
              <w:rPr>
                <w:rFonts w:ascii="Times New Roman" w:hAnsi="Times New Roman" w:cs="Times New Roman"/>
              </w:rPr>
              <w:t>*</w:t>
            </w:r>
          </w:p>
        </w:tc>
        <w:tc>
          <w:tcPr>
            <w:tcW w:w="3117" w:type="dxa"/>
          </w:tcPr>
          <w:p w14:paraId="773B70DE" w14:textId="77777777" w:rsidR="00D617DF" w:rsidRPr="0012713B" w:rsidRDefault="00D617DF" w:rsidP="00FE5E0D">
            <w:pPr>
              <w:rPr>
                <w:rFonts w:ascii="Times New Roman" w:hAnsi="Times New Roman" w:cs="Times New Roman"/>
              </w:rPr>
            </w:pPr>
            <w:r>
              <w:rPr>
                <w:rFonts w:ascii="Times New Roman" w:hAnsi="Times New Roman" w:cs="Times New Roman"/>
              </w:rPr>
              <w:t>4862.1 (131.2)</w:t>
            </w:r>
          </w:p>
        </w:tc>
        <w:tc>
          <w:tcPr>
            <w:tcW w:w="3117" w:type="dxa"/>
          </w:tcPr>
          <w:p w14:paraId="3E65F17B" w14:textId="77777777" w:rsidR="00D617DF" w:rsidRPr="0012713B" w:rsidRDefault="00D617DF" w:rsidP="00FE5E0D">
            <w:pPr>
              <w:rPr>
                <w:rFonts w:ascii="Times New Roman" w:hAnsi="Times New Roman" w:cs="Times New Roman"/>
              </w:rPr>
            </w:pPr>
            <w:r>
              <w:rPr>
                <w:rFonts w:ascii="Times New Roman" w:hAnsi="Times New Roman" w:cs="Times New Roman"/>
              </w:rPr>
              <w:t>4694.9 (110.0)</w:t>
            </w:r>
          </w:p>
        </w:tc>
      </w:tr>
    </w:tbl>
    <w:p w14:paraId="27F1E0B4" w14:textId="77777777" w:rsidR="00D617DF" w:rsidRDefault="00D617DF" w:rsidP="00EA4D1C">
      <w:pPr>
        <w:rPr>
          <w:rFonts w:ascii="Times New Roman" w:hAnsi="Times New Roman" w:cs="Times New Roman"/>
          <w:b/>
          <w:bCs/>
        </w:rPr>
      </w:pPr>
    </w:p>
    <w:p w14:paraId="05460E85" w14:textId="77777777" w:rsidR="00D617DF" w:rsidRDefault="00D617DF" w:rsidP="00EA4D1C">
      <w:pPr>
        <w:rPr>
          <w:rFonts w:ascii="Times New Roman" w:hAnsi="Times New Roman" w:cs="Times New Roman"/>
        </w:rPr>
      </w:pPr>
      <w:r>
        <w:rPr>
          <w:rFonts w:ascii="Times New Roman" w:hAnsi="Times New Roman" w:cs="Times New Roman"/>
          <w:b/>
          <w:bCs/>
        </w:rPr>
        <w:t xml:space="preserve">Table S4: </w:t>
      </w:r>
      <w:r>
        <w:rPr>
          <w:rFonts w:ascii="Times New Roman" w:hAnsi="Times New Roman" w:cs="Times New Roman"/>
        </w:rPr>
        <w:t>Gene Structure Information by Haplotype. All lengths are in base pairs (BP). *Only genes placed on chromosomes were used to calculate inter-gene length. Omitting 197 genes from the 13B assembly and 584 genes from the 2X assembly</w:t>
      </w:r>
    </w:p>
    <w:p w14:paraId="6BA7AF79" w14:textId="77777777" w:rsidR="00D617DF" w:rsidRDefault="00D617DF" w:rsidP="00EA4D1C">
      <w:pPr>
        <w:rPr>
          <w:rFonts w:ascii="Times New Roman" w:hAnsi="Times New Roman" w:cs="Times New Roman"/>
        </w:rPr>
      </w:pPr>
    </w:p>
    <w:p w14:paraId="1B03A6C7" w14:textId="77777777" w:rsidR="00D617DF" w:rsidRDefault="00D617DF" w:rsidP="00EA4D1C">
      <w:pPr>
        <w:rPr>
          <w:rFonts w:ascii="Times New Roman" w:hAnsi="Times New Roman" w:cs="Times New Roman"/>
        </w:rPr>
      </w:pPr>
    </w:p>
    <w:p w14:paraId="7621D078" w14:textId="77777777" w:rsidR="00D617DF" w:rsidRDefault="00D617DF" w:rsidP="00EA4D1C">
      <w:pPr>
        <w:rPr>
          <w:rFonts w:ascii="Times New Roman" w:hAnsi="Times New Roman" w:cs="Times New Roman"/>
        </w:rPr>
      </w:pPr>
    </w:p>
    <w:p w14:paraId="0A4783EF" w14:textId="77777777" w:rsidR="00D617DF" w:rsidRDefault="00D617DF" w:rsidP="00EA4D1C">
      <w:pPr>
        <w:rPr>
          <w:rFonts w:ascii="Times New Roman" w:hAnsi="Times New Roman" w:cs="Times New Roman"/>
        </w:rPr>
      </w:pPr>
    </w:p>
    <w:p w14:paraId="749D1082" w14:textId="77777777" w:rsidR="00D617DF" w:rsidRDefault="00D617DF" w:rsidP="00EA4D1C">
      <w:pPr>
        <w:rPr>
          <w:rFonts w:ascii="Times New Roman" w:hAnsi="Times New Roman" w:cs="Times New Roman"/>
        </w:rPr>
      </w:pPr>
    </w:p>
    <w:p w14:paraId="488F3D44" w14:textId="77777777" w:rsidR="00D617DF" w:rsidRDefault="00D617DF" w:rsidP="00EA4D1C">
      <w:pPr>
        <w:rPr>
          <w:rFonts w:ascii="Times New Roman" w:hAnsi="Times New Roman" w:cs="Times New Roman"/>
        </w:rPr>
      </w:pPr>
    </w:p>
    <w:p w14:paraId="3A2E453A" w14:textId="77777777" w:rsidR="00D617DF" w:rsidRDefault="00D617DF" w:rsidP="00EA4D1C">
      <w:pPr>
        <w:rPr>
          <w:rFonts w:ascii="Times New Roman" w:hAnsi="Times New Roman" w:cs="Times New Roman"/>
        </w:rPr>
      </w:pPr>
    </w:p>
    <w:p w14:paraId="1C228EA6" w14:textId="77777777" w:rsidR="00D617DF" w:rsidRDefault="00D617DF" w:rsidP="00EA4D1C">
      <w:pPr>
        <w:rPr>
          <w:rFonts w:ascii="Times New Roman" w:hAnsi="Times New Roman" w:cs="Times New Roman"/>
        </w:rPr>
      </w:pPr>
    </w:p>
    <w:p w14:paraId="74C74234" w14:textId="77777777" w:rsidR="00D617DF" w:rsidRDefault="00D617DF" w:rsidP="00EA4D1C">
      <w:pPr>
        <w:rPr>
          <w:rFonts w:ascii="Times New Roman" w:hAnsi="Times New Roman" w:cs="Times New Roman"/>
        </w:rPr>
      </w:pPr>
    </w:p>
    <w:p w14:paraId="1B43C52C" w14:textId="77777777" w:rsidR="00D617DF" w:rsidRDefault="00D617DF" w:rsidP="00EA4D1C">
      <w:pPr>
        <w:rPr>
          <w:rFonts w:ascii="Times New Roman" w:hAnsi="Times New Roman" w:cs="Times New Roman"/>
        </w:rPr>
      </w:pPr>
    </w:p>
    <w:p w14:paraId="11EFDB44" w14:textId="77777777" w:rsidR="00D617DF" w:rsidRDefault="00D617DF" w:rsidP="00EA4D1C">
      <w:pPr>
        <w:rPr>
          <w:rFonts w:ascii="Times New Roman" w:hAnsi="Times New Roman" w:cs="Times New Roman"/>
        </w:rPr>
      </w:pPr>
    </w:p>
    <w:p w14:paraId="39BB6E9C" w14:textId="77777777" w:rsidR="00D617DF" w:rsidRDefault="00D617DF" w:rsidP="00EA4D1C">
      <w:pPr>
        <w:rPr>
          <w:rFonts w:ascii="Times New Roman" w:hAnsi="Times New Roman" w:cs="Times New Roman"/>
        </w:rPr>
      </w:pPr>
    </w:p>
    <w:p w14:paraId="668F2545" w14:textId="77777777" w:rsidR="00D617DF" w:rsidRDefault="00D617DF" w:rsidP="00EA4D1C">
      <w:pPr>
        <w:rPr>
          <w:rFonts w:ascii="Times New Roman" w:hAnsi="Times New Roman" w:cs="Times New Roman"/>
        </w:rPr>
      </w:pPr>
    </w:p>
    <w:p w14:paraId="1C95B6AA" w14:textId="77777777" w:rsidR="00D617DF" w:rsidRDefault="00D617DF" w:rsidP="00EA4D1C">
      <w:pPr>
        <w:rPr>
          <w:rFonts w:ascii="Times New Roman" w:hAnsi="Times New Roman" w:cs="Times New Roman"/>
        </w:rPr>
      </w:pPr>
    </w:p>
    <w:p w14:paraId="368D4F21" w14:textId="77777777" w:rsidR="00D617DF" w:rsidRDefault="00D617DF" w:rsidP="00EA4D1C">
      <w:pPr>
        <w:rPr>
          <w:rFonts w:ascii="Times New Roman" w:hAnsi="Times New Roman" w:cs="Times New Roman"/>
        </w:rPr>
      </w:pPr>
    </w:p>
    <w:p w14:paraId="662187BE" w14:textId="77777777" w:rsidR="00D617DF" w:rsidRDefault="00D617DF" w:rsidP="00EA4D1C">
      <w:pPr>
        <w:rPr>
          <w:rFonts w:ascii="Times New Roman" w:hAnsi="Times New Roman" w:cs="Times New Roman"/>
        </w:rPr>
      </w:pPr>
    </w:p>
    <w:p w14:paraId="2F616D4D" w14:textId="77777777" w:rsidR="00D617DF" w:rsidRDefault="00D617DF" w:rsidP="00EA4D1C">
      <w:pPr>
        <w:rPr>
          <w:rFonts w:ascii="Times New Roman" w:hAnsi="Times New Roman" w:cs="Times New Roman"/>
        </w:rPr>
      </w:pPr>
    </w:p>
    <w:p w14:paraId="47AADE51" w14:textId="77777777" w:rsidR="00D617DF" w:rsidRDefault="00D617DF" w:rsidP="00EA4D1C">
      <w:pPr>
        <w:rPr>
          <w:rFonts w:ascii="Times New Roman" w:hAnsi="Times New Roman" w:cs="Times New Roman"/>
        </w:rPr>
      </w:pPr>
    </w:p>
    <w:p w14:paraId="011F9DE0" w14:textId="77777777" w:rsidR="00D617DF" w:rsidRDefault="00D617DF" w:rsidP="00EA4D1C">
      <w:pPr>
        <w:rPr>
          <w:rFonts w:ascii="Times New Roman" w:hAnsi="Times New Roman" w:cs="Times New Roman"/>
        </w:rPr>
      </w:pPr>
    </w:p>
    <w:p w14:paraId="54D59ECB" w14:textId="77777777" w:rsidR="00D617DF" w:rsidRDefault="00D617DF" w:rsidP="00EA4D1C">
      <w:pPr>
        <w:rPr>
          <w:rFonts w:ascii="Times New Roman" w:hAnsi="Times New Roman" w:cs="Times New Roman"/>
          <w:b/>
          <w:bCs/>
        </w:rPr>
        <w:sectPr w:rsidR="00D617DF" w:rsidSect="00EA4D1C">
          <w:pgSz w:w="12240" w:h="15840"/>
          <w:pgMar w:top="1440" w:right="1440" w:bottom="1440" w:left="1440" w:header="720" w:footer="720" w:gutter="0"/>
          <w:cols w:space="720"/>
          <w:docGrid w:linePitch="360"/>
        </w:sectPr>
      </w:pPr>
    </w:p>
    <w:tbl>
      <w:tblPr>
        <w:tblStyle w:val="TableGrid"/>
        <w:tblW w:w="12961" w:type="dxa"/>
        <w:tblLook w:val="04A0" w:firstRow="1" w:lastRow="0" w:firstColumn="1" w:lastColumn="0" w:noHBand="0" w:noVBand="1"/>
      </w:tblPr>
      <w:tblGrid>
        <w:gridCol w:w="1021"/>
        <w:gridCol w:w="995"/>
        <w:gridCol w:w="995"/>
        <w:gridCol w:w="995"/>
        <w:gridCol w:w="995"/>
        <w:gridCol w:w="995"/>
        <w:gridCol w:w="995"/>
        <w:gridCol w:w="995"/>
        <w:gridCol w:w="995"/>
        <w:gridCol w:w="995"/>
        <w:gridCol w:w="995"/>
        <w:gridCol w:w="995"/>
        <w:gridCol w:w="995"/>
      </w:tblGrid>
      <w:tr w:rsidR="007365E2" w14:paraId="733A9484" w14:textId="77777777" w:rsidTr="007365E2">
        <w:trPr>
          <w:trHeight w:val="369"/>
        </w:trPr>
        <w:tc>
          <w:tcPr>
            <w:tcW w:w="1021" w:type="dxa"/>
          </w:tcPr>
          <w:p w14:paraId="651AAF22" w14:textId="77777777" w:rsidR="00961BEE" w:rsidRDefault="00961BEE" w:rsidP="002C72B0">
            <w:pPr>
              <w:rPr>
                <w:rFonts w:ascii="Times New Roman" w:hAnsi="Times New Roman" w:cs="Times New Roman"/>
                <w:b/>
                <w:bCs/>
              </w:rPr>
            </w:pPr>
            <w:r>
              <w:rPr>
                <w:rFonts w:ascii="Times New Roman" w:hAnsi="Times New Roman" w:cs="Times New Roman"/>
                <w:b/>
                <w:bCs/>
              </w:rPr>
              <w:lastRenderedPageBreak/>
              <w:t>Chr</w:t>
            </w:r>
          </w:p>
        </w:tc>
        <w:tc>
          <w:tcPr>
            <w:tcW w:w="995" w:type="dxa"/>
          </w:tcPr>
          <w:p w14:paraId="4BBD9E4B" w14:textId="77777777" w:rsidR="00961BEE" w:rsidRDefault="00961BEE" w:rsidP="002C72B0">
            <w:pPr>
              <w:rPr>
                <w:rFonts w:ascii="Times New Roman" w:hAnsi="Times New Roman" w:cs="Times New Roman"/>
                <w:b/>
                <w:bCs/>
              </w:rPr>
            </w:pPr>
            <w:r>
              <w:rPr>
                <w:rFonts w:ascii="Times New Roman" w:hAnsi="Times New Roman" w:cs="Times New Roman"/>
                <w:b/>
                <w:bCs/>
              </w:rPr>
              <w:t>01</w:t>
            </w:r>
          </w:p>
        </w:tc>
        <w:tc>
          <w:tcPr>
            <w:tcW w:w="995" w:type="dxa"/>
          </w:tcPr>
          <w:p w14:paraId="446E6F26" w14:textId="77777777" w:rsidR="00961BEE" w:rsidRDefault="00961BEE" w:rsidP="002C72B0">
            <w:pPr>
              <w:rPr>
                <w:rFonts w:ascii="Times New Roman" w:hAnsi="Times New Roman" w:cs="Times New Roman"/>
                <w:b/>
                <w:bCs/>
              </w:rPr>
            </w:pPr>
            <w:r>
              <w:rPr>
                <w:rFonts w:ascii="Times New Roman" w:hAnsi="Times New Roman" w:cs="Times New Roman"/>
                <w:b/>
                <w:bCs/>
              </w:rPr>
              <w:t>02</w:t>
            </w:r>
          </w:p>
        </w:tc>
        <w:tc>
          <w:tcPr>
            <w:tcW w:w="995" w:type="dxa"/>
          </w:tcPr>
          <w:p w14:paraId="5BAADEB8" w14:textId="77777777" w:rsidR="00961BEE" w:rsidRDefault="00961BEE" w:rsidP="002C72B0">
            <w:pPr>
              <w:rPr>
                <w:rFonts w:ascii="Times New Roman" w:hAnsi="Times New Roman" w:cs="Times New Roman"/>
                <w:b/>
                <w:bCs/>
              </w:rPr>
            </w:pPr>
            <w:r>
              <w:rPr>
                <w:rFonts w:ascii="Times New Roman" w:hAnsi="Times New Roman" w:cs="Times New Roman"/>
                <w:b/>
                <w:bCs/>
              </w:rPr>
              <w:t>03</w:t>
            </w:r>
          </w:p>
        </w:tc>
        <w:tc>
          <w:tcPr>
            <w:tcW w:w="995" w:type="dxa"/>
          </w:tcPr>
          <w:p w14:paraId="452F117C" w14:textId="77777777" w:rsidR="00961BEE" w:rsidRDefault="00961BEE" w:rsidP="002C72B0">
            <w:pPr>
              <w:rPr>
                <w:rFonts w:ascii="Times New Roman" w:hAnsi="Times New Roman" w:cs="Times New Roman"/>
                <w:b/>
                <w:bCs/>
              </w:rPr>
            </w:pPr>
            <w:r>
              <w:rPr>
                <w:rFonts w:ascii="Times New Roman" w:hAnsi="Times New Roman" w:cs="Times New Roman"/>
                <w:b/>
                <w:bCs/>
              </w:rPr>
              <w:t>04</w:t>
            </w:r>
          </w:p>
        </w:tc>
        <w:tc>
          <w:tcPr>
            <w:tcW w:w="995" w:type="dxa"/>
          </w:tcPr>
          <w:p w14:paraId="39BE9751" w14:textId="77777777" w:rsidR="00961BEE" w:rsidRDefault="00961BEE" w:rsidP="002C72B0">
            <w:pPr>
              <w:rPr>
                <w:rFonts w:ascii="Times New Roman" w:hAnsi="Times New Roman" w:cs="Times New Roman"/>
                <w:b/>
                <w:bCs/>
              </w:rPr>
            </w:pPr>
            <w:r>
              <w:rPr>
                <w:rFonts w:ascii="Times New Roman" w:hAnsi="Times New Roman" w:cs="Times New Roman"/>
                <w:b/>
                <w:bCs/>
              </w:rPr>
              <w:t>05</w:t>
            </w:r>
          </w:p>
        </w:tc>
        <w:tc>
          <w:tcPr>
            <w:tcW w:w="995" w:type="dxa"/>
          </w:tcPr>
          <w:p w14:paraId="5FBFCD06" w14:textId="77777777" w:rsidR="00961BEE" w:rsidRDefault="00961BEE" w:rsidP="002C72B0">
            <w:pPr>
              <w:rPr>
                <w:rFonts w:ascii="Times New Roman" w:hAnsi="Times New Roman" w:cs="Times New Roman"/>
                <w:b/>
                <w:bCs/>
              </w:rPr>
            </w:pPr>
            <w:r>
              <w:rPr>
                <w:rFonts w:ascii="Times New Roman" w:hAnsi="Times New Roman" w:cs="Times New Roman"/>
                <w:b/>
                <w:bCs/>
              </w:rPr>
              <w:t>06</w:t>
            </w:r>
          </w:p>
        </w:tc>
        <w:tc>
          <w:tcPr>
            <w:tcW w:w="995" w:type="dxa"/>
          </w:tcPr>
          <w:p w14:paraId="5C294DC6" w14:textId="77777777" w:rsidR="00961BEE" w:rsidRDefault="00961BEE" w:rsidP="002C72B0">
            <w:pPr>
              <w:rPr>
                <w:rFonts w:ascii="Times New Roman" w:hAnsi="Times New Roman" w:cs="Times New Roman"/>
                <w:b/>
                <w:bCs/>
              </w:rPr>
            </w:pPr>
            <w:r>
              <w:rPr>
                <w:rFonts w:ascii="Times New Roman" w:hAnsi="Times New Roman" w:cs="Times New Roman"/>
                <w:b/>
                <w:bCs/>
              </w:rPr>
              <w:t>07</w:t>
            </w:r>
          </w:p>
        </w:tc>
        <w:tc>
          <w:tcPr>
            <w:tcW w:w="995" w:type="dxa"/>
          </w:tcPr>
          <w:p w14:paraId="379982AA" w14:textId="77777777" w:rsidR="00961BEE" w:rsidRDefault="00961BEE" w:rsidP="002C72B0">
            <w:pPr>
              <w:rPr>
                <w:rFonts w:ascii="Times New Roman" w:hAnsi="Times New Roman" w:cs="Times New Roman"/>
                <w:b/>
                <w:bCs/>
              </w:rPr>
            </w:pPr>
            <w:r>
              <w:rPr>
                <w:rFonts w:ascii="Times New Roman" w:hAnsi="Times New Roman" w:cs="Times New Roman"/>
                <w:b/>
                <w:bCs/>
              </w:rPr>
              <w:t>08</w:t>
            </w:r>
          </w:p>
        </w:tc>
        <w:tc>
          <w:tcPr>
            <w:tcW w:w="995" w:type="dxa"/>
          </w:tcPr>
          <w:p w14:paraId="17369684" w14:textId="77777777" w:rsidR="00961BEE" w:rsidRDefault="00961BEE" w:rsidP="002C72B0">
            <w:pPr>
              <w:rPr>
                <w:rFonts w:ascii="Times New Roman" w:hAnsi="Times New Roman" w:cs="Times New Roman"/>
                <w:b/>
                <w:bCs/>
              </w:rPr>
            </w:pPr>
            <w:r>
              <w:rPr>
                <w:rFonts w:ascii="Times New Roman" w:hAnsi="Times New Roman" w:cs="Times New Roman"/>
                <w:b/>
                <w:bCs/>
              </w:rPr>
              <w:t>09</w:t>
            </w:r>
          </w:p>
        </w:tc>
        <w:tc>
          <w:tcPr>
            <w:tcW w:w="995" w:type="dxa"/>
          </w:tcPr>
          <w:p w14:paraId="243908DE" w14:textId="77777777" w:rsidR="00961BEE" w:rsidRDefault="00961BEE" w:rsidP="002C72B0">
            <w:pPr>
              <w:rPr>
                <w:rFonts w:ascii="Times New Roman" w:hAnsi="Times New Roman" w:cs="Times New Roman"/>
                <w:b/>
                <w:bCs/>
              </w:rPr>
            </w:pPr>
            <w:r>
              <w:rPr>
                <w:rFonts w:ascii="Times New Roman" w:hAnsi="Times New Roman" w:cs="Times New Roman"/>
                <w:b/>
                <w:bCs/>
              </w:rPr>
              <w:t>10</w:t>
            </w:r>
          </w:p>
        </w:tc>
        <w:tc>
          <w:tcPr>
            <w:tcW w:w="995" w:type="dxa"/>
          </w:tcPr>
          <w:p w14:paraId="3B15E7FE" w14:textId="77777777" w:rsidR="00961BEE" w:rsidRDefault="00961BEE" w:rsidP="002C72B0">
            <w:pPr>
              <w:rPr>
                <w:rFonts w:ascii="Times New Roman" w:hAnsi="Times New Roman" w:cs="Times New Roman"/>
                <w:b/>
                <w:bCs/>
              </w:rPr>
            </w:pPr>
            <w:r>
              <w:rPr>
                <w:rFonts w:ascii="Times New Roman" w:hAnsi="Times New Roman" w:cs="Times New Roman"/>
                <w:b/>
                <w:bCs/>
              </w:rPr>
              <w:t>11</w:t>
            </w:r>
          </w:p>
        </w:tc>
        <w:tc>
          <w:tcPr>
            <w:tcW w:w="995" w:type="dxa"/>
          </w:tcPr>
          <w:p w14:paraId="5271CFB8" w14:textId="77777777" w:rsidR="00961BEE" w:rsidRDefault="00961BEE" w:rsidP="002C72B0">
            <w:pPr>
              <w:rPr>
                <w:rFonts w:ascii="Times New Roman" w:hAnsi="Times New Roman" w:cs="Times New Roman"/>
                <w:b/>
                <w:bCs/>
              </w:rPr>
            </w:pPr>
            <w:r>
              <w:rPr>
                <w:rFonts w:ascii="Times New Roman" w:hAnsi="Times New Roman" w:cs="Times New Roman"/>
                <w:b/>
                <w:bCs/>
              </w:rPr>
              <w:t>12</w:t>
            </w:r>
          </w:p>
        </w:tc>
      </w:tr>
      <w:tr w:rsidR="007365E2" w14:paraId="1530C77B" w14:textId="77777777" w:rsidTr="007365E2">
        <w:trPr>
          <w:trHeight w:val="369"/>
        </w:trPr>
        <w:tc>
          <w:tcPr>
            <w:tcW w:w="1021" w:type="dxa"/>
          </w:tcPr>
          <w:p w14:paraId="29608184" w14:textId="77777777" w:rsidR="00961BEE" w:rsidRDefault="00961BEE" w:rsidP="002C72B0">
            <w:pPr>
              <w:rPr>
                <w:rFonts w:ascii="Times New Roman" w:hAnsi="Times New Roman" w:cs="Times New Roman"/>
                <w:b/>
                <w:bCs/>
              </w:rPr>
            </w:pPr>
            <w:r>
              <w:rPr>
                <w:rFonts w:ascii="Times New Roman" w:hAnsi="Times New Roman" w:cs="Times New Roman"/>
                <w:b/>
                <w:bCs/>
              </w:rPr>
              <w:t>F</w:t>
            </w:r>
            <w:r w:rsidRPr="007F02CF">
              <w:rPr>
                <w:rFonts w:ascii="Times New Roman" w:hAnsi="Times New Roman" w:cs="Times New Roman"/>
                <w:b/>
                <w:bCs/>
                <w:vertAlign w:val="subscript"/>
              </w:rPr>
              <w:t>st</w:t>
            </w:r>
          </w:p>
        </w:tc>
        <w:tc>
          <w:tcPr>
            <w:tcW w:w="995" w:type="dxa"/>
          </w:tcPr>
          <w:p w14:paraId="76557EA4" w14:textId="77777777" w:rsidR="00961BEE" w:rsidRPr="007F02CF" w:rsidRDefault="00961BEE" w:rsidP="002C72B0">
            <w:pPr>
              <w:rPr>
                <w:rFonts w:ascii="Times New Roman" w:hAnsi="Times New Roman" w:cs="Times New Roman"/>
              </w:rPr>
            </w:pPr>
            <w:r w:rsidRPr="007F02CF">
              <w:rPr>
                <w:rFonts w:ascii="Times New Roman" w:hAnsi="Times New Roman" w:cs="Times New Roman"/>
              </w:rPr>
              <w:t>0.198</w:t>
            </w:r>
          </w:p>
        </w:tc>
        <w:tc>
          <w:tcPr>
            <w:tcW w:w="995" w:type="dxa"/>
          </w:tcPr>
          <w:p w14:paraId="48E843AD" w14:textId="77777777" w:rsidR="00961BEE" w:rsidRPr="007F02CF" w:rsidRDefault="00961BEE" w:rsidP="002C72B0">
            <w:pPr>
              <w:rPr>
                <w:rFonts w:ascii="Times New Roman" w:hAnsi="Times New Roman" w:cs="Times New Roman"/>
              </w:rPr>
            </w:pPr>
            <w:r>
              <w:rPr>
                <w:rFonts w:ascii="Times New Roman" w:hAnsi="Times New Roman" w:cs="Times New Roman"/>
              </w:rPr>
              <w:t>0.175</w:t>
            </w:r>
          </w:p>
        </w:tc>
        <w:tc>
          <w:tcPr>
            <w:tcW w:w="995" w:type="dxa"/>
          </w:tcPr>
          <w:p w14:paraId="1179257B" w14:textId="77777777" w:rsidR="00961BEE" w:rsidRPr="007F02CF" w:rsidRDefault="00961BEE" w:rsidP="002C72B0">
            <w:pPr>
              <w:rPr>
                <w:rFonts w:ascii="Times New Roman" w:hAnsi="Times New Roman" w:cs="Times New Roman"/>
              </w:rPr>
            </w:pPr>
            <w:r>
              <w:rPr>
                <w:rFonts w:ascii="Times New Roman" w:hAnsi="Times New Roman" w:cs="Times New Roman"/>
              </w:rPr>
              <w:t>0.278</w:t>
            </w:r>
          </w:p>
        </w:tc>
        <w:tc>
          <w:tcPr>
            <w:tcW w:w="995" w:type="dxa"/>
          </w:tcPr>
          <w:p w14:paraId="6F9FAD28" w14:textId="77777777" w:rsidR="00961BEE" w:rsidRPr="007F02CF" w:rsidRDefault="00961BEE" w:rsidP="002C72B0">
            <w:pPr>
              <w:rPr>
                <w:rFonts w:ascii="Times New Roman" w:hAnsi="Times New Roman" w:cs="Times New Roman"/>
              </w:rPr>
            </w:pPr>
            <w:r>
              <w:rPr>
                <w:rFonts w:ascii="Times New Roman" w:hAnsi="Times New Roman" w:cs="Times New Roman"/>
              </w:rPr>
              <w:t>0.164</w:t>
            </w:r>
          </w:p>
        </w:tc>
        <w:tc>
          <w:tcPr>
            <w:tcW w:w="995" w:type="dxa"/>
          </w:tcPr>
          <w:p w14:paraId="5BC2D0B0" w14:textId="77777777" w:rsidR="00961BEE" w:rsidRPr="007F02CF" w:rsidRDefault="00961BEE" w:rsidP="002C72B0">
            <w:pPr>
              <w:rPr>
                <w:rFonts w:ascii="Times New Roman" w:hAnsi="Times New Roman" w:cs="Times New Roman"/>
              </w:rPr>
            </w:pPr>
            <w:r>
              <w:rPr>
                <w:rFonts w:ascii="Times New Roman" w:hAnsi="Times New Roman" w:cs="Times New Roman"/>
              </w:rPr>
              <w:t>0.275</w:t>
            </w:r>
          </w:p>
        </w:tc>
        <w:tc>
          <w:tcPr>
            <w:tcW w:w="995" w:type="dxa"/>
          </w:tcPr>
          <w:p w14:paraId="5BCCE533" w14:textId="77777777" w:rsidR="00961BEE" w:rsidRPr="007F02CF" w:rsidRDefault="00961BEE" w:rsidP="002C72B0">
            <w:pPr>
              <w:rPr>
                <w:rFonts w:ascii="Times New Roman" w:hAnsi="Times New Roman" w:cs="Times New Roman"/>
              </w:rPr>
            </w:pPr>
            <w:r>
              <w:rPr>
                <w:rFonts w:ascii="Times New Roman" w:hAnsi="Times New Roman" w:cs="Times New Roman"/>
              </w:rPr>
              <w:t>0.221</w:t>
            </w:r>
          </w:p>
        </w:tc>
        <w:tc>
          <w:tcPr>
            <w:tcW w:w="995" w:type="dxa"/>
          </w:tcPr>
          <w:p w14:paraId="5E81B9A1" w14:textId="77777777" w:rsidR="00961BEE" w:rsidRPr="007F02CF" w:rsidRDefault="00961BEE" w:rsidP="002C72B0">
            <w:pPr>
              <w:rPr>
                <w:rFonts w:ascii="Times New Roman" w:hAnsi="Times New Roman" w:cs="Times New Roman"/>
              </w:rPr>
            </w:pPr>
            <w:r>
              <w:rPr>
                <w:rFonts w:ascii="Times New Roman" w:hAnsi="Times New Roman" w:cs="Times New Roman"/>
              </w:rPr>
              <w:t>0.230</w:t>
            </w:r>
          </w:p>
        </w:tc>
        <w:tc>
          <w:tcPr>
            <w:tcW w:w="995" w:type="dxa"/>
          </w:tcPr>
          <w:p w14:paraId="31BB491B" w14:textId="77777777" w:rsidR="00961BEE" w:rsidRPr="007F02CF" w:rsidRDefault="00961BEE" w:rsidP="002C72B0">
            <w:pPr>
              <w:rPr>
                <w:rFonts w:ascii="Times New Roman" w:hAnsi="Times New Roman" w:cs="Times New Roman"/>
              </w:rPr>
            </w:pPr>
            <w:r>
              <w:rPr>
                <w:rFonts w:ascii="Times New Roman" w:hAnsi="Times New Roman" w:cs="Times New Roman"/>
              </w:rPr>
              <w:t>0.318</w:t>
            </w:r>
          </w:p>
        </w:tc>
        <w:tc>
          <w:tcPr>
            <w:tcW w:w="995" w:type="dxa"/>
          </w:tcPr>
          <w:p w14:paraId="78F04EB2" w14:textId="77777777" w:rsidR="00961BEE" w:rsidRPr="007F02CF" w:rsidRDefault="00961BEE" w:rsidP="002C72B0">
            <w:pPr>
              <w:rPr>
                <w:rFonts w:ascii="Times New Roman" w:hAnsi="Times New Roman" w:cs="Times New Roman"/>
              </w:rPr>
            </w:pPr>
            <w:r>
              <w:rPr>
                <w:rFonts w:ascii="Times New Roman" w:hAnsi="Times New Roman" w:cs="Times New Roman"/>
              </w:rPr>
              <w:t>0.262</w:t>
            </w:r>
          </w:p>
        </w:tc>
        <w:tc>
          <w:tcPr>
            <w:tcW w:w="995" w:type="dxa"/>
          </w:tcPr>
          <w:p w14:paraId="36080437" w14:textId="77777777" w:rsidR="00961BEE" w:rsidRPr="007F02CF" w:rsidRDefault="00961BEE" w:rsidP="002C72B0">
            <w:pPr>
              <w:rPr>
                <w:rFonts w:ascii="Times New Roman" w:hAnsi="Times New Roman" w:cs="Times New Roman"/>
              </w:rPr>
            </w:pPr>
            <w:r>
              <w:rPr>
                <w:rFonts w:ascii="Times New Roman" w:hAnsi="Times New Roman" w:cs="Times New Roman"/>
              </w:rPr>
              <w:t>0.357</w:t>
            </w:r>
          </w:p>
        </w:tc>
        <w:tc>
          <w:tcPr>
            <w:tcW w:w="995" w:type="dxa"/>
          </w:tcPr>
          <w:p w14:paraId="6C968E11" w14:textId="77777777" w:rsidR="00961BEE" w:rsidRPr="007F02CF" w:rsidRDefault="00961BEE" w:rsidP="002C72B0">
            <w:pPr>
              <w:rPr>
                <w:rFonts w:ascii="Times New Roman" w:hAnsi="Times New Roman" w:cs="Times New Roman"/>
              </w:rPr>
            </w:pPr>
            <w:r>
              <w:rPr>
                <w:rFonts w:ascii="Times New Roman" w:hAnsi="Times New Roman" w:cs="Times New Roman"/>
              </w:rPr>
              <w:t>0.306</w:t>
            </w:r>
          </w:p>
        </w:tc>
        <w:tc>
          <w:tcPr>
            <w:tcW w:w="995" w:type="dxa"/>
          </w:tcPr>
          <w:p w14:paraId="66D50514" w14:textId="77777777" w:rsidR="00961BEE" w:rsidRPr="007F02CF" w:rsidRDefault="00961BEE" w:rsidP="002C72B0">
            <w:pPr>
              <w:rPr>
                <w:rFonts w:ascii="Times New Roman" w:hAnsi="Times New Roman" w:cs="Times New Roman"/>
              </w:rPr>
            </w:pPr>
            <w:r>
              <w:rPr>
                <w:rFonts w:ascii="Times New Roman" w:hAnsi="Times New Roman" w:cs="Times New Roman"/>
              </w:rPr>
              <w:t>0.096</w:t>
            </w:r>
          </w:p>
        </w:tc>
      </w:tr>
      <w:tr w:rsidR="007365E2" w14:paraId="3F234E67" w14:textId="77777777" w:rsidTr="007365E2">
        <w:trPr>
          <w:trHeight w:val="369"/>
        </w:trPr>
        <w:tc>
          <w:tcPr>
            <w:tcW w:w="1021" w:type="dxa"/>
          </w:tcPr>
          <w:p w14:paraId="0B616CCA" w14:textId="77777777" w:rsidR="00961BEE" w:rsidRDefault="00961BEE" w:rsidP="002C72B0">
            <w:pPr>
              <w:rPr>
                <w:rFonts w:ascii="Times New Roman" w:hAnsi="Times New Roman" w:cs="Times New Roman"/>
                <w:b/>
                <w:bCs/>
              </w:rPr>
            </w:pPr>
            <w:r>
              <w:rPr>
                <w:rFonts w:ascii="Times New Roman" w:hAnsi="Times New Roman" w:cs="Times New Roman"/>
                <w:b/>
                <w:bCs/>
              </w:rPr>
              <w:t>D</w:t>
            </w:r>
            <w:r w:rsidRPr="007F02CF">
              <w:rPr>
                <w:rFonts w:ascii="Times New Roman" w:hAnsi="Times New Roman" w:cs="Times New Roman"/>
                <w:b/>
                <w:bCs/>
                <w:vertAlign w:val="subscript"/>
              </w:rPr>
              <w:t>xy</w:t>
            </w:r>
          </w:p>
        </w:tc>
        <w:tc>
          <w:tcPr>
            <w:tcW w:w="995" w:type="dxa"/>
          </w:tcPr>
          <w:p w14:paraId="33973037" w14:textId="77777777" w:rsidR="00961BEE" w:rsidRPr="007F02CF" w:rsidRDefault="00961BEE" w:rsidP="002C72B0">
            <w:pPr>
              <w:rPr>
                <w:rFonts w:ascii="Times New Roman" w:hAnsi="Times New Roman" w:cs="Times New Roman"/>
              </w:rPr>
            </w:pPr>
            <w:r>
              <w:rPr>
                <w:rFonts w:ascii="Times New Roman" w:hAnsi="Times New Roman" w:cs="Times New Roman"/>
              </w:rPr>
              <w:t>0.111</w:t>
            </w:r>
          </w:p>
        </w:tc>
        <w:tc>
          <w:tcPr>
            <w:tcW w:w="995" w:type="dxa"/>
          </w:tcPr>
          <w:p w14:paraId="4A21759D" w14:textId="77777777" w:rsidR="00961BEE" w:rsidRPr="007F02CF" w:rsidRDefault="00961BEE" w:rsidP="002C72B0">
            <w:pPr>
              <w:rPr>
                <w:rFonts w:ascii="Times New Roman" w:hAnsi="Times New Roman" w:cs="Times New Roman"/>
              </w:rPr>
            </w:pPr>
            <w:r>
              <w:rPr>
                <w:rFonts w:ascii="Times New Roman" w:hAnsi="Times New Roman" w:cs="Times New Roman"/>
              </w:rPr>
              <w:t>0.116</w:t>
            </w:r>
          </w:p>
        </w:tc>
        <w:tc>
          <w:tcPr>
            <w:tcW w:w="995" w:type="dxa"/>
          </w:tcPr>
          <w:p w14:paraId="00A9D464" w14:textId="77777777" w:rsidR="00961BEE" w:rsidRPr="007F02CF" w:rsidRDefault="00961BEE" w:rsidP="002C72B0">
            <w:pPr>
              <w:rPr>
                <w:rFonts w:ascii="Times New Roman" w:hAnsi="Times New Roman" w:cs="Times New Roman"/>
              </w:rPr>
            </w:pPr>
            <w:r>
              <w:rPr>
                <w:rFonts w:ascii="Times New Roman" w:hAnsi="Times New Roman" w:cs="Times New Roman"/>
              </w:rPr>
              <w:t>0.129</w:t>
            </w:r>
          </w:p>
        </w:tc>
        <w:tc>
          <w:tcPr>
            <w:tcW w:w="995" w:type="dxa"/>
          </w:tcPr>
          <w:p w14:paraId="0E45B754" w14:textId="77777777" w:rsidR="00961BEE" w:rsidRPr="007F02CF" w:rsidRDefault="00961BEE" w:rsidP="002C72B0">
            <w:pPr>
              <w:rPr>
                <w:rFonts w:ascii="Times New Roman" w:hAnsi="Times New Roman" w:cs="Times New Roman"/>
              </w:rPr>
            </w:pPr>
            <w:r>
              <w:rPr>
                <w:rFonts w:ascii="Times New Roman" w:hAnsi="Times New Roman" w:cs="Times New Roman"/>
              </w:rPr>
              <w:t>0.107</w:t>
            </w:r>
          </w:p>
        </w:tc>
        <w:tc>
          <w:tcPr>
            <w:tcW w:w="995" w:type="dxa"/>
          </w:tcPr>
          <w:p w14:paraId="2396D16F" w14:textId="77777777" w:rsidR="00961BEE" w:rsidRPr="007F02CF" w:rsidRDefault="00961BEE" w:rsidP="002C72B0">
            <w:pPr>
              <w:rPr>
                <w:rFonts w:ascii="Times New Roman" w:hAnsi="Times New Roman" w:cs="Times New Roman"/>
              </w:rPr>
            </w:pPr>
            <w:r>
              <w:rPr>
                <w:rFonts w:ascii="Times New Roman" w:hAnsi="Times New Roman" w:cs="Times New Roman"/>
              </w:rPr>
              <w:t>0.136</w:t>
            </w:r>
          </w:p>
        </w:tc>
        <w:tc>
          <w:tcPr>
            <w:tcW w:w="995" w:type="dxa"/>
          </w:tcPr>
          <w:p w14:paraId="6BED4BFA" w14:textId="77777777" w:rsidR="00961BEE" w:rsidRPr="007F02CF" w:rsidRDefault="00961BEE" w:rsidP="002C72B0">
            <w:pPr>
              <w:rPr>
                <w:rFonts w:ascii="Times New Roman" w:hAnsi="Times New Roman" w:cs="Times New Roman"/>
              </w:rPr>
            </w:pPr>
            <w:r>
              <w:rPr>
                <w:rFonts w:ascii="Times New Roman" w:hAnsi="Times New Roman" w:cs="Times New Roman"/>
              </w:rPr>
              <w:t>0.120</w:t>
            </w:r>
          </w:p>
        </w:tc>
        <w:tc>
          <w:tcPr>
            <w:tcW w:w="995" w:type="dxa"/>
          </w:tcPr>
          <w:p w14:paraId="0988A44E" w14:textId="77777777" w:rsidR="00961BEE" w:rsidRPr="007F02CF" w:rsidRDefault="00961BEE" w:rsidP="002C72B0">
            <w:pPr>
              <w:rPr>
                <w:rFonts w:ascii="Times New Roman" w:hAnsi="Times New Roman" w:cs="Times New Roman"/>
              </w:rPr>
            </w:pPr>
            <w:r>
              <w:rPr>
                <w:rFonts w:ascii="Times New Roman" w:hAnsi="Times New Roman" w:cs="Times New Roman"/>
              </w:rPr>
              <w:t>0.129</w:t>
            </w:r>
          </w:p>
        </w:tc>
        <w:tc>
          <w:tcPr>
            <w:tcW w:w="995" w:type="dxa"/>
          </w:tcPr>
          <w:p w14:paraId="5A14048C" w14:textId="77777777" w:rsidR="00961BEE" w:rsidRPr="007F02CF" w:rsidRDefault="00961BEE" w:rsidP="002C72B0">
            <w:pPr>
              <w:rPr>
                <w:rFonts w:ascii="Times New Roman" w:hAnsi="Times New Roman" w:cs="Times New Roman"/>
              </w:rPr>
            </w:pPr>
            <w:r>
              <w:rPr>
                <w:rFonts w:ascii="Times New Roman" w:hAnsi="Times New Roman" w:cs="Times New Roman"/>
              </w:rPr>
              <w:t>0.148</w:t>
            </w:r>
          </w:p>
        </w:tc>
        <w:tc>
          <w:tcPr>
            <w:tcW w:w="995" w:type="dxa"/>
          </w:tcPr>
          <w:p w14:paraId="4CFF6240" w14:textId="77777777" w:rsidR="00961BEE" w:rsidRPr="007F02CF" w:rsidRDefault="00961BEE" w:rsidP="002C72B0">
            <w:pPr>
              <w:rPr>
                <w:rFonts w:ascii="Times New Roman" w:hAnsi="Times New Roman" w:cs="Times New Roman"/>
              </w:rPr>
            </w:pPr>
            <w:r>
              <w:rPr>
                <w:rFonts w:ascii="Times New Roman" w:hAnsi="Times New Roman" w:cs="Times New Roman"/>
              </w:rPr>
              <w:t>0.145</w:t>
            </w:r>
          </w:p>
        </w:tc>
        <w:tc>
          <w:tcPr>
            <w:tcW w:w="995" w:type="dxa"/>
          </w:tcPr>
          <w:p w14:paraId="7C690098" w14:textId="77777777" w:rsidR="00961BEE" w:rsidRPr="007F02CF" w:rsidRDefault="00961BEE" w:rsidP="002C72B0">
            <w:pPr>
              <w:rPr>
                <w:rFonts w:ascii="Times New Roman" w:hAnsi="Times New Roman" w:cs="Times New Roman"/>
              </w:rPr>
            </w:pPr>
            <w:r>
              <w:rPr>
                <w:rFonts w:ascii="Times New Roman" w:hAnsi="Times New Roman" w:cs="Times New Roman"/>
              </w:rPr>
              <w:t>0.167</w:t>
            </w:r>
          </w:p>
        </w:tc>
        <w:tc>
          <w:tcPr>
            <w:tcW w:w="995" w:type="dxa"/>
          </w:tcPr>
          <w:p w14:paraId="6348D522" w14:textId="77777777" w:rsidR="00961BEE" w:rsidRPr="007F02CF" w:rsidRDefault="00961BEE" w:rsidP="002C72B0">
            <w:pPr>
              <w:rPr>
                <w:rFonts w:ascii="Times New Roman" w:hAnsi="Times New Roman" w:cs="Times New Roman"/>
              </w:rPr>
            </w:pPr>
            <w:r>
              <w:rPr>
                <w:rFonts w:ascii="Times New Roman" w:hAnsi="Times New Roman" w:cs="Times New Roman"/>
              </w:rPr>
              <w:t>0.164</w:t>
            </w:r>
          </w:p>
        </w:tc>
        <w:tc>
          <w:tcPr>
            <w:tcW w:w="995" w:type="dxa"/>
          </w:tcPr>
          <w:p w14:paraId="7C255463" w14:textId="77777777" w:rsidR="00961BEE" w:rsidRPr="007F02CF" w:rsidRDefault="00961BEE" w:rsidP="002C72B0">
            <w:pPr>
              <w:rPr>
                <w:rFonts w:ascii="Times New Roman" w:hAnsi="Times New Roman" w:cs="Times New Roman"/>
              </w:rPr>
            </w:pPr>
            <w:r>
              <w:rPr>
                <w:rFonts w:ascii="Times New Roman" w:hAnsi="Times New Roman" w:cs="Times New Roman"/>
              </w:rPr>
              <w:t>0.102</w:t>
            </w:r>
          </w:p>
        </w:tc>
      </w:tr>
      <w:tr w:rsidR="007365E2" w14:paraId="4F373B9D" w14:textId="77777777" w:rsidTr="007365E2">
        <w:trPr>
          <w:trHeight w:val="369"/>
        </w:trPr>
        <w:tc>
          <w:tcPr>
            <w:tcW w:w="1021" w:type="dxa"/>
          </w:tcPr>
          <w:p w14:paraId="4883A9BF" w14:textId="77777777" w:rsidR="00961BEE" w:rsidRPr="007F02CF" w:rsidRDefault="00961BEE" w:rsidP="002C72B0">
            <w:pPr>
              <w:rPr>
                <w:rFonts w:ascii="Times New Roman" w:hAnsi="Times New Roman" w:cs="Times New Roman"/>
                <w:b/>
                <w:bCs/>
                <w:vertAlign w:val="subscript"/>
              </w:rPr>
            </w:pPr>
            <w:r>
              <w:rPr>
                <w:rFonts w:ascii="Times New Roman" w:hAnsi="Times New Roman" w:cs="Times New Roman"/>
                <w:b/>
                <w:bCs/>
              </w:rPr>
              <w:t xml:space="preserve">π </w:t>
            </w:r>
            <w:r w:rsidRPr="007F02CF">
              <w:rPr>
                <w:rFonts w:ascii="Times New Roman" w:hAnsi="Times New Roman" w:cs="Times New Roman"/>
                <w:b/>
                <w:bCs/>
                <w:vertAlign w:val="subscript"/>
              </w:rPr>
              <w:t>pa</w:t>
            </w:r>
          </w:p>
        </w:tc>
        <w:tc>
          <w:tcPr>
            <w:tcW w:w="995" w:type="dxa"/>
          </w:tcPr>
          <w:p w14:paraId="7E13E68A" w14:textId="77777777" w:rsidR="00961BEE" w:rsidRPr="007F02CF" w:rsidRDefault="00961BEE" w:rsidP="002C72B0">
            <w:pPr>
              <w:rPr>
                <w:rFonts w:ascii="Times New Roman" w:hAnsi="Times New Roman" w:cs="Times New Roman"/>
              </w:rPr>
            </w:pPr>
            <w:r>
              <w:rPr>
                <w:rFonts w:ascii="Times New Roman" w:hAnsi="Times New Roman" w:cs="Times New Roman"/>
              </w:rPr>
              <w:t>0.057</w:t>
            </w:r>
          </w:p>
        </w:tc>
        <w:tc>
          <w:tcPr>
            <w:tcW w:w="995" w:type="dxa"/>
          </w:tcPr>
          <w:p w14:paraId="5C803A63" w14:textId="77777777" w:rsidR="00961BEE" w:rsidRPr="007F02CF" w:rsidRDefault="00961BEE" w:rsidP="002C72B0">
            <w:pPr>
              <w:rPr>
                <w:rFonts w:ascii="Times New Roman" w:hAnsi="Times New Roman" w:cs="Times New Roman"/>
              </w:rPr>
            </w:pPr>
            <w:r>
              <w:rPr>
                <w:rFonts w:ascii="Times New Roman" w:hAnsi="Times New Roman" w:cs="Times New Roman"/>
              </w:rPr>
              <w:t>0.059</w:t>
            </w:r>
          </w:p>
        </w:tc>
        <w:tc>
          <w:tcPr>
            <w:tcW w:w="995" w:type="dxa"/>
          </w:tcPr>
          <w:p w14:paraId="3E4CC45A" w14:textId="77777777" w:rsidR="00961BEE" w:rsidRPr="007F02CF" w:rsidRDefault="00961BEE" w:rsidP="002C72B0">
            <w:pPr>
              <w:rPr>
                <w:rFonts w:ascii="Times New Roman" w:hAnsi="Times New Roman" w:cs="Times New Roman"/>
              </w:rPr>
            </w:pPr>
            <w:r>
              <w:rPr>
                <w:rFonts w:ascii="Times New Roman" w:hAnsi="Times New Roman" w:cs="Times New Roman"/>
              </w:rPr>
              <w:t>0.049</w:t>
            </w:r>
          </w:p>
        </w:tc>
        <w:tc>
          <w:tcPr>
            <w:tcW w:w="995" w:type="dxa"/>
          </w:tcPr>
          <w:p w14:paraId="2215891D" w14:textId="77777777" w:rsidR="00961BEE" w:rsidRPr="007F02CF" w:rsidRDefault="00961BEE" w:rsidP="002C72B0">
            <w:pPr>
              <w:rPr>
                <w:rFonts w:ascii="Times New Roman" w:hAnsi="Times New Roman" w:cs="Times New Roman"/>
              </w:rPr>
            </w:pPr>
            <w:r>
              <w:rPr>
                <w:rFonts w:ascii="Times New Roman" w:hAnsi="Times New Roman" w:cs="Times New Roman"/>
              </w:rPr>
              <w:t>0.060</w:t>
            </w:r>
          </w:p>
        </w:tc>
        <w:tc>
          <w:tcPr>
            <w:tcW w:w="995" w:type="dxa"/>
          </w:tcPr>
          <w:p w14:paraId="2F39DDE6" w14:textId="77777777" w:rsidR="00961BEE" w:rsidRPr="007F02CF" w:rsidRDefault="00961BEE" w:rsidP="002C72B0">
            <w:pPr>
              <w:rPr>
                <w:rFonts w:ascii="Times New Roman" w:hAnsi="Times New Roman" w:cs="Times New Roman"/>
              </w:rPr>
            </w:pPr>
            <w:r>
              <w:rPr>
                <w:rFonts w:ascii="Times New Roman" w:hAnsi="Times New Roman" w:cs="Times New Roman"/>
              </w:rPr>
              <w:t>0.052</w:t>
            </w:r>
          </w:p>
        </w:tc>
        <w:tc>
          <w:tcPr>
            <w:tcW w:w="995" w:type="dxa"/>
          </w:tcPr>
          <w:p w14:paraId="5A029B84" w14:textId="77777777" w:rsidR="00961BEE" w:rsidRPr="007F02CF" w:rsidRDefault="00961BEE" w:rsidP="002C72B0">
            <w:pPr>
              <w:rPr>
                <w:rFonts w:ascii="Times New Roman" w:hAnsi="Times New Roman" w:cs="Times New Roman"/>
              </w:rPr>
            </w:pPr>
            <w:r>
              <w:rPr>
                <w:rFonts w:ascii="Times New Roman" w:hAnsi="Times New Roman" w:cs="Times New Roman"/>
              </w:rPr>
              <w:t>0.050</w:t>
            </w:r>
          </w:p>
        </w:tc>
        <w:tc>
          <w:tcPr>
            <w:tcW w:w="995" w:type="dxa"/>
          </w:tcPr>
          <w:p w14:paraId="3115046D" w14:textId="77777777" w:rsidR="00961BEE" w:rsidRPr="007F02CF" w:rsidRDefault="00961BEE" w:rsidP="002C72B0">
            <w:pPr>
              <w:rPr>
                <w:rFonts w:ascii="Times New Roman" w:hAnsi="Times New Roman" w:cs="Times New Roman"/>
              </w:rPr>
            </w:pPr>
            <w:r>
              <w:rPr>
                <w:rFonts w:ascii="Times New Roman" w:hAnsi="Times New Roman" w:cs="Times New Roman"/>
              </w:rPr>
              <w:t>0.054</w:t>
            </w:r>
          </w:p>
        </w:tc>
        <w:tc>
          <w:tcPr>
            <w:tcW w:w="995" w:type="dxa"/>
          </w:tcPr>
          <w:p w14:paraId="0E578B8A" w14:textId="77777777" w:rsidR="00961BEE" w:rsidRPr="007F02CF" w:rsidRDefault="00961BEE" w:rsidP="002C72B0">
            <w:pPr>
              <w:rPr>
                <w:rFonts w:ascii="Times New Roman" w:hAnsi="Times New Roman" w:cs="Times New Roman"/>
              </w:rPr>
            </w:pPr>
            <w:r>
              <w:rPr>
                <w:rFonts w:ascii="Times New Roman" w:hAnsi="Times New Roman" w:cs="Times New Roman"/>
              </w:rPr>
              <w:t>0.053</w:t>
            </w:r>
          </w:p>
        </w:tc>
        <w:tc>
          <w:tcPr>
            <w:tcW w:w="995" w:type="dxa"/>
          </w:tcPr>
          <w:p w14:paraId="4F90DA9D" w14:textId="77777777" w:rsidR="00961BEE" w:rsidRPr="007F02CF" w:rsidRDefault="00961BEE" w:rsidP="002C72B0">
            <w:pPr>
              <w:rPr>
                <w:rFonts w:ascii="Times New Roman" w:hAnsi="Times New Roman" w:cs="Times New Roman"/>
              </w:rPr>
            </w:pPr>
            <w:r>
              <w:rPr>
                <w:rFonts w:ascii="Times New Roman" w:hAnsi="Times New Roman" w:cs="Times New Roman"/>
              </w:rPr>
              <w:t>0.060</w:t>
            </w:r>
          </w:p>
        </w:tc>
        <w:tc>
          <w:tcPr>
            <w:tcW w:w="995" w:type="dxa"/>
          </w:tcPr>
          <w:p w14:paraId="031F9CB2" w14:textId="77777777" w:rsidR="00961BEE" w:rsidRPr="007F02CF" w:rsidRDefault="00961BEE" w:rsidP="002C72B0">
            <w:pPr>
              <w:rPr>
                <w:rFonts w:ascii="Times New Roman" w:hAnsi="Times New Roman" w:cs="Times New Roman"/>
              </w:rPr>
            </w:pPr>
            <w:r>
              <w:rPr>
                <w:rFonts w:ascii="Times New Roman" w:hAnsi="Times New Roman" w:cs="Times New Roman"/>
              </w:rPr>
              <w:t>0.043</w:t>
            </w:r>
          </w:p>
        </w:tc>
        <w:tc>
          <w:tcPr>
            <w:tcW w:w="995" w:type="dxa"/>
          </w:tcPr>
          <w:p w14:paraId="6ECAFC1A" w14:textId="77777777" w:rsidR="00961BEE" w:rsidRPr="007F02CF" w:rsidRDefault="00961BEE" w:rsidP="002C72B0">
            <w:pPr>
              <w:rPr>
                <w:rFonts w:ascii="Times New Roman" w:hAnsi="Times New Roman" w:cs="Times New Roman"/>
              </w:rPr>
            </w:pPr>
            <w:r>
              <w:rPr>
                <w:rFonts w:ascii="Times New Roman" w:hAnsi="Times New Roman" w:cs="Times New Roman"/>
              </w:rPr>
              <w:t>0.057</w:t>
            </w:r>
          </w:p>
        </w:tc>
        <w:tc>
          <w:tcPr>
            <w:tcW w:w="995" w:type="dxa"/>
          </w:tcPr>
          <w:p w14:paraId="7C366E6D" w14:textId="77777777" w:rsidR="00961BEE" w:rsidRPr="007F02CF" w:rsidRDefault="00961BEE" w:rsidP="002C72B0">
            <w:pPr>
              <w:rPr>
                <w:rFonts w:ascii="Times New Roman" w:hAnsi="Times New Roman" w:cs="Times New Roman"/>
              </w:rPr>
            </w:pPr>
            <w:r>
              <w:rPr>
                <w:rFonts w:ascii="Times New Roman" w:hAnsi="Times New Roman" w:cs="Times New Roman"/>
              </w:rPr>
              <w:t>0.057</w:t>
            </w:r>
          </w:p>
        </w:tc>
      </w:tr>
      <w:tr w:rsidR="007365E2" w14:paraId="06007B82" w14:textId="77777777" w:rsidTr="007365E2">
        <w:trPr>
          <w:trHeight w:val="369"/>
        </w:trPr>
        <w:tc>
          <w:tcPr>
            <w:tcW w:w="1021" w:type="dxa"/>
          </w:tcPr>
          <w:p w14:paraId="14F6E528" w14:textId="77777777" w:rsidR="00961BEE" w:rsidRDefault="00961BEE" w:rsidP="002C72B0">
            <w:pPr>
              <w:rPr>
                <w:rFonts w:ascii="Times New Roman" w:hAnsi="Times New Roman" w:cs="Times New Roman"/>
                <w:b/>
                <w:bCs/>
              </w:rPr>
            </w:pPr>
            <w:r w:rsidRPr="007F02CF">
              <w:rPr>
                <w:rFonts w:ascii="Times New Roman" w:hAnsi="Times New Roman" w:cs="Times New Roman"/>
                <w:b/>
                <w:bCs/>
              </w:rPr>
              <w:t xml:space="preserve">π </w:t>
            </w:r>
            <w:r w:rsidRPr="007F02CF">
              <w:rPr>
                <w:rFonts w:ascii="Times New Roman" w:hAnsi="Times New Roman" w:cs="Times New Roman"/>
                <w:b/>
                <w:bCs/>
                <w:vertAlign w:val="subscript"/>
              </w:rPr>
              <w:t>px</w:t>
            </w:r>
          </w:p>
        </w:tc>
        <w:tc>
          <w:tcPr>
            <w:tcW w:w="995" w:type="dxa"/>
          </w:tcPr>
          <w:p w14:paraId="5EC1F151" w14:textId="77777777" w:rsidR="00961BEE" w:rsidRPr="007F02CF" w:rsidRDefault="00961BEE" w:rsidP="002C72B0">
            <w:pPr>
              <w:rPr>
                <w:rFonts w:ascii="Times New Roman" w:hAnsi="Times New Roman" w:cs="Times New Roman"/>
              </w:rPr>
            </w:pPr>
            <w:r>
              <w:rPr>
                <w:rFonts w:ascii="Times New Roman" w:hAnsi="Times New Roman" w:cs="Times New Roman"/>
              </w:rPr>
              <w:t>0.076</w:t>
            </w:r>
          </w:p>
        </w:tc>
        <w:tc>
          <w:tcPr>
            <w:tcW w:w="995" w:type="dxa"/>
          </w:tcPr>
          <w:p w14:paraId="51539CB2" w14:textId="77777777" w:rsidR="00961BEE" w:rsidRPr="007F02CF" w:rsidRDefault="00961BEE" w:rsidP="002C72B0">
            <w:pPr>
              <w:rPr>
                <w:rFonts w:ascii="Times New Roman" w:hAnsi="Times New Roman" w:cs="Times New Roman"/>
              </w:rPr>
            </w:pPr>
            <w:r>
              <w:rPr>
                <w:rFonts w:ascii="Times New Roman" w:hAnsi="Times New Roman" w:cs="Times New Roman"/>
              </w:rPr>
              <w:t>0.089</w:t>
            </w:r>
          </w:p>
        </w:tc>
        <w:tc>
          <w:tcPr>
            <w:tcW w:w="995" w:type="dxa"/>
          </w:tcPr>
          <w:p w14:paraId="0FAF4490" w14:textId="77777777" w:rsidR="00961BEE" w:rsidRPr="007F02CF" w:rsidRDefault="00961BEE" w:rsidP="002C72B0">
            <w:pPr>
              <w:rPr>
                <w:rFonts w:ascii="Times New Roman" w:hAnsi="Times New Roman" w:cs="Times New Roman"/>
              </w:rPr>
            </w:pPr>
            <w:r>
              <w:rPr>
                <w:rFonts w:ascii="Times New Roman" w:hAnsi="Times New Roman" w:cs="Times New Roman"/>
              </w:rPr>
              <w:t>0.075</w:t>
            </w:r>
          </w:p>
        </w:tc>
        <w:tc>
          <w:tcPr>
            <w:tcW w:w="995" w:type="dxa"/>
          </w:tcPr>
          <w:p w14:paraId="51E6115E" w14:textId="77777777" w:rsidR="00961BEE" w:rsidRPr="007F02CF" w:rsidRDefault="00961BEE" w:rsidP="002C72B0">
            <w:pPr>
              <w:rPr>
                <w:rFonts w:ascii="Times New Roman" w:hAnsi="Times New Roman" w:cs="Times New Roman"/>
              </w:rPr>
            </w:pPr>
            <w:r>
              <w:rPr>
                <w:rFonts w:ascii="Times New Roman" w:hAnsi="Times New Roman" w:cs="Times New Roman"/>
              </w:rPr>
              <w:t>0.083</w:t>
            </w:r>
          </w:p>
        </w:tc>
        <w:tc>
          <w:tcPr>
            <w:tcW w:w="995" w:type="dxa"/>
          </w:tcPr>
          <w:p w14:paraId="023520D0" w14:textId="77777777" w:rsidR="00961BEE" w:rsidRPr="007F02CF" w:rsidRDefault="00961BEE" w:rsidP="002C72B0">
            <w:pPr>
              <w:rPr>
                <w:rFonts w:ascii="Times New Roman" w:hAnsi="Times New Roman" w:cs="Times New Roman"/>
              </w:rPr>
            </w:pPr>
            <w:r>
              <w:rPr>
                <w:rFonts w:ascii="Times New Roman" w:hAnsi="Times New Roman" w:cs="Times New Roman"/>
              </w:rPr>
              <w:t>0.089</w:t>
            </w:r>
          </w:p>
        </w:tc>
        <w:tc>
          <w:tcPr>
            <w:tcW w:w="995" w:type="dxa"/>
          </w:tcPr>
          <w:p w14:paraId="4B3880FC" w14:textId="77777777" w:rsidR="00961BEE" w:rsidRPr="007F02CF" w:rsidRDefault="00961BEE" w:rsidP="002C72B0">
            <w:pPr>
              <w:rPr>
                <w:rFonts w:ascii="Times New Roman" w:hAnsi="Times New Roman" w:cs="Times New Roman"/>
              </w:rPr>
            </w:pPr>
            <w:r>
              <w:rPr>
                <w:rFonts w:ascii="Times New Roman" w:hAnsi="Times New Roman" w:cs="Times New Roman"/>
              </w:rPr>
              <w:t>0.086</w:t>
            </w:r>
          </w:p>
        </w:tc>
        <w:tc>
          <w:tcPr>
            <w:tcW w:w="995" w:type="dxa"/>
          </w:tcPr>
          <w:p w14:paraId="51B930F2" w14:textId="77777777" w:rsidR="00961BEE" w:rsidRPr="007F02CF" w:rsidRDefault="00961BEE" w:rsidP="002C72B0">
            <w:pPr>
              <w:rPr>
                <w:rFonts w:ascii="Times New Roman" w:hAnsi="Times New Roman" w:cs="Times New Roman"/>
              </w:rPr>
            </w:pPr>
            <w:r>
              <w:rPr>
                <w:rFonts w:ascii="Times New Roman" w:hAnsi="Times New Roman" w:cs="Times New Roman"/>
              </w:rPr>
              <w:t>0.094</w:t>
            </w:r>
          </w:p>
        </w:tc>
        <w:tc>
          <w:tcPr>
            <w:tcW w:w="995" w:type="dxa"/>
          </w:tcPr>
          <w:p w14:paraId="489785E3" w14:textId="77777777" w:rsidR="00961BEE" w:rsidRPr="007F02CF" w:rsidRDefault="00961BEE" w:rsidP="002C72B0">
            <w:pPr>
              <w:rPr>
                <w:rFonts w:ascii="Times New Roman" w:hAnsi="Times New Roman" w:cs="Times New Roman"/>
              </w:rPr>
            </w:pPr>
            <w:r>
              <w:rPr>
                <w:rFonts w:ascii="Times New Roman" w:hAnsi="Times New Roman" w:cs="Times New Roman"/>
              </w:rPr>
              <w:t>0.082</w:t>
            </w:r>
          </w:p>
        </w:tc>
        <w:tc>
          <w:tcPr>
            <w:tcW w:w="995" w:type="dxa"/>
          </w:tcPr>
          <w:p w14:paraId="77F8245C" w14:textId="77777777" w:rsidR="00961BEE" w:rsidRPr="007F02CF" w:rsidRDefault="00961BEE" w:rsidP="002C72B0">
            <w:pPr>
              <w:rPr>
                <w:rFonts w:ascii="Times New Roman" w:hAnsi="Times New Roman" w:cs="Times New Roman"/>
              </w:rPr>
            </w:pPr>
            <w:r>
              <w:rPr>
                <w:rFonts w:ascii="Times New Roman" w:hAnsi="Times New Roman" w:cs="Times New Roman"/>
              </w:rPr>
              <w:t>0.096</w:t>
            </w:r>
          </w:p>
        </w:tc>
        <w:tc>
          <w:tcPr>
            <w:tcW w:w="995" w:type="dxa"/>
          </w:tcPr>
          <w:p w14:paraId="0597E7E5" w14:textId="77777777" w:rsidR="00961BEE" w:rsidRPr="007F02CF" w:rsidRDefault="00961BEE" w:rsidP="002C72B0">
            <w:pPr>
              <w:rPr>
                <w:rFonts w:ascii="Times New Roman" w:hAnsi="Times New Roman" w:cs="Times New Roman"/>
              </w:rPr>
            </w:pPr>
            <w:r>
              <w:rPr>
                <w:rFonts w:ascii="Times New Roman" w:hAnsi="Times New Roman" w:cs="Times New Roman"/>
              </w:rPr>
              <w:t>0.095</w:t>
            </w:r>
          </w:p>
        </w:tc>
        <w:tc>
          <w:tcPr>
            <w:tcW w:w="995" w:type="dxa"/>
          </w:tcPr>
          <w:p w14:paraId="2FA7E315" w14:textId="77777777" w:rsidR="00961BEE" w:rsidRPr="007F02CF" w:rsidRDefault="00961BEE" w:rsidP="002C72B0">
            <w:pPr>
              <w:rPr>
                <w:rFonts w:ascii="Times New Roman" w:hAnsi="Times New Roman" w:cs="Times New Roman"/>
              </w:rPr>
            </w:pPr>
            <w:r>
              <w:rPr>
                <w:rFonts w:ascii="Times New Roman" w:hAnsi="Times New Roman" w:cs="Times New Roman"/>
              </w:rPr>
              <w:t>0.099</w:t>
            </w:r>
          </w:p>
        </w:tc>
        <w:tc>
          <w:tcPr>
            <w:tcW w:w="995" w:type="dxa"/>
          </w:tcPr>
          <w:p w14:paraId="56BF5A85" w14:textId="77777777" w:rsidR="00961BEE" w:rsidRPr="007F02CF" w:rsidRDefault="00961BEE" w:rsidP="002C72B0">
            <w:pPr>
              <w:rPr>
                <w:rFonts w:ascii="Times New Roman" w:hAnsi="Times New Roman" w:cs="Times New Roman"/>
              </w:rPr>
            </w:pPr>
            <w:r>
              <w:rPr>
                <w:rFonts w:ascii="Times New Roman" w:hAnsi="Times New Roman" w:cs="Times New Roman"/>
              </w:rPr>
              <w:t>0.095</w:t>
            </w:r>
          </w:p>
        </w:tc>
      </w:tr>
      <w:tr w:rsidR="007365E2" w14:paraId="73C3221D" w14:textId="77777777" w:rsidTr="007365E2">
        <w:trPr>
          <w:trHeight w:val="764"/>
        </w:trPr>
        <w:tc>
          <w:tcPr>
            <w:tcW w:w="1021" w:type="dxa"/>
          </w:tcPr>
          <w:p w14:paraId="5B8EDFE0" w14:textId="77777777" w:rsidR="00961BEE" w:rsidRPr="007F02CF" w:rsidRDefault="00961BEE" w:rsidP="002C72B0">
            <w:pPr>
              <w:rPr>
                <w:rFonts w:ascii="Times New Roman" w:hAnsi="Times New Roman" w:cs="Times New Roman"/>
                <w:b/>
                <w:bCs/>
                <w:vertAlign w:val="subscript"/>
              </w:rPr>
            </w:pPr>
            <w:r>
              <w:rPr>
                <w:rFonts w:ascii="Times New Roman" w:hAnsi="Times New Roman" w:cs="Times New Roman"/>
                <w:b/>
                <w:bCs/>
              </w:rPr>
              <w:t>D</w:t>
            </w:r>
            <w:r>
              <w:rPr>
                <w:rFonts w:ascii="Times New Roman" w:hAnsi="Times New Roman" w:cs="Times New Roman"/>
                <w:b/>
                <w:bCs/>
                <w:vertAlign w:val="subscript"/>
              </w:rPr>
              <w:t>pa</w:t>
            </w:r>
          </w:p>
        </w:tc>
        <w:tc>
          <w:tcPr>
            <w:tcW w:w="995" w:type="dxa"/>
          </w:tcPr>
          <w:p w14:paraId="132F7051" w14:textId="77777777" w:rsidR="00961BEE" w:rsidRPr="007F02CF" w:rsidRDefault="00961BEE" w:rsidP="002C72B0">
            <w:pPr>
              <w:rPr>
                <w:rFonts w:ascii="Times New Roman" w:hAnsi="Times New Roman" w:cs="Times New Roman"/>
              </w:rPr>
            </w:pPr>
            <w:r>
              <w:rPr>
                <w:rFonts w:ascii="Times New Roman" w:hAnsi="Times New Roman" w:cs="Times New Roman"/>
              </w:rPr>
              <w:t>-0.655</w:t>
            </w:r>
          </w:p>
        </w:tc>
        <w:tc>
          <w:tcPr>
            <w:tcW w:w="995" w:type="dxa"/>
          </w:tcPr>
          <w:p w14:paraId="1DF48209" w14:textId="77777777" w:rsidR="00961BEE" w:rsidRPr="007F02CF" w:rsidRDefault="00961BEE" w:rsidP="002C72B0">
            <w:pPr>
              <w:rPr>
                <w:rFonts w:ascii="Times New Roman" w:hAnsi="Times New Roman" w:cs="Times New Roman"/>
              </w:rPr>
            </w:pPr>
            <w:r>
              <w:rPr>
                <w:rFonts w:ascii="Times New Roman" w:hAnsi="Times New Roman" w:cs="Times New Roman"/>
              </w:rPr>
              <w:t>-0.584</w:t>
            </w:r>
          </w:p>
        </w:tc>
        <w:tc>
          <w:tcPr>
            <w:tcW w:w="995" w:type="dxa"/>
          </w:tcPr>
          <w:p w14:paraId="482D45FF" w14:textId="77777777" w:rsidR="00961BEE" w:rsidRPr="007F02CF" w:rsidRDefault="00961BEE" w:rsidP="002C72B0">
            <w:pPr>
              <w:rPr>
                <w:rFonts w:ascii="Times New Roman" w:hAnsi="Times New Roman" w:cs="Times New Roman"/>
              </w:rPr>
            </w:pPr>
            <w:r>
              <w:rPr>
                <w:rFonts w:ascii="Times New Roman" w:hAnsi="Times New Roman" w:cs="Times New Roman"/>
              </w:rPr>
              <w:t>-0.775</w:t>
            </w:r>
          </w:p>
        </w:tc>
        <w:tc>
          <w:tcPr>
            <w:tcW w:w="995" w:type="dxa"/>
          </w:tcPr>
          <w:p w14:paraId="0BE3205B" w14:textId="77777777" w:rsidR="00961BEE" w:rsidRPr="007F02CF" w:rsidRDefault="00961BEE" w:rsidP="002C72B0">
            <w:pPr>
              <w:rPr>
                <w:rFonts w:ascii="Times New Roman" w:hAnsi="Times New Roman" w:cs="Times New Roman"/>
              </w:rPr>
            </w:pPr>
            <w:r>
              <w:rPr>
                <w:rFonts w:ascii="Times New Roman" w:hAnsi="Times New Roman" w:cs="Times New Roman"/>
              </w:rPr>
              <w:t>-0.591</w:t>
            </w:r>
          </w:p>
        </w:tc>
        <w:tc>
          <w:tcPr>
            <w:tcW w:w="995" w:type="dxa"/>
          </w:tcPr>
          <w:p w14:paraId="235CF8EF" w14:textId="77777777" w:rsidR="00961BEE" w:rsidRPr="007F02CF" w:rsidRDefault="00961BEE" w:rsidP="002C72B0">
            <w:pPr>
              <w:rPr>
                <w:rFonts w:ascii="Times New Roman" w:hAnsi="Times New Roman" w:cs="Times New Roman"/>
              </w:rPr>
            </w:pPr>
            <w:r>
              <w:rPr>
                <w:rFonts w:ascii="Times New Roman" w:hAnsi="Times New Roman" w:cs="Times New Roman"/>
              </w:rPr>
              <w:t>-0.425</w:t>
            </w:r>
          </w:p>
        </w:tc>
        <w:tc>
          <w:tcPr>
            <w:tcW w:w="995" w:type="dxa"/>
          </w:tcPr>
          <w:p w14:paraId="40C6B34E" w14:textId="77777777" w:rsidR="00961BEE" w:rsidRPr="007F02CF" w:rsidRDefault="00961BEE" w:rsidP="002C72B0">
            <w:pPr>
              <w:rPr>
                <w:rFonts w:ascii="Times New Roman" w:hAnsi="Times New Roman" w:cs="Times New Roman"/>
              </w:rPr>
            </w:pPr>
            <w:r>
              <w:rPr>
                <w:rFonts w:ascii="Times New Roman" w:hAnsi="Times New Roman" w:cs="Times New Roman"/>
              </w:rPr>
              <w:t>-0.772</w:t>
            </w:r>
          </w:p>
        </w:tc>
        <w:tc>
          <w:tcPr>
            <w:tcW w:w="995" w:type="dxa"/>
          </w:tcPr>
          <w:p w14:paraId="21D97FF2" w14:textId="77777777" w:rsidR="00961BEE" w:rsidRPr="007F02CF" w:rsidRDefault="00961BEE" w:rsidP="002C72B0">
            <w:pPr>
              <w:rPr>
                <w:rFonts w:ascii="Times New Roman" w:hAnsi="Times New Roman" w:cs="Times New Roman"/>
              </w:rPr>
            </w:pPr>
            <w:r>
              <w:rPr>
                <w:rFonts w:ascii="Times New Roman" w:hAnsi="Times New Roman" w:cs="Times New Roman"/>
              </w:rPr>
              <w:t>-0.560</w:t>
            </w:r>
          </w:p>
        </w:tc>
        <w:tc>
          <w:tcPr>
            <w:tcW w:w="995" w:type="dxa"/>
          </w:tcPr>
          <w:p w14:paraId="300E1AC4" w14:textId="77777777" w:rsidR="00961BEE" w:rsidRPr="007F02CF" w:rsidRDefault="00961BEE" w:rsidP="002C72B0">
            <w:pPr>
              <w:rPr>
                <w:rFonts w:ascii="Times New Roman" w:hAnsi="Times New Roman" w:cs="Times New Roman"/>
              </w:rPr>
            </w:pPr>
            <w:r>
              <w:rPr>
                <w:rFonts w:ascii="Times New Roman" w:hAnsi="Times New Roman" w:cs="Times New Roman"/>
              </w:rPr>
              <w:t>-0.674</w:t>
            </w:r>
          </w:p>
        </w:tc>
        <w:tc>
          <w:tcPr>
            <w:tcW w:w="995" w:type="dxa"/>
          </w:tcPr>
          <w:p w14:paraId="28259F5B" w14:textId="77777777" w:rsidR="00961BEE" w:rsidRPr="007F02CF" w:rsidRDefault="00961BEE" w:rsidP="002C72B0">
            <w:pPr>
              <w:rPr>
                <w:rFonts w:ascii="Times New Roman" w:hAnsi="Times New Roman" w:cs="Times New Roman"/>
              </w:rPr>
            </w:pPr>
            <w:r>
              <w:rPr>
                <w:rFonts w:ascii="Times New Roman" w:hAnsi="Times New Roman" w:cs="Times New Roman"/>
              </w:rPr>
              <w:t>-0.383</w:t>
            </w:r>
          </w:p>
        </w:tc>
        <w:tc>
          <w:tcPr>
            <w:tcW w:w="995" w:type="dxa"/>
          </w:tcPr>
          <w:p w14:paraId="465F2AD8" w14:textId="77777777" w:rsidR="00961BEE" w:rsidRPr="007F02CF" w:rsidRDefault="00961BEE" w:rsidP="002C72B0">
            <w:pPr>
              <w:rPr>
                <w:rFonts w:ascii="Times New Roman" w:hAnsi="Times New Roman" w:cs="Times New Roman"/>
              </w:rPr>
            </w:pPr>
            <w:r>
              <w:rPr>
                <w:rFonts w:ascii="Times New Roman" w:hAnsi="Times New Roman" w:cs="Times New Roman"/>
              </w:rPr>
              <w:t>-0.559</w:t>
            </w:r>
          </w:p>
        </w:tc>
        <w:tc>
          <w:tcPr>
            <w:tcW w:w="995" w:type="dxa"/>
          </w:tcPr>
          <w:p w14:paraId="4BFB7091" w14:textId="77777777" w:rsidR="00961BEE" w:rsidRPr="007F02CF" w:rsidRDefault="00961BEE" w:rsidP="002C72B0">
            <w:pPr>
              <w:rPr>
                <w:rFonts w:ascii="Times New Roman" w:hAnsi="Times New Roman" w:cs="Times New Roman"/>
              </w:rPr>
            </w:pPr>
            <w:r>
              <w:rPr>
                <w:rFonts w:ascii="Times New Roman" w:hAnsi="Times New Roman" w:cs="Times New Roman"/>
              </w:rPr>
              <w:t>-0.340</w:t>
            </w:r>
          </w:p>
        </w:tc>
        <w:tc>
          <w:tcPr>
            <w:tcW w:w="995" w:type="dxa"/>
          </w:tcPr>
          <w:p w14:paraId="081A4B30" w14:textId="77777777" w:rsidR="00961BEE" w:rsidRPr="007F02CF" w:rsidRDefault="00961BEE" w:rsidP="002C72B0">
            <w:pPr>
              <w:rPr>
                <w:rFonts w:ascii="Times New Roman" w:hAnsi="Times New Roman" w:cs="Times New Roman"/>
              </w:rPr>
            </w:pPr>
            <w:r>
              <w:rPr>
                <w:rFonts w:ascii="Times New Roman" w:hAnsi="Times New Roman" w:cs="Times New Roman"/>
              </w:rPr>
              <w:t>-0.612</w:t>
            </w:r>
          </w:p>
        </w:tc>
      </w:tr>
      <w:tr w:rsidR="007365E2" w14:paraId="7F9B8D8F" w14:textId="77777777" w:rsidTr="007365E2">
        <w:trPr>
          <w:trHeight w:val="743"/>
        </w:trPr>
        <w:tc>
          <w:tcPr>
            <w:tcW w:w="1021" w:type="dxa"/>
          </w:tcPr>
          <w:p w14:paraId="20009CC9" w14:textId="77777777" w:rsidR="00961BEE" w:rsidRPr="007F02CF" w:rsidRDefault="00961BEE" w:rsidP="002C72B0">
            <w:pPr>
              <w:rPr>
                <w:rFonts w:ascii="Times New Roman" w:hAnsi="Times New Roman" w:cs="Times New Roman"/>
                <w:b/>
                <w:bCs/>
                <w:vertAlign w:val="subscript"/>
              </w:rPr>
            </w:pPr>
            <w:r>
              <w:rPr>
                <w:rFonts w:ascii="Times New Roman" w:hAnsi="Times New Roman" w:cs="Times New Roman"/>
                <w:b/>
                <w:bCs/>
              </w:rPr>
              <w:t>D</w:t>
            </w:r>
            <w:r>
              <w:rPr>
                <w:rFonts w:ascii="Times New Roman" w:hAnsi="Times New Roman" w:cs="Times New Roman"/>
                <w:b/>
                <w:bCs/>
                <w:vertAlign w:val="subscript"/>
              </w:rPr>
              <w:t>px</w:t>
            </w:r>
          </w:p>
        </w:tc>
        <w:tc>
          <w:tcPr>
            <w:tcW w:w="995" w:type="dxa"/>
          </w:tcPr>
          <w:p w14:paraId="528B9460" w14:textId="77777777" w:rsidR="00961BEE" w:rsidRPr="007F02CF" w:rsidRDefault="00961BEE" w:rsidP="002C72B0">
            <w:pPr>
              <w:rPr>
                <w:rFonts w:ascii="Times New Roman" w:hAnsi="Times New Roman" w:cs="Times New Roman"/>
              </w:rPr>
            </w:pPr>
            <w:r>
              <w:rPr>
                <w:rFonts w:ascii="Times New Roman" w:hAnsi="Times New Roman" w:cs="Times New Roman"/>
              </w:rPr>
              <w:t>-1.020</w:t>
            </w:r>
          </w:p>
        </w:tc>
        <w:tc>
          <w:tcPr>
            <w:tcW w:w="995" w:type="dxa"/>
          </w:tcPr>
          <w:p w14:paraId="4FC7FA0B" w14:textId="77777777" w:rsidR="00961BEE" w:rsidRPr="007F02CF" w:rsidRDefault="00961BEE" w:rsidP="002C72B0">
            <w:pPr>
              <w:rPr>
                <w:rFonts w:ascii="Times New Roman" w:hAnsi="Times New Roman" w:cs="Times New Roman"/>
              </w:rPr>
            </w:pPr>
            <w:r>
              <w:rPr>
                <w:rFonts w:ascii="Times New Roman" w:hAnsi="Times New Roman" w:cs="Times New Roman"/>
              </w:rPr>
              <w:t>-0.845</w:t>
            </w:r>
          </w:p>
        </w:tc>
        <w:tc>
          <w:tcPr>
            <w:tcW w:w="995" w:type="dxa"/>
          </w:tcPr>
          <w:p w14:paraId="45D069AA" w14:textId="77777777" w:rsidR="00961BEE" w:rsidRPr="007F02CF" w:rsidRDefault="00961BEE" w:rsidP="002C72B0">
            <w:pPr>
              <w:rPr>
                <w:rFonts w:ascii="Times New Roman" w:hAnsi="Times New Roman" w:cs="Times New Roman"/>
              </w:rPr>
            </w:pPr>
            <w:r>
              <w:rPr>
                <w:rFonts w:ascii="Times New Roman" w:hAnsi="Times New Roman" w:cs="Times New Roman"/>
              </w:rPr>
              <w:t>-1.010</w:t>
            </w:r>
          </w:p>
        </w:tc>
        <w:tc>
          <w:tcPr>
            <w:tcW w:w="995" w:type="dxa"/>
          </w:tcPr>
          <w:p w14:paraId="67726749" w14:textId="77777777" w:rsidR="00961BEE" w:rsidRPr="007F02CF" w:rsidRDefault="00961BEE" w:rsidP="002C72B0">
            <w:pPr>
              <w:rPr>
                <w:rFonts w:ascii="Times New Roman" w:hAnsi="Times New Roman" w:cs="Times New Roman"/>
              </w:rPr>
            </w:pPr>
            <w:r>
              <w:rPr>
                <w:rFonts w:ascii="Times New Roman" w:hAnsi="Times New Roman" w:cs="Times New Roman"/>
              </w:rPr>
              <w:t>-0.960</w:t>
            </w:r>
          </w:p>
        </w:tc>
        <w:tc>
          <w:tcPr>
            <w:tcW w:w="995" w:type="dxa"/>
          </w:tcPr>
          <w:p w14:paraId="2AF15521" w14:textId="77777777" w:rsidR="00961BEE" w:rsidRPr="007F02CF" w:rsidRDefault="00961BEE" w:rsidP="002C72B0">
            <w:pPr>
              <w:rPr>
                <w:rFonts w:ascii="Times New Roman" w:hAnsi="Times New Roman" w:cs="Times New Roman"/>
              </w:rPr>
            </w:pPr>
            <w:r>
              <w:rPr>
                <w:rFonts w:ascii="Times New Roman" w:hAnsi="Times New Roman" w:cs="Times New Roman"/>
              </w:rPr>
              <w:t>-0.808</w:t>
            </w:r>
          </w:p>
        </w:tc>
        <w:tc>
          <w:tcPr>
            <w:tcW w:w="995" w:type="dxa"/>
          </w:tcPr>
          <w:p w14:paraId="075BA543" w14:textId="77777777" w:rsidR="00961BEE" w:rsidRPr="007F02CF" w:rsidRDefault="00961BEE" w:rsidP="002C72B0">
            <w:pPr>
              <w:rPr>
                <w:rFonts w:ascii="Times New Roman" w:hAnsi="Times New Roman" w:cs="Times New Roman"/>
              </w:rPr>
            </w:pPr>
            <w:r>
              <w:rPr>
                <w:rFonts w:ascii="Times New Roman" w:hAnsi="Times New Roman" w:cs="Times New Roman"/>
              </w:rPr>
              <w:t>-0.899</w:t>
            </w:r>
          </w:p>
        </w:tc>
        <w:tc>
          <w:tcPr>
            <w:tcW w:w="995" w:type="dxa"/>
          </w:tcPr>
          <w:p w14:paraId="61DFBFBF" w14:textId="77777777" w:rsidR="00961BEE" w:rsidRPr="007F02CF" w:rsidRDefault="00961BEE" w:rsidP="002C72B0">
            <w:pPr>
              <w:rPr>
                <w:rFonts w:ascii="Times New Roman" w:hAnsi="Times New Roman" w:cs="Times New Roman"/>
              </w:rPr>
            </w:pPr>
            <w:r>
              <w:rPr>
                <w:rFonts w:ascii="Times New Roman" w:hAnsi="Times New Roman" w:cs="Times New Roman"/>
              </w:rPr>
              <w:t>-0.569</w:t>
            </w:r>
          </w:p>
        </w:tc>
        <w:tc>
          <w:tcPr>
            <w:tcW w:w="995" w:type="dxa"/>
          </w:tcPr>
          <w:p w14:paraId="5FCBFC5E" w14:textId="77777777" w:rsidR="00961BEE" w:rsidRPr="007F02CF" w:rsidRDefault="00961BEE" w:rsidP="002C72B0">
            <w:pPr>
              <w:rPr>
                <w:rFonts w:ascii="Times New Roman" w:hAnsi="Times New Roman" w:cs="Times New Roman"/>
              </w:rPr>
            </w:pPr>
            <w:r>
              <w:rPr>
                <w:rFonts w:ascii="Times New Roman" w:hAnsi="Times New Roman" w:cs="Times New Roman"/>
              </w:rPr>
              <w:t>-0.878</w:t>
            </w:r>
          </w:p>
        </w:tc>
        <w:tc>
          <w:tcPr>
            <w:tcW w:w="995" w:type="dxa"/>
          </w:tcPr>
          <w:p w14:paraId="2F9D9743" w14:textId="77777777" w:rsidR="00961BEE" w:rsidRPr="007F02CF" w:rsidRDefault="00961BEE" w:rsidP="002C72B0">
            <w:pPr>
              <w:rPr>
                <w:rFonts w:ascii="Times New Roman" w:hAnsi="Times New Roman" w:cs="Times New Roman"/>
              </w:rPr>
            </w:pPr>
            <w:r>
              <w:rPr>
                <w:rFonts w:ascii="Times New Roman" w:hAnsi="Times New Roman" w:cs="Times New Roman"/>
              </w:rPr>
              <w:t>-0.650</w:t>
            </w:r>
          </w:p>
        </w:tc>
        <w:tc>
          <w:tcPr>
            <w:tcW w:w="995" w:type="dxa"/>
          </w:tcPr>
          <w:p w14:paraId="4BC0BB82" w14:textId="77777777" w:rsidR="00961BEE" w:rsidRPr="007F02CF" w:rsidRDefault="00961BEE" w:rsidP="002C72B0">
            <w:pPr>
              <w:rPr>
                <w:rFonts w:ascii="Times New Roman" w:hAnsi="Times New Roman" w:cs="Times New Roman"/>
              </w:rPr>
            </w:pPr>
            <w:r>
              <w:rPr>
                <w:rFonts w:ascii="Times New Roman" w:hAnsi="Times New Roman" w:cs="Times New Roman"/>
              </w:rPr>
              <w:t>-0.700</w:t>
            </w:r>
          </w:p>
        </w:tc>
        <w:tc>
          <w:tcPr>
            <w:tcW w:w="995" w:type="dxa"/>
          </w:tcPr>
          <w:p w14:paraId="3BE63FB8" w14:textId="77777777" w:rsidR="00961BEE" w:rsidRPr="007F02CF" w:rsidRDefault="00961BEE" w:rsidP="002C72B0">
            <w:pPr>
              <w:rPr>
                <w:rFonts w:ascii="Times New Roman" w:hAnsi="Times New Roman" w:cs="Times New Roman"/>
              </w:rPr>
            </w:pPr>
            <w:r>
              <w:rPr>
                <w:rFonts w:ascii="Times New Roman" w:hAnsi="Times New Roman" w:cs="Times New Roman"/>
              </w:rPr>
              <w:t>-0.512</w:t>
            </w:r>
          </w:p>
        </w:tc>
        <w:tc>
          <w:tcPr>
            <w:tcW w:w="995" w:type="dxa"/>
          </w:tcPr>
          <w:p w14:paraId="0B27595A" w14:textId="77777777" w:rsidR="00961BEE" w:rsidRPr="007F02CF" w:rsidRDefault="00961BEE" w:rsidP="002C72B0">
            <w:pPr>
              <w:rPr>
                <w:rFonts w:ascii="Times New Roman" w:hAnsi="Times New Roman" w:cs="Times New Roman"/>
              </w:rPr>
            </w:pPr>
            <w:r>
              <w:rPr>
                <w:rFonts w:ascii="Times New Roman" w:hAnsi="Times New Roman" w:cs="Times New Roman"/>
              </w:rPr>
              <w:t>-0.807</w:t>
            </w:r>
          </w:p>
        </w:tc>
      </w:tr>
    </w:tbl>
    <w:p w14:paraId="18EE0BEA" w14:textId="77777777" w:rsidR="00961BEE" w:rsidRDefault="00961BEE" w:rsidP="00EA4D1C">
      <w:pPr>
        <w:rPr>
          <w:rFonts w:ascii="Times New Roman" w:hAnsi="Times New Roman" w:cs="Times New Roman"/>
          <w:b/>
          <w:bCs/>
        </w:rPr>
      </w:pPr>
    </w:p>
    <w:p w14:paraId="2D8B78D0" w14:textId="4EE3EC53" w:rsidR="00D617DF" w:rsidRDefault="00D617DF" w:rsidP="00EA4D1C">
      <w:pPr>
        <w:rPr>
          <w:rFonts w:ascii="Times New Roman" w:hAnsi="Times New Roman" w:cs="Times New Roman"/>
        </w:rPr>
        <w:sectPr w:rsidR="00D617DF" w:rsidSect="00961BEE">
          <w:pgSz w:w="15840" w:h="12240" w:orient="landscape"/>
          <w:pgMar w:top="1440" w:right="1440" w:bottom="1440" w:left="1440" w:header="720" w:footer="720" w:gutter="0"/>
          <w:cols w:space="720"/>
          <w:docGrid w:linePitch="360"/>
        </w:sectPr>
      </w:pPr>
      <w:r>
        <w:rPr>
          <w:rFonts w:ascii="Times New Roman" w:hAnsi="Times New Roman" w:cs="Times New Roman"/>
          <w:b/>
          <w:bCs/>
        </w:rPr>
        <w:t xml:space="preserve">Table S5: </w:t>
      </w:r>
      <w:r>
        <w:rPr>
          <w:rFonts w:ascii="Times New Roman" w:hAnsi="Times New Roman" w:cs="Times New Roman"/>
        </w:rPr>
        <w:t xml:space="preserve">Population Genetic Summary Statistics per chromosome. All summary statistics are presented as chromosome-wide means calculated using sliding windows (see methods). </w:t>
      </w:r>
    </w:p>
    <w:p w14:paraId="5AA696A8"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lastRenderedPageBreak/>
        <w:t>Analysis Type:</w:t>
      </w:r>
      <w:r w:rsidRPr="00FB2481">
        <w:rPr>
          <w:rFonts w:ascii="Times New Roman" w:hAnsi="Times New Roman" w:cs="Times New Roman"/>
        </w:rPr>
        <w:tab/>
        <w:t>PANTHER Overrepresentation Test (Released 20210224)</w:t>
      </w:r>
    </w:p>
    <w:p w14:paraId="43EE95BB"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Annotation Version and Release Date:</w:t>
      </w:r>
      <w:r w:rsidRPr="00FB2481">
        <w:rPr>
          <w:rFonts w:ascii="Times New Roman" w:hAnsi="Times New Roman" w:cs="Times New Roman"/>
        </w:rPr>
        <w:tab/>
        <w:t>GO Ontology database DOI:  10.5281/zenodo.4495804 Released 2021-02-01</w:t>
      </w:r>
    </w:p>
    <w:p w14:paraId="32F2F396"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Analyzed List:</w:t>
      </w:r>
      <w:r w:rsidRPr="00FB2481">
        <w:rPr>
          <w:rFonts w:ascii="Times New Roman" w:hAnsi="Times New Roman" w:cs="Times New Roman"/>
        </w:rPr>
        <w:tab/>
        <w:t>upload_1 (Daphnia pulex)</w:t>
      </w:r>
    </w:p>
    <w:p w14:paraId="2D77945D"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Reference List:</w:t>
      </w:r>
      <w:r w:rsidRPr="00FB2481">
        <w:rPr>
          <w:rFonts w:ascii="Times New Roman" w:hAnsi="Times New Roman" w:cs="Times New Roman"/>
        </w:rPr>
        <w:tab/>
        <w:t>Daphnia pulex (all genes in database)</w:t>
      </w:r>
    </w:p>
    <w:p w14:paraId="5F838994"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Test Type:</w:t>
      </w:r>
      <w:r w:rsidRPr="00FB2481">
        <w:rPr>
          <w:rFonts w:ascii="Times New Roman" w:hAnsi="Times New Roman" w:cs="Times New Roman"/>
        </w:rPr>
        <w:tab/>
        <w:t>FISHER</w:t>
      </w:r>
    </w:p>
    <w:p w14:paraId="5441CBC8"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Correction:</w:t>
      </w:r>
      <w:r w:rsidRPr="00FB2481">
        <w:rPr>
          <w:rFonts w:ascii="Times New Roman" w:hAnsi="Times New Roman" w:cs="Times New Roman"/>
        </w:rPr>
        <w:tab/>
        <w:t>BONFERRONI</w:t>
      </w:r>
    </w:p>
    <w:p w14:paraId="7B338966"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Bonferroni count:</w:t>
      </w:r>
      <w:r w:rsidRPr="00FB2481">
        <w:rPr>
          <w:rFonts w:ascii="Times New Roman" w:hAnsi="Times New Roman" w:cs="Times New Roman"/>
        </w:rPr>
        <w:tab/>
        <w:t>1814</w:t>
      </w:r>
    </w:p>
    <w:p w14:paraId="032B14C8"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GO biological process complete</w:t>
      </w:r>
      <w:r w:rsidRPr="00FB2481">
        <w:rPr>
          <w:rFonts w:ascii="Times New Roman" w:hAnsi="Times New Roman" w:cs="Times New Roman"/>
        </w:rPr>
        <w:tab/>
        <w:t>Daphnia pulex - REFLIST (30012)</w:t>
      </w:r>
      <w:r w:rsidRPr="00FB2481">
        <w:rPr>
          <w:rFonts w:ascii="Times New Roman" w:hAnsi="Times New Roman" w:cs="Times New Roman"/>
        </w:rPr>
        <w:tab/>
        <w:t>upload_1 (152)</w:t>
      </w:r>
      <w:r w:rsidRPr="00FB2481">
        <w:rPr>
          <w:rFonts w:ascii="Times New Roman" w:hAnsi="Times New Roman" w:cs="Times New Roman"/>
        </w:rPr>
        <w:tab/>
        <w:t>upload_1 (expected)</w:t>
      </w:r>
      <w:r w:rsidRPr="00FB2481">
        <w:rPr>
          <w:rFonts w:ascii="Times New Roman" w:hAnsi="Times New Roman" w:cs="Times New Roman"/>
        </w:rPr>
        <w:tab/>
        <w:t>upload_1 (over/under)</w:t>
      </w:r>
      <w:r w:rsidRPr="00FB2481">
        <w:rPr>
          <w:rFonts w:ascii="Times New Roman" w:hAnsi="Times New Roman" w:cs="Times New Roman"/>
        </w:rPr>
        <w:tab/>
        <w:t>upload_1 (fold Enrichment)</w:t>
      </w:r>
      <w:r w:rsidRPr="00FB2481">
        <w:rPr>
          <w:rFonts w:ascii="Times New Roman" w:hAnsi="Times New Roman" w:cs="Times New Roman"/>
        </w:rPr>
        <w:tab/>
        <w:t>upload_1 (P-value)</w:t>
      </w:r>
    </w:p>
    <w:p w14:paraId="26C8E08C"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Unclassified (UNCLASSIFIED)</w:t>
      </w:r>
      <w:r w:rsidRPr="00FB2481">
        <w:rPr>
          <w:rFonts w:ascii="Times New Roman" w:hAnsi="Times New Roman" w:cs="Times New Roman"/>
        </w:rPr>
        <w:tab/>
        <w:t>18853</w:t>
      </w:r>
      <w:r w:rsidRPr="00FB2481">
        <w:rPr>
          <w:rFonts w:ascii="Times New Roman" w:hAnsi="Times New Roman" w:cs="Times New Roman"/>
        </w:rPr>
        <w:tab/>
        <w:t>17</w:t>
      </w:r>
      <w:r w:rsidRPr="00FB2481">
        <w:rPr>
          <w:rFonts w:ascii="Times New Roman" w:hAnsi="Times New Roman" w:cs="Times New Roman"/>
        </w:rPr>
        <w:tab/>
        <w:t>95.48</w:t>
      </w:r>
      <w:r w:rsidRPr="00FB2481">
        <w:rPr>
          <w:rFonts w:ascii="Times New Roman" w:hAnsi="Times New Roman" w:cs="Times New Roman"/>
        </w:rPr>
        <w:tab/>
        <w:t>-</w:t>
      </w:r>
      <w:r w:rsidRPr="00FB2481">
        <w:rPr>
          <w:rFonts w:ascii="Times New Roman" w:hAnsi="Times New Roman" w:cs="Times New Roman"/>
        </w:rPr>
        <w:tab/>
        <w:t>.18</w:t>
      </w:r>
      <w:r w:rsidRPr="00FB2481">
        <w:rPr>
          <w:rFonts w:ascii="Times New Roman" w:hAnsi="Times New Roman" w:cs="Times New Roman"/>
        </w:rPr>
        <w:tab/>
        <w:t>0.00E00</w:t>
      </w:r>
    </w:p>
    <w:p w14:paraId="035B34EE"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biological process (GO:0008150)</w:t>
      </w:r>
      <w:r w:rsidRPr="00FB2481">
        <w:rPr>
          <w:rFonts w:ascii="Times New Roman" w:hAnsi="Times New Roman" w:cs="Times New Roman"/>
        </w:rPr>
        <w:tab/>
        <w:t>11159</w:t>
      </w:r>
      <w:r w:rsidRPr="00FB2481">
        <w:rPr>
          <w:rFonts w:ascii="Times New Roman" w:hAnsi="Times New Roman" w:cs="Times New Roman"/>
        </w:rPr>
        <w:tab/>
        <w:t>135</w:t>
      </w:r>
      <w:r w:rsidRPr="00FB2481">
        <w:rPr>
          <w:rFonts w:ascii="Times New Roman" w:hAnsi="Times New Roman" w:cs="Times New Roman"/>
        </w:rPr>
        <w:tab/>
        <w:t>56.52</w:t>
      </w:r>
      <w:r w:rsidRPr="00FB2481">
        <w:rPr>
          <w:rFonts w:ascii="Times New Roman" w:hAnsi="Times New Roman" w:cs="Times New Roman"/>
        </w:rPr>
        <w:tab/>
        <w:t>+</w:t>
      </w:r>
      <w:r w:rsidRPr="00FB2481">
        <w:rPr>
          <w:rFonts w:ascii="Times New Roman" w:hAnsi="Times New Roman" w:cs="Times New Roman"/>
        </w:rPr>
        <w:tab/>
        <w:t>2.39</w:t>
      </w:r>
      <w:r w:rsidRPr="00FB2481">
        <w:rPr>
          <w:rFonts w:ascii="Times New Roman" w:hAnsi="Times New Roman" w:cs="Times New Roman"/>
        </w:rPr>
        <w:tab/>
        <w:t>1.52E-36</w:t>
      </w:r>
    </w:p>
    <w:p w14:paraId="5D0A3F50"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one-carbon metabolic process (GO:0006730)</w:t>
      </w:r>
      <w:r w:rsidRPr="00FB2481">
        <w:rPr>
          <w:rFonts w:ascii="Times New Roman" w:hAnsi="Times New Roman" w:cs="Times New Roman"/>
        </w:rPr>
        <w:tab/>
        <w:t>50</w:t>
      </w:r>
      <w:r w:rsidRPr="00FB2481">
        <w:rPr>
          <w:rFonts w:ascii="Times New Roman" w:hAnsi="Times New Roman" w:cs="Times New Roman"/>
        </w:rPr>
        <w:tab/>
        <w:t>25</w:t>
      </w:r>
      <w:r w:rsidRPr="00FB2481">
        <w:rPr>
          <w:rFonts w:ascii="Times New Roman" w:hAnsi="Times New Roman" w:cs="Times New Roman"/>
        </w:rPr>
        <w:tab/>
        <w:t>.25</w:t>
      </w:r>
      <w:r w:rsidRPr="00FB2481">
        <w:rPr>
          <w:rFonts w:ascii="Times New Roman" w:hAnsi="Times New Roman" w:cs="Times New Roman"/>
        </w:rPr>
        <w:tab/>
        <w:t>+</w:t>
      </w:r>
      <w:r w:rsidRPr="00FB2481">
        <w:rPr>
          <w:rFonts w:ascii="Times New Roman" w:hAnsi="Times New Roman" w:cs="Times New Roman"/>
        </w:rPr>
        <w:tab/>
        <w:t>98.72</w:t>
      </w:r>
      <w:r w:rsidRPr="00FB2481">
        <w:rPr>
          <w:rFonts w:ascii="Times New Roman" w:hAnsi="Times New Roman" w:cs="Times New Roman"/>
        </w:rPr>
        <w:tab/>
        <w:t>3.53E-36</w:t>
      </w:r>
    </w:p>
    <w:p w14:paraId="6D2BCA62"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cellular process (GO:0009987)</w:t>
      </w:r>
      <w:r w:rsidRPr="00FB2481">
        <w:rPr>
          <w:rFonts w:ascii="Times New Roman" w:hAnsi="Times New Roman" w:cs="Times New Roman"/>
        </w:rPr>
        <w:tab/>
        <w:t>9112</w:t>
      </w:r>
      <w:r w:rsidRPr="00FB2481">
        <w:rPr>
          <w:rFonts w:ascii="Times New Roman" w:hAnsi="Times New Roman" w:cs="Times New Roman"/>
        </w:rPr>
        <w:tab/>
        <w:t>122</w:t>
      </w:r>
      <w:r w:rsidRPr="00FB2481">
        <w:rPr>
          <w:rFonts w:ascii="Times New Roman" w:hAnsi="Times New Roman" w:cs="Times New Roman"/>
        </w:rPr>
        <w:tab/>
        <w:t>46.15</w:t>
      </w:r>
      <w:r w:rsidRPr="00FB2481">
        <w:rPr>
          <w:rFonts w:ascii="Times New Roman" w:hAnsi="Times New Roman" w:cs="Times New Roman"/>
        </w:rPr>
        <w:tab/>
        <w:t>+</w:t>
      </w:r>
      <w:r w:rsidRPr="00FB2481">
        <w:rPr>
          <w:rFonts w:ascii="Times New Roman" w:hAnsi="Times New Roman" w:cs="Times New Roman"/>
        </w:rPr>
        <w:tab/>
        <w:t>2.64</w:t>
      </w:r>
      <w:r w:rsidRPr="00FB2481">
        <w:rPr>
          <w:rFonts w:ascii="Times New Roman" w:hAnsi="Times New Roman" w:cs="Times New Roman"/>
        </w:rPr>
        <w:tab/>
        <w:t>2.15E-33</w:t>
      </w:r>
    </w:p>
    <w:p w14:paraId="44000823"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metabolic process (GO:0008152)</w:t>
      </w:r>
      <w:r w:rsidRPr="00FB2481">
        <w:rPr>
          <w:rFonts w:ascii="Times New Roman" w:hAnsi="Times New Roman" w:cs="Times New Roman"/>
        </w:rPr>
        <w:tab/>
        <w:t>6119</w:t>
      </w:r>
      <w:r w:rsidRPr="00FB2481">
        <w:rPr>
          <w:rFonts w:ascii="Times New Roman" w:hAnsi="Times New Roman" w:cs="Times New Roman"/>
        </w:rPr>
        <w:tab/>
        <w:t>83</w:t>
      </w:r>
      <w:r w:rsidRPr="00FB2481">
        <w:rPr>
          <w:rFonts w:ascii="Times New Roman" w:hAnsi="Times New Roman" w:cs="Times New Roman"/>
        </w:rPr>
        <w:tab/>
        <w:t>30.99</w:t>
      </w:r>
      <w:r w:rsidRPr="00FB2481">
        <w:rPr>
          <w:rFonts w:ascii="Times New Roman" w:hAnsi="Times New Roman" w:cs="Times New Roman"/>
        </w:rPr>
        <w:tab/>
        <w:t>+</w:t>
      </w:r>
      <w:r w:rsidRPr="00FB2481">
        <w:rPr>
          <w:rFonts w:ascii="Times New Roman" w:hAnsi="Times New Roman" w:cs="Times New Roman"/>
        </w:rPr>
        <w:tab/>
        <w:t>2.68</w:t>
      </w:r>
      <w:r w:rsidRPr="00FB2481">
        <w:rPr>
          <w:rFonts w:ascii="Times New Roman" w:hAnsi="Times New Roman" w:cs="Times New Roman"/>
        </w:rPr>
        <w:tab/>
        <w:t>4.14E-17</w:t>
      </w:r>
    </w:p>
    <w:p w14:paraId="50450E57"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small molecule metabolic process (GO:0044281)</w:t>
      </w:r>
      <w:r w:rsidRPr="00FB2481">
        <w:rPr>
          <w:rFonts w:ascii="Times New Roman" w:hAnsi="Times New Roman" w:cs="Times New Roman"/>
        </w:rPr>
        <w:tab/>
        <w:t>797</w:t>
      </w:r>
      <w:r w:rsidRPr="00FB2481">
        <w:rPr>
          <w:rFonts w:ascii="Times New Roman" w:hAnsi="Times New Roman" w:cs="Times New Roman"/>
        </w:rPr>
        <w:tab/>
        <w:t>32</w:t>
      </w:r>
      <w:r w:rsidRPr="00FB2481">
        <w:rPr>
          <w:rFonts w:ascii="Times New Roman" w:hAnsi="Times New Roman" w:cs="Times New Roman"/>
        </w:rPr>
        <w:tab/>
        <w:t>4.04</w:t>
      </w:r>
      <w:r w:rsidRPr="00FB2481">
        <w:rPr>
          <w:rFonts w:ascii="Times New Roman" w:hAnsi="Times New Roman" w:cs="Times New Roman"/>
        </w:rPr>
        <w:tab/>
        <w:t>+</w:t>
      </w:r>
      <w:r w:rsidRPr="00FB2481">
        <w:rPr>
          <w:rFonts w:ascii="Times New Roman" w:hAnsi="Times New Roman" w:cs="Times New Roman"/>
        </w:rPr>
        <w:tab/>
        <w:t>7.93</w:t>
      </w:r>
      <w:r w:rsidRPr="00FB2481">
        <w:rPr>
          <w:rFonts w:ascii="Times New Roman" w:hAnsi="Times New Roman" w:cs="Times New Roman"/>
        </w:rPr>
        <w:tab/>
        <w:t>3.72E-16</w:t>
      </w:r>
    </w:p>
    <w:p w14:paraId="04440177"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microtubule-based movement (GO:0007018)</w:t>
      </w:r>
      <w:r w:rsidRPr="00FB2481">
        <w:rPr>
          <w:rFonts w:ascii="Times New Roman" w:hAnsi="Times New Roman" w:cs="Times New Roman"/>
        </w:rPr>
        <w:tab/>
        <w:t>110</w:t>
      </w:r>
      <w:r w:rsidRPr="00FB2481">
        <w:rPr>
          <w:rFonts w:ascii="Times New Roman" w:hAnsi="Times New Roman" w:cs="Times New Roman"/>
        </w:rPr>
        <w:tab/>
        <w:t>16</w:t>
      </w:r>
      <w:r w:rsidRPr="00FB2481">
        <w:rPr>
          <w:rFonts w:ascii="Times New Roman" w:hAnsi="Times New Roman" w:cs="Times New Roman"/>
        </w:rPr>
        <w:tab/>
        <w:t>.56</w:t>
      </w:r>
      <w:r w:rsidRPr="00FB2481">
        <w:rPr>
          <w:rFonts w:ascii="Times New Roman" w:hAnsi="Times New Roman" w:cs="Times New Roman"/>
        </w:rPr>
        <w:tab/>
        <w:t>+</w:t>
      </w:r>
      <w:r w:rsidRPr="00FB2481">
        <w:rPr>
          <w:rFonts w:ascii="Times New Roman" w:hAnsi="Times New Roman" w:cs="Times New Roman"/>
        </w:rPr>
        <w:tab/>
        <w:t>28.72</w:t>
      </w:r>
      <w:r w:rsidRPr="00FB2481">
        <w:rPr>
          <w:rFonts w:ascii="Times New Roman" w:hAnsi="Times New Roman" w:cs="Times New Roman"/>
        </w:rPr>
        <w:tab/>
        <w:t>6.21E-15</w:t>
      </w:r>
    </w:p>
    <w:p w14:paraId="3FF8EE40"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cellular metabolic process (GO:0044237)</w:t>
      </w:r>
      <w:r w:rsidRPr="00FB2481">
        <w:rPr>
          <w:rFonts w:ascii="Times New Roman" w:hAnsi="Times New Roman" w:cs="Times New Roman"/>
        </w:rPr>
        <w:tab/>
        <w:t>5239</w:t>
      </w:r>
      <w:r w:rsidRPr="00FB2481">
        <w:rPr>
          <w:rFonts w:ascii="Times New Roman" w:hAnsi="Times New Roman" w:cs="Times New Roman"/>
        </w:rPr>
        <w:tab/>
        <w:t>69</w:t>
      </w:r>
      <w:r w:rsidRPr="00FB2481">
        <w:rPr>
          <w:rFonts w:ascii="Times New Roman" w:hAnsi="Times New Roman" w:cs="Times New Roman"/>
        </w:rPr>
        <w:tab/>
        <w:t>26.53</w:t>
      </w:r>
      <w:r w:rsidRPr="00FB2481">
        <w:rPr>
          <w:rFonts w:ascii="Times New Roman" w:hAnsi="Times New Roman" w:cs="Times New Roman"/>
        </w:rPr>
        <w:tab/>
        <w:t>+</w:t>
      </w:r>
      <w:r w:rsidRPr="00FB2481">
        <w:rPr>
          <w:rFonts w:ascii="Times New Roman" w:hAnsi="Times New Roman" w:cs="Times New Roman"/>
        </w:rPr>
        <w:tab/>
        <w:t>2.60</w:t>
      </w:r>
      <w:r w:rsidRPr="00FB2481">
        <w:rPr>
          <w:rFonts w:ascii="Times New Roman" w:hAnsi="Times New Roman" w:cs="Times New Roman"/>
        </w:rPr>
        <w:tab/>
        <w:t>3.49E-12</w:t>
      </w:r>
    </w:p>
    <w:p w14:paraId="4BD8D3AF"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movement of cell or subcellular component (GO:0006928)</w:t>
      </w:r>
      <w:r w:rsidRPr="00FB2481">
        <w:rPr>
          <w:rFonts w:ascii="Times New Roman" w:hAnsi="Times New Roman" w:cs="Times New Roman"/>
        </w:rPr>
        <w:tab/>
        <w:t>224</w:t>
      </w:r>
      <w:r w:rsidRPr="00FB2481">
        <w:rPr>
          <w:rFonts w:ascii="Times New Roman" w:hAnsi="Times New Roman" w:cs="Times New Roman"/>
        </w:rPr>
        <w:tab/>
        <w:t>16</w:t>
      </w:r>
      <w:r w:rsidRPr="00FB2481">
        <w:rPr>
          <w:rFonts w:ascii="Times New Roman" w:hAnsi="Times New Roman" w:cs="Times New Roman"/>
        </w:rPr>
        <w:tab/>
        <w:t>1.13</w:t>
      </w:r>
      <w:r w:rsidRPr="00FB2481">
        <w:rPr>
          <w:rFonts w:ascii="Times New Roman" w:hAnsi="Times New Roman" w:cs="Times New Roman"/>
        </w:rPr>
        <w:tab/>
        <w:t>+</w:t>
      </w:r>
      <w:r w:rsidRPr="00FB2481">
        <w:rPr>
          <w:rFonts w:ascii="Times New Roman" w:hAnsi="Times New Roman" w:cs="Times New Roman"/>
        </w:rPr>
        <w:tab/>
        <w:t>14.10</w:t>
      </w:r>
      <w:r w:rsidRPr="00FB2481">
        <w:rPr>
          <w:rFonts w:ascii="Times New Roman" w:hAnsi="Times New Roman" w:cs="Times New Roman"/>
        </w:rPr>
        <w:tab/>
        <w:t>1.86E-10</w:t>
      </w:r>
    </w:p>
    <w:p w14:paraId="583DB086"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microtubule-based process (GO:0007017)</w:t>
      </w:r>
      <w:r w:rsidRPr="00FB2481">
        <w:rPr>
          <w:rFonts w:ascii="Times New Roman" w:hAnsi="Times New Roman" w:cs="Times New Roman"/>
        </w:rPr>
        <w:tab/>
        <w:t>335</w:t>
      </w:r>
      <w:r w:rsidRPr="00FB2481">
        <w:rPr>
          <w:rFonts w:ascii="Times New Roman" w:hAnsi="Times New Roman" w:cs="Times New Roman"/>
        </w:rPr>
        <w:tab/>
        <w:t>16</w:t>
      </w:r>
      <w:r w:rsidRPr="00FB2481">
        <w:rPr>
          <w:rFonts w:ascii="Times New Roman" w:hAnsi="Times New Roman" w:cs="Times New Roman"/>
        </w:rPr>
        <w:tab/>
        <w:t>1.70</w:t>
      </w:r>
      <w:r w:rsidRPr="00FB2481">
        <w:rPr>
          <w:rFonts w:ascii="Times New Roman" w:hAnsi="Times New Roman" w:cs="Times New Roman"/>
        </w:rPr>
        <w:tab/>
        <w:t>+</w:t>
      </w:r>
      <w:r w:rsidRPr="00FB2481">
        <w:rPr>
          <w:rFonts w:ascii="Times New Roman" w:hAnsi="Times New Roman" w:cs="Times New Roman"/>
        </w:rPr>
        <w:tab/>
        <w:t>9.43</w:t>
      </w:r>
      <w:r w:rsidRPr="00FB2481">
        <w:rPr>
          <w:rFonts w:ascii="Times New Roman" w:hAnsi="Times New Roman" w:cs="Times New Roman"/>
        </w:rPr>
        <w:tab/>
        <w:t>5.97E-08</w:t>
      </w:r>
    </w:p>
    <w:p w14:paraId="51A9D740"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retrograde transport, endosome to plasma membrane (GO:1990126)</w:t>
      </w:r>
      <w:r w:rsidRPr="00FB2481">
        <w:rPr>
          <w:rFonts w:ascii="Times New Roman" w:hAnsi="Times New Roman" w:cs="Times New Roman"/>
        </w:rPr>
        <w:tab/>
        <w:t>13</w:t>
      </w:r>
      <w:r w:rsidRPr="00FB2481">
        <w:rPr>
          <w:rFonts w:ascii="Times New Roman" w:hAnsi="Times New Roman" w:cs="Times New Roman"/>
        </w:rPr>
        <w:tab/>
        <w:t>6</w:t>
      </w:r>
      <w:r w:rsidRPr="00FB2481">
        <w:rPr>
          <w:rFonts w:ascii="Times New Roman" w:hAnsi="Times New Roman" w:cs="Times New Roman"/>
        </w:rPr>
        <w:tab/>
        <w:t>.07</w:t>
      </w:r>
      <w:r w:rsidRPr="00FB2481">
        <w:rPr>
          <w:rFonts w:ascii="Times New Roman" w:hAnsi="Times New Roman" w:cs="Times New Roman"/>
        </w:rPr>
        <w:tab/>
        <w:t>+</w:t>
      </w:r>
      <w:r w:rsidRPr="00FB2481">
        <w:rPr>
          <w:rFonts w:ascii="Times New Roman" w:hAnsi="Times New Roman" w:cs="Times New Roman"/>
        </w:rPr>
        <w:tab/>
        <w:t>91.13</w:t>
      </w:r>
      <w:r w:rsidRPr="00FB2481">
        <w:rPr>
          <w:rFonts w:ascii="Times New Roman" w:hAnsi="Times New Roman" w:cs="Times New Roman"/>
        </w:rPr>
        <w:tab/>
        <w:t>6.91E-07</w:t>
      </w:r>
    </w:p>
    <w:p w14:paraId="7BB39288"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mitotic nuclear division (GO:0140014)</w:t>
      </w:r>
      <w:r w:rsidRPr="00FB2481">
        <w:rPr>
          <w:rFonts w:ascii="Times New Roman" w:hAnsi="Times New Roman" w:cs="Times New Roman"/>
        </w:rPr>
        <w:tab/>
        <w:t>57</w:t>
      </w:r>
      <w:r w:rsidRPr="00FB2481">
        <w:rPr>
          <w:rFonts w:ascii="Times New Roman" w:hAnsi="Times New Roman" w:cs="Times New Roman"/>
        </w:rPr>
        <w:tab/>
        <w:t>8</w:t>
      </w:r>
      <w:r w:rsidRPr="00FB2481">
        <w:rPr>
          <w:rFonts w:ascii="Times New Roman" w:hAnsi="Times New Roman" w:cs="Times New Roman"/>
        </w:rPr>
        <w:tab/>
        <w:t>.29</w:t>
      </w:r>
      <w:r w:rsidRPr="00FB2481">
        <w:rPr>
          <w:rFonts w:ascii="Times New Roman" w:hAnsi="Times New Roman" w:cs="Times New Roman"/>
        </w:rPr>
        <w:tab/>
        <w:t>+</w:t>
      </w:r>
      <w:r w:rsidRPr="00FB2481">
        <w:rPr>
          <w:rFonts w:ascii="Times New Roman" w:hAnsi="Times New Roman" w:cs="Times New Roman"/>
        </w:rPr>
        <w:tab/>
        <w:t>27.71</w:t>
      </w:r>
      <w:r w:rsidRPr="00FB2481">
        <w:rPr>
          <w:rFonts w:ascii="Times New Roman" w:hAnsi="Times New Roman" w:cs="Times New Roman"/>
        </w:rPr>
        <w:tab/>
        <w:t>2.48E-06</w:t>
      </w:r>
    </w:p>
    <w:p w14:paraId="330954E8"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phototransduction (GO:0007602)</w:t>
      </w:r>
      <w:r w:rsidRPr="00FB2481">
        <w:rPr>
          <w:rFonts w:ascii="Times New Roman" w:hAnsi="Times New Roman" w:cs="Times New Roman"/>
        </w:rPr>
        <w:tab/>
        <w:t>52</w:t>
      </w:r>
      <w:r w:rsidRPr="00FB2481">
        <w:rPr>
          <w:rFonts w:ascii="Times New Roman" w:hAnsi="Times New Roman" w:cs="Times New Roman"/>
        </w:rPr>
        <w:tab/>
        <w:t>7</w:t>
      </w:r>
      <w:r w:rsidRPr="00FB2481">
        <w:rPr>
          <w:rFonts w:ascii="Times New Roman" w:hAnsi="Times New Roman" w:cs="Times New Roman"/>
        </w:rPr>
        <w:tab/>
        <w:t>.26</w:t>
      </w:r>
      <w:r w:rsidRPr="00FB2481">
        <w:rPr>
          <w:rFonts w:ascii="Times New Roman" w:hAnsi="Times New Roman" w:cs="Times New Roman"/>
        </w:rPr>
        <w:tab/>
        <w:t>+</w:t>
      </w:r>
      <w:r w:rsidRPr="00FB2481">
        <w:rPr>
          <w:rFonts w:ascii="Times New Roman" w:hAnsi="Times New Roman" w:cs="Times New Roman"/>
        </w:rPr>
        <w:tab/>
        <w:t>26.58</w:t>
      </w:r>
      <w:r w:rsidRPr="00FB2481">
        <w:rPr>
          <w:rFonts w:ascii="Times New Roman" w:hAnsi="Times New Roman" w:cs="Times New Roman"/>
        </w:rPr>
        <w:tab/>
        <w:t>3.57E-05</w:t>
      </w:r>
    </w:p>
    <w:p w14:paraId="080B1888"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detection of light stimulus (GO:0009583)</w:t>
      </w:r>
      <w:r w:rsidRPr="00FB2481">
        <w:rPr>
          <w:rFonts w:ascii="Times New Roman" w:hAnsi="Times New Roman" w:cs="Times New Roman"/>
        </w:rPr>
        <w:tab/>
        <w:t>52</w:t>
      </w:r>
      <w:r w:rsidRPr="00FB2481">
        <w:rPr>
          <w:rFonts w:ascii="Times New Roman" w:hAnsi="Times New Roman" w:cs="Times New Roman"/>
        </w:rPr>
        <w:tab/>
        <w:t>7</w:t>
      </w:r>
      <w:r w:rsidRPr="00FB2481">
        <w:rPr>
          <w:rFonts w:ascii="Times New Roman" w:hAnsi="Times New Roman" w:cs="Times New Roman"/>
        </w:rPr>
        <w:tab/>
        <w:t>.26</w:t>
      </w:r>
      <w:r w:rsidRPr="00FB2481">
        <w:rPr>
          <w:rFonts w:ascii="Times New Roman" w:hAnsi="Times New Roman" w:cs="Times New Roman"/>
        </w:rPr>
        <w:tab/>
        <w:t>+</w:t>
      </w:r>
      <w:r w:rsidRPr="00FB2481">
        <w:rPr>
          <w:rFonts w:ascii="Times New Roman" w:hAnsi="Times New Roman" w:cs="Times New Roman"/>
        </w:rPr>
        <w:tab/>
        <w:t>26.58</w:t>
      </w:r>
      <w:r w:rsidRPr="00FB2481">
        <w:rPr>
          <w:rFonts w:ascii="Times New Roman" w:hAnsi="Times New Roman" w:cs="Times New Roman"/>
        </w:rPr>
        <w:tab/>
        <w:t>3.57E-05</w:t>
      </w:r>
    </w:p>
    <w:p w14:paraId="2CB8E17D"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detection of abiotic stimulus (GO:0009582)</w:t>
      </w:r>
      <w:r w:rsidRPr="00FB2481">
        <w:rPr>
          <w:rFonts w:ascii="Times New Roman" w:hAnsi="Times New Roman" w:cs="Times New Roman"/>
        </w:rPr>
        <w:tab/>
        <w:t>52</w:t>
      </w:r>
      <w:r w:rsidRPr="00FB2481">
        <w:rPr>
          <w:rFonts w:ascii="Times New Roman" w:hAnsi="Times New Roman" w:cs="Times New Roman"/>
        </w:rPr>
        <w:tab/>
        <w:t>7</w:t>
      </w:r>
      <w:r w:rsidRPr="00FB2481">
        <w:rPr>
          <w:rFonts w:ascii="Times New Roman" w:hAnsi="Times New Roman" w:cs="Times New Roman"/>
        </w:rPr>
        <w:tab/>
        <w:t>.26</w:t>
      </w:r>
      <w:r w:rsidRPr="00FB2481">
        <w:rPr>
          <w:rFonts w:ascii="Times New Roman" w:hAnsi="Times New Roman" w:cs="Times New Roman"/>
        </w:rPr>
        <w:tab/>
        <w:t>+</w:t>
      </w:r>
      <w:r w:rsidRPr="00FB2481">
        <w:rPr>
          <w:rFonts w:ascii="Times New Roman" w:hAnsi="Times New Roman" w:cs="Times New Roman"/>
        </w:rPr>
        <w:tab/>
        <w:t>26.58</w:t>
      </w:r>
      <w:r w:rsidRPr="00FB2481">
        <w:rPr>
          <w:rFonts w:ascii="Times New Roman" w:hAnsi="Times New Roman" w:cs="Times New Roman"/>
        </w:rPr>
        <w:tab/>
        <w:t>3.57E-05</w:t>
      </w:r>
    </w:p>
    <w:p w14:paraId="4BAF4835"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detection of external stimulus (GO:0009581)</w:t>
      </w:r>
      <w:r w:rsidRPr="00FB2481">
        <w:rPr>
          <w:rFonts w:ascii="Times New Roman" w:hAnsi="Times New Roman" w:cs="Times New Roman"/>
        </w:rPr>
        <w:tab/>
        <w:t>52</w:t>
      </w:r>
      <w:r w:rsidRPr="00FB2481">
        <w:rPr>
          <w:rFonts w:ascii="Times New Roman" w:hAnsi="Times New Roman" w:cs="Times New Roman"/>
        </w:rPr>
        <w:tab/>
        <w:t>7</w:t>
      </w:r>
      <w:r w:rsidRPr="00FB2481">
        <w:rPr>
          <w:rFonts w:ascii="Times New Roman" w:hAnsi="Times New Roman" w:cs="Times New Roman"/>
        </w:rPr>
        <w:tab/>
        <w:t>.26</w:t>
      </w:r>
      <w:r w:rsidRPr="00FB2481">
        <w:rPr>
          <w:rFonts w:ascii="Times New Roman" w:hAnsi="Times New Roman" w:cs="Times New Roman"/>
        </w:rPr>
        <w:tab/>
        <w:t>+</w:t>
      </w:r>
      <w:r w:rsidRPr="00FB2481">
        <w:rPr>
          <w:rFonts w:ascii="Times New Roman" w:hAnsi="Times New Roman" w:cs="Times New Roman"/>
        </w:rPr>
        <w:tab/>
        <w:t>26.58</w:t>
      </w:r>
      <w:r w:rsidRPr="00FB2481">
        <w:rPr>
          <w:rFonts w:ascii="Times New Roman" w:hAnsi="Times New Roman" w:cs="Times New Roman"/>
        </w:rPr>
        <w:tab/>
        <w:t>3.57E-05</w:t>
      </w:r>
    </w:p>
    <w:p w14:paraId="1E720441"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vesicle-mediated transport to the plasma membrane (GO:0098876)</w:t>
      </w:r>
      <w:r w:rsidRPr="00FB2481">
        <w:rPr>
          <w:rFonts w:ascii="Times New Roman" w:hAnsi="Times New Roman" w:cs="Times New Roman"/>
        </w:rPr>
        <w:tab/>
        <w:t>32</w:t>
      </w:r>
      <w:r w:rsidRPr="00FB2481">
        <w:rPr>
          <w:rFonts w:ascii="Times New Roman" w:hAnsi="Times New Roman" w:cs="Times New Roman"/>
        </w:rPr>
        <w:tab/>
        <w:t>6</w:t>
      </w:r>
      <w:r w:rsidRPr="00FB2481">
        <w:rPr>
          <w:rFonts w:ascii="Times New Roman" w:hAnsi="Times New Roman" w:cs="Times New Roman"/>
        </w:rPr>
        <w:tab/>
        <w:t>.16</w:t>
      </w:r>
      <w:r w:rsidRPr="00FB2481">
        <w:rPr>
          <w:rFonts w:ascii="Times New Roman" w:hAnsi="Times New Roman" w:cs="Times New Roman"/>
        </w:rPr>
        <w:tab/>
        <w:t>+</w:t>
      </w:r>
      <w:r w:rsidRPr="00FB2481">
        <w:rPr>
          <w:rFonts w:ascii="Times New Roman" w:hAnsi="Times New Roman" w:cs="Times New Roman"/>
        </w:rPr>
        <w:tab/>
        <w:t>37.02</w:t>
      </w:r>
      <w:r w:rsidRPr="00FB2481">
        <w:rPr>
          <w:rFonts w:ascii="Times New Roman" w:hAnsi="Times New Roman" w:cs="Times New Roman"/>
        </w:rPr>
        <w:tab/>
        <w:t>6.50E-05</w:t>
      </w:r>
    </w:p>
    <w:p w14:paraId="1719F3C7"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detection of stimulus (GO:0051606)</w:t>
      </w:r>
      <w:r w:rsidRPr="00FB2481">
        <w:rPr>
          <w:rFonts w:ascii="Times New Roman" w:hAnsi="Times New Roman" w:cs="Times New Roman"/>
        </w:rPr>
        <w:tab/>
        <w:t>61</w:t>
      </w:r>
      <w:r w:rsidRPr="00FB2481">
        <w:rPr>
          <w:rFonts w:ascii="Times New Roman" w:hAnsi="Times New Roman" w:cs="Times New Roman"/>
        </w:rPr>
        <w:tab/>
        <w:t>7</w:t>
      </w:r>
      <w:r w:rsidRPr="00FB2481">
        <w:rPr>
          <w:rFonts w:ascii="Times New Roman" w:hAnsi="Times New Roman" w:cs="Times New Roman"/>
        </w:rPr>
        <w:tab/>
        <w:t>.31</w:t>
      </w:r>
      <w:r w:rsidRPr="00FB2481">
        <w:rPr>
          <w:rFonts w:ascii="Times New Roman" w:hAnsi="Times New Roman" w:cs="Times New Roman"/>
        </w:rPr>
        <w:tab/>
        <w:t>+</w:t>
      </w:r>
      <w:r w:rsidRPr="00FB2481">
        <w:rPr>
          <w:rFonts w:ascii="Times New Roman" w:hAnsi="Times New Roman" w:cs="Times New Roman"/>
        </w:rPr>
        <w:tab/>
        <w:t>22.66</w:t>
      </w:r>
      <w:r w:rsidRPr="00FB2481">
        <w:rPr>
          <w:rFonts w:ascii="Times New Roman" w:hAnsi="Times New Roman" w:cs="Times New Roman"/>
        </w:rPr>
        <w:tab/>
        <w:t>9.76E-05</w:t>
      </w:r>
    </w:p>
    <w:p w14:paraId="59A9DBAE"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lastRenderedPageBreak/>
        <w:t>lipid catabolic process (GO:0016042)</w:t>
      </w:r>
      <w:r w:rsidRPr="00FB2481">
        <w:rPr>
          <w:rFonts w:ascii="Times New Roman" w:hAnsi="Times New Roman" w:cs="Times New Roman"/>
        </w:rPr>
        <w:tab/>
        <w:t>136</w:t>
      </w:r>
      <w:r w:rsidRPr="00FB2481">
        <w:rPr>
          <w:rFonts w:ascii="Times New Roman" w:hAnsi="Times New Roman" w:cs="Times New Roman"/>
        </w:rPr>
        <w:tab/>
        <w:t>9</w:t>
      </w:r>
      <w:r w:rsidRPr="00FB2481">
        <w:rPr>
          <w:rFonts w:ascii="Times New Roman" w:hAnsi="Times New Roman" w:cs="Times New Roman"/>
        </w:rPr>
        <w:tab/>
        <w:t>.69</w:t>
      </w:r>
      <w:r w:rsidRPr="00FB2481">
        <w:rPr>
          <w:rFonts w:ascii="Times New Roman" w:hAnsi="Times New Roman" w:cs="Times New Roman"/>
        </w:rPr>
        <w:tab/>
        <w:t>+</w:t>
      </w:r>
      <w:r w:rsidRPr="00FB2481">
        <w:rPr>
          <w:rFonts w:ascii="Times New Roman" w:hAnsi="Times New Roman" w:cs="Times New Roman"/>
        </w:rPr>
        <w:tab/>
        <w:t>13.07</w:t>
      </w:r>
      <w:r w:rsidRPr="00FB2481">
        <w:rPr>
          <w:rFonts w:ascii="Times New Roman" w:hAnsi="Times New Roman" w:cs="Times New Roman"/>
        </w:rPr>
        <w:tab/>
        <w:t>1.01E-04</w:t>
      </w:r>
    </w:p>
    <w:p w14:paraId="645D7980"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endocytic recycling (GO:0032456)</w:t>
      </w:r>
      <w:r w:rsidRPr="00FB2481">
        <w:rPr>
          <w:rFonts w:ascii="Times New Roman" w:hAnsi="Times New Roman" w:cs="Times New Roman"/>
        </w:rPr>
        <w:tab/>
        <w:t>16</w:t>
      </w:r>
      <w:r w:rsidRPr="00FB2481">
        <w:rPr>
          <w:rFonts w:ascii="Times New Roman" w:hAnsi="Times New Roman" w:cs="Times New Roman"/>
        </w:rPr>
        <w:tab/>
        <w:t>5</w:t>
      </w:r>
      <w:r w:rsidRPr="00FB2481">
        <w:rPr>
          <w:rFonts w:ascii="Times New Roman" w:hAnsi="Times New Roman" w:cs="Times New Roman"/>
        </w:rPr>
        <w:tab/>
        <w:t>.08</w:t>
      </w:r>
      <w:r w:rsidRPr="00FB2481">
        <w:rPr>
          <w:rFonts w:ascii="Times New Roman" w:hAnsi="Times New Roman" w:cs="Times New Roman"/>
        </w:rPr>
        <w:tab/>
        <w:t>+</w:t>
      </w:r>
      <w:r w:rsidRPr="00FB2481">
        <w:rPr>
          <w:rFonts w:ascii="Times New Roman" w:hAnsi="Times New Roman" w:cs="Times New Roman"/>
        </w:rPr>
        <w:tab/>
        <w:t>61.70</w:t>
      </w:r>
      <w:r w:rsidRPr="00FB2481">
        <w:rPr>
          <w:rFonts w:ascii="Times New Roman" w:hAnsi="Times New Roman" w:cs="Times New Roman"/>
        </w:rPr>
        <w:tab/>
        <w:t>1.05E-04</w:t>
      </w:r>
    </w:p>
    <w:p w14:paraId="710B14CA"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transport (GO:0006810)</w:t>
      </w:r>
      <w:r w:rsidRPr="00FB2481">
        <w:rPr>
          <w:rFonts w:ascii="Times New Roman" w:hAnsi="Times New Roman" w:cs="Times New Roman"/>
        </w:rPr>
        <w:tab/>
        <w:t>1983</w:t>
      </w:r>
      <w:r w:rsidRPr="00FB2481">
        <w:rPr>
          <w:rFonts w:ascii="Times New Roman" w:hAnsi="Times New Roman" w:cs="Times New Roman"/>
        </w:rPr>
        <w:tab/>
        <w:t>30</w:t>
      </w:r>
      <w:r w:rsidRPr="00FB2481">
        <w:rPr>
          <w:rFonts w:ascii="Times New Roman" w:hAnsi="Times New Roman" w:cs="Times New Roman"/>
        </w:rPr>
        <w:tab/>
        <w:t>10.04</w:t>
      </w:r>
      <w:r w:rsidRPr="00FB2481">
        <w:rPr>
          <w:rFonts w:ascii="Times New Roman" w:hAnsi="Times New Roman" w:cs="Times New Roman"/>
        </w:rPr>
        <w:tab/>
        <w:t>+</w:t>
      </w:r>
      <w:r w:rsidRPr="00FB2481">
        <w:rPr>
          <w:rFonts w:ascii="Times New Roman" w:hAnsi="Times New Roman" w:cs="Times New Roman"/>
        </w:rPr>
        <w:tab/>
        <w:t>2.99</w:t>
      </w:r>
      <w:r w:rsidRPr="00FB2481">
        <w:rPr>
          <w:rFonts w:ascii="Times New Roman" w:hAnsi="Times New Roman" w:cs="Times New Roman"/>
        </w:rPr>
        <w:tab/>
        <w:t>1.34E-04</w:t>
      </w:r>
    </w:p>
    <w:p w14:paraId="51297BCC"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organic substance metabolic process (GO:0071704)</w:t>
      </w:r>
      <w:r w:rsidRPr="00FB2481">
        <w:rPr>
          <w:rFonts w:ascii="Times New Roman" w:hAnsi="Times New Roman" w:cs="Times New Roman"/>
        </w:rPr>
        <w:tab/>
        <w:t>5806</w:t>
      </w:r>
      <w:r w:rsidRPr="00FB2481">
        <w:rPr>
          <w:rFonts w:ascii="Times New Roman" w:hAnsi="Times New Roman" w:cs="Times New Roman"/>
        </w:rPr>
        <w:tab/>
        <w:t>58</w:t>
      </w:r>
      <w:r w:rsidRPr="00FB2481">
        <w:rPr>
          <w:rFonts w:ascii="Times New Roman" w:hAnsi="Times New Roman" w:cs="Times New Roman"/>
        </w:rPr>
        <w:tab/>
        <w:t>29.41</w:t>
      </w:r>
      <w:r w:rsidRPr="00FB2481">
        <w:rPr>
          <w:rFonts w:ascii="Times New Roman" w:hAnsi="Times New Roman" w:cs="Times New Roman"/>
        </w:rPr>
        <w:tab/>
        <w:t>+</w:t>
      </w:r>
      <w:r w:rsidRPr="00FB2481">
        <w:rPr>
          <w:rFonts w:ascii="Times New Roman" w:hAnsi="Times New Roman" w:cs="Times New Roman"/>
        </w:rPr>
        <w:tab/>
        <w:t>1.97</w:t>
      </w:r>
      <w:r w:rsidRPr="00FB2481">
        <w:rPr>
          <w:rFonts w:ascii="Times New Roman" w:hAnsi="Times New Roman" w:cs="Times New Roman"/>
        </w:rPr>
        <w:tab/>
        <w:t>1.48E-04</w:t>
      </w:r>
    </w:p>
    <w:p w14:paraId="3F7F2909"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establishment of localization (GO:0051234)</w:t>
      </w:r>
      <w:r w:rsidRPr="00FB2481">
        <w:rPr>
          <w:rFonts w:ascii="Times New Roman" w:hAnsi="Times New Roman" w:cs="Times New Roman"/>
        </w:rPr>
        <w:tab/>
        <w:t>2005</w:t>
      </w:r>
      <w:r w:rsidRPr="00FB2481">
        <w:rPr>
          <w:rFonts w:ascii="Times New Roman" w:hAnsi="Times New Roman" w:cs="Times New Roman"/>
        </w:rPr>
        <w:tab/>
        <w:t>30</w:t>
      </w:r>
      <w:r w:rsidRPr="00FB2481">
        <w:rPr>
          <w:rFonts w:ascii="Times New Roman" w:hAnsi="Times New Roman" w:cs="Times New Roman"/>
        </w:rPr>
        <w:tab/>
        <w:t>10.15</w:t>
      </w:r>
      <w:r w:rsidRPr="00FB2481">
        <w:rPr>
          <w:rFonts w:ascii="Times New Roman" w:hAnsi="Times New Roman" w:cs="Times New Roman"/>
        </w:rPr>
        <w:tab/>
        <w:t>+</w:t>
      </w:r>
      <w:r w:rsidRPr="00FB2481">
        <w:rPr>
          <w:rFonts w:ascii="Times New Roman" w:hAnsi="Times New Roman" w:cs="Times New Roman"/>
        </w:rPr>
        <w:tab/>
        <w:t>2.95</w:t>
      </w:r>
      <w:r w:rsidRPr="00FB2481">
        <w:rPr>
          <w:rFonts w:ascii="Times New Roman" w:hAnsi="Times New Roman" w:cs="Times New Roman"/>
        </w:rPr>
        <w:tab/>
        <w:t>1.69E-04</w:t>
      </w:r>
    </w:p>
    <w:p w14:paraId="0C5615A4"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response to light stimulus (GO:0009416)</w:t>
      </w:r>
      <w:r w:rsidRPr="00FB2481">
        <w:rPr>
          <w:rFonts w:ascii="Times New Roman" w:hAnsi="Times New Roman" w:cs="Times New Roman"/>
        </w:rPr>
        <w:tab/>
        <w:t>70</w:t>
      </w:r>
      <w:r w:rsidRPr="00FB2481">
        <w:rPr>
          <w:rFonts w:ascii="Times New Roman" w:hAnsi="Times New Roman" w:cs="Times New Roman"/>
        </w:rPr>
        <w:tab/>
        <w:t>7</w:t>
      </w:r>
      <w:r w:rsidRPr="00FB2481">
        <w:rPr>
          <w:rFonts w:ascii="Times New Roman" w:hAnsi="Times New Roman" w:cs="Times New Roman"/>
        </w:rPr>
        <w:tab/>
        <w:t>.35</w:t>
      </w:r>
      <w:r w:rsidRPr="00FB2481">
        <w:rPr>
          <w:rFonts w:ascii="Times New Roman" w:hAnsi="Times New Roman" w:cs="Times New Roman"/>
        </w:rPr>
        <w:tab/>
        <w:t>+</w:t>
      </w:r>
      <w:r w:rsidRPr="00FB2481">
        <w:rPr>
          <w:rFonts w:ascii="Times New Roman" w:hAnsi="Times New Roman" w:cs="Times New Roman"/>
        </w:rPr>
        <w:tab/>
        <w:t>19.74</w:t>
      </w:r>
      <w:r w:rsidRPr="00FB2481">
        <w:rPr>
          <w:rFonts w:ascii="Times New Roman" w:hAnsi="Times New Roman" w:cs="Times New Roman"/>
        </w:rPr>
        <w:tab/>
        <w:t>2.33E-04</w:t>
      </w:r>
    </w:p>
    <w:p w14:paraId="5D88E01C"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mitotic cell cycle (GO:0000278)</w:t>
      </w:r>
      <w:r w:rsidRPr="00FB2481">
        <w:rPr>
          <w:rFonts w:ascii="Times New Roman" w:hAnsi="Times New Roman" w:cs="Times New Roman"/>
        </w:rPr>
        <w:tab/>
        <w:t>208</w:t>
      </w:r>
      <w:r w:rsidRPr="00FB2481">
        <w:rPr>
          <w:rFonts w:ascii="Times New Roman" w:hAnsi="Times New Roman" w:cs="Times New Roman"/>
        </w:rPr>
        <w:tab/>
        <w:t>10</w:t>
      </w:r>
      <w:r w:rsidRPr="00FB2481">
        <w:rPr>
          <w:rFonts w:ascii="Times New Roman" w:hAnsi="Times New Roman" w:cs="Times New Roman"/>
        </w:rPr>
        <w:tab/>
        <w:t>1.05</w:t>
      </w:r>
      <w:r w:rsidRPr="00FB2481">
        <w:rPr>
          <w:rFonts w:ascii="Times New Roman" w:hAnsi="Times New Roman" w:cs="Times New Roman"/>
        </w:rPr>
        <w:tab/>
        <w:t>+</w:t>
      </w:r>
      <w:r w:rsidRPr="00FB2481">
        <w:rPr>
          <w:rFonts w:ascii="Times New Roman" w:hAnsi="Times New Roman" w:cs="Times New Roman"/>
        </w:rPr>
        <w:tab/>
        <w:t>9.49</w:t>
      </w:r>
      <w:r w:rsidRPr="00FB2481">
        <w:rPr>
          <w:rFonts w:ascii="Times New Roman" w:hAnsi="Times New Roman" w:cs="Times New Roman"/>
        </w:rPr>
        <w:tab/>
        <w:t>3.15E-04</w:t>
      </w:r>
    </w:p>
    <w:p w14:paraId="670A8077"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response to radiation (GO:0009314)</w:t>
      </w:r>
      <w:r w:rsidRPr="00FB2481">
        <w:rPr>
          <w:rFonts w:ascii="Times New Roman" w:hAnsi="Times New Roman" w:cs="Times New Roman"/>
        </w:rPr>
        <w:tab/>
        <w:t>76</w:t>
      </w:r>
      <w:r w:rsidRPr="00FB2481">
        <w:rPr>
          <w:rFonts w:ascii="Times New Roman" w:hAnsi="Times New Roman" w:cs="Times New Roman"/>
        </w:rPr>
        <w:tab/>
        <w:t>7</w:t>
      </w:r>
      <w:r w:rsidRPr="00FB2481">
        <w:rPr>
          <w:rFonts w:ascii="Times New Roman" w:hAnsi="Times New Roman" w:cs="Times New Roman"/>
        </w:rPr>
        <w:tab/>
        <w:t>.38</w:t>
      </w:r>
      <w:r w:rsidRPr="00FB2481">
        <w:rPr>
          <w:rFonts w:ascii="Times New Roman" w:hAnsi="Times New Roman" w:cs="Times New Roman"/>
        </w:rPr>
        <w:tab/>
        <w:t>+</w:t>
      </w:r>
      <w:r w:rsidRPr="00FB2481">
        <w:rPr>
          <w:rFonts w:ascii="Times New Roman" w:hAnsi="Times New Roman" w:cs="Times New Roman"/>
        </w:rPr>
        <w:tab/>
        <w:t>18.19</w:t>
      </w:r>
      <w:r w:rsidRPr="00FB2481">
        <w:rPr>
          <w:rFonts w:ascii="Times New Roman" w:hAnsi="Times New Roman" w:cs="Times New Roman"/>
        </w:rPr>
        <w:tab/>
        <w:t>3.93E-04</w:t>
      </w:r>
    </w:p>
    <w:p w14:paraId="18EF3D75"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localization (GO:0051179)</w:t>
      </w:r>
      <w:r w:rsidRPr="00FB2481">
        <w:rPr>
          <w:rFonts w:ascii="Times New Roman" w:hAnsi="Times New Roman" w:cs="Times New Roman"/>
        </w:rPr>
        <w:tab/>
        <w:t>2218</w:t>
      </w:r>
      <w:r w:rsidRPr="00FB2481">
        <w:rPr>
          <w:rFonts w:ascii="Times New Roman" w:hAnsi="Times New Roman" w:cs="Times New Roman"/>
        </w:rPr>
        <w:tab/>
        <w:t>31</w:t>
      </w:r>
      <w:r w:rsidRPr="00FB2481">
        <w:rPr>
          <w:rFonts w:ascii="Times New Roman" w:hAnsi="Times New Roman" w:cs="Times New Roman"/>
        </w:rPr>
        <w:tab/>
        <w:t>11.23</w:t>
      </w:r>
      <w:r w:rsidRPr="00FB2481">
        <w:rPr>
          <w:rFonts w:ascii="Times New Roman" w:hAnsi="Times New Roman" w:cs="Times New Roman"/>
        </w:rPr>
        <w:tab/>
        <w:t>+</w:t>
      </w:r>
      <w:r w:rsidRPr="00FB2481">
        <w:rPr>
          <w:rFonts w:ascii="Times New Roman" w:hAnsi="Times New Roman" w:cs="Times New Roman"/>
        </w:rPr>
        <w:tab/>
        <w:t>2.76</w:t>
      </w:r>
      <w:r w:rsidRPr="00FB2481">
        <w:rPr>
          <w:rFonts w:ascii="Times New Roman" w:hAnsi="Times New Roman" w:cs="Times New Roman"/>
        </w:rPr>
        <w:tab/>
        <w:t>4.41E-04</w:t>
      </w:r>
    </w:p>
    <w:p w14:paraId="2D157E62"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response to external stimulus (GO:0009605)</w:t>
      </w:r>
      <w:r w:rsidRPr="00FB2481">
        <w:rPr>
          <w:rFonts w:ascii="Times New Roman" w:hAnsi="Times New Roman" w:cs="Times New Roman"/>
        </w:rPr>
        <w:tab/>
        <w:t>219</w:t>
      </w:r>
      <w:r w:rsidRPr="00FB2481">
        <w:rPr>
          <w:rFonts w:ascii="Times New Roman" w:hAnsi="Times New Roman" w:cs="Times New Roman"/>
        </w:rPr>
        <w:tab/>
        <w:t>10</w:t>
      </w:r>
      <w:r w:rsidRPr="00FB2481">
        <w:rPr>
          <w:rFonts w:ascii="Times New Roman" w:hAnsi="Times New Roman" w:cs="Times New Roman"/>
        </w:rPr>
        <w:tab/>
        <w:t>1.11</w:t>
      </w:r>
      <w:r w:rsidRPr="00FB2481">
        <w:rPr>
          <w:rFonts w:ascii="Times New Roman" w:hAnsi="Times New Roman" w:cs="Times New Roman"/>
        </w:rPr>
        <w:tab/>
        <w:t>+</w:t>
      </w:r>
      <w:r w:rsidRPr="00FB2481">
        <w:rPr>
          <w:rFonts w:ascii="Times New Roman" w:hAnsi="Times New Roman" w:cs="Times New Roman"/>
        </w:rPr>
        <w:tab/>
        <w:t>9.02</w:t>
      </w:r>
      <w:r w:rsidRPr="00FB2481">
        <w:rPr>
          <w:rFonts w:ascii="Times New Roman" w:hAnsi="Times New Roman" w:cs="Times New Roman"/>
        </w:rPr>
        <w:tab/>
        <w:t>4.96E-04</w:t>
      </w:r>
    </w:p>
    <w:p w14:paraId="2C9E3704"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mitotic cell cycle process (GO:1903047)</w:t>
      </w:r>
      <w:r w:rsidRPr="00FB2481">
        <w:rPr>
          <w:rFonts w:ascii="Times New Roman" w:hAnsi="Times New Roman" w:cs="Times New Roman"/>
        </w:rPr>
        <w:tab/>
        <w:t>170</w:t>
      </w:r>
      <w:r w:rsidRPr="00FB2481">
        <w:rPr>
          <w:rFonts w:ascii="Times New Roman" w:hAnsi="Times New Roman" w:cs="Times New Roman"/>
        </w:rPr>
        <w:tab/>
        <w:t>9</w:t>
      </w:r>
      <w:r w:rsidRPr="00FB2481">
        <w:rPr>
          <w:rFonts w:ascii="Times New Roman" w:hAnsi="Times New Roman" w:cs="Times New Roman"/>
        </w:rPr>
        <w:tab/>
        <w:t>.86</w:t>
      </w:r>
      <w:r w:rsidRPr="00FB2481">
        <w:rPr>
          <w:rFonts w:ascii="Times New Roman" w:hAnsi="Times New Roman" w:cs="Times New Roman"/>
        </w:rPr>
        <w:tab/>
        <w:t>+</w:t>
      </w:r>
      <w:r w:rsidRPr="00FB2481">
        <w:rPr>
          <w:rFonts w:ascii="Times New Roman" w:hAnsi="Times New Roman" w:cs="Times New Roman"/>
        </w:rPr>
        <w:tab/>
        <w:t>10.45</w:t>
      </w:r>
      <w:r w:rsidRPr="00FB2481">
        <w:rPr>
          <w:rFonts w:ascii="Times New Roman" w:hAnsi="Times New Roman" w:cs="Times New Roman"/>
        </w:rPr>
        <w:tab/>
        <w:t>6.13E-04</w:t>
      </w:r>
    </w:p>
    <w:p w14:paraId="4CB15DE2"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cell cycle (GO:0007049)</w:t>
      </w:r>
      <w:r w:rsidRPr="00FB2481">
        <w:rPr>
          <w:rFonts w:ascii="Times New Roman" w:hAnsi="Times New Roman" w:cs="Times New Roman"/>
        </w:rPr>
        <w:tab/>
        <w:t>388</w:t>
      </w:r>
      <w:r w:rsidRPr="00FB2481">
        <w:rPr>
          <w:rFonts w:ascii="Times New Roman" w:hAnsi="Times New Roman" w:cs="Times New Roman"/>
        </w:rPr>
        <w:tab/>
        <w:t>12</w:t>
      </w:r>
      <w:r w:rsidRPr="00FB2481">
        <w:rPr>
          <w:rFonts w:ascii="Times New Roman" w:hAnsi="Times New Roman" w:cs="Times New Roman"/>
        </w:rPr>
        <w:tab/>
        <w:t>1.97</w:t>
      </w:r>
      <w:r w:rsidRPr="00FB2481">
        <w:rPr>
          <w:rFonts w:ascii="Times New Roman" w:hAnsi="Times New Roman" w:cs="Times New Roman"/>
        </w:rPr>
        <w:tab/>
        <w:t>+</w:t>
      </w:r>
      <w:r w:rsidRPr="00FB2481">
        <w:rPr>
          <w:rFonts w:ascii="Times New Roman" w:hAnsi="Times New Roman" w:cs="Times New Roman"/>
        </w:rPr>
        <w:tab/>
        <w:t>6.11</w:t>
      </w:r>
      <w:r w:rsidRPr="00FB2481">
        <w:rPr>
          <w:rFonts w:ascii="Times New Roman" w:hAnsi="Times New Roman" w:cs="Times New Roman"/>
        </w:rPr>
        <w:tab/>
        <w:t>1.75E-03</w:t>
      </w:r>
    </w:p>
    <w:p w14:paraId="4B6B813D"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nuclear division (GO:0000280)</w:t>
      </w:r>
      <w:r w:rsidRPr="00FB2481">
        <w:rPr>
          <w:rFonts w:ascii="Times New Roman" w:hAnsi="Times New Roman" w:cs="Times New Roman"/>
        </w:rPr>
        <w:tab/>
        <w:t>154</w:t>
      </w:r>
      <w:r w:rsidRPr="00FB2481">
        <w:rPr>
          <w:rFonts w:ascii="Times New Roman" w:hAnsi="Times New Roman" w:cs="Times New Roman"/>
        </w:rPr>
        <w:tab/>
        <w:t>8</w:t>
      </w:r>
      <w:r w:rsidRPr="00FB2481">
        <w:rPr>
          <w:rFonts w:ascii="Times New Roman" w:hAnsi="Times New Roman" w:cs="Times New Roman"/>
        </w:rPr>
        <w:tab/>
        <w:t>.78</w:t>
      </w:r>
      <w:r w:rsidRPr="00FB2481">
        <w:rPr>
          <w:rFonts w:ascii="Times New Roman" w:hAnsi="Times New Roman" w:cs="Times New Roman"/>
        </w:rPr>
        <w:tab/>
        <w:t>+</w:t>
      </w:r>
      <w:r w:rsidRPr="00FB2481">
        <w:rPr>
          <w:rFonts w:ascii="Times New Roman" w:hAnsi="Times New Roman" w:cs="Times New Roman"/>
        </w:rPr>
        <w:tab/>
        <w:t>10.26</w:t>
      </w:r>
      <w:r w:rsidRPr="00FB2481">
        <w:rPr>
          <w:rFonts w:ascii="Times New Roman" w:hAnsi="Times New Roman" w:cs="Times New Roman"/>
        </w:rPr>
        <w:tab/>
        <w:t>3.21E-03</w:t>
      </w:r>
    </w:p>
    <w:p w14:paraId="7649EEB4"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mitotic spindle assembly (GO:0090307)</w:t>
      </w:r>
      <w:r w:rsidRPr="00FB2481">
        <w:rPr>
          <w:rFonts w:ascii="Times New Roman" w:hAnsi="Times New Roman" w:cs="Times New Roman"/>
        </w:rPr>
        <w:tab/>
        <w:t>14</w:t>
      </w:r>
      <w:r w:rsidRPr="00FB2481">
        <w:rPr>
          <w:rFonts w:ascii="Times New Roman" w:hAnsi="Times New Roman" w:cs="Times New Roman"/>
        </w:rPr>
        <w:tab/>
        <w:t>4</w:t>
      </w:r>
      <w:r w:rsidRPr="00FB2481">
        <w:rPr>
          <w:rFonts w:ascii="Times New Roman" w:hAnsi="Times New Roman" w:cs="Times New Roman"/>
        </w:rPr>
        <w:tab/>
        <w:t>.07</w:t>
      </w:r>
      <w:r w:rsidRPr="00FB2481">
        <w:rPr>
          <w:rFonts w:ascii="Times New Roman" w:hAnsi="Times New Roman" w:cs="Times New Roman"/>
        </w:rPr>
        <w:tab/>
        <w:t>+</w:t>
      </w:r>
      <w:r w:rsidRPr="00FB2481">
        <w:rPr>
          <w:rFonts w:ascii="Times New Roman" w:hAnsi="Times New Roman" w:cs="Times New Roman"/>
        </w:rPr>
        <w:tab/>
        <w:t>56.41</w:t>
      </w:r>
      <w:r w:rsidRPr="00FB2481">
        <w:rPr>
          <w:rFonts w:ascii="Times New Roman" w:hAnsi="Times New Roman" w:cs="Times New Roman"/>
        </w:rPr>
        <w:tab/>
        <w:t>3.26E-03</w:t>
      </w:r>
    </w:p>
    <w:p w14:paraId="0D575EAA"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primary metabolic process (GO:0044238)</w:t>
      </w:r>
      <w:r w:rsidRPr="00FB2481">
        <w:rPr>
          <w:rFonts w:ascii="Times New Roman" w:hAnsi="Times New Roman" w:cs="Times New Roman"/>
        </w:rPr>
        <w:tab/>
        <w:t>5575</w:t>
      </w:r>
      <w:r w:rsidRPr="00FB2481">
        <w:rPr>
          <w:rFonts w:ascii="Times New Roman" w:hAnsi="Times New Roman" w:cs="Times New Roman"/>
        </w:rPr>
        <w:tab/>
        <w:t>53</w:t>
      </w:r>
      <w:r w:rsidRPr="00FB2481">
        <w:rPr>
          <w:rFonts w:ascii="Times New Roman" w:hAnsi="Times New Roman" w:cs="Times New Roman"/>
        </w:rPr>
        <w:tab/>
        <w:t>28.24</w:t>
      </w:r>
      <w:r w:rsidRPr="00FB2481">
        <w:rPr>
          <w:rFonts w:ascii="Times New Roman" w:hAnsi="Times New Roman" w:cs="Times New Roman"/>
        </w:rPr>
        <w:tab/>
        <w:t>+</w:t>
      </w:r>
      <w:r w:rsidRPr="00FB2481">
        <w:rPr>
          <w:rFonts w:ascii="Times New Roman" w:hAnsi="Times New Roman" w:cs="Times New Roman"/>
        </w:rPr>
        <w:tab/>
        <w:t>1.88</w:t>
      </w:r>
      <w:r w:rsidRPr="00FB2481">
        <w:rPr>
          <w:rFonts w:ascii="Times New Roman" w:hAnsi="Times New Roman" w:cs="Times New Roman"/>
        </w:rPr>
        <w:tab/>
        <w:t>3.39E-03</w:t>
      </w:r>
    </w:p>
    <w:p w14:paraId="6BD74931"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organelle assembly (GO:0070925)</w:t>
      </w:r>
      <w:r w:rsidRPr="00FB2481">
        <w:rPr>
          <w:rFonts w:ascii="Times New Roman" w:hAnsi="Times New Roman" w:cs="Times New Roman"/>
        </w:rPr>
        <w:tab/>
        <w:t>216</w:t>
      </w:r>
      <w:r w:rsidRPr="00FB2481">
        <w:rPr>
          <w:rFonts w:ascii="Times New Roman" w:hAnsi="Times New Roman" w:cs="Times New Roman"/>
        </w:rPr>
        <w:tab/>
        <w:t>9</w:t>
      </w:r>
      <w:r w:rsidRPr="00FB2481">
        <w:rPr>
          <w:rFonts w:ascii="Times New Roman" w:hAnsi="Times New Roman" w:cs="Times New Roman"/>
        </w:rPr>
        <w:tab/>
        <w:t>1.09</w:t>
      </w:r>
      <w:r w:rsidRPr="00FB2481">
        <w:rPr>
          <w:rFonts w:ascii="Times New Roman" w:hAnsi="Times New Roman" w:cs="Times New Roman"/>
        </w:rPr>
        <w:tab/>
        <w:t>+</w:t>
      </w:r>
      <w:r w:rsidRPr="00FB2481">
        <w:rPr>
          <w:rFonts w:ascii="Times New Roman" w:hAnsi="Times New Roman" w:cs="Times New Roman"/>
        </w:rPr>
        <w:tab/>
        <w:t>8.23</w:t>
      </w:r>
      <w:r w:rsidRPr="00FB2481">
        <w:rPr>
          <w:rFonts w:ascii="Times New Roman" w:hAnsi="Times New Roman" w:cs="Times New Roman"/>
        </w:rPr>
        <w:tab/>
        <w:t>4.12E-03</w:t>
      </w:r>
    </w:p>
    <w:p w14:paraId="3D1FC7CD"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intracellular transport (GO:0046907)</w:t>
      </w:r>
      <w:r w:rsidRPr="00FB2481">
        <w:rPr>
          <w:rFonts w:ascii="Times New Roman" w:hAnsi="Times New Roman" w:cs="Times New Roman"/>
        </w:rPr>
        <w:tab/>
        <w:t>591</w:t>
      </w:r>
      <w:r w:rsidRPr="00FB2481">
        <w:rPr>
          <w:rFonts w:ascii="Times New Roman" w:hAnsi="Times New Roman" w:cs="Times New Roman"/>
        </w:rPr>
        <w:tab/>
        <w:t>14</w:t>
      </w:r>
      <w:r w:rsidRPr="00FB2481">
        <w:rPr>
          <w:rFonts w:ascii="Times New Roman" w:hAnsi="Times New Roman" w:cs="Times New Roman"/>
        </w:rPr>
        <w:tab/>
        <w:t>2.99</w:t>
      </w:r>
      <w:r w:rsidRPr="00FB2481">
        <w:rPr>
          <w:rFonts w:ascii="Times New Roman" w:hAnsi="Times New Roman" w:cs="Times New Roman"/>
        </w:rPr>
        <w:tab/>
        <w:t>+</w:t>
      </w:r>
      <w:r w:rsidRPr="00FB2481">
        <w:rPr>
          <w:rFonts w:ascii="Times New Roman" w:hAnsi="Times New Roman" w:cs="Times New Roman"/>
        </w:rPr>
        <w:tab/>
        <w:t>4.68</w:t>
      </w:r>
      <w:r w:rsidRPr="00FB2481">
        <w:rPr>
          <w:rFonts w:ascii="Times New Roman" w:hAnsi="Times New Roman" w:cs="Times New Roman"/>
        </w:rPr>
        <w:tab/>
        <w:t>4.58E-03</w:t>
      </w:r>
    </w:p>
    <w:p w14:paraId="0740C5A3"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organelle fission (GO:0048285)</w:t>
      </w:r>
      <w:r w:rsidRPr="00FB2481">
        <w:rPr>
          <w:rFonts w:ascii="Times New Roman" w:hAnsi="Times New Roman" w:cs="Times New Roman"/>
        </w:rPr>
        <w:tab/>
        <w:t>162</w:t>
      </w:r>
      <w:r w:rsidRPr="00FB2481">
        <w:rPr>
          <w:rFonts w:ascii="Times New Roman" w:hAnsi="Times New Roman" w:cs="Times New Roman"/>
        </w:rPr>
        <w:tab/>
        <w:t>8</w:t>
      </w:r>
      <w:r w:rsidRPr="00FB2481">
        <w:rPr>
          <w:rFonts w:ascii="Times New Roman" w:hAnsi="Times New Roman" w:cs="Times New Roman"/>
        </w:rPr>
        <w:tab/>
        <w:t>.82</w:t>
      </w:r>
      <w:r w:rsidRPr="00FB2481">
        <w:rPr>
          <w:rFonts w:ascii="Times New Roman" w:hAnsi="Times New Roman" w:cs="Times New Roman"/>
        </w:rPr>
        <w:tab/>
        <w:t>+</w:t>
      </w:r>
      <w:r w:rsidRPr="00FB2481">
        <w:rPr>
          <w:rFonts w:ascii="Times New Roman" w:hAnsi="Times New Roman" w:cs="Times New Roman"/>
        </w:rPr>
        <w:tab/>
        <w:t>9.75</w:t>
      </w:r>
      <w:r w:rsidRPr="00FB2481">
        <w:rPr>
          <w:rFonts w:ascii="Times New Roman" w:hAnsi="Times New Roman" w:cs="Times New Roman"/>
        </w:rPr>
        <w:tab/>
        <w:t>4.61E-03</w:t>
      </w:r>
    </w:p>
    <w:p w14:paraId="5AEAC09A"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mitotic sister chromatid segregation (GO:0000070)</w:t>
      </w:r>
      <w:r w:rsidRPr="00FB2481">
        <w:rPr>
          <w:rFonts w:ascii="Times New Roman" w:hAnsi="Times New Roman" w:cs="Times New Roman"/>
        </w:rPr>
        <w:tab/>
        <w:t>40</w:t>
      </w:r>
      <w:r w:rsidRPr="00FB2481">
        <w:rPr>
          <w:rFonts w:ascii="Times New Roman" w:hAnsi="Times New Roman" w:cs="Times New Roman"/>
        </w:rPr>
        <w:tab/>
        <w:t>5</w:t>
      </w:r>
      <w:r w:rsidRPr="00FB2481">
        <w:rPr>
          <w:rFonts w:ascii="Times New Roman" w:hAnsi="Times New Roman" w:cs="Times New Roman"/>
        </w:rPr>
        <w:tab/>
        <w:t>.20</w:t>
      </w:r>
      <w:r w:rsidRPr="00FB2481">
        <w:rPr>
          <w:rFonts w:ascii="Times New Roman" w:hAnsi="Times New Roman" w:cs="Times New Roman"/>
        </w:rPr>
        <w:tab/>
        <w:t>+</w:t>
      </w:r>
      <w:r w:rsidRPr="00FB2481">
        <w:rPr>
          <w:rFonts w:ascii="Times New Roman" w:hAnsi="Times New Roman" w:cs="Times New Roman"/>
        </w:rPr>
        <w:tab/>
        <w:t>24.68</w:t>
      </w:r>
      <w:r w:rsidRPr="00FB2481">
        <w:rPr>
          <w:rFonts w:ascii="Times New Roman" w:hAnsi="Times New Roman" w:cs="Times New Roman"/>
        </w:rPr>
        <w:tab/>
        <w:t>5.73E-03</w:t>
      </w:r>
    </w:p>
    <w:p w14:paraId="7AEBAB3C"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DNA biosynthetic process (GO:0071897)</w:t>
      </w:r>
      <w:r w:rsidRPr="00FB2481">
        <w:rPr>
          <w:rFonts w:ascii="Times New Roman" w:hAnsi="Times New Roman" w:cs="Times New Roman"/>
        </w:rPr>
        <w:tab/>
        <w:t>44</w:t>
      </w:r>
      <w:r w:rsidRPr="00FB2481">
        <w:rPr>
          <w:rFonts w:ascii="Times New Roman" w:hAnsi="Times New Roman" w:cs="Times New Roman"/>
        </w:rPr>
        <w:tab/>
        <w:t>5</w:t>
      </w:r>
      <w:r w:rsidRPr="00FB2481">
        <w:rPr>
          <w:rFonts w:ascii="Times New Roman" w:hAnsi="Times New Roman" w:cs="Times New Roman"/>
        </w:rPr>
        <w:tab/>
        <w:t>.22</w:t>
      </w:r>
      <w:r w:rsidRPr="00FB2481">
        <w:rPr>
          <w:rFonts w:ascii="Times New Roman" w:hAnsi="Times New Roman" w:cs="Times New Roman"/>
        </w:rPr>
        <w:tab/>
        <w:t>+</w:t>
      </w:r>
      <w:r w:rsidRPr="00FB2481">
        <w:rPr>
          <w:rFonts w:ascii="Times New Roman" w:hAnsi="Times New Roman" w:cs="Times New Roman"/>
        </w:rPr>
        <w:tab/>
        <w:t>22.44</w:t>
      </w:r>
      <w:r w:rsidRPr="00FB2481">
        <w:rPr>
          <w:rFonts w:ascii="Times New Roman" w:hAnsi="Times New Roman" w:cs="Times New Roman"/>
        </w:rPr>
        <w:tab/>
        <w:t>8.80E-03</w:t>
      </w:r>
    </w:p>
    <w:p w14:paraId="3E150E17"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ion transport (GO:0006811)</w:t>
      </w:r>
      <w:r w:rsidRPr="00FB2481">
        <w:rPr>
          <w:rFonts w:ascii="Times New Roman" w:hAnsi="Times New Roman" w:cs="Times New Roman"/>
        </w:rPr>
        <w:tab/>
        <w:t>1466</w:t>
      </w:r>
      <w:r w:rsidRPr="00FB2481">
        <w:rPr>
          <w:rFonts w:ascii="Times New Roman" w:hAnsi="Times New Roman" w:cs="Times New Roman"/>
        </w:rPr>
        <w:tab/>
        <w:t>22</w:t>
      </w:r>
      <w:r w:rsidRPr="00FB2481">
        <w:rPr>
          <w:rFonts w:ascii="Times New Roman" w:hAnsi="Times New Roman" w:cs="Times New Roman"/>
        </w:rPr>
        <w:tab/>
        <w:t>7.42</w:t>
      </w:r>
      <w:r w:rsidRPr="00FB2481">
        <w:rPr>
          <w:rFonts w:ascii="Times New Roman" w:hAnsi="Times New Roman" w:cs="Times New Roman"/>
        </w:rPr>
        <w:tab/>
        <w:t>+</w:t>
      </w:r>
      <w:r w:rsidRPr="00FB2481">
        <w:rPr>
          <w:rFonts w:ascii="Times New Roman" w:hAnsi="Times New Roman" w:cs="Times New Roman"/>
        </w:rPr>
        <w:tab/>
        <w:t>2.96</w:t>
      </w:r>
      <w:r w:rsidRPr="00FB2481">
        <w:rPr>
          <w:rFonts w:ascii="Times New Roman" w:hAnsi="Times New Roman" w:cs="Times New Roman"/>
        </w:rPr>
        <w:tab/>
        <w:t>1.06E-02</w:t>
      </w:r>
    </w:p>
    <w:p w14:paraId="48CA5468"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endosomal transport (GO:0016197)</w:t>
      </w:r>
      <w:r w:rsidRPr="00FB2481">
        <w:rPr>
          <w:rFonts w:ascii="Times New Roman" w:hAnsi="Times New Roman" w:cs="Times New Roman"/>
        </w:rPr>
        <w:tab/>
        <w:t>83</w:t>
      </w:r>
      <w:r w:rsidRPr="00FB2481">
        <w:rPr>
          <w:rFonts w:ascii="Times New Roman" w:hAnsi="Times New Roman" w:cs="Times New Roman"/>
        </w:rPr>
        <w:tab/>
        <w:t>6</w:t>
      </w:r>
      <w:r w:rsidRPr="00FB2481">
        <w:rPr>
          <w:rFonts w:ascii="Times New Roman" w:hAnsi="Times New Roman" w:cs="Times New Roman"/>
        </w:rPr>
        <w:tab/>
        <w:t>.42</w:t>
      </w:r>
      <w:r w:rsidRPr="00FB2481">
        <w:rPr>
          <w:rFonts w:ascii="Times New Roman" w:hAnsi="Times New Roman" w:cs="Times New Roman"/>
        </w:rPr>
        <w:tab/>
        <w:t>+</w:t>
      </w:r>
      <w:r w:rsidRPr="00FB2481">
        <w:rPr>
          <w:rFonts w:ascii="Times New Roman" w:hAnsi="Times New Roman" w:cs="Times New Roman"/>
        </w:rPr>
        <w:tab/>
        <w:t>14.27</w:t>
      </w:r>
      <w:r w:rsidRPr="00FB2481">
        <w:rPr>
          <w:rFonts w:ascii="Times New Roman" w:hAnsi="Times New Roman" w:cs="Times New Roman"/>
        </w:rPr>
        <w:tab/>
        <w:t>1.11E-02</w:t>
      </w:r>
    </w:p>
    <w:p w14:paraId="151501A3"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response to abiotic stimulus (GO:0009628)</w:t>
      </w:r>
      <w:r w:rsidRPr="00FB2481">
        <w:rPr>
          <w:rFonts w:ascii="Times New Roman" w:hAnsi="Times New Roman" w:cs="Times New Roman"/>
        </w:rPr>
        <w:tab/>
        <w:t>130</w:t>
      </w:r>
      <w:r w:rsidRPr="00FB2481">
        <w:rPr>
          <w:rFonts w:ascii="Times New Roman" w:hAnsi="Times New Roman" w:cs="Times New Roman"/>
        </w:rPr>
        <w:tab/>
        <w:t>7</w:t>
      </w:r>
      <w:r w:rsidRPr="00FB2481">
        <w:rPr>
          <w:rFonts w:ascii="Times New Roman" w:hAnsi="Times New Roman" w:cs="Times New Roman"/>
        </w:rPr>
        <w:tab/>
        <w:t>.66</w:t>
      </w:r>
      <w:r w:rsidRPr="00FB2481">
        <w:rPr>
          <w:rFonts w:ascii="Times New Roman" w:hAnsi="Times New Roman" w:cs="Times New Roman"/>
        </w:rPr>
        <w:tab/>
        <w:t>+</w:t>
      </w:r>
      <w:r w:rsidRPr="00FB2481">
        <w:rPr>
          <w:rFonts w:ascii="Times New Roman" w:hAnsi="Times New Roman" w:cs="Times New Roman"/>
        </w:rPr>
        <w:tab/>
        <w:t>10.63</w:t>
      </w:r>
      <w:r w:rsidRPr="00FB2481">
        <w:rPr>
          <w:rFonts w:ascii="Times New Roman" w:hAnsi="Times New Roman" w:cs="Times New Roman"/>
        </w:rPr>
        <w:tab/>
        <w:t>1.16E-02</w:t>
      </w:r>
    </w:p>
    <w:p w14:paraId="61EC743F" w14:textId="77777777" w:rsidR="00D617DF" w:rsidRPr="00FB2481" w:rsidRDefault="00D617DF" w:rsidP="00EA4D1C">
      <w:pPr>
        <w:rPr>
          <w:rFonts w:ascii="Times New Roman" w:hAnsi="Times New Roman" w:cs="Times New Roman"/>
        </w:rPr>
      </w:pPr>
      <w:r w:rsidRPr="00FB2481">
        <w:rPr>
          <w:rFonts w:ascii="Times New Roman" w:hAnsi="Times New Roman" w:cs="Times New Roman"/>
        </w:rPr>
        <w:t>establishment of localization in cell (GO:0051649)</w:t>
      </w:r>
      <w:r w:rsidRPr="00FB2481">
        <w:rPr>
          <w:rFonts w:ascii="Times New Roman" w:hAnsi="Times New Roman" w:cs="Times New Roman"/>
        </w:rPr>
        <w:tab/>
        <w:t>688</w:t>
      </w:r>
      <w:r w:rsidRPr="00FB2481">
        <w:rPr>
          <w:rFonts w:ascii="Times New Roman" w:hAnsi="Times New Roman" w:cs="Times New Roman"/>
        </w:rPr>
        <w:tab/>
        <w:t>14</w:t>
      </w:r>
      <w:r w:rsidRPr="00FB2481">
        <w:rPr>
          <w:rFonts w:ascii="Times New Roman" w:hAnsi="Times New Roman" w:cs="Times New Roman"/>
        </w:rPr>
        <w:tab/>
        <w:t>3.48</w:t>
      </w:r>
      <w:r w:rsidRPr="00FB2481">
        <w:rPr>
          <w:rFonts w:ascii="Times New Roman" w:hAnsi="Times New Roman" w:cs="Times New Roman"/>
        </w:rPr>
        <w:tab/>
        <w:t>+</w:t>
      </w:r>
      <w:r w:rsidRPr="00FB2481">
        <w:rPr>
          <w:rFonts w:ascii="Times New Roman" w:hAnsi="Times New Roman" w:cs="Times New Roman"/>
        </w:rPr>
        <w:tab/>
        <w:t>4.02</w:t>
      </w:r>
      <w:r w:rsidRPr="00FB2481">
        <w:rPr>
          <w:rFonts w:ascii="Times New Roman" w:hAnsi="Times New Roman" w:cs="Times New Roman"/>
        </w:rPr>
        <w:tab/>
        <w:t>2.47E-02</w:t>
      </w:r>
    </w:p>
    <w:p w14:paraId="47349144" w14:textId="77777777" w:rsidR="00D617DF" w:rsidRDefault="00D617DF" w:rsidP="00EA4D1C">
      <w:pPr>
        <w:rPr>
          <w:rFonts w:ascii="Times New Roman" w:hAnsi="Times New Roman" w:cs="Times New Roman"/>
        </w:rPr>
      </w:pPr>
      <w:r w:rsidRPr="00FB2481">
        <w:rPr>
          <w:rFonts w:ascii="Times New Roman" w:hAnsi="Times New Roman" w:cs="Times New Roman"/>
        </w:rPr>
        <w:t>spindle assembly (GO:0051225)</w:t>
      </w:r>
      <w:r w:rsidRPr="00FB2481">
        <w:rPr>
          <w:rFonts w:ascii="Times New Roman" w:hAnsi="Times New Roman" w:cs="Times New Roman"/>
        </w:rPr>
        <w:tab/>
        <w:t>28</w:t>
      </w:r>
      <w:r w:rsidRPr="00FB2481">
        <w:rPr>
          <w:rFonts w:ascii="Times New Roman" w:hAnsi="Times New Roman" w:cs="Times New Roman"/>
        </w:rPr>
        <w:tab/>
        <w:t>4</w:t>
      </w:r>
      <w:r w:rsidRPr="00FB2481">
        <w:rPr>
          <w:rFonts w:ascii="Times New Roman" w:hAnsi="Times New Roman" w:cs="Times New Roman"/>
        </w:rPr>
        <w:tab/>
        <w:t>.14</w:t>
      </w:r>
      <w:r w:rsidRPr="00FB2481">
        <w:rPr>
          <w:rFonts w:ascii="Times New Roman" w:hAnsi="Times New Roman" w:cs="Times New Roman"/>
        </w:rPr>
        <w:tab/>
        <w:t>+</w:t>
      </w:r>
      <w:r w:rsidRPr="00FB2481">
        <w:rPr>
          <w:rFonts w:ascii="Times New Roman" w:hAnsi="Times New Roman" w:cs="Times New Roman"/>
        </w:rPr>
        <w:tab/>
        <w:t>28.21</w:t>
      </w:r>
      <w:r w:rsidRPr="00FB2481">
        <w:rPr>
          <w:rFonts w:ascii="Times New Roman" w:hAnsi="Times New Roman" w:cs="Times New Roman"/>
        </w:rPr>
        <w:tab/>
        <w:t>3.62E-02</w:t>
      </w:r>
    </w:p>
    <w:p w14:paraId="46B5CB9F" w14:textId="77777777" w:rsidR="00D617DF" w:rsidRDefault="00D617DF" w:rsidP="00EA4D1C">
      <w:pPr>
        <w:rPr>
          <w:rFonts w:ascii="Times New Roman" w:hAnsi="Times New Roman" w:cs="Times New Roman"/>
        </w:rPr>
      </w:pPr>
    </w:p>
    <w:p w14:paraId="47517E82" w14:textId="77777777" w:rsidR="00D617DF" w:rsidRDefault="00D617DF" w:rsidP="00EA4D1C">
      <w:pPr>
        <w:rPr>
          <w:rFonts w:ascii="Times New Roman" w:hAnsi="Times New Roman" w:cs="Times New Roman"/>
        </w:rPr>
      </w:pPr>
      <w:r>
        <w:rPr>
          <w:rFonts w:ascii="Times New Roman" w:hAnsi="Times New Roman" w:cs="Times New Roman"/>
          <w:b/>
          <w:bCs/>
        </w:rPr>
        <w:t xml:space="preserve">Table S6: </w:t>
      </w:r>
      <w:r>
        <w:rPr>
          <w:rFonts w:ascii="Times New Roman" w:hAnsi="Times New Roman" w:cs="Times New Roman"/>
        </w:rPr>
        <w:t xml:space="preserve">Output of Panther </w:t>
      </w:r>
      <w:r>
        <w:rPr>
          <w:rFonts w:ascii="Times New Roman" w:hAnsi="Times New Roman" w:cs="Times New Roman"/>
        </w:rPr>
        <w:fldChar w:fldCharType="begin" w:fldLock="1"/>
      </w:r>
      <w:r>
        <w:rPr>
          <w:rFonts w:ascii="Times New Roman" w:hAnsi="Times New Roman" w:cs="Times New Roman"/>
        </w:rPr>
        <w:instrText>ADDIN CSL_CITATION {"citationItems":[{"id":"ITEM-1","itemData":{"DOI":"10.1093/nar/gkaa1106","ISSN":"13624962","PMID":"33290554","abstract":"PANTHER (Protein Analysis Through Evolutionary Relationships, http://www.pantherdb.org) is a resource for the evolutionary and functional classification of protein-coding genes from all domains of life. The evolutionary classification is based on a library of over 15,000 phylogenetic trees, and the functional classifications include Gene Ontology terms and pathways. Here, we analyze the current coverage of genes from genomes in different taxonomic groups, so that users can better understand what to expect when analyzing a gene list using PANTHER tools. We also describe extensive improvements to PANTHER made in the past two years. The PANTHER Protein Class ontology has been completely refactored, and 6101 PANTHER families have been manually assigned to a Protein Class, providing a high level classification of protein families and their genes. Users can access the TreeGrafter tool to add their own protein sequences to the reference phylogenetic trees in PANTHER, to infer evolutionary context as well as fine-grained annotations. We have added human enhancer-gene links that associate non-coding regions with the annotated human genes in PANTHER. We have also expanded the available services for programmatic access to PANTHER tools and data via application programming interfaces (APIs). Other improvements include additional plant genomes and an updated PANTHER GO-slim.","author":[{"dropping-particle":"","family":"Mi","given":"Huaiyu","non-dropping-particle":"","parse-names":false,"suffix":""},{"dropping-particle":"","family":"Ebert","given":"Dustin","non-dropping-particle":"","parse-names":false,"suffix":""},{"dropping-particle":"","family":"Muruganujan","given":"Anushya","non-dropping-particle":"","parse-names":false,"suffix":""},{"dropping-particle":"","family":"Mills","given":"Caitlin","non-dropping-particle":"","parse-names":false,"suffix":""},{"dropping-particle":"","family":"Albou","given":"Laurent Philippe","non-dropping-particle":"","parse-names":false,"suffix":""},{"dropping-particle":"","family":"Mushayamaha","given":"Tremayne","non-dropping-particle":"","parse-names":false,"suffix":""},{"dropping-particle":"","family":"Thomas","given":"Paul D.","non-dropping-particle":"","parse-names":false,"suffix":""}],"container-title":"Nucleic Acids Research","id":"ITEM-1","issue":"D1","issued":{"date-parts":[["2021","1","8"]]},"page":"D394-D403","publisher":"Oxford University Press","title":"PANTHER version 16: A revised family classification, tree-based classification tool, enhancer regions and extensive API","type":"article-journal","volume":"49"},"uris":["http://www.mendeley.com/documents/?uuid=f0fbd785-582d-3536-9018-4cd6fade86b0"]}],"mendeley":{"formattedCitation":"(Mi et al. 2021)","plainTextFormattedCitation":"(Mi et al. 2021)","previouslyFormattedCitation":"(Mi et al. 2021)"},"properties":{"noteIndex":0},"schema":"https://github.com/citation-style-language/schema/raw/master/csl-citation.json"}</w:instrText>
      </w:r>
      <w:r>
        <w:rPr>
          <w:rFonts w:ascii="Times New Roman" w:hAnsi="Times New Roman" w:cs="Times New Roman"/>
        </w:rPr>
        <w:fldChar w:fldCharType="separate"/>
      </w:r>
      <w:r w:rsidRPr="00FB2481">
        <w:rPr>
          <w:rFonts w:ascii="Times New Roman" w:hAnsi="Times New Roman" w:cs="Times New Roman"/>
          <w:noProof/>
        </w:rPr>
        <w:t>(Mi et al. 2021)</w:t>
      </w:r>
      <w:r>
        <w:rPr>
          <w:rFonts w:ascii="Times New Roman" w:hAnsi="Times New Roman" w:cs="Times New Roman"/>
        </w:rPr>
        <w:fldChar w:fldCharType="end"/>
      </w:r>
      <w:r>
        <w:rPr>
          <w:rFonts w:ascii="Times New Roman" w:hAnsi="Times New Roman" w:cs="Times New Roman"/>
        </w:rPr>
        <w:t xml:space="preserve"> Gene Ontology (GO) enrichment test. </w:t>
      </w:r>
      <w:r>
        <w:rPr>
          <w:rFonts w:ascii="Times New Roman" w:hAnsi="Times New Roman" w:cs="Times New Roman"/>
        </w:rPr>
        <w:br w:type="page"/>
      </w:r>
    </w:p>
    <w:p w14:paraId="1C6F22B6" w14:textId="77777777" w:rsidR="00D617DF" w:rsidRDefault="00D617DF" w:rsidP="00EA4D1C">
      <w:pPr>
        <w:jc w:val="center"/>
        <w:rPr>
          <w:rFonts w:ascii="Times New Roman" w:hAnsi="Times New Roman" w:cs="Times New Roman"/>
          <w:b/>
          <w:bCs/>
        </w:rPr>
      </w:pPr>
      <w:r>
        <w:rPr>
          <w:rFonts w:ascii="Times New Roman" w:hAnsi="Times New Roman" w:cs="Times New Roman"/>
          <w:b/>
          <w:bCs/>
        </w:rPr>
        <w:lastRenderedPageBreak/>
        <w:t>Works Cited:</w:t>
      </w:r>
    </w:p>
    <w:p w14:paraId="6E935FA7" w14:textId="77777777" w:rsidR="00D617DF" w:rsidRPr="00EC5714" w:rsidRDefault="00D617DF" w:rsidP="00EA4D1C">
      <w:pPr>
        <w:widowControl w:val="0"/>
        <w:autoSpaceDE w:val="0"/>
        <w:autoSpaceDN w:val="0"/>
        <w:adjustRightInd w:val="0"/>
        <w:ind w:left="480" w:hanging="480"/>
        <w:rPr>
          <w:rFonts w:ascii="Times New Roman" w:hAnsi="Times New Roman" w:cs="Times New Roman"/>
          <w:noProof/>
        </w:rPr>
      </w:pPr>
      <w:r>
        <w:rPr>
          <w:rFonts w:ascii="Times New Roman" w:hAnsi="Times New Roman" w:cs="Times New Roman"/>
          <w:b/>
          <w:bCs/>
        </w:rPr>
        <w:fldChar w:fldCharType="begin" w:fldLock="1"/>
      </w:r>
      <w:r>
        <w:rPr>
          <w:rFonts w:ascii="Times New Roman" w:hAnsi="Times New Roman" w:cs="Times New Roman"/>
          <w:b/>
          <w:bCs/>
        </w:rPr>
        <w:instrText xml:space="preserve">ADDIN Mendeley Bibliography CSL_BIBLIOGRAPHY </w:instrText>
      </w:r>
      <w:r>
        <w:rPr>
          <w:rFonts w:ascii="Times New Roman" w:hAnsi="Times New Roman" w:cs="Times New Roman"/>
          <w:b/>
          <w:bCs/>
        </w:rPr>
        <w:fldChar w:fldCharType="separate"/>
      </w:r>
      <w:r w:rsidRPr="00EC5714">
        <w:rPr>
          <w:rFonts w:ascii="Times New Roman" w:hAnsi="Times New Roman" w:cs="Times New Roman"/>
          <w:noProof/>
        </w:rPr>
        <w:t xml:space="preserve">Cabanettes, F., and C. Klopp. 2018. D-GENIES: Dot plot large genomes in an interactive, efficient and simple way. PeerJ </w:t>
      </w:r>
      <w:r w:rsidRPr="00EC5714">
        <w:rPr>
          <w:rFonts w:ascii="Times New Roman" w:hAnsi="Times New Roman" w:cs="Times New Roman"/>
          <w:b/>
          <w:bCs/>
          <w:noProof/>
        </w:rPr>
        <w:t>2018</w:t>
      </w:r>
      <w:r w:rsidRPr="00EC5714">
        <w:rPr>
          <w:rFonts w:ascii="Times New Roman" w:hAnsi="Times New Roman" w:cs="Times New Roman"/>
          <w:noProof/>
        </w:rPr>
        <w:t>: e4958. doi:10.7717/PEERJ.4958/TABLE-2</w:t>
      </w:r>
    </w:p>
    <w:p w14:paraId="26C98B12" w14:textId="77777777" w:rsidR="00D617DF" w:rsidRPr="00EC5714" w:rsidRDefault="00D617DF" w:rsidP="00EA4D1C">
      <w:pPr>
        <w:widowControl w:val="0"/>
        <w:autoSpaceDE w:val="0"/>
        <w:autoSpaceDN w:val="0"/>
        <w:adjustRightInd w:val="0"/>
        <w:ind w:left="480" w:hanging="480"/>
        <w:rPr>
          <w:rFonts w:ascii="Times New Roman" w:hAnsi="Times New Roman" w:cs="Times New Roman"/>
          <w:noProof/>
        </w:rPr>
      </w:pPr>
      <w:r w:rsidRPr="00EC5714">
        <w:rPr>
          <w:rFonts w:ascii="Times New Roman" w:hAnsi="Times New Roman" w:cs="Times New Roman"/>
          <w:noProof/>
        </w:rPr>
        <w:t xml:space="preserve">Danecek, P., A. Auton, G. Abecasis, and others. 2011. The variant call format and VCFtools. Bioinformatics </w:t>
      </w:r>
      <w:r w:rsidRPr="00EC5714">
        <w:rPr>
          <w:rFonts w:ascii="Times New Roman" w:hAnsi="Times New Roman" w:cs="Times New Roman"/>
          <w:b/>
          <w:bCs/>
          <w:noProof/>
        </w:rPr>
        <w:t>27</w:t>
      </w:r>
      <w:r w:rsidRPr="00EC5714">
        <w:rPr>
          <w:rFonts w:ascii="Times New Roman" w:hAnsi="Times New Roman" w:cs="Times New Roman"/>
          <w:noProof/>
        </w:rPr>
        <w:t>: 2156–2158. doi:10.1093/bioinformatics/btr330</w:t>
      </w:r>
    </w:p>
    <w:p w14:paraId="1CE8FFB1" w14:textId="77777777" w:rsidR="00D617DF" w:rsidRPr="00EC5714" w:rsidRDefault="00D617DF" w:rsidP="00EA4D1C">
      <w:pPr>
        <w:widowControl w:val="0"/>
        <w:autoSpaceDE w:val="0"/>
        <w:autoSpaceDN w:val="0"/>
        <w:adjustRightInd w:val="0"/>
        <w:ind w:left="480" w:hanging="480"/>
        <w:rPr>
          <w:rFonts w:ascii="Times New Roman" w:hAnsi="Times New Roman" w:cs="Times New Roman"/>
          <w:noProof/>
        </w:rPr>
      </w:pPr>
      <w:r w:rsidRPr="00EC5714">
        <w:rPr>
          <w:rFonts w:ascii="Times New Roman" w:hAnsi="Times New Roman" w:cs="Times New Roman"/>
          <w:noProof/>
        </w:rPr>
        <w:t xml:space="preserve">Danecek, P., J. K. Bonfield, J. Liddle, and others. 2021. Twelve years of SAMtools and BCFtools. Gigascience </w:t>
      </w:r>
      <w:r w:rsidRPr="00EC5714">
        <w:rPr>
          <w:rFonts w:ascii="Times New Roman" w:hAnsi="Times New Roman" w:cs="Times New Roman"/>
          <w:b/>
          <w:bCs/>
          <w:noProof/>
        </w:rPr>
        <w:t>10</w:t>
      </w:r>
      <w:r w:rsidRPr="00EC5714">
        <w:rPr>
          <w:rFonts w:ascii="Times New Roman" w:hAnsi="Times New Roman" w:cs="Times New Roman"/>
          <w:noProof/>
        </w:rPr>
        <w:t>: 1–4. doi:10.1093/gigascience/giab008</w:t>
      </w:r>
    </w:p>
    <w:p w14:paraId="31A5EE16" w14:textId="77777777" w:rsidR="00D617DF" w:rsidRPr="00EC5714" w:rsidRDefault="00D617DF" w:rsidP="00EA4D1C">
      <w:pPr>
        <w:widowControl w:val="0"/>
        <w:autoSpaceDE w:val="0"/>
        <w:autoSpaceDN w:val="0"/>
        <w:adjustRightInd w:val="0"/>
        <w:ind w:left="480" w:hanging="480"/>
        <w:rPr>
          <w:rFonts w:ascii="Times New Roman" w:hAnsi="Times New Roman" w:cs="Times New Roman"/>
          <w:noProof/>
        </w:rPr>
      </w:pPr>
      <w:r w:rsidRPr="00EC5714">
        <w:rPr>
          <w:rFonts w:ascii="Times New Roman" w:hAnsi="Times New Roman" w:cs="Times New Roman"/>
          <w:noProof/>
        </w:rPr>
        <w:t xml:space="preserve">Excoffier, L., I. Dupanloup, E. Huerta-Sánchez, V. C. Sousa, and M. Foll. 2013. Robust Demographic Inference from Genomic and SNP Data. PLoS Genet. </w:t>
      </w:r>
      <w:r w:rsidRPr="00EC5714">
        <w:rPr>
          <w:rFonts w:ascii="Times New Roman" w:hAnsi="Times New Roman" w:cs="Times New Roman"/>
          <w:b/>
          <w:bCs/>
          <w:noProof/>
        </w:rPr>
        <w:t>9</w:t>
      </w:r>
      <w:r w:rsidRPr="00EC5714">
        <w:rPr>
          <w:rFonts w:ascii="Times New Roman" w:hAnsi="Times New Roman" w:cs="Times New Roman"/>
          <w:noProof/>
        </w:rPr>
        <w:t>: 1003905. doi:10.1371/journal.pgen.1003905</w:t>
      </w:r>
    </w:p>
    <w:p w14:paraId="45AB9217" w14:textId="77777777" w:rsidR="00D617DF" w:rsidRPr="00EC5714" w:rsidRDefault="00D617DF" w:rsidP="00EA4D1C">
      <w:pPr>
        <w:widowControl w:val="0"/>
        <w:autoSpaceDE w:val="0"/>
        <w:autoSpaceDN w:val="0"/>
        <w:adjustRightInd w:val="0"/>
        <w:ind w:left="480" w:hanging="480"/>
        <w:rPr>
          <w:rFonts w:ascii="Times New Roman" w:hAnsi="Times New Roman" w:cs="Times New Roman"/>
          <w:noProof/>
        </w:rPr>
      </w:pPr>
      <w:r w:rsidRPr="00EC5714">
        <w:rPr>
          <w:rFonts w:ascii="Times New Roman" w:hAnsi="Times New Roman" w:cs="Times New Roman"/>
          <w:noProof/>
        </w:rPr>
        <w:t>Garrison, E., and G. Marth. 2012. Haplotype-based variant detection from short-read sequencing.</w:t>
      </w:r>
    </w:p>
    <w:p w14:paraId="62105CDD" w14:textId="77777777" w:rsidR="00D617DF" w:rsidRPr="00EC5714" w:rsidRDefault="00D617DF" w:rsidP="00EA4D1C">
      <w:pPr>
        <w:widowControl w:val="0"/>
        <w:autoSpaceDE w:val="0"/>
        <w:autoSpaceDN w:val="0"/>
        <w:adjustRightInd w:val="0"/>
        <w:ind w:left="480" w:hanging="480"/>
        <w:rPr>
          <w:rFonts w:ascii="Times New Roman" w:hAnsi="Times New Roman" w:cs="Times New Roman"/>
          <w:noProof/>
        </w:rPr>
      </w:pPr>
      <w:r w:rsidRPr="00EC5714">
        <w:rPr>
          <w:rFonts w:ascii="Times New Roman" w:hAnsi="Times New Roman" w:cs="Times New Roman"/>
          <w:noProof/>
        </w:rPr>
        <w:t xml:space="preserve">Kilham, S. S., D. A. Kreeger, S. G. Lynn, C. E. Goulden, and L. Herrera. 1998. COMBO: a defined freshwater culture medium for algae and zooplankton. Hydrobiologia </w:t>
      </w:r>
      <w:r w:rsidRPr="00EC5714">
        <w:rPr>
          <w:rFonts w:ascii="Times New Roman" w:hAnsi="Times New Roman" w:cs="Times New Roman"/>
          <w:b/>
          <w:bCs/>
          <w:noProof/>
        </w:rPr>
        <w:t>377</w:t>
      </w:r>
      <w:r w:rsidRPr="00EC5714">
        <w:rPr>
          <w:rFonts w:ascii="Times New Roman" w:hAnsi="Times New Roman" w:cs="Times New Roman"/>
          <w:noProof/>
        </w:rPr>
        <w:t>: 147–159. doi:10.1023/A:1003231628456</w:t>
      </w:r>
    </w:p>
    <w:p w14:paraId="28C76254" w14:textId="77777777" w:rsidR="00D617DF" w:rsidRPr="00EC5714" w:rsidRDefault="00D617DF" w:rsidP="00EA4D1C">
      <w:pPr>
        <w:widowControl w:val="0"/>
        <w:autoSpaceDE w:val="0"/>
        <w:autoSpaceDN w:val="0"/>
        <w:adjustRightInd w:val="0"/>
        <w:ind w:left="480" w:hanging="480"/>
        <w:rPr>
          <w:rFonts w:ascii="Times New Roman" w:hAnsi="Times New Roman" w:cs="Times New Roman"/>
          <w:noProof/>
        </w:rPr>
      </w:pPr>
      <w:r w:rsidRPr="00EC5714">
        <w:rPr>
          <w:rFonts w:ascii="Times New Roman" w:hAnsi="Times New Roman" w:cs="Times New Roman"/>
          <w:noProof/>
        </w:rPr>
        <w:t xml:space="preserve">Kriventseva, E. V., D. Kuznetsov, F. Tegenfeldt, M. Manni, R. Dias, F. A. Simão, and E. M. Zdobnov. 2019. OrthoDB v10: Sampling the diversity of animal, plant, fungal, protist, bacterial and viral genomes for evolutionary and functional annotations of orthologs. Nucleic Acids Res. </w:t>
      </w:r>
      <w:r w:rsidRPr="00EC5714">
        <w:rPr>
          <w:rFonts w:ascii="Times New Roman" w:hAnsi="Times New Roman" w:cs="Times New Roman"/>
          <w:b/>
          <w:bCs/>
          <w:noProof/>
        </w:rPr>
        <w:t>47</w:t>
      </w:r>
      <w:r w:rsidRPr="00EC5714">
        <w:rPr>
          <w:rFonts w:ascii="Times New Roman" w:hAnsi="Times New Roman" w:cs="Times New Roman"/>
          <w:noProof/>
        </w:rPr>
        <w:t>: D807–D811. doi:10.1093/nar/gky1053</w:t>
      </w:r>
    </w:p>
    <w:p w14:paraId="0413F468" w14:textId="77777777" w:rsidR="00D617DF" w:rsidRPr="00EC5714" w:rsidRDefault="00D617DF" w:rsidP="00EA4D1C">
      <w:pPr>
        <w:widowControl w:val="0"/>
        <w:autoSpaceDE w:val="0"/>
        <w:autoSpaceDN w:val="0"/>
        <w:adjustRightInd w:val="0"/>
        <w:ind w:left="480" w:hanging="480"/>
        <w:rPr>
          <w:rFonts w:ascii="Times New Roman" w:hAnsi="Times New Roman" w:cs="Times New Roman"/>
          <w:noProof/>
        </w:rPr>
      </w:pPr>
      <w:r w:rsidRPr="00EC5714">
        <w:rPr>
          <w:rFonts w:ascii="Times New Roman" w:hAnsi="Times New Roman" w:cs="Times New Roman"/>
          <w:noProof/>
        </w:rPr>
        <w:t xml:space="preserve">Li, H. 2018. Minimap2: pairwise alignment for nucleotide sequences I. Birol [ed.]. Bioinformatics </w:t>
      </w:r>
      <w:r w:rsidRPr="00EC5714">
        <w:rPr>
          <w:rFonts w:ascii="Times New Roman" w:hAnsi="Times New Roman" w:cs="Times New Roman"/>
          <w:b/>
          <w:bCs/>
          <w:noProof/>
        </w:rPr>
        <w:t>34</w:t>
      </w:r>
      <w:r w:rsidRPr="00EC5714">
        <w:rPr>
          <w:rFonts w:ascii="Times New Roman" w:hAnsi="Times New Roman" w:cs="Times New Roman"/>
          <w:noProof/>
        </w:rPr>
        <w:t>: 3094–3100. doi:10.1093/bioinformatics/bty191</w:t>
      </w:r>
    </w:p>
    <w:p w14:paraId="0C93DCA0" w14:textId="77777777" w:rsidR="00D617DF" w:rsidRPr="00EC5714" w:rsidRDefault="00D617DF" w:rsidP="00EA4D1C">
      <w:pPr>
        <w:widowControl w:val="0"/>
        <w:autoSpaceDE w:val="0"/>
        <w:autoSpaceDN w:val="0"/>
        <w:adjustRightInd w:val="0"/>
        <w:ind w:left="480" w:hanging="480"/>
        <w:rPr>
          <w:rFonts w:ascii="Times New Roman" w:hAnsi="Times New Roman" w:cs="Times New Roman"/>
          <w:noProof/>
        </w:rPr>
      </w:pPr>
      <w:r w:rsidRPr="00EC5714">
        <w:rPr>
          <w:rFonts w:ascii="Times New Roman" w:hAnsi="Times New Roman" w:cs="Times New Roman"/>
          <w:noProof/>
        </w:rPr>
        <w:t xml:space="preserve">Mi, H., D. Ebert, A. Muruganujan, C. Mills, L. P. Albou, T. Mushayamaha, and P. D. Thomas. 2021. PANTHER version 16: A revised family classification, tree-based classification tool, enhancer regions and extensive API. Nucleic Acids Res. </w:t>
      </w:r>
      <w:r w:rsidRPr="00EC5714">
        <w:rPr>
          <w:rFonts w:ascii="Times New Roman" w:hAnsi="Times New Roman" w:cs="Times New Roman"/>
          <w:b/>
          <w:bCs/>
          <w:noProof/>
        </w:rPr>
        <w:t>49</w:t>
      </w:r>
      <w:r w:rsidRPr="00EC5714">
        <w:rPr>
          <w:rFonts w:ascii="Times New Roman" w:hAnsi="Times New Roman" w:cs="Times New Roman"/>
          <w:noProof/>
        </w:rPr>
        <w:t>: D394–D403. doi:10.1093/nar/gkaa1106</w:t>
      </w:r>
    </w:p>
    <w:p w14:paraId="1F83AB5C" w14:textId="77777777" w:rsidR="00D617DF" w:rsidRPr="00EC5714" w:rsidRDefault="00D617DF" w:rsidP="00EA4D1C">
      <w:pPr>
        <w:widowControl w:val="0"/>
        <w:autoSpaceDE w:val="0"/>
        <w:autoSpaceDN w:val="0"/>
        <w:adjustRightInd w:val="0"/>
        <w:ind w:left="480" w:hanging="480"/>
        <w:rPr>
          <w:rFonts w:ascii="Times New Roman" w:hAnsi="Times New Roman" w:cs="Times New Roman"/>
          <w:noProof/>
        </w:rPr>
      </w:pPr>
      <w:r w:rsidRPr="00EC5714">
        <w:rPr>
          <w:rFonts w:ascii="Times New Roman" w:hAnsi="Times New Roman" w:cs="Times New Roman"/>
          <w:noProof/>
        </w:rPr>
        <w:t xml:space="preserve">Privé, F., K. Luu, B. J. Vilhjálmsson, M. G. B. Blum, and M. Rosenberg. 2020. Performing Highly Efficient Genome Scans for Local Adaptation with R Package pcadapt Version 4. Mol. Biol. Evol. </w:t>
      </w:r>
      <w:r w:rsidRPr="00EC5714">
        <w:rPr>
          <w:rFonts w:ascii="Times New Roman" w:hAnsi="Times New Roman" w:cs="Times New Roman"/>
          <w:b/>
          <w:bCs/>
          <w:noProof/>
        </w:rPr>
        <w:t>37</w:t>
      </w:r>
      <w:r w:rsidRPr="00EC5714">
        <w:rPr>
          <w:rFonts w:ascii="Times New Roman" w:hAnsi="Times New Roman" w:cs="Times New Roman"/>
          <w:noProof/>
        </w:rPr>
        <w:t>: 2153–2154. doi:10.1093/molbev/msaa053</w:t>
      </w:r>
    </w:p>
    <w:p w14:paraId="1951BBF8" w14:textId="77777777" w:rsidR="00D617DF" w:rsidRPr="00EC5714" w:rsidRDefault="00D617DF" w:rsidP="00EA4D1C">
      <w:pPr>
        <w:widowControl w:val="0"/>
        <w:autoSpaceDE w:val="0"/>
        <w:autoSpaceDN w:val="0"/>
        <w:adjustRightInd w:val="0"/>
        <w:ind w:left="480" w:hanging="480"/>
        <w:rPr>
          <w:rFonts w:ascii="Times New Roman" w:hAnsi="Times New Roman" w:cs="Times New Roman"/>
          <w:noProof/>
        </w:rPr>
      </w:pPr>
      <w:r w:rsidRPr="00EC5714">
        <w:rPr>
          <w:rFonts w:ascii="Times New Roman" w:hAnsi="Times New Roman" w:cs="Times New Roman"/>
          <w:noProof/>
        </w:rPr>
        <w:t xml:space="preserve">Rastas, P. 2017. Lep-MAP3: Robust linkage mapping even for low-coverage whole genome sequencing data. Bioinformatics </w:t>
      </w:r>
      <w:r w:rsidRPr="00EC5714">
        <w:rPr>
          <w:rFonts w:ascii="Times New Roman" w:hAnsi="Times New Roman" w:cs="Times New Roman"/>
          <w:b/>
          <w:bCs/>
          <w:noProof/>
        </w:rPr>
        <w:t>33</w:t>
      </w:r>
      <w:r w:rsidRPr="00EC5714">
        <w:rPr>
          <w:rFonts w:ascii="Times New Roman" w:hAnsi="Times New Roman" w:cs="Times New Roman"/>
          <w:noProof/>
        </w:rPr>
        <w:t>: 3726–3732. doi:10.1093/bioinformatics/btx494</w:t>
      </w:r>
    </w:p>
    <w:p w14:paraId="6FA4E0DF" w14:textId="77777777" w:rsidR="00D617DF" w:rsidRPr="00EC5714" w:rsidRDefault="00D617DF" w:rsidP="00EA4D1C">
      <w:pPr>
        <w:widowControl w:val="0"/>
        <w:autoSpaceDE w:val="0"/>
        <w:autoSpaceDN w:val="0"/>
        <w:adjustRightInd w:val="0"/>
        <w:ind w:left="480" w:hanging="480"/>
        <w:rPr>
          <w:rFonts w:ascii="Times New Roman" w:hAnsi="Times New Roman" w:cs="Times New Roman"/>
          <w:noProof/>
        </w:rPr>
      </w:pPr>
      <w:r w:rsidRPr="00EC5714">
        <w:rPr>
          <w:rFonts w:ascii="Times New Roman" w:hAnsi="Times New Roman" w:cs="Times New Roman"/>
          <w:noProof/>
        </w:rPr>
        <w:t xml:space="preserve">Rastas, P. 2020. Lep-Anchor: Automated construction of linkage map anchored haploid genomes. Bioinformatics </w:t>
      </w:r>
      <w:r w:rsidRPr="00EC5714">
        <w:rPr>
          <w:rFonts w:ascii="Times New Roman" w:hAnsi="Times New Roman" w:cs="Times New Roman"/>
          <w:b/>
          <w:bCs/>
          <w:noProof/>
        </w:rPr>
        <w:t>36</w:t>
      </w:r>
      <w:r w:rsidRPr="00EC5714">
        <w:rPr>
          <w:rFonts w:ascii="Times New Roman" w:hAnsi="Times New Roman" w:cs="Times New Roman"/>
          <w:noProof/>
        </w:rPr>
        <w:t>: 2359–2364. doi:10.1093/bioinformatics/btz978</w:t>
      </w:r>
    </w:p>
    <w:p w14:paraId="2353CBAA" w14:textId="77777777" w:rsidR="00D617DF" w:rsidRPr="00EC5714" w:rsidRDefault="00D617DF" w:rsidP="00EA4D1C">
      <w:pPr>
        <w:widowControl w:val="0"/>
        <w:autoSpaceDE w:val="0"/>
        <w:autoSpaceDN w:val="0"/>
        <w:adjustRightInd w:val="0"/>
        <w:ind w:left="480" w:hanging="480"/>
        <w:rPr>
          <w:rFonts w:ascii="Times New Roman" w:hAnsi="Times New Roman" w:cs="Times New Roman"/>
          <w:noProof/>
        </w:rPr>
      </w:pPr>
      <w:r w:rsidRPr="00EC5714">
        <w:rPr>
          <w:rFonts w:ascii="Times New Roman" w:hAnsi="Times New Roman" w:cs="Times New Roman"/>
          <w:noProof/>
        </w:rPr>
        <w:t xml:space="preserve">Sherman, R. E., R. Hartnett, E. L. Kiehnau, L. J. Weider, and P. D. Jeyasingh. 2021. Quantitative genetics of phosphorus content in the freshwater herbivore, </w:t>
      </w:r>
      <w:r w:rsidRPr="00EC5714">
        <w:rPr>
          <w:rFonts w:ascii="Times New Roman" w:hAnsi="Times New Roman" w:cs="Times New Roman"/>
          <w:i/>
          <w:iCs/>
          <w:noProof/>
        </w:rPr>
        <w:t>Daphnia pulicaria</w:t>
      </w:r>
      <w:r w:rsidRPr="00EC5714">
        <w:rPr>
          <w:rFonts w:ascii="Times New Roman" w:hAnsi="Times New Roman" w:cs="Times New Roman"/>
          <w:noProof/>
        </w:rPr>
        <w:t xml:space="preserve"> S. Plaistow [ed.]. J. Anim. Ecol. </w:t>
      </w:r>
      <w:r w:rsidRPr="00EC5714">
        <w:rPr>
          <w:rFonts w:ascii="Times New Roman" w:hAnsi="Times New Roman" w:cs="Times New Roman"/>
          <w:b/>
          <w:bCs/>
          <w:noProof/>
        </w:rPr>
        <w:t>00</w:t>
      </w:r>
      <w:r w:rsidRPr="00EC5714">
        <w:rPr>
          <w:rFonts w:ascii="Times New Roman" w:hAnsi="Times New Roman" w:cs="Times New Roman"/>
          <w:noProof/>
        </w:rPr>
        <w:t>: 1365-2656.13419. doi:10.1111/1365-2656.13419</w:t>
      </w:r>
    </w:p>
    <w:p w14:paraId="60B90DF3" w14:textId="77777777" w:rsidR="00D617DF" w:rsidRPr="00EC5714" w:rsidRDefault="00D617DF" w:rsidP="00EA4D1C">
      <w:pPr>
        <w:widowControl w:val="0"/>
        <w:autoSpaceDE w:val="0"/>
        <w:autoSpaceDN w:val="0"/>
        <w:adjustRightInd w:val="0"/>
        <w:ind w:left="480" w:hanging="480"/>
        <w:rPr>
          <w:rFonts w:ascii="Times New Roman" w:hAnsi="Times New Roman" w:cs="Times New Roman"/>
          <w:noProof/>
        </w:rPr>
      </w:pPr>
      <w:r w:rsidRPr="00EC5714">
        <w:rPr>
          <w:rFonts w:ascii="Times New Roman" w:hAnsi="Times New Roman" w:cs="Times New Roman"/>
          <w:noProof/>
        </w:rPr>
        <w:t xml:space="preserve">Simão, F. A., R. M. Waterhouse, P. Ioannidis, E. V. Kriventseva, and E. M. Zdobnov. 2015. BUSCO: Assessing genome assembly and annotation completeness with single-copy orthologs. Bioinformatics </w:t>
      </w:r>
      <w:r w:rsidRPr="00EC5714">
        <w:rPr>
          <w:rFonts w:ascii="Times New Roman" w:hAnsi="Times New Roman" w:cs="Times New Roman"/>
          <w:b/>
          <w:bCs/>
          <w:noProof/>
        </w:rPr>
        <w:t>31</w:t>
      </w:r>
      <w:r w:rsidRPr="00EC5714">
        <w:rPr>
          <w:rFonts w:ascii="Times New Roman" w:hAnsi="Times New Roman" w:cs="Times New Roman"/>
          <w:noProof/>
        </w:rPr>
        <w:t>: 3210–3212. doi:10.1093/bioinformatics/btv351</w:t>
      </w:r>
    </w:p>
    <w:p w14:paraId="36591146" w14:textId="77777777" w:rsidR="00D617DF" w:rsidRPr="00EC5714" w:rsidRDefault="00D617DF" w:rsidP="00EA4D1C">
      <w:pPr>
        <w:widowControl w:val="0"/>
        <w:autoSpaceDE w:val="0"/>
        <w:autoSpaceDN w:val="0"/>
        <w:adjustRightInd w:val="0"/>
        <w:ind w:left="480" w:hanging="480"/>
        <w:rPr>
          <w:rFonts w:ascii="Times New Roman" w:hAnsi="Times New Roman" w:cs="Times New Roman"/>
          <w:noProof/>
        </w:rPr>
      </w:pPr>
      <w:r w:rsidRPr="00EC5714">
        <w:rPr>
          <w:rFonts w:ascii="Times New Roman" w:hAnsi="Times New Roman" w:cs="Times New Roman"/>
          <w:noProof/>
        </w:rPr>
        <w:t xml:space="preserve">Ye, Z., S. Xu, K. Spitze, and others. 2017. A new reference genome assembly for the microcrustacean Daphnia pulex. G3 Genes, Genomes, Genet. </w:t>
      </w:r>
      <w:r w:rsidRPr="00EC5714">
        <w:rPr>
          <w:rFonts w:ascii="Times New Roman" w:hAnsi="Times New Roman" w:cs="Times New Roman"/>
          <w:b/>
          <w:bCs/>
          <w:noProof/>
        </w:rPr>
        <w:t>7</w:t>
      </w:r>
      <w:r w:rsidRPr="00EC5714">
        <w:rPr>
          <w:rFonts w:ascii="Times New Roman" w:hAnsi="Times New Roman" w:cs="Times New Roman"/>
          <w:noProof/>
        </w:rPr>
        <w:t>: 1405–1416. doi:10.1534/g3.116.038638</w:t>
      </w:r>
    </w:p>
    <w:p w14:paraId="11F876C9" w14:textId="1C698239" w:rsidR="00D617DF" w:rsidRDefault="00D617DF" w:rsidP="00762462">
      <w:pPr>
        <w:jc w:val="center"/>
        <w:rPr>
          <w:rFonts w:ascii="Times New Roman" w:hAnsi="Times New Roman" w:cs="Times New Roman"/>
          <w:b/>
          <w:bCs/>
        </w:rPr>
      </w:pPr>
      <w:r>
        <w:rPr>
          <w:rFonts w:ascii="Times New Roman" w:hAnsi="Times New Roman" w:cs="Times New Roman"/>
          <w:b/>
          <w:bCs/>
        </w:rPr>
        <w:lastRenderedPageBreak/>
        <w:fldChar w:fldCharType="end"/>
      </w:r>
      <w:r w:rsidR="00762462">
        <w:rPr>
          <w:rFonts w:ascii="Times New Roman" w:hAnsi="Times New Roman" w:cs="Times New Roman"/>
          <w:b/>
          <w:bCs/>
        </w:rPr>
        <w:t xml:space="preserve">Appendix 2 </w:t>
      </w:r>
    </w:p>
    <w:p w14:paraId="208C8B41" w14:textId="2E4063D4" w:rsidR="00762462" w:rsidRDefault="00762462" w:rsidP="00762462">
      <w:pPr>
        <w:jc w:val="center"/>
        <w:rPr>
          <w:rFonts w:ascii="Times New Roman" w:hAnsi="Times New Roman" w:cs="Times New Roman"/>
          <w:b/>
          <w:bCs/>
        </w:rPr>
      </w:pPr>
      <w:r>
        <w:rPr>
          <w:rFonts w:ascii="Times New Roman" w:hAnsi="Times New Roman" w:cs="Times New Roman"/>
          <w:b/>
          <w:bCs/>
        </w:rPr>
        <w:t>Supplemental Materials for Chapter 2:</w:t>
      </w:r>
    </w:p>
    <w:p w14:paraId="7E877587" w14:textId="77777777" w:rsidR="00FB6A91" w:rsidRDefault="00FB6A91">
      <w:pPr>
        <w:jc w:val="center"/>
        <w:rPr>
          <w:rFonts w:ascii="Times New Roman" w:hAnsi="Times New Roman" w:cs="Times New Roman"/>
          <w:sz w:val="24"/>
          <w:szCs w:val="24"/>
        </w:rPr>
      </w:pPr>
      <w:r>
        <w:rPr>
          <w:rFonts w:ascii="Times New Roman" w:hAnsi="Times New Roman" w:cs="Times New Roman"/>
          <w:sz w:val="24"/>
          <w:szCs w:val="24"/>
        </w:rPr>
        <w:t xml:space="preserve">Does salinization impact long-term </w:t>
      </w:r>
      <w:r>
        <w:rPr>
          <w:rFonts w:ascii="Times New Roman" w:hAnsi="Times New Roman" w:cs="Times New Roman"/>
          <w:i/>
          <w:iCs/>
          <w:sz w:val="24"/>
          <w:szCs w:val="24"/>
        </w:rPr>
        <w:t>Daphnia</w:t>
      </w:r>
      <w:r>
        <w:rPr>
          <w:rFonts w:ascii="Times New Roman" w:hAnsi="Times New Roman" w:cs="Times New Roman"/>
          <w:sz w:val="24"/>
          <w:szCs w:val="24"/>
        </w:rPr>
        <w:t xml:space="preserve"> assemblage dynamics? Evidence from the sediment egg bank in a small hard-water lake</w:t>
      </w:r>
    </w:p>
    <w:p w14:paraId="2DB4C696" w14:textId="77777777" w:rsidR="00FB6A91" w:rsidRDefault="00FB6A91">
      <w:pPr>
        <w:rPr>
          <w:rFonts w:ascii="Times New Roman" w:hAnsi="Times New Roman" w:cs="Times New Roman"/>
          <w:b/>
          <w:bCs/>
          <w:sz w:val="24"/>
          <w:szCs w:val="24"/>
        </w:rPr>
      </w:pPr>
    </w:p>
    <w:p w14:paraId="0B333CCA" w14:textId="77777777" w:rsidR="00FB6A91" w:rsidRDefault="00FB6A91">
      <w:pPr>
        <w:jc w:val="center"/>
        <w:rPr>
          <w:rFonts w:ascii="Times New Roman" w:hAnsi="Times New Roman" w:cs="Times New Roman"/>
          <w:sz w:val="24"/>
          <w:szCs w:val="24"/>
          <w:vertAlign w:val="superscript"/>
        </w:rPr>
      </w:pPr>
      <w:r>
        <w:rPr>
          <w:rFonts w:ascii="Times New Roman" w:hAnsi="Times New Roman" w:cs="Times New Roman"/>
          <w:sz w:val="24"/>
          <w:szCs w:val="24"/>
        </w:rPr>
        <w:t>Matthew J. Wersebe</w:t>
      </w:r>
      <w:r>
        <w:rPr>
          <w:rFonts w:ascii="Times New Roman" w:hAnsi="Times New Roman" w:cs="Times New Roman"/>
          <w:sz w:val="24"/>
          <w:szCs w:val="24"/>
          <w:vertAlign w:val="superscript"/>
        </w:rPr>
        <w:t>1, †</w:t>
      </w:r>
      <w:r>
        <w:rPr>
          <w:rFonts w:ascii="Times New Roman" w:hAnsi="Times New Roman" w:cs="Times New Roman"/>
          <w:sz w:val="24"/>
          <w:szCs w:val="24"/>
        </w:rPr>
        <w:t>, Mark B. Edlund</w:t>
      </w:r>
      <w:r>
        <w:rPr>
          <w:rFonts w:ascii="Times New Roman" w:hAnsi="Times New Roman" w:cs="Times New Roman"/>
          <w:sz w:val="24"/>
          <w:szCs w:val="24"/>
          <w:vertAlign w:val="superscript"/>
        </w:rPr>
        <w:t>2</w:t>
      </w:r>
      <w:r>
        <w:rPr>
          <w:rFonts w:ascii="Times New Roman" w:hAnsi="Times New Roman" w:cs="Times New Roman"/>
          <w:sz w:val="24"/>
          <w:szCs w:val="24"/>
        </w:rPr>
        <w:t>, and Lawrence J. Weider</w:t>
      </w:r>
      <w:r>
        <w:rPr>
          <w:rFonts w:ascii="Times New Roman" w:hAnsi="Times New Roman" w:cs="Times New Roman"/>
          <w:sz w:val="24"/>
          <w:szCs w:val="24"/>
          <w:vertAlign w:val="superscript"/>
        </w:rPr>
        <w:t>1</w:t>
      </w:r>
    </w:p>
    <w:p w14:paraId="47AFD21F" w14:textId="77777777" w:rsidR="00FB6A91" w:rsidRDefault="00FB6A91">
      <w:pPr>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Program in Ecology and Evolutionary Biology, Department of Biology, University of Oklahoma, Norman, OK</w:t>
      </w:r>
    </w:p>
    <w:p w14:paraId="3F1CC6B4" w14:textId="77777777" w:rsidR="00FB6A91" w:rsidRDefault="00FB6A91">
      <w:pPr>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St. Croix Watershed Research Station, Science Museum of Minnesota, Marine on St Croix, Minnesota</w:t>
      </w:r>
    </w:p>
    <w:p w14:paraId="4DFFC041" w14:textId="77777777" w:rsidR="00FB6A91" w:rsidRDefault="00FB6A91">
      <w:pPr>
        <w:jc w:val="center"/>
        <w:rPr>
          <w:rFonts w:ascii="Times New Roman" w:eastAsia="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 xml:space="preserve">matthew.wersebe@ou.edu; </w:t>
      </w:r>
      <w:r>
        <w:rPr>
          <w:rFonts w:ascii="Times New Roman" w:eastAsia="Times New Roman" w:hAnsi="Times New Roman" w:cs="Times New Roman"/>
          <w:sz w:val="24"/>
          <w:szCs w:val="24"/>
        </w:rPr>
        <w:t>730 Van Vleet Oval, Rm 314 Norman, OK 73019</w:t>
      </w:r>
    </w:p>
    <w:p w14:paraId="677F67C9" w14:textId="77777777" w:rsidR="00FB6A91" w:rsidRDefault="00FB6A91">
      <w:pPr>
        <w:rPr>
          <w:rFonts w:ascii="Times New Roman" w:eastAsia="Times New Roman" w:hAnsi="Times New Roman" w:cs="Times New Roman"/>
          <w:sz w:val="24"/>
          <w:szCs w:val="24"/>
        </w:rPr>
      </w:pPr>
      <w:r>
        <w:br w:type="page"/>
      </w:r>
    </w:p>
    <w:p w14:paraId="1DBD729F" w14:textId="77777777" w:rsidR="00FB6A91" w:rsidRDefault="00FB6A91">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Supplemental Methods</w:t>
      </w:r>
    </w:p>
    <w:p w14:paraId="07E3071F" w14:textId="77777777" w:rsidR="00FB6A91" w:rsidRDefault="00FB6A91">
      <w:pPr>
        <w:spacing w:line="480" w:lineRule="auto"/>
        <w:rPr>
          <w:rFonts w:ascii="Times New Roman" w:hAnsi="Times New Roman" w:cs="Times New Roman"/>
          <w:i/>
          <w:iCs/>
          <w:sz w:val="24"/>
          <w:szCs w:val="24"/>
        </w:rPr>
      </w:pPr>
      <w:r>
        <w:rPr>
          <w:rFonts w:ascii="Times New Roman" w:hAnsi="Times New Roman" w:cs="Times New Roman"/>
          <w:i/>
          <w:iCs/>
          <w:sz w:val="24"/>
          <w:szCs w:val="24"/>
        </w:rPr>
        <w:t>Field Methods:</w:t>
      </w:r>
    </w:p>
    <w:p w14:paraId="2B94DD12" w14:textId="77777777" w:rsidR="00FB6A91" w:rsidRDefault="00FB6A91">
      <w:pPr>
        <w:spacing w:line="480" w:lineRule="auto"/>
        <w:rPr>
          <w:rFonts w:ascii="Times New Roman" w:hAnsi="Times New Roman" w:cs="Times New Roman"/>
          <w:sz w:val="24"/>
          <w:szCs w:val="24"/>
        </w:rPr>
      </w:pPr>
      <w:r>
        <w:rPr>
          <w:rFonts w:ascii="Times New Roman" w:hAnsi="Times New Roman" w:cs="Times New Roman"/>
          <w:sz w:val="24"/>
          <w:szCs w:val="24"/>
        </w:rPr>
        <w:t>We used a YSI EXO1 multiparameter sonde (Yellowsprings, OH) to collect temperature, dissolved oxygen, and conductivity profiles over the deepest part of the lake basin (Fig 1 A-C in main manuscript).</w:t>
      </w:r>
    </w:p>
    <w:p w14:paraId="08F1C6D8" w14:textId="77777777" w:rsidR="00FB6A91" w:rsidRDefault="00FB6A91">
      <w:pPr>
        <w:spacing w:line="480" w:lineRule="auto"/>
        <w:rPr>
          <w:rFonts w:ascii="Times New Roman" w:hAnsi="Times New Roman" w:cs="Times New Roman"/>
          <w:i/>
          <w:iCs/>
          <w:sz w:val="24"/>
          <w:szCs w:val="24"/>
        </w:rPr>
      </w:pPr>
      <w:r>
        <w:rPr>
          <w:rFonts w:ascii="Times New Roman" w:hAnsi="Times New Roman" w:cs="Times New Roman"/>
          <w:i/>
          <w:iCs/>
          <w:sz w:val="24"/>
          <w:szCs w:val="24"/>
        </w:rPr>
        <w:t xml:space="preserve">Loss-on-Ignition and Core Dating: </w:t>
      </w:r>
    </w:p>
    <w:p w14:paraId="3E661500" w14:textId="77777777" w:rsidR="00FB6A91" w:rsidRDefault="00FB6A91">
      <w:pPr>
        <w:spacing w:line="480" w:lineRule="auto"/>
        <w:rPr>
          <w:rFonts w:ascii="Times New Roman" w:hAnsi="Times New Roman" w:cs="Times New Roman"/>
          <w:sz w:val="24"/>
          <w:szCs w:val="24"/>
        </w:rPr>
      </w:pPr>
      <w:r>
        <w:rPr>
          <w:rFonts w:ascii="Times New Roman" w:hAnsi="Times New Roman" w:cs="Times New Roman"/>
          <w:sz w:val="24"/>
          <w:szCs w:val="24"/>
        </w:rPr>
        <w:t xml:space="preserve">As noted in the main text (Methods), the second core underwent loss-on-ignition (LOI) analysis following standard protocols </w:t>
      </w:r>
      <w:r>
        <w:fldChar w:fldCharType="begin"/>
      </w:r>
      <w:r>
        <w:rPr>
          <w:rFonts w:ascii="Times New Roman" w:hAnsi="Times New Roman" w:cs="Times New Roman"/>
          <w:sz w:val="24"/>
          <w:szCs w:val="24"/>
        </w:rPr>
        <w:instrText>ADDIN CSL_CITATION {"citationItems":[{"id":"ITEM-1","itemData":{"DOI":"10.1023/A:1008119611481","ISSN":"1573-0417","abstract":"Five test runs were performed to assess possible bias when performing the loss on ignition (LOI) method to estimate organic matter and carbonate content of lake sediments. An accurate and stable weight loss was achieved after 2 h of burning pure CaCO3 at 950 °C, whereas LOI of pure graphite at 530 °C showed a direct relation to sample size and exposure time, with only 40-70% of the possible weight loss reached after 2 h of exposure and smaller samples losing weight faster than larger ones. Experiments with a standardised lake sediment revealed a strong initial weight loss at 550 °C, but samples continued to lose weight at a slow rate at exposure of up to 64 h, which was likely the effect of loss of volatile salts, structural water of clay minerals or metal oxides, or of inorganic carbon after the initial burning of organic matter. A further test-run revealed that at 550 °C samples in the centre of the furnace lost more weight than marginal samples. At 950 °C this pattern was still apparent but the differences became negligible. Again, LOI was dependent on sample size.","author":[{"dropping-particle":"","family":"Heiri","given":"Oliver","non-dropping-particle":"","parse-names":false,"suffix":""},{"dropping-particle":"","family":"Lotter","given":"André F","non-dropping-particle":"","parse-names":false,"suffix":""},{"dropping-particle":"","family":"Lemcke","given":"Gerry","non-dropping-particle":"","parse-names":false,"suffix":""}],"container-title":"Journal of Paleolimnology","id":"ITEM-1","issue":"1","issued":{"date-parts":[["2001"]]},"page":"101-110","title":"Loss on ignition as a method for estimating organic and carbonate content in sediments: reproducibility and comparability of results","type":"article-journal","volume":"25"},"uris":["http://www.mendeley.com/documents/?uuid=1b3e1a80-eb96-4562-939f-7bf9127189ac"]}],"mendeley":{"formattedCitation":"(Heiri et al. 2001)","plainTextFormattedCitation":"(Heiri et al. 2001)","previouslyFormattedCitation":"[1]"},"properties":{"noteIndex":0},"schema":"https://github.com/citation-style-language/schema/raw/master/csl-citation.json"}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(Heiri et al. 2001)</w:t>
      </w:r>
      <w:r>
        <w:rPr>
          <w:rFonts w:ascii="Times New Roman" w:hAnsi="Times New Roman" w:cs="Times New Roman"/>
          <w:sz w:val="24"/>
          <w:szCs w:val="24"/>
        </w:rPr>
        <w:fldChar w:fldCharType="end"/>
      </w:r>
      <w:r>
        <w:rPr>
          <w:rFonts w:ascii="Times New Roman" w:hAnsi="Times New Roman" w:cs="Times New Roman"/>
          <w:sz w:val="24"/>
          <w:szCs w:val="24"/>
        </w:rPr>
        <w:t>. Briefly, wet sediment was massed on an analytical balance, dried overnight at 100°C and sequentially burned in a muffle furnace at 550 °C and 1000 °C to determine water content, bulk density, % organic-carbon, % CaCO</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 inorganic content (Fig. S1 A-C). The LOI profile of the 2019 core was used to estimate the age of each core section by aligning unique sediment geochemistry markers to similar markers from a </w:t>
      </w:r>
      <w:r>
        <w:rPr>
          <w:rFonts w:ascii="Times New Roman" w:hAnsi="Times New Roman" w:cs="Times New Roman"/>
          <w:sz w:val="24"/>
          <w:szCs w:val="24"/>
          <w:vertAlign w:val="superscript"/>
        </w:rPr>
        <w:t>210</w:t>
      </w:r>
      <w:r>
        <w:rPr>
          <w:rFonts w:ascii="Times New Roman" w:hAnsi="Times New Roman" w:cs="Times New Roman"/>
          <w:sz w:val="24"/>
          <w:szCs w:val="24"/>
        </w:rPr>
        <w:t>Pb/</w:t>
      </w:r>
      <w:r>
        <w:rPr>
          <w:rFonts w:ascii="Times New Roman" w:hAnsi="Times New Roman" w:cs="Times New Roman"/>
          <w:sz w:val="24"/>
          <w:szCs w:val="24"/>
          <w:vertAlign w:val="superscript"/>
        </w:rPr>
        <w:t>137</w:t>
      </w:r>
      <w:r>
        <w:rPr>
          <w:rFonts w:ascii="Times New Roman" w:hAnsi="Times New Roman" w:cs="Times New Roman"/>
          <w:sz w:val="24"/>
          <w:szCs w:val="24"/>
        </w:rPr>
        <w:t xml:space="preserve">Cs radiometric dating model from a core collected in January 2015 from the same location in Tanners Lake (Blumentritt et al. 2013). The January 2015 </w:t>
      </w:r>
      <w:r w:rsidRPr="00D47E7E">
        <w:rPr>
          <w:rFonts w:ascii="Times New Roman" w:hAnsi="Times New Roman" w:cs="Times New Roman"/>
          <w:sz w:val="24"/>
          <w:szCs w:val="24"/>
        </w:rPr>
        <w:t xml:space="preserve">sediment core </w:t>
      </w:r>
      <w:r>
        <w:rPr>
          <w:rFonts w:ascii="Times New Roman" w:hAnsi="Times New Roman" w:cs="Times New Roman"/>
          <w:sz w:val="24"/>
          <w:szCs w:val="24"/>
        </w:rPr>
        <w:t>was previously</w:t>
      </w:r>
      <w:r w:rsidRPr="00D47E7E">
        <w:rPr>
          <w:rFonts w:ascii="Times New Roman" w:hAnsi="Times New Roman" w:cs="Times New Roman"/>
          <w:sz w:val="24"/>
          <w:szCs w:val="24"/>
        </w:rPr>
        <w:t xml:space="preserve"> analyzed for</w:t>
      </w:r>
      <w:r>
        <w:rPr>
          <w:rFonts w:ascii="Times New Roman" w:hAnsi="Times New Roman" w:cs="Times New Roman"/>
          <w:sz w:val="24"/>
          <w:szCs w:val="24"/>
        </w:rPr>
        <w:t xml:space="preserve"> LOI following standard protocols </w:t>
      </w:r>
      <w:r>
        <w:fldChar w:fldCharType="begin"/>
      </w:r>
      <w:r>
        <w:rPr>
          <w:rFonts w:ascii="Times New Roman" w:hAnsi="Times New Roman" w:cs="Times New Roman"/>
          <w:sz w:val="24"/>
          <w:szCs w:val="24"/>
        </w:rPr>
        <w:instrText>ADDIN CSL_CITATION {"citationItems":[{"id":"ITEM-1","itemData":{"DOI":"10.1023/A:1008119611481","ISSN":"1573-0417","abstract":"Five test runs were performed to assess possible bias when performing the loss on ignition (LOI) method to estimate organic matter and carbonate content of lake sediments. An accurate and stable weight loss was achieved after 2 h of burning pure CaCO3 at 950 °C, whereas LOI of pure graphite at 530 °C showed a direct relation to sample size and exposure time, with only 40-70% of the possible weight loss reached after 2 h of exposure and smaller samples losing weight faster than larger ones. Experiments with a standardised lake sediment revealed a strong initial weight loss at 550 °C, but samples continued to lose weight at a slow rate at exposure of up to 64 h, which was likely the effect of loss of volatile salts, structural water of clay minerals or metal oxides, or of inorganic carbon after the initial burning of organic matter. A further test-run revealed that at 550 °C samples in the centre of the furnace lost more weight than marginal samples. At 950 °C this pattern was still apparent but the differences became negligible. Again, LOI was dependent on sample size.","author":[{"dropping-particle":"","family":"Heiri","given":"Oliver","non-dropping-particle":"","parse-names":false,"suffix":""},{"dropping-particle":"","family":"Lotter","given":"André F","non-dropping-particle":"","parse-names":false,"suffix":""},{"dropping-particle":"","family":"Lemcke","given":"Gerry","non-dropping-particle":"","parse-names":false,"suffix":""}],"container-title":"Journal of Paleolimnology","id":"ITEM-1","issue":"1","issued":{"date-parts":[["2001"]]},"page":"101-110","title":"Loss on ignition as a method for estimating organic and carbonate content in sediments: reproducibility and comparability of results","type":"article-journal","volume":"25"},"uris":["http://www.mendeley.com/documents/?uuid=1b3e1a80-eb96-4562-939f-7bf9127189ac"]}],"mendeley":{"formattedCitation":"(Heiri et al. 2001)","plainTextFormattedCitation":"(Heiri et al. 2001)","previouslyFormattedCitation":"[1]"},"properties":{"noteIndex":0},"schema":"https://github.com/citation-style-language/schema/raw/master/csl-citation.json"}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(Heiri et al. 2001)</w:t>
      </w:r>
      <w:r>
        <w:rPr>
          <w:rFonts w:ascii="Times New Roman" w:hAnsi="Times New Roman" w:cs="Times New Roman"/>
          <w:sz w:val="24"/>
          <w:szCs w:val="24"/>
        </w:rPr>
        <w:fldChar w:fldCharType="end"/>
      </w:r>
      <w:r>
        <w:rPr>
          <w:rFonts w:ascii="Times New Roman" w:hAnsi="Times New Roman" w:cs="Times New Roman"/>
          <w:sz w:val="24"/>
          <w:szCs w:val="24"/>
        </w:rPr>
        <w:t xml:space="preserve"> and for</w:t>
      </w:r>
      <w:r w:rsidRPr="00D47E7E">
        <w:rPr>
          <w:rFonts w:ascii="Times New Roman" w:hAnsi="Times New Roman" w:cs="Times New Roman"/>
          <w:sz w:val="24"/>
          <w:szCs w:val="24"/>
        </w:rPr>
        <w:t xml:space="preserve"> </w:t>
      </w:r>
      <w:r w:rsidRPr="00D47E7E">
        <w:rPr>
          <w:rFonts w:ascii="Times New Roman" w:hAnsi="Times New Roman" w:cs="Times New Roman"/>
          <w:sz w:val="24"/>
          <w:szCs w:val="24"/>
          <w:vertAlign w:val="superscript"/>
        </w:rPr>
        <w:t>210</w:t>
      </w:r>
      <w:r w:rsidRPr="00D47E7E">
        <w:rPr>
          <w:rFonts w:ascii="Times New Roman" w:hAnsi="Times New Roman" w:cs="Times New Roman"/>
          <w:sz w:val="24"/>
          <w:szCs w:val="24"/>
        </w:rPr>
        <w:t>Pb activity to determine a sediment depth-age model and sediment accumulation rates for the past 150 to 200 years</w:t>
      </w:r>
      <w:r>
        <w:rPr>
          <w:rFonts w:ascii="Times New Roman" w:hAnsi="Times New Roman" w:cs="Times New Roman"/>
          <w:sz w:val="24"/>
          <w:szCs w:val="24"/>
        </w:rPr>
        <w:t xml:space="preserve"> (Table S1)</w:t>
      </w:r>
      <w:r w:rsidRPr="00D47E7E">
        <w:rPr>
          <w:rFonts w:ascii="Times New Roman" w:hAnsi="Times New Roman" w:cs="Times New Roman"/>
          <w:sz w:val="24"/>
          <w:szCs w:val="24"/>
        </w:rPr>
        <w:t xml:space="preserve">. Lead-210 activity was measured from its daughter product, </w:t>
      </w:r>
      <w:r w:rsidRPr="00D47E7E">
        <w:rPr>
          <w:rFonts w:ascii="Times New Roman" w:hAnsi="Times New Roman" w:cs="Times New Roman"/>
          <w:sz w:val="24"/>
          <w:szCs w:val="24"/>
          <w:vertAlign w:val="superscript"/>
        </w:rPr>
        <w:t>210</w:t>
      </w:r>
      <w:r w:rsidRPr="00D47E7E">
        <w:rPr>
          <w:rFonts w:ascii="Times New Roman" w:hAnsi="Times New Roman" w:cs="Times New Roman"/>
          <w:sz w:val="24"/>
          <w:szCs w:val="24"/>
        </w:rPr>
        <w:t xml:space="preserve">Po, which is considered to be in secular equilibrium with the parent isotope. Aliquots of freeze-dried sediment were spiked with a known quantity of </w:t>
      </w:r>
      <w:r w:rsidRPr="00D47E7E">
        <w:rPr>
          <w:rFonts w:ascii="Times New Roman" w:hAnsi="Times New Roman" w:cs="Times New Roman"/>
          <w:sz w:val="24"/>
          <w:szCs w:val="24"/>
          <w:vertAlign w:val="superscript"/>
        </w:rPr>
        <w:t>209</w:t>
      </w:r>
      <w:r w:rsidRPr="00D47E7E">
        <w:rPr>
          <w:rFonts w:ascii="Times New Roman" w:hAnsi="Times New Roman" w:cs="Times New Roman"/>
          <w:sz w:val="24"/>
          <w:szCs w:val="24"/>
        </w:rPr>
        <w:t>Po as an internal yield tracer and the isotopes distilled at 550°C after treatment with concentrated HCl. Polonium isotopes were then directly plated onto silver planchets from a 0.5 N HCl solution. Activity was measured for 1-3 x 10</w:t>
      </w:r>
      <w:r w:rsidRPr="00D47E7E">
        <w:rPr>
          <w:rFonts w:ascii="Times New Roman" w:hAnsi="Times New Roman" w:cs="Times New Roman"/>
          <w:sz w:val="24"/>
          <w:szCs w:val="24"/>
          <w:vertAlign w:val="superscript"/>
        </w:rPr>
        <w:t>5</w:t>
      </w:r>
      <w:r w:rsidRPr="00D47E7E">
        <w:rPr>
          <w:rFonts w:ascii="Times New Roman" w:hAnsi="Times New Roman" w:cs="Times New Roman"/>
          <w:sz w:val="24"/>
          <w:szCs w:val="24"/>
        </w:rPr>
        <w:t xml:space="preserve"> s using an Ortec alpha spectrometry system. Supported </w:t>
      </w:r>
      <w:r w:rsidRPr="00D47E7E">
        <w:rPr>
          <w:rFonts w:ascii="Times New Roman" w:hAnsi="Times New Roman" w:cs="Times New Roman"/>
          <w:sz w:val="24"/>
          <w:szCs w:val="24"/>
          <w:vertAlign w:val="superscript"/>
        </w:rPr>
        <w:t>210</w:t>
      </w:r>
      <w:r w:rsidRPr="00D47E7E">
        <w:rPr>
          <w:rFonts w:ascii="Times New Roman" w:hAnsi="Times New Roman" w:cs="Times New Roman"/>
          <w:sz w:val="24"/>
          <w:szCs w:val="24"/>
        </w:rPr>
        <w:t xml:space="preserve">Pb was estimated by mean activity in the </w:t>
      </w:r>
      <w:r w:rsidRPr="00D47E7E">
        <w:rPr>
          <w:rFonts w:ascii="Times New Roman" w:hAnsi="Times New Roman" w:cs="Times New Roman"/>
          <w:sz w:val="24"/>
          <w:szCs w:val="24"/>
        </w:rPr>
        <w:lastRenderedPageBreak/>
        <w:t>lowest core samples and subtracted from up</w:t>
      </w:r>
      <w:r>
        <w:rPr>
          <w:rFonts w:ascii="Times New Roman" w:hAnsi="Times New Roman" w:cs="Times New Roman"/>
          <w:sz w:val="24"/>
          <w:szCs w:val="24"/>
        </w:rPr>
        <w:t>-</w:t>
      </w:r>
      <w:r w:rsidRPr="00D47E7E">
        <w:rPr>
          <w:rFonts w:ascii="Times New Roman" w:hAnsi="Times New Roman" w:cs="Times New Roman"/>
          <w:sz w:val="24"/>
          <w:szCs w:val="24"/>
        </w:rPr>
        <w:t xml:space="preserve">core activity to calculate unsupported </w:t>
      </w:r>
      <w:r w:rsidRPr="00D47E7E">
        <w:rPr>
          <w:rFonts w:ascii="Times New Roman" w:hAnsi="Times New Roman" w:cs="Times New Roman"/>
          <w:sz w:val="24"/>
          <w:szCs w:val="24"/>
          <w:vertAlign w:val="superscript"/>
        </w:rPr>
        <w:t>210</w:t>
      </w:r>
      <w:r w:rsidRPr="00D47E7E">
        <w:rPr>
          <w:rFonts w:ascii="Times New Roman" w:hAnsi="Times New Roman" w:cs="Times New Roman"/>
          <w:sz w:val="24"/>
          <w:szCs w:val="24"/>
        </w:rPr>
        <w:t>Pb. Core dates and sedimentation rates were calculated using the constant rate of supply model (Appleby and Oldfield 1978, Appleby 2001). Dating and sedimentation errors represented first-order propagation of counting uncertainty (Binford 1990).</w:t>
      </w:r>
      <w:r>
        <w:rPr>
          <w:rFonts w:ascii="Times New Roman" w:hAnsi="Times New Roman" w:cs="Times New Roman"/>
          <w:sz w:val="24"/>
          <w:szCs w:val="24"/>
        </w:rPr>
        <w:t xml:space="preserve"> </w:t>
      </w:r>
    </w:p>
    <w:p w14:paraId="6D40743E" w14:textId="77777777" w:rsidR="00FB6A91" w:rsidRDefault="00FB6A91">
      <w:pPr>
        <w:spacing w:line="480" w:lineRule="auto"/>
        <w:rPr>
          <w:rFonts w:ascii="Times New Roman" w:hAnsi="Times New Roman" w:cs="Times New Roman"/>
          <w:i/>
          <w:iCs/>
          <w:sz w:val="24"/>
          <w:szCs w:val="24"/>
        </w:rPr>
      </w:pPr>
      <w:r>
        <w:rPr>
          <w:rFonts w:ascii="Times New Roman" w:hAnsi="Times New Roman" w:cs="Times New Roman"/>
          <w:i/>
          <w:iCs/>
          <w:sz w:val="24"/>
          <w:szCs w:val="24"/>
        </w:rPr>
        <w:t>Estimation of Water Quality Trends:</w:t>
      </w:r>
    </w:p>
    <w:p w14:paraId="5CB86728" w14:textId="77777777" w:rsidR="00FB6A91" w:rsidRDefault="00FB6A91">
      <w:pPr>
        <w:spacing w:line="480" w:lineRule="auto"/>
        <w:rPr>
          <w:rFonts w:ascii="Times New Roman" w:hAnsi="Times New Roman" w:cs="Times New Roman"/>
          <w:sz w:val="24"/>
          <w:szCs w:val="24"/>
        </w:rPr>
      </w:pPr>
      <w:r>
        <w:rPr>
          <w:rFonts w:ascii="Times New Roman" w:hAnsi="Times New Roman" w:cs="Times New Roman"/>
          <w:sz w:val="24"/>
          <w:szCs w:val="24"/>
        </w:rPr>
        <w:t xml:space="preserve">Approximately 30 years of chloride concentration and specific conductance data were downloaded from the National Water Quality Monitoring Council online portal (waterqualitydata.us) for Tanners Lake (Monitoring site ID: MNPCA-82-0115-00-100, 101 &amp; 201). Specific conductance was converted to chloride concentration using the equation provided by </w:t>
      </w:r>
      <w:r>
        <w:fldChar w:fldCharType="begin"/>
      </w:r>
      <w:r>
        <w:rPr>
          <w:rFonts w:ascii="Times New Roman" w:hAnsi="Times New Roman" w:cs="Times New Roman"/>
          <w:sz w:val="24"/>
          <w:szCs w:val="24"/>
        </w:rPr>
        <w:instrText>ADDIN CSL_CITATION {"citationItems":[{"id":"ITEM-1","itemData":{"DOI":"10.1016/J.SCITOTENV.2008.07.037","ISSN":"0048-9697","abstract":"Over 317,000 tonnes of road salt (NaCl) are applied annually for road deicing in the Twin Cities Metropolitan Area (TCMA) of Minnesota. Although road salt is applied to increase driving safety, this practice influences environmental water quality. Thirteen lakes in the TCMA were studied over 46 months to determine if and how they respond to the seasonal applications of road salt. Sodium and chloride concentrations in these lakes were 10 and 25 times higher, respectively, than in other non-urban lakes in the region. Seasonal salinity/chloride cycles in the lakes were correlated with road salt applications: High concentrations in the winter and spring, especially near the bottom of the lakes, were followed by lower concentrations in the summer and fall due to flushing of the lakes by rainfall runoff. The seasonal salt storage/flushing rates for individual lakes were derived from volume-weighted average chloride concentration time series. The rate ranged from 9 to 55% of a lake's minimum salt content. In some of the lakes studied salt concentrations were high enough to stop spring turnover preventing oxygen from reaching the benthic sediments. Concentrations above the sediments were also high enough to induce convective mixing of the saline water into the sediment pore water. A regional analysis of historical water quality records of 38 lakes in the TCMA showed increases in lake salinity from 1984 to 2005 that were highly correlated with the amount of rock salt purchased by the State of Minnesota. Chloride concentrations in individual lakes were positively correlated with the percent of impervious surfaces in the watershed and inversely with lake volume. Taken together, the results show a continuing degradation of the water quality of urban lakes due to application of NaCl in their watersheds.","author":[{"dropping-particle":"V.","family":"Novotny","given":"Eric","non-dropping-particle":"","parse-names":false,"suffix":""},{"dropping-particle":"","family":"Murphy","given":"Dan","non-dropping-particle":"","parse-names":false,"suffix":""},{"dropping-particle":"","family":"Stefan","given":"Heinz G.","non-dropping-particle":"","parse-names":false,"suffix":""}],"container-title":"Science of The Total Environment","id":"ITEM-1","issue":"1-2","issued":{"date-parts":[["2008","11","15"]]},"page":"131-144","publisher":"Elsevier","title":"Increase of urban lake salinity by road deicing salt","type":"article-journal","volume":"406"},"uris":["http://www.mendeley.com/documents/?uuid=019bfdd9-35a5-3db0-aa39-297d69171c7a"]}],"mendeley":{"formattedCitation":"(Novotny et al. 2008)","manualFormatting":"Novotny et al. (2008; See Fig. 3-D)","plainTextFormattedCitation":"(Novotny et al. 2008)","previouslyFormattedCitation":"[2]"},"properties":{"noteIndex":0},"schema":"https://github.com/citation-style-language/schema/raw/master/csl-citation.json"}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Novotny et al. (2008; Equation (1), see also Fig. 3-D)</w:t>
      </w:r>
      <w:r>
        <w:rPr>
          <w:rFonts w:ascii="Times New Roman" w:hAnsi="Times New Roman" w:cs="Times New Roman"/>
          <w:sz w:val="24"/>
          <w:szCs w:val="24"/>
        </w:rPr>
        <w:fldChar w:fldCharType="end"/>
      </w:r>
      <w:r>
        <w:rPr>
          <w:rFonts w:ascii="Times New Roman" w:hAnsi="Times New Roman" w:cs="Times New Roman"/>
          <w:sz w:val="24"/>
          <w:szCs w:val="24"/>
        </w:rPr>
        <w:t xml:space="preserve">. Surface water chloride concentration was estimated by linear interpolation from 1988 through 1950. Lake chloride concentrations are thought to have begun  to increase starting in 1950 with the wide-spread use of road deicing salts in this region </w:t>
      </w:r>
      <w:r>
        <w:fldChar w:fldCharType="begin"/>
      </w:r>
      <w:r>
        <w:rPr>
          <w:rFonts w:ascii="Times New Roman" w:hAnsi="Times New Roman" w:cs="Times New Roman"/>
          <w:sz w:val="24"/>
          <w:szCs w:val="24"/>
        </w:rPr>
        <w:instrText>ADDIN CSL_CITATION {"citationItems":[{"id":"ITEM-1","itemData":{"author":[{"dropping-particle":"","family":"Kelly","given":"VR","non-dropping-particle":"","parse-names":false,"suffix":""},{"dropping-particle":"","family":"Findlay","given":"SG","non-dropping-particle":"","parse-names":false,"suffix":""},{"dropping-particle":"","family":"Schlesinger","given":"WH","non-dropping-particle":"","parse-names":false,"suffix":""},{"dropping-particle":"","family":"Chatrchyan","given":"AM","non-dropping-particle":"","parse-names":false,"suffix":""},{"dropping-particle":"","family":"Menking","given":"K","non-dropping-particle":"","parse-names":false,"suffix":""}],"id":"ITEM-1","issued":{"date-parts":[["2010"]]},"publisher":"The Cary Institute of Ecosystem Studies","title":"Road Salt: Moving Toward the Solution.","type":"report"},"uris":["http://www.mendeley.com/documents/?uuid=941118be-b6d7-4d2b-bcc4-d9f8001f75f4"]}],"mendeley":{"formattedCitation":"(Kelly et al. 2010)","plainTextFormattedCitation":"(Kelly et al. 2010)","previouslyFormattedCitation":"[3]"},"properties":{"noteIndex":0},"schema":"https://github.com/citation-style-language/schema/raw/master/csl-citation.json"}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(Kelly et al. 2010)</w:t>
      </w:r>
      <w:r>
        <w:rPr>
          <w:rFonts w:ascii="Times New Roman" w:hAnsi="Times New Roman" w:cs="Times New Roman"/>
          <w:sz w:val="24"/>
          <w:szCs w:val="24"/>
        </w:rPr>
        <w:fldChar w:fldCharType="end"/>
      </w:r>
      <w:r>
        <w:rPr>
          <w:rFonts w:ascii="Times New Roman" w:hAnsi="Times New Roman" w:cs="Times New Roman"/>
          <w:sz w:val="24"/>
          <w:szCs w:val="24"/>
        </w:rPr>
        <w:t>. Prior to 1950, chloride concentration was assumed to reflect the background levels (1-2 mg L</w:t>
      </w:r>
      <w:r>
        <w:rPr>
          <w:rFonts w:ascii="Times New Roman" w:hAnsi="Times New Roman" w:cs="Times New Roman"/>
          <w:sz w:val="24"/>
          <w:szCs w:val="24"/>
          <w:vertAlign w:val="superscript"/>
        </w:rPr>
        <w:t>-1</w:t>
      </w:r>
      <w:r>
        <w:rPr>
          <w:rFonts w:ascii="Times New Roman" w:hAnsi="Times New Roman" w:cs="Times New Roman"/>
          <w:sz w:val="24"/>
          <w:szCs w:val="24"/>
        </w:rPr>
        <w:t>) estimated with a fossil diatom-inferred Cl</w:t>
      </w:r>
      <w:r>
        <w:rPr>
          <w:rFonts w:ascii="Times New Roman" w:hAnsi="Times New Roman" w:cs="Times New Roman"/>
          <w:sz w:val="24"/>
          <w:szCs w:val="24"/>
          <w:vertAlign w:val="superscript"/>
        </w:rPr>
        <w:t>-</w:t>
      </w:r>
      <w:r>
        <w:rPr>
          <w:rFonts w:ascii="Times New Roman" w:hAnsi="Times New Roman" w:cs="Times New Roman"/>
          <w:sz w:val="24"/>
          <w:szCs w:val="24"/>
        </w:rPr>
        <w:t xml:space="preserve"> model by </w:t>
      </w:r>
      <w:r>
        <w:fldChar w:fldCharType="begin"/>
      </w:r>
      <w:r>
        <w:rPr>
          <w:rFonts w:ascii="Times New Roman" w:hAnsi="Times New Roman" w:cs="Times New Roman"/>
          <w:sz w:val="24"/>
          <w:szCs w:val="24"/>
        </w:rPr>
        <w:instrText>ADDIN CSL_CITATION {"citationItems":[{"id":"ITEM-1","itemData":{"DOI":"10.1139/f04-015","ISSN":"0706-652X","abstract":"A diatom-based transfer function was used to reconstruct water chemistry before European settlement in 55 Minnesota lakes. The lakes span three natural ecoregions, which differ in their history of land use, as well as in surficial geology, climate, and vegetation. Postsettlement trends were compared with water chemistry change reconstructed from two presettlement core sections (circa 1750 and 1800) as a measure of natural variability. Presettlement water quality changes were generally small and nondirectional in all three ecoregions. In contrast, half of the urban lakes showed a statistically significant increase in chloride, whereas 30% of urban and 30% of agricultural region lakes record a statistically significant increase in total phosphorus between 1800 and the present. These changes, which are attributed to road salt and nutrient runoff, are strongly correlated with the percentage of watershed area that is developed (residential or urban) in the case of chloride increases and the percentage of devel...","author":[{"dropping-particle":"","family":"Ramstack","given":"Joy M","non-dropping-particle":"","parse-names":false,"suffix":""},{"dropping-particle":"","family":"Fritz","given":"Sherilyn C","non-dropping-particle":"","parse-names":false,"suffix":""},{"dropping-particle":"","family":"Engstrom","given":"Daniel R","non-dropping-particle":"","parse-names":false,"suffix":""}],"container-title":"Canadian Journal of Fisheries and Aquatic Sciences","id":"ITEM-1","issue":"4","issued":{"date-parts":[["2004","4"]]},"page":"561-576","publisher":" NRC Research Press Ottawa, Canada ","title":"Twentieth century water quality trends in Minnesota lakes compared with presettlement variability","type":"article-journal","volume":"61"},"uris":["http://www.mendeley.com/documents/?uuid=4166c03d-129a-30d2-b7d1-dde4240ce3f1"]}],"mendeley":{"formattedCitation":"(Ramstack et al. 2004)","manualFormatting":"Ramstack et al. (2004)","plainTextFormattedCitation":"(Ramstack et al. 2004)","previouslyFormattedCitation":"[4]"},"properties":{"noteIndex":0},"schema":"https://github.com/citation-style-language/schema/raw/master/csl-citation.json"}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Ramstack et al. (2004)</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95A5475" w14:textId="77777777" w:rsidR="00FB6A91" w:rsidRPr="00505B0E" w:rsidRDefault="00FB6A91" w:rsidP="00505B0E">
      <w:pPr>
        <w:pStyle w:val="ListParagraph"/>
        <w:numPr>
          <w:ilvl w:val="0"/>
          <w:numId w:val="1"/>
        </w:numPr>
        <w:spacing w:line="480" w:lineRule="auto"/>
        <w:jc w:val="center"/>
        <w:rPr>
          <w:rFonts w:ascii="Times New Roman" w:hAnsi="Times New Roman" w:cs="Times New Roman"/>
          <w:sz w:val="24"/>
          <w:szCs w:val="24"/>
        </w:rPr>
      </w:pPr>
      <w:r>
        <w:rPr>
          <w:rFonts w:ascii="Times New Roman" w:hAnsi="Times New Roman" w:cs="Times New Roman"/>
          <w:sz w:val="24"/>
          <w:szCs w:val="24"/>
        </w:rPr>
        <w:t>[Cl</w:t>
      </w:r>
      <w:r>
        <w:rPr>
          <w:rFonts w:ascii="Times New Roman" w:hAnsi="Times New Roman" w:cs="Times New Roman"/>
          <w:sz w:val="24"/>
          <w:szCs w:val="24"/>
          <w:vertAlign w:val="superscript"/>
        </w:rPr>
        <w:t>-</w:t>
      </w:r>
      <w:r>
        <w:rPr>
          <w:rFonts w:ascii="Times New Roman" w:hAnsi="Times New Roman" w:cs="Times New Roman"/>
          <w:sz w:val="24"/>
          <w:szCs w:val="24"/>
        </w:rPr>
        <w:t>] = 0.26 * Specific Conductance – 37.25</w:t>
      </w:r>
      <w:r>
        <w:rPr>
          <w:rFonts w:ascii="Times New Roman" w:hAnsi="Times New Roman" w:cs="Times New Roman"/>
          <w:sz w:val="24"/>
          <w:szCs w:val="24"/>
        </w:rPr>
        <w:tab/>
      </w:r>
      <w:r>
        <w:rPr>
          <w:rFonts w:ascii="Times New Roman" w:hAnsi="Times New Roman" w:cs="Times New Roman"/>
          <w:sz w:val="24"/>
          <w:szCs w:val="24"/>
        </w:rPr>
        <w:tab/>
        <w:t>(Novotny et al. 2008)</w:t>
      </w:r>
      <w:r w:rsidRPr="00505B0E">
        <w:rPr>
          <w:rFonts w:ascii="Times New Roman" w:hAnsi="Times New Roman" w:cs="Times New Roman"/>
          <w:sz w:val="24"/>
          <w:szCs w:val="24"/>
        </w:rPr>
        <w:br w:type="page"/>
      </w:r>
    </w:p>
    <w:p w14:paraId="0966C7B3" w14:textId="77777777" w:rsidR="00FB6A91" w:rsidRPr="00505B0E" w:rsidRDefault="00FB6A91" w:rsidP="00505B0E">
      <w:pPr>
        <w:pStyle w:val="ListParagraph"/>
        <w:spacing w:line="480" w:lineRule="auto"/>
        <w:rPr>
          <w:rFonts w:ascii="Times New Roman" w:hAnsi="Times New Roman" w:cs="Times New Roman"/>
          <w:sz w:val="24"/>
          <w:szCs w:val="24"/>
        </w:rPr>
      </w:pPr>
      <w:r w:rsidRPr="00505B0E">
        <w:rPr>
          <w:rFonts w:ascii="Times New Roman" w:hAnsi="Times New Roman" w:cs="Times New Roman"/>
          <w:b/>
          <w:bCs/>
          <w:sz w:val="24"/>
          <w:szCs w:val="24"/>
        </w:rPr>
        <w:lastRenderedPageBreak/>
        <w:t>Supplement Figures and Tables:</w:t>
      </w:r>
    </w:p>
    <w:p w14:paraId="4707E489" w14:textId="77777777" w:rsidR="00FB6A91" w:rsidRDefault="00FB6A91">
      <w:pPr>
        <w:rPr>
          <w:rFonts w:ascii="Times New Roman" w:hAnsi="Times New Roman" w:cs="Times New Roman"/>
          <w:b/>
          <w:bCs/>
          <w:sz w:val="24"/>
          <w:szCs w:val="24"/>
        </w:rPr>
      </w:pPr>
      <w:r>
        <w:rPr>
          <w:noProof/>
          <w:lang w:val="en-IN" w:eastAsia="en-IN"/>
        </w:rPr>
        <w:drawing>
          <wp:inline distT="0" distB="0" distL="0" distR="0" wp14:anchorId="73F66486" wp14:editId="1A98AEB3">
            <wp:extent cx="5886495" cy="2812648"/>
            <wp:effectExtent l="0" t="0" r="0" b="0"/>
            <wp:docPr id="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pic:cNvPicPr>
                      <a:picLocks noChangeAspect="1" noChangeArrowheads="1"/>
                    </pic:cNvPicPr>
                  </pic:nvPicPr>
                  <pic:blipFill>
                    <a:blip r:embed="rId201"/>
                    <a:stretch>
                      <a:fillRect/>
                    </a:stretch>
                  </pic:blipFill>
                  <pic:spPr bwMode="auto">
                    <a:xfrm>
                      <a:off x="0" y="0"/>
                      <a:ext cx="5913319" cy="2825465"/>
                    </a:xfrm>
                    <a:prstGeom prst="rect">
                      <a:avLst/>
                    </a:prstGeom>
                  </pic:spPr>
                </pic:pic>
              </a:graphicData>
            </a:graphic>
          </wp:inline>
        </w:drawing>
      </w:r>
    </w:p>
    <w:p w14:paraId="14D732B0" w14:textId="77777777" w:rsidR="00FB6A91" w:rsidRDefault="00FB6A91" w:rsidP="007365E2">
      <w:pPr>
        <w:rPr>
          <w:rFonts w:ascii="Times New Roman" w:hAnsi="Times New Roman" w:cs="Times New Roman"/>
          <w:sz w:val="24"/>
          <w:szCs w:val="24"/>
        </w:rPr>
      </w:pPr>
      <w:r>
        <w:rPr>
          <w:rFonts w:ascii="Times New Roman" w:hAnsi="Times New Roman" w:cs="Times New Roman"/>
          <w:sz w:val="24"/>
          <w:szCs w:val="24"/>
        </w:rPr>
        <w:t>Figure S1: Geochemical attributes determined by Loss-on-Ignition of the July 2019 core: (A) %-Organic Carbon content (B) %-CaCO</w:t>
      </w:r>
      <w:r>
        <w:rPr>
          <w:rFonts w:ascii="Times New Roman" w:hAnsi="Times New Roman" w:cs="Times New Roman"/>
          <w:sz w:val="24"/>
          <w:szCs w:val="24"/>
          <w:vertAlign w:val="subscript"/>
        </w:rPr>
        <w:t>3</w:t>
      </w:r>
      <w:r>
        <w:rPr>
          <w:rFonts w:ascii="Times New Roman" w:hAnsi="Times New Roman" w:cs="Times New Roman"/>
          <w:sz w:val="24"/>
          <w:szCs w:val="24"/>
        </w:rPr>
        <w:t xml:space="preserve"> content, and (C) %-Inorganic Content. </w:t>
      </w:r>
    </w:p>
    <w:p w14:paraId="1EC05864" w14:textId="77777777" w:rsidR="00FB6A91" w:rsidRDefault="00FB6A91" w:rsidP="007365E2">
      <w:pPr>
        <w:rPr>
          <w:rFonts w:ascii="Times New Roman" w:hAnsi="Times New Roman" w:cs="Times New Roman"/>
          <w:sz w:val="24"/>
          <w:szCs w:val="24"/>
        </w:rPr>
      </w:pPr>
      <w:r>
        <w:rPr>
          <w:noProof/>
          <w:lang w:val="en-IN" w:eastAsia="en-IN"/>
        </w:rPr>
        <w:drawing>
          <wp:inline distT="0" distB="0" distL="0" distR="0" wp14:anchorId="6DA4ACBE" wp14:editId="3CB4AA61">
            <wp:extent cx="5798916" cy="2717091"/>
            <wp:effectExtent l="0" t="0" r="5080" b="1270"/>
            <wp:docPr id="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pic:cNvPicPr>
                      <a:picLocks noChangeAspect="1" noChangeArrowheads="1"/>
                    </pic:cNvPicPr>
                  </pic:nvPicPr>
                  <pic:blipFill>
                    <a:blip r:embed="rId202"/>
                    <a:stretch>
                      <a:fillRect/>
                    </a:stretch>
                  </pic:blipFill>
                  <pic:spPr bwMode="auto">
                    <a:xfrm>
                      <a:off x="0" y="0"/>
                      <a:ext cx="5824295" cy="2728982"/>
                    </a:xfrm>
                    <a:prstGeom prst="rect">
                      <a:avLst/>
                    </a:prstGeom>
                  </pic:spPr>
                </pic:pic>
              </a:graphicData>
            </a:graphic>
          </wp:inline>
        </w:drawing>
      </w:r>
    </w:p>
    <w:p w14:paraId="540BAE9F" w14:textId="77777777" w:rsidR="00FB6A91" w:rsidRDefault="00FB6A91">
      <w:pPr>
        <w:rPr>
          <w:rFonts w:ascii="Times New Roman" w:hAnsi="Times New Roman" w:cs="Times New Roman"/>
          <w:sz w:val="24"/>
          <w:szCs w:val="24"/>
        </w:rPr>
      </w:pPr>
      <w:r>
        <w:rPr>
          <w:rFonts w:ascii="Times New Roman" w:hAnsi="Times New Roman" w:cs="Times New Roman"/>
          <w:sz w:val="24"/>
          <w:szCs w:val="24"/>
        </w:rPr>
        <w:t>Figure S2: Geochemical attributes determined by Loss-on-Ignition (LOI) of the January 2015 Core: (A) %-Organic Carbon content (B) %-CaCO</w:t>
      </w:r>
      <w:r>
        <w:rPr>
          <w:rFonts w:ascii="Times New Roman" w:hAnsi="Times New Roman" w:cs="Times New Roman"/>
          <w:sz w:val="24"/>
          <w:szCs w:val="24"/>
          <w:vertAlign w:val="subscript"/>
        </w:rPr>
        <w:t>3</w:t>
      </w:r>
      <w:r>
        <w:rPr>
          <w:rFonts w:ascii="Times New Roman" w:hAnsi="Times New Roman" w:cs="Times New Roman"/>
          <w:sz w:val="24"/>
          <w:szCs w:val="24"/>
        </w:rPr>
        <w:t xml:space="preserve"> content, and (C) %-Inorganic Content. Our 2019 LOI results (Fig S1 A-C above) were aligned to the major peaks observed in this data set. </w:t>
      </w:r>
    </w:p>
    <w:p w14:paraId="5F36EFBD" w14:textId="77777777" w:rsidR="00FB6A91" w:rsidRDefault="00FB6A91">
      <w:pPr>
        <w:rPr>
          <w:rFonts w:ascii="Times New Roman" w:hAnsi="Times New Roman" w:cs="Times New Roman"/>
          <w:sz w:val="24"/>
          <w:szCs w:val="24"/>
        </w:rPr>
      </w:pPr>
    </w:p>
    <w:p w14:paraId="599807AA" w14:textId="77777777" w:rsidR="00FB6A91" w:rsidRDefault="00FB6A91">
      <w:pPr>
        <w:rPr>
          <w:rFonts w:ascii="Times New Roman" w:hAnsi="Times New Roman" w:cs="Times New Roman"/>
          <w:sz w:val="24"/>
          <w:szCs w:val="24"/>
        </w:rPr>
      </w:pPr>
      <w:r>
        <w:rPr>
          <w:noProof/>
          <w:lang w:val="en-IN" w:eastAsia="en-IN"/>
        </w:rPr>
        <w:lastRenderedPageBreak/>
        <w:drawing>
          <wp:inline distT="0" distB="0" distL="0" distR="0" wp14:anchorId="1C5B3B4D" wp14:editId="72FECAF1">
            <wp:extent cx="5747385" cy="1885950"/>
            <wp:effectExtent l="0" t="0" r="0" b="0"/>
            <wp:docPr id="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1"/>
                    <pic:cNvPicPr>
                      <a:picLocks noChangeAspect="1" noChangeArrowheads="1"/>
                    </pic:cNvPicPr>
                  </pic:nvPicPr>
                  <pic:blipFill>
                    <a:blip r:embed="rId203"/>
                    <a:stretch>
                      <a:fillRect/>
                    </a:stretch>
                  </pic:blipFill>
                  <pic:spPr bwMode="auto">
                    <a:xfrm>
                      <a:off x="0" y="0"/>
                      <a:ext cx="5747385" cy="1885950"/>
                    </a:xfrm>
                    <a:prstGeom prst="rect">
                      <a:avLst/>
                    </a:prstGeom>
                  </pic:spPr>
                </pic:pic>
              </a:graphicData>
            </a:graphic>
          </wp:inline>
        </w:drawing>
      </w:r>
    </w:p>
    <w:p w14:paraId="386AF513" w14:textId="77777777" w:rsidR="00FB6A91" w:rsidRDefault="00FB6A91">
      <w:pPr>
        <w:rPr>
          <w:rFonts w:ascii="Times New Roman" w:hAnsi="Times New Roman" w:cs="Times New Roman"/>
          <w:sz w:val="24"/>
          <w:szCs w:val="24"/>
        </w:rPr>
      </w:pPr>
      <w:r>
        <w:rPr>
          <w:rFonts w:ascii="Times New Roman" w:hAnsi="Times New Roman" w:cs="Times New Roman"/>
          <w:sz w:val="24"/>
          <w:szCs w:val="24"/>
        </w:rPr>
        <w:t xml:space="preserve">Figure S3: Results of the January 2015 Tanners Lake Pb-210 dating model: (A) Estimated age of layers based on the dating, (B) estimated sediment accumulation rates across the core, and (C) Pb-210 activity observed for each core layer tested. </w:t>
      </w:r>
    </w:p>
    <w:p w14:paraId="7A48BE74" w14:textId="77777777" w:rsidR="00FB6A91" w:rsidRDefault="00FB6A91">
      <w:pPr>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14:anchorId="33BC74D1" wp14:editId="5FDA33BD">
            <wp:extent cx="5785485" cy="5822315"/>
            <wp:effectExtent l="0" t="0" r="5715"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785485" cy="5822315"/>
                    </a:xfrm>
                    <a:prstGeom prst="rect">
                      <a:avLst/>
                    </a:prstGeom>
                    <a:noFill/>
                  </pic:spPr>
                </pic:pic>
              </a:graphicData>
            </a:graphic>
          </wp:inline>
        </w:drawing>
      </w:r>
    </w:p>
    <w:p w14:paraId="53BF5F33" w14:textId="77777777" w:rsidR="00FB6A91" w:rsidRDefault="00FB6A91">
      <w:pPr>
        <w:rPr>
          <w:rFonts w:ascii="Times New Roman" w:hAnsi="Times New Roman" w:cs="Times New Roman"/>
          <w:sz w:val="24"/>
          <w:szCs w:val="24"/>
        </w:rPr>
      </w:pPr>
      <w:r>
        <w:rPr>
          <w:rFonts w:ascii="Times New Roman" w:hAnsi="Times New Roman" w:cs="Times New Roman"/>
          <w:sz w:val="24"/>
          <w:szCs w:val="24"/>
        </w:rPr>
        <w:t xml:space="preserve">Figure S4: </w:t>
      </w:r>
      <w:bookmarkStart w:id="10" w:name="_Hlk65421124"/>
      <w:r>
        <w:rPr>
          <w:rFonts w:ascii="Times New Roman" w:hAnsi="Times New Roman" w:cs="Times New Roman"/>
          <w:sz w:val="24"/>
          <w:szCs w:val="24"/>
        </w:rPr>
        <w:t xml:space="preserve">GAMM model plots for </w:t>
      </w:r>
      <w:r>
        <w:rPr>
          <w:rFonts w:ascii="Times New Roman" w:hAnsi="Times New Roman" w:cs="Times New Roman"/>
          <w:i/>
          <w:iCs/>
          <w:sz w:val="24"/>
          <w:szCs w:val="24"/>
        </w:rPr>
        <w:t>Daphnia pulicaria</w:t>
      </w:r>
      <w:r>
        <w:rPr>
          <w:rFonts w:ascii="Times New Roman" w:hAnsi="Times New Roman" w:cs="Times New Roman"/>
          <w:sz w:val="24"/>
          <w:szCs w:val="24"/>
        </w:rPr>
        <w:t>. (A) Effect of year within the model, (B) Effect of Chloride within the model (e.g., Figure 3A) and (C) Effect of %-Organic content.</w:t>
      </w:r>
      <w:bookmarkEnd w:id="10"/>
      <w:r>
        <w:rPr>
          <w:rFonts w:ascii="Times New Roman" w:hAnsi="Times New Roman" w:cs="Times New Roman"/>
          <w:sz w:val="24"/>
          <w:szCs w:val="24"/>
        </w:rPr>
        <w:t xml:space="preserve"> Rug along X-axis of A-C indicates the locations of estimated chloride measurements.</w:t>
      </w:r>
    </w:p>
    <w:p w14:paraId="6FB4197E" w14:textId="77777777" w:rsidR="00FB6A91" w:rsidRDefault="00FB6A91">
      <w:pPr>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14:anchorId="50FFD43E" wp14:editId="017E2EA9">
            <wp:extent cx="5718810" cy="2926080"/>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718810" cy="2926080"/>
                    </a:xfrm>
                    <a:prstGeom prst="rect">
                      <a:avLst/>
                    </a:prstGeom>
                    <a:noFill/>
                  </pic:spPr>
                </pic:pic>
              </a:graphicData>
            </a:graphic>
          </wp:inline>
        </w:drawing>
      </w:r>
    </w:p>
    <w:p w14:paraId="6B42DB2D" w14:textId="77777777" w:rsidR="00FB6A91" w:rsidRDefault="00FB6A91">
      <w:pPr>
        <w:rPr>
          <w:rFonts w:ascii="Times New Roman" w:hAnsi="Times New Roman" w:cs="Times New Roman"/>
          <w:sz w:val="24"/>
          <w:szCs w:val="24"/>
        </w:rPr>
      </w:pPr>
      <w:r>
        <w:rPr>
          <w:rFonts w:ascii="Times New Roman" w:hAnsi="Times New Roman" w:cs="Times New Roman"/>
          <w:sz w:val="24"/>
          <w:szCs w:val="24"/>
        </w:rPr>
        <w:t xml:space="preserve">Figure S5: GAMM model plots for </w:t>
      </w:r>
      <w:r>
        <w:rPr>
          <w:rFonts w:ascii="Times New Roman" w:hAnsi="Times New Roman" w:cs="Times New Roman"/>
          <w:i/>
          <w:iCs/>
          <w:sz w:val="24"/>
          <w:szCs w:val="24"/>
        </w:rPr>
        <w:t>Daphnia mendotae</w:t>
      </w:r>
      <w:r>
        <w:rPr>
          <w:rFonts w:ascii="Times New Roman" w:hAnsi="Times New Roman" w:cs="Times New Roman"/>
          <w:sz w:val="24"/>
          <w:szCs w:val="24"/>
        </w:rPr>
        <w:t>. (A) Effect of %-CaCO</w:t>
      </w:r>
      <w:r>
        <w:rPr>
          <w:rFonts w:ascii="Times New Roman" w:hAnsi="Times New Roman" w:cs="Times New Roman"/>
          <w:sz w:val="24"/>
          <w:szCs w:val="24"/>
          <w:vertAlign w:val="subscript"/>
        </w:rPr>
        <w:t>3</w:t>
      </w:r>
      <w:r>
        <w:rPr>
          <w:rFonts w:ascii="Times New Roman" w:hAnsi="Times New Roman" w:cs="Times New Roman"/>
          <w:sz w:val="24"/>
          <w:szCs w:val="24"/>
        </w:rPr>
        <w:t xml:space="preserve"> content within the model and (B) Effect of Chloride within the model (e.g., Figure 3C). Rug along X-axis of A &amp; B indicates the locations of estimated chloride measurements.</w:t>
      </w:r>
    </w:p>
    <w:p w14:paraId="7EDF3678" w14:textId="77777777" w:rsidR="00FB6A91" w:rsidRDefault="00FB6A91">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43993CD" w14:textId="77777777" w:rsidR="00FB6A91" w:rsidRDefault="00FB6A91">
      <w:pPr>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14:anchorId="60D0BE98" wp14:editId="432CA5B6">
            <wp:extent cx="5747809" cy="7439025"/>
            <wp:effectExtent l="0" t="0" r="571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751732" cy="7444102"/>
                    </a:xfrm>
                    <a:prstGeom prst="rect">
                      <a:avLst/>
                    </a:prstGeom>
                    <a:noFill/>
                  </pic:spPr>
                </pic:pic>
              </a:graphicData>
            </a:graphic>
          </wp:inline>
        </w:drawing>
      </w:r>
    </w:p>
    <w:p w14:paraId="3FE80334" w14:textId="77777777" w:rsidR="00FB6A91" w:rsidRDefault="00FB6A91" w:rsidP="00D60AD3">
      <w:pPr>
        <w:spacing w:after="0" w:line="240" w:lineRule="auto"/>
        <w:rPr>
          <w:rFonts w:ascii="Times New Roman" w:hAnsi="Times New Roman" w:cs="Times New Roman"/>
          <w:sz w:val="24"/>
          <w:szCs w:val="24"/>
        </w:rPr>
      </w:pPr>
      <w:r>
        <w:rPr>
          <w:rFonts w:ascii="Times New Roman" w:hAnsi="Times New Roman" w:cs="Times New Roman"/>
          <w:sz w:val="24"/>
          <w:szCs w:val="24"/>
        </w:rPr>
        <w:t>Figure S6: Bathymetry of Tanners Lake (in meters). Core 1 indicates the approximate location where we collected the cores and obtained the lake vertical water column profiles.</w:t>
      </w:r>
      <w:r>
        <w:rPr>
          <w:rFonts w:ascii="Times New Roman" w:hAnsi="Times New Roman" w:cs="Times New Roman"/>
          <w:sz w:val="24"/>
          <w:szCs w:val="24"/>
        </w:rPr>
        <w:br w:type="page"/>
      </w:r>
    </w:p>
    <w:p w14:paraId="42CFB2AA" w14:textId="77777777" w:rsidR="00FB6A91" w:rsidRDefault="00FB6A91">
      <w:pPr>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14:anchorId="22DE09EA" wp14:editId="3B2F24D5">
            <wp:extent cx="5944235" cy="3139440"/>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944235" cy="3139440"/>
                    </a:xfrm>
                    <a:prstGeom prst="rect">
                      <a:avLst/>
                    </a:prstGeom>
                    <a:noFill/>
                  </pic:spPr>
                </pic:pic>
              </a:graphicData>
            </a:graphic>
          </wp:inline>
        </w:drawing>
      </w:r>
    </w:p>
    <w:p w14:paraId="3505F641" w14:textId="77777777" w:rsidR="00FB6A91" w:rsidRDefault="00FB6A91" w:rsidP="00D3276C">
      <w:pPr>
        <w:rPr>
          <w:rFonts w:ascii="Times New Roman" w:hAnsi="Times New Roman" w:cs="Times New Roman"/>
          <w:sz w:val="24"/>
          <w:szCs w:val="24"/>
        </w:rPr>
      </w:pPr>
      <w:r>
        <w:rPr>
          <w:rFonts w:ascii="Times New Roman" w:hAnsi="Times New Roman" w:cs="Times New Roman"/>
          <w:sz w:val="24"/>
          <w:szCs w:val="24"/>
        </w:rPr>
        <w:t xml:space="preserve">Table S1. Core depth (cm) – estimated date (AD) – dry mass sediment accumulation rate (DMAR) model for Tanners Lake sediment core collected January 2015 based on Pb-210 inventory. </w:t>
      </w:r>
    </w:p>
    <w:p w14:paraId="40C4F4EE" w14:textId="77777777" w:rsidR="00FB6A91" w:rsidRDefault="00FB6A91">
      <w:pPr>
        <w:rPr>
          <w:rFonts w:ascii="Times New Roman" w:hAnsi="Times New Roman" w:cs="Times New Roman"/>
          <w:sz w:val="24"/>
          <w:szCs w:val="24"/>
        </w:rPr>
      </w:pPr>
    </w:p>
    <w:p w14:paraId="5647C246" w14:textId="77777777" w:rsidR="005D268A" w:rsidRDefault="005D268A" w:rsidP="00D3276C">
      <w:pPr>
        <w:rPr>
          <w:rFonts w:ascii="Times New Roman" w:hAnsi="Times New Roman" w:cs="Times New Roman"/>
          <w:sz w:val="24"/>
          <w:szCs w:val="24"/>
        </w:rPr>
      </w:pPr>
    </w:p>
    <w:p w14:paraId="61ADE2FC" w14:textId="77777777" w:rsidR="005D268A" w:rsidRDefault="005D268A" w:rsidP="00D3276C">
      <w:pPr>
        <w:rPr>
          <w:rFonts w:ascii="Times New Roman" w:hAnsi="Times New Roman" w:cs="Times New Roman"/>
          <w:sz w:val="24"/>
          <w:szCs w:val="24"/>
        </w:rPr>
      </w:pPr>
    </w:p>
    <w:p w14:paraId="318BA75A" w14:textId="77777777" w:rsidR="005D268A" w:rsidRDefault="005D268A" w:rsidP="00D3276C">
      <w:pPr>
        <w:rPr>
          <w:rFonts w:ascii="Times New Roman" w:hAnsi="Times New Roman" w:cs="Times New Roman"/>
          <w:sz w:val="24"/>
          <w:szCs w:val="24"/>
        </w:rPr>
      </w:pPr>
    </w:p>
    <w:p w14:paraId="72824351" w14:textId="77777777" w:rsidR="005D268A" w:rsidRDefault="005D268A" w:rsidP="00D3276C">
      <w:pPr>
        <w:rPr>
          <w:rFonts w:ascii="Times New Roman" w:hAnsi="Times New Roman" w:cs="Times New Roman"/>
          <w:sz w:val="24"/>
          <w:szCs w:val="24"/>
        </w:rPr>
      </w:pPr>
    </w:p>
    <w:p w14:paraId="3AFA9511" w14:textId="77777777" w:rsidR="005D268A" w:rsidRDefault="005D268A" w:rsidP="00D3276C">
      <w:pPr>
        <w:rPr>
          <w:rFonts w:ascii="Times New Roman" w:hAnsi="Times New Roman" w:cs="Times New Roman"/>
          <w:sz w:val="24"/>
          <w:szCs w:val="24"/>
        </w:rPr>
      </w:pPr>
    </w:p>
    <w:p w14:paraId="31AC2016" w14:textId="77777777" w:rsidR="005D268A" w:rsidRDefault="005D268A" w:rsidP="00D3276C">
      <w:pPr>
        <w:rPr>
          <w:rFonts w:ascii="Times New Roman" w:hAnsi="Times New Roman" w:cs="Times New Roman"/>
          <w:sz w:val="24"/>
          <w:szCs w:val="24"/>
        </w:rPr>
      </w:pPr>
    </w:p>
    <w:p w14:paraId="450BDF11" w14:textId="77777777" w:rsidR="005D268A" w:rsidRDefault="005D268A" w:rsidP="00D3276C">
      <w:pPr>
        <w:rPr>
          <w:rFonts w:ascii="Times New Roman" w:hAnsi="Times New Roman" w:cs="Times New Roman"/>
          <w:sz w:val="24"/>
          <w:szCs w:val="24"/>
        </w:rPr>
      </w:pPr>
    </w:p>
    <w:p w14:paraId="1206C3EA" w14:textId="77777777" w:rsidR="005D268A" w:rsidRDefault="005D268A" w:rsidP="00D3276C">
      <w:pPr>
        <w:rPr>
          <w:rFonts w:ascii="Times New Roman" w:hAnsi="Times New Roman" w:cs="Times New Roman"/>
          <w:sz w:val="24"/>
          <w:szCs w:val="24"/>
        </w:rPr>
      </w:pPr>
    </w:p>
    <w:p w14:paraId="374A5987" w14:textId="77777777" w:rsidR="005D268A" w:rsidRDefault="005D268A" w:rsidP="00D3276C">
      <w:pPr>
        <w:rPr>
          <w:rFonts w:ascii="Times New Roman" w:hAnsi="Times New Roman" w:cs="Times New Roman"/>
          <w:sz w:val="24"/>
          <w:szCs w:val="24"/>
        </w:rPr>
      </w:pPr>
    </w:p>
    <w:p w14:paraId="10C7713A" w14:textId="77777777" w:rsidR="005D268A" w:rsidRDefault="005D268A" w:rsidP="00D3276C">
      <w:pPr>
        <w:rPr>
          <w:rFonts w:ascii="Times New Roman" w:hAnsi="Times New Roman" w:cs="Times New Roman"/>
          <w:sz w:val="24"/>
          <w:szCs w:val="24"/>
        </w:rPr>
      </w:pPr>
    </w:p>
    <w:p w14:paraId="5C55F067" w14:textId="77777777" w:rsidR="005D268A" w:rsidRDefault="005D268A" w:rsidP="00D3276C">
      <w:pPr>
        <w:rPr>
          <w:rFonts w:ascii="Times New Roman" w:hAnsi="Times New Roman" w:cs="Times New Roman"/>
          <w:sz w:val="24"/>
          <w:szCs w:val="24"/>
        </w:rPr>
      </w:pPr>
    </w:p>
    <w:p w14:paraId="2D9F73D1" w14:textId="77777777" w:rsidR="005D268A" w:rsidRDefault="005D268A" w:rsidP="00D3276C">
      <w:pPr>
        <w:rPr>
          <w:rFonts w:ascii="Times New Roman" w:hAnsi="Times New Roman" w:cs="Times New Roman"/>
          <w:sz w:val="24"/>
          <w:szCs w:val="24"/>
        </w:rPr>
      </w:pPr>
    </w:p>
    <w:p w14:paraId="5C79FFDC" w14:textId="77777777" w:rsidR="005D268A" w:rsidRDefault="005D268A" w:rsidP="00D3276C">
      <w:pPr>
        <w:rPr>
          <w:rFonts w:ascii="Times New Roman" w:hAnsi="Times New Roman" w:cs="Times New Roman"/>
          <w:sz w:val="24"/>
          <w:szCs w:val="24"/>
        </w:rPr>
      </w:pPr>
    </w:p>
    <w:p w14:paraId="39F77F70" w14:textId="77777777" w:rsidR="005D268A" w:rsidRDefault="005D268A" w:rsidP="00D3276C">
      <w:pPr>
        <w:rPr>
          <w:rFonts w:ascii="Times New Roman" w:hAnsi="Times New Roman" w:cs="Times New Roman"/>
          <w:sz w:val="24"/>
          <w:szCs w:val="24"/>
        </w:rPr>
      </w:pPr>
    </w:p>
    <w:p w14:paraId="5EF515B7" w14:textId="4F599009" w:rsidR="00FB6A91" w:rsidRPr="00D3276C" w:rsidRDefault="00FB6A91" w:rsidP="00D3276C">
      <w:pPr>
        <w:rPr>
          <w:rFonts w:ascii="Times New Roman" w:hAnsi="Times New Roman" w:cs="Times New Roman"/>
          <w:sz w:val="24"/>
          <w:szCs w:val="24"/>
        </w:rPr>
      </w:pPr>
      <w:r w:rsidRPr="00D3276C">
        <w:rPr>
          <w:rFonts w:ascii="Times New Roman" w:hAnsi="Times New Roman" w:cs="Times New Roman"/>
          <w:sz w:val="24"/>
          <w:szCs w:val="24"/>
        </w:rPr>
        <w:lastRenderedPageBreak/>
        <w:t>Works Cited:</w:t>
      </w:r>
    </w:p>
    <w:p w14:paraId="7B4F03B7" w14:textId="77777777" w:rsidR="00FB6A91" w:rsidRDefault="00FB6A91" w:rsidP="00D3276C">
      <w:pPr>
        <w:ind w:left="720" w:hanging="720"/>
        <w:rPr>
          <w:rFonts w:ascii="Times New Roman" w:hAnsi="Times New Roman" w:cs="Times New Roman"/>
          <w:sz w:val="24"/>
          <w:szCs w:val="24"/>
        </w:rPr>
      </w:pPr>
      <w:r w:rsidRPr="00D3276C">
        <w:rPr>
          <w:rFonts w:ascii="Times New Roman" w:hAnsi="Times New Roman" w:cs="Times New Roman"/>
          <w:sz w:val="24"/>
          <w:szCs w:val="24"/>
        </w:rPr>
        <w:t>Appleby, P.G. and Oldfield, F. 1978. The calculation of lead-210 dates assuming a constant rate of supply of the unsupported lead-210 to the sediment. Catena 5:1-8.</w:t>
      </w:r>
    </w:p>
    <w:p w14:paraId="214E7573" w14:textId="77777777" w:rsidR="00FB6A91" w:rsidRPr="00D3276C" w:rsidRDefault="00FB6A91" w:rsidP="00D3276C">
      <w:pPr>
        <w:ind w:left="720" w:hanging="720"/>
        <w:rPr>
          <w:rFonts w:ascii="Times New Roman" w:hAnsi="Times New Roman" w:cs="Times New Roman"/>
          <w:sz w:val="24"/>
          <w:szCs w:val="24"/>
        </w:rPr>
      </w:pPr>
      <w:r w:rsidRPr="00D3276C">
        <w:rPr>
          <w:rFonts w:ascii="Times New Roman" w:hAnsi="Times New Roman" w:cs="Times New Roman"/>
          <w:sz w:val="24"/>
          <w:szCs w:val="24"/>
        </w:rPr>
        <w:t>Appleby, P.G. 2001. Chronostratigraphic techniques in recent sediments.  In: Last, W.M. and Smol, J.P. (Eds) Tracking Environmental Change Using Lake Sediments. Volume 1: Basin analysis, Coring, and Chronological Techniques. Kluwer Academic Publishers, Dordrecht, pp 171-203.</w:t>
      </w:r>
    </w:p>
    <w:p w14:paraId="59FC7AE4" w14:textId="77777777" w:rsidR="00FB6A91" w:rsidRPr="00D3276C" w:rsidRDefault="00FB6A91" w:rsidP="00D3276C">
      <w:pPr>
        <w:ind w:left="720" w:hanging="720"/>
        <w:rPr>
          <w:rFonts w:ascii="Times New Roman" w:hAnsi="Times New Roman" w:cs="Times New Roman"/>
          <w:sz w:val="24"/>
          <w:szCs w:val="24"/>
        </w:rPr>
      </w:pPr>
      <w:r w:rsidRPr="00D3276C">
        <w:rPr>
          <w:rFonts w:ascii="Times New Roman" w:hAnsi="Times New Roman" w:cs="Times New Roman"/>
          <w:sz w:val="24"/>
          <w:szCs w:val="24"/>
        </w:rPr>
        <w:t>Binford, M.W. 1990. Calculation and uncertainty analysis of 210-Pb dates for PIRLA project lake sediment cores. Journal of Paleolimnology 3: 253-267.</w:t>
      </w:r>
    </w:p>
    <w:p w14:paraId="46036CEC" w14:textId="77777777" w:rsidR="00FB6A91" w:rsidRDefault="00FB6A91" w:rsidP="00D3276C">
      <w:pPr>
        <w:ind w:left="720" w:hanging="720"/>
        <w:rPr>
          <w:rFonts w:ascii="Times New Roman" w:hAnsi="Times New Roman" w:cs="Times New Roman"/>
          <w:sz w:val="24"/>
          <w:szCs w:val="24"/>
        </w:rPr>
      </w:pPr>
      <w:r w:rsidRPr="00D3276C">
        <w:rPr>
          <w:rFonts w:ascii="Times New Roman" w:hAnsi="Times New Roman" w:cs="Times New Roman"/>
          <w:sz w:val="24"/>
          <w:szCs w:val="24"/>
        </w:rPr>
        <w:t>Blumentritt, D.J., Engstrom, D.R. and Balogh, S.J., 2013. A novel repeat-coring approach to reconstruct recent sediment, phosphorus, and mercury loading from the upper Mississippi River to Lake Pepin, USA. Journal of Paleolimnology, 50(3), pp.293-304.</w:t>
      </w:r>
    </w:p>
    <w:p w14:paraId="0C766963" w14:textId="77777777" w:rsidR="00FB6A91" w:rsidRPr="00D3276C" w:rsidRDefault="00FB6A91" w:rsidP="00D3276C">
      <w:pPr>
        <w:spacing w:line="240" w:lineRule="auto"/>
        <w:ind w:left="720" w:hanging="720"/>
        <w:rPr>
          <w:rFonts w:ascii="Times New Roman" w:hAnsi="Times New Roman" w:cs="Times New Roman"/>
          <w:sz w:val="24"/>
          <w:szCs w:val="24"/>
        </w:rPr>
      </w:pPr>
      <w:r w:rsidRPr="00D3276C">
        <w:rPr>
          <w:rFonts w:ascii="Times New Roman" w:hAnsi="Times New Roman" w:cs="Times New Roman"/>
          <w:sz w:val="24"/>
          <w:szCs w:val="24"/>
        </w:rPr>
        <w:t>Heiri, O., A. F. Lotter, and G. Lemcke. 2001. Loss on ignition as a method for estimating organic and carbonate content in sediments: reproducibility and comparability of results. J. Paleolimnol. 25: 101–110. doi:10.1023/A:1008119611481</w:t>
      </w:r>
    </w:p>
    <w:p w14:paraId="35B5B1AA" w14:textId="77777777" w:rsidR="00FB6A91" w:rsidRPr="00D3276C" w:rsidRDefault="00FB6A91" w:rsidP="00D3276C">
      <w:pPr>
        <w:ind w:left="720" w:hanging="720"/>
        <w:rPr>
          <w:rFonts w:ascii="Times New Roman" w:hAnsi="Times New Roman" w:cs="Times New Roman"/>
          <w:sz w:val="24"/>
          <w:szCs w:val="24"/>
        </w:rPr>
      </w:pPr>
      <w:r w:rsidRPr="00D3276C">
        <w:rPr>
          <w:rFonts w:ascii="Times New Roman" w:hAnsi="Times New Roman" w:cs="Times New Roman"/>
          <w:sz w:val="24"/>
          <w:szCs w:val="24"/>
        </w:rPr>
        <w:t>Kelly, V., S. Findlay, W. Schlesinger, A. Chatrchyan, and K. Menking. 2010. Road Salt: Moving Toward the Solution. The Cary Institute of Ecosystem Studies.</w:t>
      </w:r>
    </w:p>
    <w:p w14:paraId="166D912A" w14:textId="77777777" w:rsidR="00FB6A91" w:rsidRPr="00D3276C" w:rsidRDefault="00FB6A91" w:rsidP="00D3276C">
      <w:pPr>
        <w:ind w:left="720" w:hanging="720"/>
        <w:rPr>
          <w:rFonts w:ascii="Times New Roman" w:hAnsi="Times New Roman" w:cs="Times New Roman"/>
          <w:sz w:val="24"/>
          <w:szCs w:val="24"/>
        </w:rPr>
      </w:pPr>
      <w:r w:rsidRPr="00D3276C">
        <w:rPr>
          <w:rFonts w:ascii="Times New Roman" w:hAnsi="Times New Roman" w:cs="Times New Roman"/>
          <w:sz w:val="24"/>
          <w:szCs w:val="24"/>
        </w:rPr>
        <w:t>Novotny, E. V., D. Murphy, and H. G. Stefan. 2008. Increase of urban lake salinity by road deicing salt. Sci. Total Environ. 406: 131–144. doi:10.1016/J.SCITOTENV.2008.07.037</w:t>
      </w:r>
    </w:p>
    <w:p w14:paraId="0466B9E6" w14:textId="4900E4C0" w:rsidR="00FB6A91" w:rsidRDefault="00FB6A91" w:rsidP="00D3276C">
      <w:pPr>
        <w:ind w:left="540" w:hanging="540"/>
        <w:rPr>
          <w:rFonts w:ascii="Times New Roman" w:hAnsi="Times New Roman" w:cs="Times New Roman"/>
          <w:sz w:val="24"/>
          <w:szCs w:val="24"/>
        </w:rPr>
      </w:pPr>
      <w:r w:rsidRPr="00D3276C">
        <w:rPr>
          <w:rFonts w:ascii="Times New Roman" w:hAnsi="Times New Roman" w:cs="Times New Roman"/>
          <w:sz w:val="24"/>
          <w:szCs w:val="24"/>
        </w:rPr>
        <w:t>Ramstack, J. M., S. C. Fritz, and D. R. Engstrom. 2004. Twentieth century water quality trends in Minnesota lakes compared with presettlement variability. Can. J. Fish. Aquat. Sci. 61: 561–576. doi:10.1139/f04-015</w:t>
      </w:r>
    </w:p>
    <w:p w14:paraId="425473BD" w14:textId="3CE8F945" w:rsidR="00FB6A91" w:rsidRDefault="00FB6A91">
      <w:pPr>
        <w:rPr>
          <w:rFonts w:ascii="Times New Roman" w:hAnsi="Times New Roman" w:cs="Times New Roman"/>
          <w:sz w:val="24"/>
          <w:szCs w:val="24"/>
        </w:rPr>
      </w:pPr>
      <w:r>
        <w:rPr>
          <w:rFonts w:ascii="Times New Roman" w:hAnsi="Times New Roman" w:cs="Times New Roman"/>
          <w:sz w:val="24"/>
          <w:szCs w:val="24"/>
        </w:rPr>
        <w:br w:type="page"/>
      </w:r>
    </w:p>
    <w:p w14:paraId="50AF9D37" w14:textId="0F2BBFCB" w:rsidR="00FB6A91" w:rsidRDefault="00FB6A91" w:rsidP="00FB6A91">
      <w:pPr>
        <w:ind w:left="540" w:hanging="540"/>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3</w:t>
      </w:r>
    </w:p>
    <w:p w14:paraId="3653B392" w14:textId="4C14C0B3" w:rsidR="00FB6A91" w:rsidRDefault="00FB6A91" w:rsidP="00FB6A91">
      <w:pPr>
        <w:ind w:left="540" w:hanging="540"/>
        <w:jc w:val="center"/>
        <w:rPr>
          <w:rFonts w:ascii="Times New Roman" w:hAnsi="Times New Roman" w:cs="Times New Roman"/>
          <w:b/>
          <w:bCs/>
          <w:sz w:val="24"/>
          <w:szCs w:val="24"/>
        </w:rPr>
      </w:pPr>
      <w:r>
        <w:rPr>
          <w:rFonts w:ascii="Times New Roman" w:hAnsi="Times New Roman" w:cs="Times New Roman"/>
          <w:b/>
          <w:bCs/>
          <w:sz w:val="24"/>
          <w:szCs w:val="24"/>
        </w:rPr>
        <w:t>Supplemental Materials for Chapter 3:</w:t>
      </w:r>
    </w:p>
    <w:p w14:paraId="53316F30" w14:textId="77777777" w:rsidR="00FB6A91" w:rsidRPr="00FB6A91" w:rsidRDefault="00FB6A91" w:rsidP="00FB6A91">
      <w:pPr>
        <w:ind w:left="540" w:hanging="540"/>
        <w:jc w:val="center"/>
        <w:rPr>
          <w:rFonts w:ascii="Times New Roman" w:hAnsi="Times New Roman" w:cs="Times New Roman"/>
          <w:b/>
          <w:bCs/>
          <w:sz w:val="24"/>
          <w:szCs w:val="24"/>
        </w:rPr>
      </w:pPr>
    </w:p>
    <w:p w14:paraId="10FC7050" w14:textId="1D371A5C" w:rsidR="00FB6A91" w:rsidRDefault="001B57FC" w:rsidP="00FB6A91">
      <w:pPr>
        <w:rPr>
          <w:rFonts w:ascii="Times New Roman" w:hAnsi="Times New Roman" w:cs="Times New Roman"/>
          <w:sz w:val="24"/>
          <w:szCs w:val="24"/>
        </w:rPr>
      </w:pPr>
      <w:r>
        <w:rPr>
          <w:rFonts w:ascii="Times New Roman" w:hAnsi="Times New Roman" w:cs="Times New Roman"/>
          <w:sz w:val="24"/>
          <w:szCs w:val="24"/>
        </w:rPr>
        <w:t xml:space="preserve"> </w:t>
      </w:r>
    </w:p>
    <w:p w14:paraId="3F6D7751" w14:textId="77777777" w:rsidR="00FB6A91" w:rsidRPr="00721B55" w:rsidRDefault="00FB6A91" w:rsidP="00EB3526">
      <w:pPr>
        <w:jc w:val="center"/>
        <w:rPr>
          <w:rFonts w:ascii="Times New Roman" w:hAnsi="Times New Roman" w:cs="Times New Roman"/>
          <w:sz w:val="24"/>
          <w:szCs w:val="24"/>
        </w:rPr>
      </w:pPr>
      <w:r w:rsidRPr="00EB3526">
        <w:rPr>
          <w:rFonts w:ascii="Times New Roman" w:hAnsi="Times New Roman" w:cs="Times New Roman"/>
          <w:sz w:val="24"/>
          <w:szCs w:val="24"/>
        </w:rPr>
        <w:t xml:space="preserve">Resurrection genomics provides molecular and phenotypic evidence of rapid adaptation to salinization in </w:t>
      </w:r>
      <w:r w:rsidRPr="00721B55">
        <w:rPr>
          <w:rFonts w:ascii="Times New Roman" w:hAnsi="Times New Roman" w:cs="Times New Roman"/>
          <w:sz w:val="24"/>
          <w:szCs w:val="24"/>
        </w:rPr>
        <w:t>a keystone aquatic species</w:t>
      </w:r>
    </w:p>
    <w:p w14:paraId="6587387D" w14:textId="77777777" w:rsidR="00FB6A91" w:rsidRPr="00EB3526" w:rsidRDefault="00FB6A91" w:rsidP="00EB3526">
      <w:pPr>
        <w:jc w:val="center"/>
        <w:rPr>
          <w:rFonts w:ascii="Times New Roman" w:hAnsi="Times New Roman" w:cs="Times New Roman"/>
          <w:sz w:val="24"/>
          <w:szCs w:val="24"/>
          <w:vertAlign w:val="superscript"/>
        </w:rPr>
      </w:pPr>
      <w:r w:rsidRPr="00EB3526">
        <w:rPr>
          <w:rFonts w:ascii="Times New Roman" w:hAnsi="Times New Roman" w:cs="Times New Roman"/>
          <w:sz w:val="24"/>
          <w:szCs w:val="24"/>
        </w:rPr>
        <w:t>Matthew J. Wersebe</w:t>
      </w:r>
      <w:r w:rsidRPr="00EB3526">
        <w:rPr>
          <w:rFonts w:ascii="Times New Roman" w:hAnsi="Times New Roman" w:cs="Times New Roman"/>
          <w:sz w:val="24"/>
          <w:szCs w:val="24"/>
          <w:vertAlign w:val="superscript"/>
        </w:rPr>
        <w:t>1,2</w:t>
      </w:r>
      <w:r w:rsidRPr="00EB3526">
        <w:rPr>
          <w:rFonts w:ascii="Times New Roman" w:hAnsi="Times New Roman" w:cs="Times New Roman"/>
          <w:sz w:val="24"/>
          <w:szCs w:val="24"/>
        </w:rPr>
        <w:t xml:space="preserve"> and Lawrence J. Weider</w:t>
      </w:r>
      <w:r w:rsidRPr="00EB3526">
        <w:rPr>
          <w:rFonts w:ascii="Times New Roman" w:hAnsi="Times New Roman" w:cs="Times New Roman"/>
          <w:sz w:val="24"/>
          <w:szCs w:val="24"/>
          <w:vertAlign w:val="superscript"/>
        </w:rPr>
        <w:t>1</w:t>
      </w:r>
    </w:p>
    <w:p w14:paraId="0F8EF9FE" w14:textId="77777777" w:rsidR="00FB6A91" w:rsidRPr="00EB3526" w:rsidRDefault="00FB6A91" w:rsidP="00EB3526">
      <w:pPr>
        <w:jc w:val="center"/>
        <w:rPr>
          <w:rFonts w:ascii="Times New Roman" w:hAnsi="Times New Roman" w:cs="Times New Roman"/>
          <w:sz w:val="24"/>
          <w:szCs w:val="24"/>
          <w:vertAlign w:val="superscript"/>
        </w:rPr>
      </w:pPr>
    </w:p>
    <w:p w14:paraId="7B192BEF" w14:textId="77777777" w:rsidR="00FB6A91" w:rsidRPr="00EB3526" w:rsidRDefault="00FB6A91" w:rsidP="00EB3526">
      <w:pPr>
        <w:jc w:val="center"/>
        <w:rPr>
          <w:rFonts w:ascii="Times New Roman" w:hAnsi="Times New Roman" w:cs="Times New Roman"/>
          <w:sz w:val="24"/>
          <w:szCs w:val="24"/>
        </w:rPr>
      </w:pPr>
      <w:r w:rsidRPr="00EB3526">
        <w:rPr>
          <w:rFonts w:ascii="Times New Roman" w:hAnsi="Times New Roman" w:cs="Times New Roman"/>
          <w:sz w:val="24"/>
          <w:szCs w:val="24"/>
          <w:vertAlign w:val="superscript"/>
        </w:rPr>
        <w:t>1</w:t>
      </w:r>
      <w:r w:rsidRPr="00EB3526">
        <w:rPr>
          <w:rFonts w:ascii="Times New Roman" w:hAnsi="Times New Roman" w:cs="Times New Roman"/>
          <w:sz w:val="24"/>
          <w:szCs w:val="24"/>
        </w:rPr>
        <w:t xml:space="preserve"> Program in Ecology and Evolutionary Biology, Department of Biology, University of Oklahoma</w:t>
      </w:r>
    </w:p>
    <w:p w14:paraId="0FB7658A" w14:textId="77777777" w:rsidR="00FB6A91" w:rsidRPr="00EB3526" w:rsidRDefault="00FB6A91" w:rsidP="00EB3526">
      <w:pPr>
        <w:jc w:val="center"/>
        <w:rPr>
          <w:rFonts w:ascii="Times New Roman" w:hAnsi="Times New Roman" w:cs="Times New Roman"/>
          <w:sz w:val="24"/>
          <w:szCs w:val="24"/>
        </w:rPr>
      </w:pPr>
      <w:r w:rsidRPr="00EB3526">
        <w:rPr>
          <w:rFonts w:ascii="Times New Roman" w:hAnsi="Times New Roman" w:cs="Times New Roman"/>
          <w:sz w:val="24"/>
          <w:szCs w:val="24"/>
          <w:vertAlign w:val="superscript"/>
        </w:rPr>
        <w:t>2</w:t>
      </w:r>
      <w:r w:rsidRPr="00EB3526">
        <w:rPr>
          <w:rFonts w:ascii="Times New Roman" w:hAnsi="Times New Roman" w:cs="Times New Roman"/>
          <w:sz w:val="24"/>
          <w:szCs w:val="24"/>
        </w:rPr>
        <w:t>Corresponding Author: 730 Van Vleet Oval, Richards Hall 304, Norman, OK 73019</w:t>
      </w:r>
    </w:p>
    <w:p w14:paraId="09BF2066" w14:textId="77777777" w:rsidR="00FB6A91" w:rsidRPr="00EB3526" w:rsidRDefault="00000000" w:rsidP="00EB3526">
      <w:pPr>
        <w:jc w:val="center"/>
        <w:rPr>
          <w:rFonts w:ascii="Times New Roman" w:hAnsi="Times New Roman" w:cs="Times New Roman"/>
          <w:sz w:val="24"/>
          <w:szCs w:val="24"/>
        </w:rPr>
      </w:pPr>
      <w:hyperlink r:id="rId208" w:history="1">
        <w:r w:rsidR="00FB6A91" w:rsidRPr="00EB3526">
          <w:rPr>
            <w:rFonts w:ascii="Times New Roman" w:hAnsi="Times New Roman" w:cs="Times New Roman"/>
            <w:color w:val="0563C1" w:themeColor="hyperlink"/>
            <w:sz w:val="24"/>
            <w:szCs w:val="24"/>
            <w:u w:val="single"/>
          </w:rPr>
          <w:t>matthew.wersebe@ou.edu</w:t>
        </w:r>
      </w:hyperlink>
    </w:p>
    <w:p w14:paraId="044AA48D" w14:textId="77777777" w:rsidR="00FB6A91" w:rsidRPr="00EB3526" w:rsidRDefault="00FB6A91" w:rsidP="00EB3526">
      <w:pPr>
        <w:jc w:val="center"/>
        <w:rPr>
          <w:rFonts w:ascii="Times New Roman" w:hAnsi="Times New Roman" w:cs="Times New Roman"/>
          <w:sz w:val="24"/>
          <w:szCs w:val="24"/>
        </w:rPr>
      </w:pPr>
    </w:p>
    <w:p w14:paraId="3E97713E" w14:textId="77777777" w:rsidR="00FB6A91" w:rsidRPr="00EB3526" w:rsidRDefault="00FB6A91" w:rsidP="00EB3526">
      <w:pPr>
        <w:jc w:val="center"/>
        <w:rPr>
          <w:rFonts w:ascii="Times New Roman" w:hAnsi="Times New Roman" w:cs="Times New Roman"/>
          <w:sz w:val="24"/>
          <w:szCs w:val="24"/>
        </w:rPr>
      </w:pPr>
    </w:p>
    <w:p w14:paraId="52E01DF5" w14:textId="77777777" w:rsidR="00FB6A91" w:rsidRDefault="00FB6A91" w:rsidP="00EB3526">
      <w:pPr>
        <w:jc w:val="center"/>
        <w:rPr>
          <w:rFonts w:ascii="Times New Roman" w:hAnsi="Times New Roman" w:cs="Times New Roman"/>
          <w:i/>
          <w:iCs/>
          <w:sz w:val="24"/>
          <w:szCs w:val="24"/>
        </w:rPr>
      </w:pPr>
    </w:p>
    <w:p w14:paraId="7AEA0FF3" w14:textId="4B776BFF" w:rsidR="00FB6A91" w:rsidRDefault="00FB6A91">
      <w:pPr>
        <w:rPr>
          <w:rFonts w:ascii="Times New Roman" w:hAnsi="Times New Roman" w:cs="Times New Roman"/>
          <w:i/>
          <w:iCs/>
          <w:sz w:val="24"/>
          <w:szCs w:val="24"/>
        </w:rPr>
      </w:pPr>
    </w:p>
    <w:p w14:paraId="3F76EBF4" w14:textId="5046D312" w:rsidR="00751867" w:rsidRDefault="00751867">
      <w:pPr>
        <w:rPr>
          <w:rFonts w:ascii="Times New Roman" w:hAnsi="Times New Roman" w:cs="Times New Roman"/>
          <w:i/>
          <w:iCs/>
          <w:sz w:val="24"/>
          <w:szCs w:val="24"/>
        </w:rPr>
      </w:pPr>
    </w:p>
    <w:p w14:paraId="481C34CD" w14:textId="7D227F73" w:rsidR="00751867" w:rsidRDefault="00751867">
      <w:pPr>
        <w:rPr>
          <w:rFonts w:ascii="Times New Roman" w:hAnsi="Times New Roman" w:cs="Times New Roman"/>
          <w:i/>
          <w:iCs/>
          <w:sz w:val="24"/>
          <w:szCs w:val="24"/>
        </w:rPr>
      </w:pPr>
    </w:p>
    <w:p w14:paraId="2F805CF5" w14:textId="6A7AF858" w:rsidR="00751867" w:rsidRDefault="00751867">
      <w:pPr>
        <w:rPr>
          <w:rFonts w:ascii="Times New Roman" w:hAnsi="Times New Roman" w:cs="Times New Roman"/>
          <w:i/>
          <w:iCs/>
          <w:sz w:val="24"/>
          <w:szCs w:val="24"/>
        </w:rPr>
      </w:pPr>
    </w:p>
    <w:p w14:paraId="0A9643E7" w14:textId="41B7B907" w:rsidR="00751867" w:rsidRDefault="00751867">
      <w:pPr>
        <w:rPr>
          <w:rFonts w:ascii="Times New Roman" w:hAnsi="Times New Roman" w:cs="Times New Roman"/>
          <w:i/>
          <w:iCs/>
          <w:sz w:val="24"/>
          <w:szCs w:val="24"/>
        </w:rPr>
      </w:pPr>
    </w:p>
    <w:p w14:paraId="40421FA7" w14:textId="43C528E7" w:rsidR="00751867" w:rsidRDefault="00751867">
      <w:pPr>
        <w:rPr>
          <w:rFonts w:ascii="Times New Roman" w:hAnsi="Times New Roman" w:cs="Times New Roman"/>
          <w:i/>
          <w:iCs/>
          <w:sz w:val="24"/>
          <w:szCs w:val="24"/>
        </w:rPr>
      </w:pPr>
    </w:p>
    <w:p w14:paraId="7DBEFA95" w14:textId="22A03013" w:rsidR="00751867" w:rsidRDefault="00751867">
      <w:pPr>
        <w:rPr>
          <w:rFonts w:ascii="Times New Roman" w:hAnsi="Times New Roman" w:cs="Times New Roman"/>
          <w:i/>
          <w:iCs/>
          <w:sz w:val="24"/>
          <w:szCs w:val="24"/>
        </w:rPr>
      </w:pPr>
    </w:p>
    <w:p w14:paraId="76610BCF" w14:textId="040F0C46" w:rsidR="00751867" w:rsidRDefault="00751867">
      <w:pPr>
        <w:rPr>
          <w:rFonts w:ascii="Times New Roman" w:hAnsi="Times New Roman" w:cs="Times New Roman"/>
          <w:i/>
          <w:iCs/>
          <w:sz w:val="24"/>
          <w:szCs w:val="24"/>
        </w:rPr>
      </w:pPr>
    </w:p>
    <w:p w14:paraId="50568783" w14:textId="22997B44" w:rsidR="00751867" w:rsidRDefault="00751867">
      <w:pPr>
        <w:rPr>
          <w:rFonts w:ascii="Times New Roman" w:hAnsi="Times New Roman" w:cs="Times New Roman"/>
          <w:i/>
          <w:iCs/>
          <w:sz w:val="24"/>
          <w:szCs w:val="24"/>
        </w:rPr>
      </w:pPr>
    </w:p>
    <w:p w14:paraId="751AAEE6" w14:textId="1BB4AD89" w:rsidR="00751867" w:rsidRDefault="00751867">
      <w:pPr>
        <w:rPr>
          <w:rFonts w:ascii="Times New Roman" w:hAnsi="Times New Roman" w:cs="Times New Roman"/>
          <w:i/>
          <w:iCs/>
          <w:sz w:val="24"/>
          <w:szCs w:val="24"/>
        </w:rPr>
      </w:pPr>
    </w:p>
    <w:p w14:paraId="7D721D88" w14:textId="1DE3F686" w:rsidR="00751867" w:rsidRDefault="00751867">
      <w:pPr>
        <w:rPr>
          <w:rFonts w:ascii="Times New Roman" w:hAnsi="Times New Roman" w:cs="Times New Roman"/>
          <w:i/>
          <w:iCs/>
          <w:sz w:val="24"/>
          <w:szCs w:val="24"/>
        </w:rPr>
      </w:pPr>
    </w:p>
    <w:p w14:paraId="4D753FEE" w14:textId="262271B8" w:rsidR="00751867" w:rsidRDefault="00751867">
      <w:pPr>
        <w:rPr>
          <w:rFonts w:ascii="Times New Roman" w:hAnsi="Times New Roman" w:cs="Times New Roman"/>
          <w:i/>
          <w:iCs/>
          <w:sz w:val="24"/>
          <w:szCs w:val="24"/>
        </w:rPr>
      </w:pPr>
    </w:p>
    <w:p w14:paraId="127154AC" w14:textId="20CA0023" w:rsidR="00751867" w:rsidRDefault="00751867">
      <w:pPr>
        <w:rPr>
          <w:rFonts w:ascii="Times New Roman" w:hAnsi="Times New Roman" w:cs="Times New Roman"/>
          <w:i/>
          <w:iCs/>
          <w:sz w:val="24"/>
          <w:szCs w:val="24"/>
        </w:rPr>
      </w:pPr>
    </w:p>
    <w:p w14:paraId="0073F44B" w14:textId="7B6F8FD9" w:rsidR="00751867" w:rsidRDefault="00751867">
      <w:pPr>
        <w:rPr>
          <w:rFonts w:ascii="Times New Roman" w:hAnsi="Times New Roman" w:cs="Times New Roman"/>
          <w:i/>
          <w:iCs/>
          <w:sz w:val="24"/>
          <w:szCs w:val="24"/>
        </w:rPr>
      </w:pPr>
    </w:p>
    <w:p w14:paraId="34630FD9" w14:textId="77777777" w:rsidR="00751867" w:rsidRDefault="00751867" w:rsidP="00751867">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Supplemental Methods:</w:t>
      </w:r>
    </w:p>
    <w:p w14:paraId="5763D9FD" w14:textId="77777777" w:rsidR="00751867" w:rsidRDefault="00751867" w:rsidP="00751867">
      <w:pPr>
        <w:spacing w:line="480" w:lineRule="auto"/>
        <w:rPr>
          <w:rFonts w:ascii="Times New Roman" w:hAnsi="Times New Roman" w:cs="Times New Roman"/>
          <w:i/>
          <w:iCs/>
          <w:sz w:val="24"/>
          <w:szCs w:val="24"/>
        </w:rPr>
      </w:pPr>
      <w:r>
        <w:rPr>
          <w:rFonts w:ascii="Times New Roman" w:hAnsi="Times New Roman" w:cs="Times New Roman"/>
          <w:i/>
          <w:iCs/>
          <w:sz w:val="24"/>
          <w:szCs w:val="24"/>
        </w:rPr>
        <w:t>Hatching Protocol:</w:t>
      </w:r>
    </w:p>
    <w:p w14:paraId="2CAEADCE" w14:textId="77777777" w:rsidR="00751867" w:rsidRPr="00477D22" w:rsidRDefault="00751867" w:rsidP="0075186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brief, eggs (often paired) were excised from the ephippial casing using fine forceps and transferred into a well of a sterile 24-well cell culture plate filled with 2 mL of sterile COMBO media using a Pasteur pipette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Wdw3g5h","properties":{"formattedCitation":"(1)","plainCitation":"(1)","noteIndex":0},"citationItems":[{"id":489,"uris":["http://zotero.org/users/9952604/items/F9WGX9CS"],"itemData":{"id":489,"type":"article-journal","container-title":"Hydrobiologia","DOI":"10.1023/A:1003231628456","ISSN":"00188158","issue":"1/3","note":"publisher: Kluwer Academic Publishers","page":"147-159","title":"COMBO: a defined freshwater culture medium for algae and zooplankton","URL":"http://link.springer.com/10.1023/A:1003231628456","volume":"377","author":[{"family":"Kilham","given":"Susan S."},{"family":"Kreeger","given":"Daniel A."},{"family":"Lynn","given":"Scott G."},{"family":"Goulden","given":"Clyde E."},{"family":"Herrera","given":"Lazaro"}],"accessed":{"date-parts":[["2018",9,7]]},"issued":{"date-parts":[["1998"]]}}}],"schema":"https://github.com/citation-style-language/schema/raw/master/csl-citation.json"}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Plates were covered in foil and incubated in a 4</w:t>
      </w:r>
      <w:r>
        <w:rPr>
          <w:rFonts w:ascii="Times New Roman" w:hAnsi="Times New Roman" w:cs="Times New Roman"/>
          <w:sz w:val="24"/>
          <w:szCs w:val="24"/>
          <w:vertAlign w:val="superscript"/>
        </w:rPr>
        <w:t xml:space="preserve">o </w:t>
      </w:r>
      <w:r>
        <w:rPr>
          <w:rFonts w:ascii="Times New Roman" w:hAnsi="Times New Roman" w:cs="Times New Roman"/>
          <w:sz w:val="24"/>
          <w:szCs w:val="24"/>
        </w:rPr>
        <w:t xml:space="preserve">C refrigerator for 14 days and subsequently transferred to constant light at 20° C. Plates were checked daily for hatchlings for up to two weeks. Hatchlings as single individuals were carefully transferred to a 60 mL glass jar and fed a 50:50 mix of High Orthophosphate (HOP) COMBO grown </w:t>
      </w:r>
      <w:r>
        <w:rPr>
          <w:rFonts w:ascii="Times New Roman" w:hAnsi="Times New Roman" w:cs="Times New Roman"/>
          <w:i/>
          <w:iCs/>
          <w:sz w:val="24"/>
          <w:szCs w:val="24"/>
        </w:rPr>
        <w:t>Scenedesmus</w:t>
      </w:r>
      <w:r>
        <w:rPr>
          <w:rFonts w:ascii="Times New Roman" w:hAnsi="Times New Roman" w:cs="Times New Roman"/>
          <w:sz w:val="24"/>
          <w:szCs w:val="24"/>
        </w:rPr>
        <w:t xml:space="preserve"> algae and diluted commercial </w:t>
      </w:r>
      <w:r>
        <w:rPr>
          <w:rFonts w:ascii="Times New Roman" w:hAnsi="Times New Roman" w:cs="Times New Roman"/>
          <w:i/>
          <w:iCs/>
          <w:sz w:val="24"/>
          <w:szCs w:val="24"/>
        </w:rPr>
        <w:t xml:space="preserve">Nannochloropsis </w:t>
      </w:r>
      <w:r>
        <w:rPr>
          <w:rFonts w:ascii="Times New Roman" w:hAnsi="Times New Roman" w:cs="Times New Roman"/>
          <w:sz w:val="24"/>
          <w:szCs w:val="24"/>
        </w:rPr>
        <w:t>concentrate (Reed Mariculture; 1 µL into 1 mL COMBO)</w:t>
      </w:r>
      <w:r>
        <w:rPr>
          <w:rFonts w:ascii="Times New Roman" w:hAnsi="Times New Roman" w:cs="Times New Roman"/>
          <w:i/>
          <w:iCs/>
          <w:sz w:val="24"/>
          <w:szCs w:val="24"/>
        </w:rPr>
        <w:t>.</w:t>
      </w:r>
    </w:p>
    <w:p w14:paraId="444E8B15" w14:textId="77777777" w:rsidR="00751867" w:rsidRDefault="00751867" w:rsidP="00751867">
      <w:pPr>
        <w:spacing w:after="0" w:line="480" w:lineRule="auto"/>
        <w:rPr>
          <w:rFonts w:ascii="Times New Roman" w:hAnsi="Times New Roman" w:cs="Times New Roman"/>
          <w:i/>
          <w:iCs/>
          <w:sz w:val="24"/>
          <w:szCs w:val="24"/>
        </w:rPr>
      </w:pPr>
    </w:p>
    <w:p w14:paraId="143A76E7" w14:textId="77777777" w:rsidR="00751867" w:rsidRDefault="00751867" w:rsidP="00751867">
      <w:pPr>
        <w:spacing w:line="480" w:lineRule="auto"/>
        <w:rPr>
          <w:rFonts w:ascii="Times New Roman" w:hAnsi="Times New Roman" w:cs="Times New Roman"/>
          <w:i/>
          <w:iCs/>
          <w:sz w:val="24"/>
          <w:szCs w:val="24"/>
        </w:rPr>
      </w:pPr>
      <w:r>
        <w:rPr>
          <w:rFonts w:ascii="Times New Roman" w:hAnsi="Times New Roman" w:cs="Times New Roman"/>
          <w:i/>
          <w:iCs/>
          <w:sz w:val="24"/>
          <w:szCs w:val="24"/>
        </w:rPr>
        <w:t>DNA Extraction, Library Preparation and Sequencing:</w:t>
      </w:r>
    </w:p>
    <w:p w14:paraId="21F04054" w14:textId="77777777" w:rsidR="00751867" w:rsidRDefault="00751867" w:rsidP="00751867">
      <w:pPr>
        <w:spacing w:line="480" w:lineRule="auto"/>
        <w:rPr>
          <w:rFonts w:ascii="Times New Roman" w:hAnsi="Times New Roman" w:cs="Times New Roman"/>
          <w:sz w:val="24"/>
          <w:szCs w:val="24"/>
        </w:rPr>
      </w:pPr>
      <w:r>
        <w:rPr>
          <w:rFonts w:ascii="Times New Roman" w:hAnsi="Times New Roman" w:cs="Times New Roman"/>
          <w:sz w:val="24"/>
          <w:szCs w:val="24"/>
        </w:rPr>
        <w:t xml:space="preserve">Clones were expanded in 3.8 L jars so that approximately 100 adult females could be isolated. These 100 adults were subjected to a shortened antibiotic treatment described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{"citationID":"fwv4Uajk","properties":{"formattedCitation":"(2)","plainCitation":"(2)","noteIndex":0},"citationItems":[{"id":2808,"uris":["http://zotero.org/users/9952604/items/SGJN5N6A"],"itemData":{"id":2808,"type":"article-journal","abstract":"Abstract Speciation genomic studies have revealed that genomes of diverging lineages are shaped jointly by the actions of gene flow and selection. These evolutionary forces acting in concert with processes such as recombination and genome features such as gene density shape a mosaic landscape of divergence. We investigated the roles of recombination and gene density in shaping the patterns of differentiation and divergence between the cyclically parthenogenetic ecological sister-taxa, Daphnia pulicaria and Daphnia pulex. First, we assembled a phased chromosome-scale genome assembly using trio-binning for D. pulicaria and constructed a genetic map using an F2-intercross panel to understand sex-specific recombination rate heterogeneity. Finally, we used a ddRADseq data set with broad geographic sampling of D. pulicaria, D. pulex, and their hybrids to understand the patterns of genome-scale divergence and demographic parameters. Our study provides the first sex-specific estimates of recombination rates for a cyclical parthenogen, and unlike other eukaryotic species, we observed male-biased heterochiasmy in D. pulicaria, which may be related to this somewhat unique breeding mode. Additionally, regions of high gene density and recombination are generally more divergent than regions of suppressed recombination. Outlier analysis indicated that divergent genomic regions are probably driven by selection on D. pulicaria, the derived lineage colonizing a novel lake habitat. Together, our study supports a scenario of selection acting on genes related to local adaptation shaping genome-wide patterns of differentiation despite high local recombination rates in this species complex. Finally, we discuss the limitations of our data in light of demographic uncertainty.","container-title":"Molecular Ecology","DOI":"https://doi.org/10.1111/mec.16383","ISSN":"0962-1083","issue":"n/a","note":"publisher: John Wiley &amp; Sons, Ltd","title":"The roles of recombination and selection in shaping genomic divergence in an incipient ecological species complex","URL":"https://doi.org/10.1111/mec.16383","volume":"n/a","author":[{"family":"Wersebe","given":"Matthew J"},{"family":"Sherman","given":"Ryan E"},{"family":"Jeyasingh","given":"Punidan D"},{"family":"Weider","given":"Lawrence J"}],"issued":{"date-parts":[["2022",2,4]]}}}],"schema":"https://github.com/citation-style-language/schema/raw/master/csl-citation.json"}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 xml:space="preserve">. Genomic DNA was extracted from the resulting isoclonal pools (~50 adults per tube) using a MasterPure DNA extraction kit following the manufacturer’s directions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{"citationID":"Q6rlkGuZ","properties":{"formattedCitation":"(3)","plainCitation":"(3)","noteIndex":0},"citationItems":[{"id":1361,"uris":["http://zotero.org/users/9952604/items/7YPUHJAE"],"itemData":{"id":1361,"type":"article-journal","abstract":"&lt;p&gt; &lt;italic&gt;Daphnia&lt;/italic&gt; are key model organisms for mechanistic studies of phenotypic plasticity, adaptation and microevolution, which have led to an increasing demand for genomics resources. A key step in any genomics analysis, such as high-throughput sequencing, is the availability of sufficient and high quality DNA. Although commercial kits exist to extract genomic DNA from several species, preparation of high quality DNA from &lt;italic&gt;Daphnia&lt;/italic&gt; spp. and other chitinous species can be challenging. Here, we optimise methods for tissue homogenisation, DNA extraction and quantification customised for different downstream analyses (e.g., LC-MS/MS, Hiseq, mate pair sequencing or Nanopore). We demonstrate that if &lt;italic&gt;Daphnia magna&lt;/italic&gt; are homogenised as whole animals (including the carapace), absorbance-based DNA quantification methods significantly over-estimate the amount of DNA, resulting in using insufficient starting material for experiments, such as preparation of sequencing libraries. This is attributed to the high refractive index of chitin in &lt;italic&gt;Daphnia’s&lt;/italic&gt; carapace at 260 nm. Therefore, unless the carapace is removed by overnight proteinase digestion, the extracted DNA should be quantified with fluorescence-based methods. However, overnight proteinase digestion will result in partial fragmentation of DNA therefore the prepared DNA is not suitable for downstream methods that require high molecular weight DNA, such as PacBio, mate pair sequencing and Nanopore. In conclusion, we found that the MasterPure DNA purification kit, coupled with grinding of frozen tissue, is the best method for extraction of high molecular weight DNA as long as the extracted DNA is quantified with fluorescence-based methods. This method generated high yield and high molecular weight DNA (3.10 ± 0.63 ng/µg dry mass, fragments &amp;gt;60 kb), free of organic contaminants (phenol, chloroform) and is suitable for large number of downstream analyses. &lt;/p&gt;","container-title":"PeerJ","DOI":"10.7717/peerj.2004","ISSN":"2167-8359","note":"publisher: PeerJ Inc.","page":"e2004","title":"Optimisation of DNA extraction from the crustacean &lt;i&gt;Daphnia&lt;/i&gt;","URL":"https://peerj.com/articles/2004","volume":"4","author":[{"family":"Athanasio","given":"Camila Gonçalves"},{"family":"Chipman","given":"James K."},{"family":"Viant","given":"Mark R."},{"family":"Mirbahai","given":"Leda"}],"accessed":{"date-parts":[["2019",9,11]]},"issued":{"date-parts":[["2016",5,10]]}}}],"schema":"https://github.com/citation-style-language/schema/raw/master/csl-citation.json"}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DNA was checked for quality by running a 2 µL aliquot on a 1% agarose electrophoresis gel and quantified using a Qubit fluorometer (ThermoFisher). Illumina-compatible sequencing libraries were constructed using the Ultra FS II DNA library preparation kit (New England Biolabs) and enriched using 4 cycles of PCR. Pooled and normalized libraries were sequenced across three separate runs of an Illumina NovaSeq instrument by the Oklahoma Medical Research Foundation. We sequenced the population to approximately 10X coverage on average (range 3- 20X). </w:t>
      </w:r>
    </w:p>
    <w:p w14:paraId="18E0AA23" w14:textId="77777777" w:rsidR="00751867" w:rsidRPr="00591830" w:rsidRDefault="00751867" w:rsidP="00751867">
      <w:pPr>
        <w:spacing w:line="480" w:lineRule="auto"/>
        <w:rPr>
          <w:rFonts w:ascii="Times New Roman" w:hAnsi="Times New Roman" w:cs="Times New Roman"/>
          <w:i/>
          <w:iCs/>
          <w:sz w:val="24"/>
          <w:szCs w:val="24"/>
        </w:rPr>
      </w:pPr>
      <w:r>
        <w:rPr>
          <w:rFonts w:ascii="Times New Roman" w:hAnsi="Times New Roman" w:cs="Times New Roman"/>
          <w:i/>
          <w:iCs/>
          <w:sz w:val="24"/>
          <w:szCs w:val="24"/>
        </w:rPr>
        <w:lastRenderedPageBreak/>
        <w:t>Chloride Tolerance:</w:t>
      </w:r>
    </w:p>
    <w:p w14:paraId="7DEBCF76" w14:textId="77777777" w:rsidR="00751867" w:rsidRDefault="00751867" w:rsidP="00751867">
      <w:pPr>
        <w:spacing w:after="0" w:line="480" w:lineRule="auto"/>
        <w:rPr>
          <w:rFonts w:ascii="Times New Roman" w:hAnsi="Times New Roman" w:cs="Times New Roman"/>
          <w:sz w:val="24"/>
          <w:szCs w:val="24"/>
        </w:rPr>
      </w:pPr>
      <w:r>
        <w:rPr>
          <w:rFonts w:ascii="Times New Roman" w:hAnsi="Times New Roman" w:cs="Times New Roman"/>
          <w:sz w:val="24"/>
          <w:szCs w:val="24"/>
        </w:rPr>
        <w:t>We reduced maternal effects among clones by raising experimental animals under standardized conditions. Ten to twenty gravid females per clone were isolated as single individuals into 60 mL jars filled with COMBO media from mass cultures (900 mL jars), for the establishment of experimental populations. These gravid females were allowed to release their clutches, the newborn animals (~25-35) were collected and isolated as single animals in fresh 60 mL jars and grown to adulthood and allowed to release their first clutches. Mothers were then transferred to fresh jars and allowed to release their second clutches. Animals from the second or third clutch for each clone that were born within 24 hours were isolated and pooled together into 900 mL jars and used in the experiments. We conducted 96-hour lethal concentration-50% assays (LC</w:t>
      </w:r>
      <w:r>
        <w:rPr>
          <w:rFonts w:ascii="Times New Roman" w:hAnsi="Times New Roman" w:cs="Times New Roman"/>
          <w:sz w:val="24"/>
          <w:szCs w:val="24"/>
          <w:vertAlign w:val="subscript"/>
        </w:rPr>
        <w:t>50</w:t>
      </w:r>
      <w:r>
        <w:rPr>
          <w:rFonts w:ascii="Times New Roman" w:hAnsi="Times New Roman" w:cs="Times New Roman"/>
          <w:sz w:val="24"/>
          <w:szCs w:val="24"/>
        </w:rPr>
        <w:t>) to estimate clone-specific tolerance to chloride. Experimental animals less than 24 hours old were haphazardly pipetted from the pooled (900-mL) jars and placed as single animals in 60 mL jars with COMBO media amended with either 0 mg (control), 250 mg, 500 mg, 1000 mg, or 1500 mg of Cl</w:t>
      </w:r>
      <w:r>
        <w:rPr>
          <w:rFonts w:ascii="Times New Roman" w:hAnsi="Times New Roman" w:cs="Times New Roman"/>
          <w:sz w:val="24"/>
          <w:szCs w:val="24"/>
          <w:vertAlign w:val="superscript"/>
        </w:rPr>
        <w:t xml:space="preserve">- </w:t>
      </w:r>
      <w:r>
        <w:rPr>
          <w:rFonts w:ascii="Times New Roman" w:hAnsi="Times New Roman" w:cs="Times New Roman"/>
          <w:sz w:val="24"/>
          <w:szCs w:val="24"/>
        </w:rPr>
        <w:t>from NaCl. Each clone by concentration combination was replicated five times when animal numbers permitted (minimum was triplicate jars per treatment). Each jar across clones and treatments was assigned a random number and jars were placed in covered plastic shoe boxes in numerical order to reduce evaporative loss, as well as any bias due to positional effects. Experimental animals were maintained in a temperature-controlled room (20</w:t>
      </w:r>
      <w:r>
        <w:rPr>
          <w:rFonts w:ascii="Times New Roman" w:hAnsi="Times New Roman" w:cs="Times New Roman"/>
          <w:sz w:val="24"/>
          <w:szCs w:val="24"/>
          <w:vertAlign w:val="superscript"/>
        </w:rPr>
        <w:t xml:space="preserve">o </w:t>
      </w:r>
      <w:r>
        <w:rPr>
          <w:rFonts w:ascii="Times New Roman" w:hAnsi="Times New Roman" w:cs="Times New Roman"/>
          <w:sz w:val="24"/>
          <w:szCs w:val="24"/>
        </w:rPr>
        <w:t xml:space="preserve">C) on a 12:12 light: dark cycle. We monitored animals daily (every 24 hours) for survival during the experiment. We recorded an animal as dead, when no movement of internal organs and/or appendages were observed after viewing under a dissecting microscope. </w:t>
      </w:r>
    </w:p>
    <w:p w14:paraId="5A82DE66" w14:textId="77777777" w:rsidR="00751867" w:rsidRDefault="00751867" w:rsidP="00751867">
      <w:pPr>
        <w:spacing w:after="0" w:line="480" w:lineRule="auto"/>
        <w:rPr>
          <w:rFonts w:ascii="Times New Roman" w:hAnsi="Times New Roman" w:cs="Times New Roman"/>
          <w:sz w:val="24"/>
          <w:szCs w:val="24"/>
        </w:rPr>
      </w:pPr>
    </w:p>
    <w:p w14:paraId="699AC4B2" w14:textId="77777777" w:rsidR="00751867" w:rsidRDefault="00751867" w:rsidP="00751867">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mtDNA Analysis:</w:t>
      </w:r>
    </w:p>
    <w:p w14:paraId="7178D21A" w14:textId="77777777" w:rsidR="00751867" w:rsidRDefault="00751867" w:rsidP="00751867">
      <w:pPr>
        <w:spacing w:after="0" w:line="480" w:lineRule="auto"/>
        <w:rPr>
          <w:rFonts w:ascii="Times New Roman" w:hAnsi="Times New Roman" w:cs="Times New Roman"/>
          <w:i/>
          <w:iCs/>
          <w:sz w:val="24"/>
          <w:szCs w:val="24"/>
        </w:rPr>
      </w:pPr>
    </w:p>
    <w:p w14:paraId="43212FCC" w14:textId="77777777" w:rsidR="00751867" w:rsidRDefault="00751867" w:rsidP="0075186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To assess whether the TL population consisted of a single continuous population through time as the nuclear genome suggested, we analyzed the mtDNA of all clones by constructing a time-scaled phylogeny and inferred a Bayesian Skyline plot of the demographic history. Following the same bioinformatic approach outlined in the main text, we aligned reads to the </w:t>
      </w:r>
      <w:r>
        <w:rPr>
          <w:rFonts w:ascii="Times New Roman" w:hAnsi="Times New Roman" w:cs="Times New Roman"/>
          <w:i/>
          <w:iCs/>
          <w:sz w:val="24"/>
          <w:szCs w:val="24"/>
        </w:rPr>
        <w:t xml:space="preserve">Daphnia pulex </w:t>
      </w:r>
      <w:r>
        <w:rPr>
          <w:rFonts w:ascii="Times New Roman" w:hAnsi="Times New Roman" w:cs="Times New Roman"/>
          <w:sz w:val="24"/>
          <w:szCs w:val="24"/>
        </w:rPr>
        <w:t xml:space="preserve">mitochondrial reference genome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{"citationID":"bXk2jn8W","properties":{"formattedCitation":"(4)","plainCitation":"(4)","noteIndex":0},"citationItems":[{"id":2472,"uris":["http://zotero.org/users/9952604/items/UIIDPQ6N"],"itemData":{"id":2472,"type":"article-journal","abstract":"The sequence of the mitochondrial DNA (mtDNA) of the branchiopod crustacean Daphnia pulex has been completed. It is 15,333 bp with an A + T content of 62.3%, and contains the typical complement of 13 protein-coding, 22 transfer RNA (tRNA) and two ribosomal RNA (rRNA) genes. Comparison of this sequence with the sequences of the other eight completely sequenced arthropod mtDNAs showed that gene order and orientation are identical to that of Drosophila but different from Artemia due to the rearrangement of two tRNA genes. Nucleotide composition, codon usage, and amino acid composition are very similar in the crustaceans, but divergent from insects and chelicerates which show a much higher bias towards A + T. However, with few exceptions, the mitochondrial proteins of Daphnia are more similar to those of the dipteran insects (Drosophila and Anopheles) than to those of Artemia, at both the nucleotide and amino acid levels, suggesting that Artemia mtDNA is evolving at an accelerated rate. These results also show that sequence evolution and the evolution of nucleotide composition can be decoupled. Analysis of nucleotide substitution patterns in COII showed that there has been an unbiased acceleration of the overall substitution rate in Artemia. In contrast, the accelerated substitution rate in Apis is due partly to extreme A + T mutation pressure. Secondary structures are proposed for the Daphnia tRNAs and rRNAs. The tRNAs are similar to those of other arthropods but tend to have TψC arms that are only 4 bp long. The rRNA secondary structures are similar to those proposed for insects except for the absence of a small number of helices in Daphnia. Phylogenetic analysis of second codon positions grouped Daphnia with Artemia, as expected, despite the latter's accelerated divergence rate. In contrast, the unusual pattern of mtDNA divergence in Apis led to a topology in which the holometabolous insects (Anopheles, Drosophila, Apis) appeared to be paraphyletic with respect to the hemimetabolous insect, Locusta, due to the early branching of Apis.","container-title":"Gene","DOI":"10.1016/S0378-1119(99)00151-1","ISSN":"03781119","issue":"1-2","note":"PMID: 10375625\npublisher: Elsevier","page":"89-99","title":"The complete sequence of the mitochondrial genome of Daphnia pulex (Cladocera: Crustacea)","volume":"233","author":[{"family":"Crease","given":"Teresa J."}],"accessed":{"date-parts":[["2021",4,20]]},"issued":{"date-parts":[["1999",6,11]]}}}],"schema":"https://github.com/citation-style-language/schema/raw/master/csl-citation.json"}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We called variants for each sample individually using BCFtools and applied SNPs variants to create a unique mitochondrial consensus sequence for each sample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{"citationID":"aWJJ9ObM","properties":{"formattedCitation":"(5)","plainCitation":"(5)","noteIndex":0},"citationItems":[{"id":2374,"uris":["http://zotero.org/users/9952604/items/DL4VPGJ9"],"itemData":{"id":2374,"type":"article-journal","abstract":"BACKGROUND SAMtools and BCFtools are widely used programs for processing and analysing high-throughput sequencing data. They include tools for file format conversion and manipulation, sorting, querying, statistics, variant calling, and effect analysis amongst other methods. FINDINGS The first version appeared online 12 years ago and has been maintained and further developed ever since, with many new features and improvements added over the years. The SAMtools and BCFtools packages represent a unique collection of tools that have been used in numerous other software projects and countless genomic pipelines. CONCLUSION Both SAMtools and BCFtools are freely available on GitHub under the permissive MIT licence, free for both non-commercial and commercial use. Both packages have been installed &gt;1 million times via Bioconda. The source code and documentation are available from https://www.htslib.org.","container-title":"GigaScience","DOI":"10.1093/gigascience/giab008","ISSN":"2047-217X","issue":"2","note":"PMID: 33590861\narXiv: 2012.10295\npublisher: Oxford Academic","page":"1-4","title":"Twelve years of SAMtools and BCFtools.","URL":"http://www.ncbi.nlm.nih.gov/pubmed/33590861","volume":"10","author":[{"family":"Danecek","given":"Petr"},{"family":"Bonfield","given":"James K"},{"family":"Liddle","given":"Jennifer"},{"family":"Marshall","given":"John"},{"family":"Ohan","given":"Valeriu"},{"family":"Pollard","given":"Martin O"},{"family":"Whitwham","given":"Andrew"},{"family":"Keane","given":"Thomas"},{"family":"McCarthy","given":"Shane A"},{"family":"Davies","given":"Robert M"},{"family":"Li","given":"Heng"}],"accessed":{"date-parts":[["2021",3,10]]},"issued":{"date-parts":[["2021",2,16]]}}}],"schema":"https://github.com/citation-style-language/schema/raw/master/csl-citation.json"}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 xml:space="preserve">. We aligned each unique consensus sequence using MAFFT v7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{"citationID":"Zo5xyUIE","properties":{"formattedCitation":"(6)","plainCitation":"(6)","noteIndex":0},"citationItems":[{"id":2862,"uris":["http://zotero.org/users/9952604/items/3SCT34AH"],"itemData":{"id":2862,"type":"article-journal","abstract":"We report a major update of the MAFFT multiple sequence alignment program. This version has several new features, including options for adding unaligned sequences into an existing alignment, adjustment of direction in nucleotide alignment, constrained alignment and parallel processing, which were implemented after the previous major update. This report shows actual examples to explain how these features work, alone and in combination. Some examples incorrectly aligned by MAFFT are also shown to clarify its limitations. We discuss how to avoid misalignments, and our ongoing efforts to overcome such limitations.","container-title":"Molecular Biology and Evolution","DOI":"10.1093/molbev/mst010","ISSN":"0737-4038","issue":"4","page":"772-780","title":"MAFFT Multiple Sequence Alignment Software Version 7: Improvements in Performance and Usability","URL":"https://doi.org/10.1093/molbev/mst010","volume":"30","author":[{"family":"Katoh","given":"Kazutaka"},{"family":"Standley","given":"Daron M"}],"issued":{"date-parts":[["2013",4,1]]}}}],"schema":"https://github.com/citation-style-language/schema/raw/master/csl-citation.json"}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 xml:space="preserve">. Next, we inferred a maximum likelihood phylogenetic tree in iqtree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{"citationID":"4BXJk3S1","properties":{"formattedCitation":"(7)","plainCitation":"(7)","noteIndex":0},"citationItems":[{"id":2858,"uris":["http://zotero.org/users/9952604/items/QXNWLRHH"],"itemData":{"id":2858,"type":"article-journal","abstract":"Large phylogenomics data sets require fast tree inference methods, especially for maximum-likelihood (ML) phylogenies. Fast programs exist, but due to inherent heuristics to find optimal trees, it is not clear whether the best tree is found. Thus, there is need for additional approaches that employ different search strategies to find ML trees and that are at the same time as fast as currently available ML programs. We show that a combination of hill-climbing approaches and a stochastic perturbation method can be time-efficiently implemented. If we allow the same CPU time as RAxML and PhyML, then our software IQ-TREE found higher likelihoods between 62.2% and 87.1% of the studied alignments, thus efficiently exploring the tree-space. If we use the IQ-TREE stopping rule, RAxML and PhyML are faster in 75.7% and 47.1% of the DNA alignments and 42.2% and 100% of the protein alignments, respectively. However, the range of obtaining higher likelihoods with IQ-TREE improves to 73.3–97.1%. IQ-TREE is freely available at http://www.cibiv.at/software/iqtree.","container-title":"Molecular Biology and Evolution","DOI":"10.1093/molbev/msu300","ISSN":"0737-4038","issue":"1","page":"268-274","title":"IQ-TREE: A Fast and Effective Stochastic Algorithm for Estimating Maximum-Likelihood Phylogenies","URL":"https://doi.org/10.1093/molbev/msu300","volume":"32","author":[{"family":"Nguyen","given":"Lam-Tung"},{"family":"Schmidt","given":"Heiko A"},{"family":"Haeseler","given":"Arndt","non-dropping-particle":"von"},{"family":"Minh","given":"Bui Quang"}],"issued":{"date-parts":[["2015",1,1]]}}}],"schema":"https://github.com/citation-style-language/schema/raw/master/csl-citation.json"}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t xml:space="preserve">, and obtained branch support with 1000 ultra-fast bootstraps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{"citationID":"k2Auk4P2","properties":{"formattedCitation":"(8)","plainCitation":"(8)","noteIndex":0},"citationItems":[{"id":2861,"uris":["http://zotero.org/users/9952604/items/I23LSJXT"],"itemData":{"id":2861,"type":"article-journal","abstract":"The standard bootstrap (SBS), despite being computationally intensive, is widely used in maximum likelihood phylogenetic analyses. We recently proposed the ultrafast bootstrap approximation (UFBoot) to reduce computing time while achieving more unbiased branch supports than SBS under mild model violations. UFBoot has been steadily adopted as an efficient alternative to SBS and other bootstrap approaches. Here, we present UFBoot2, which substantially accelerates UFBoot and reduces the risk of overestimating branch supports due to polytomies or severe model violations. Additionally, UFBoot2 provides suitable bootstrap resampling strategies for phylogenomic data. UFBoot2 is 778 times (median) faster than SBS and 8.4 times (median) faster than RAxML rapid bootstrap on tested data sets. UFBoot2 is implemented in the IQ-TREE software package version 1.6 and freely available at http://www.iqtree.org.","container-title":"Molecular Biology and Evolution","DOI":"10.1093/molbev/msx281","ISSN":"0737-4038","issue":"2","page":"518-522","title":"UFBoot2: Improving the Ultrafast Bootstrap Approximation","URL":"https://doi.org/10.1093/molbev/msx281","volume":"35","author":[{"family":"Hoang","given":"Diep Thi"},{"family":"Chernomor","given":"Olga"},{"family":"Haeseler","given":"Arndt","non-dropping-particle":"von"},{"family":"Minh","given":"Bui Quang"},{"family":"Vinh","given":"Le Sy"}],"issued":{"date-parts":[["2018",2,1]]}}}],"schema":"https://github.com/citation-style-language/schema/raw/master/csl-citation.json"}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We time-scaled out phylogeny using default parameters in TimeTree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{"citationID":"TCDlQZNU","properties":{"formattedCitation":"(9)","plainCitation":"(9)","noteIndex":0},"citationItems":[{"id":2970,"uris":["http://zotero.org/users/9952604/items/LJ7DFHXZ"],"itemData":{"id":2970,"type":"article-journal","abstract":"Mutations that accumulate in the genome of cells or viruses can be used to infer their evolutionary history. In the case of rapidly evolving organisms, genomes can reveal their detailed spatiotemporal spread. Such phylodynamic analyses are particularly useful to understand the epidemiology of rapidly evolving viral pathogens. As the number of genome sequences available for different pathogens has increased dramatically over the last years, phylodynamic analysis with traditional methods becomes challenging as these methods scale poorly with growing datasets. Here, we present TreeTime, a Python-based framework for phylodynamic analysis using an approximate Maximum Likelihood approach. TreeTime can estimate ancestral states, infer evolution models, reroot trees to maximize temporal signals, estimate molecular clock phylogenies and population size histories. The runtime of TreeTime scales linearly with dataset size.","container-title":"Virus Evolution","DOI":"10.1093/ve/vex042","ISSN":"2057-1577","issue":"1","journalAbbreviation":"Virus Evolution","page":"vex042","source":"Silverchair","title":"TreeTime: Maximum-likelihood phylodynamic analysis","title-short":"TreeTime","URL":"https://doi.org/10.1093/ve/vex042","volume":"4","author":[{"family":"Sagulenko","given":"Pavel"},{"family":"Puller","given":"Vadim"},{"family":"Neher","given":"Richard A"}],"accessed":{"date-parts":[["2022",9,26]]},"issued":{"date-parts":[["2018",1,1]]}}}],"schema":"https://github.com/citation-style-language/schema/raw/master/csl-citation.json"}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t xml:space="preserve"> and implemented a Bayesian Skyline analysis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{"citationID":"t2tsUUPm","properties":{"formattedCitation":"(10)","plainCitation":"(10)","noteIndex":0},"citationItems":[{"id":2973,"uris":["http://zotero.org/users/9952604/items/RUBWHBG8"],"itemData":{"id":2973,"type":"article-journal","abstract":"We introduce the Bayesian skyline plot, a new method for estimating past population dynamics through time from a sample of molecular sequences without dependence on a prespecified parametric model of demographic history. We describe a Markov chain Monte Carlo sampling procedure that efficiently samples a variant of the generalized skyline plot, given sequence data, and combines these plots to generate a posterior distribution of effective population size through time. We apply the Bayesian skyline plot to simulated data sets and show that it correctly reconstructs demographic history under canonical scenarios. Finally, we compare the Bayesian skyline plot model to previous coalescent approaches by analyzing two real data sets (hepatitis C virus in Egypt and mitochondrial DNA of Beringian bison) that have been previously investigated using alternative coalescent methods. In the bison analysis, we detect a severe but previously unrecognized bottleneck, estimated to have occurred 10,000 radiocarbon years ago, which coincides with both the earliest undisputed record of large numbers of humans in Alaska and the megafaunal extinctions in North America at the beginning of the Holocene.","container-title":"Molecular Biology and Evolution","DOI":"10.1093/molbev/msi103","ISSN":"0737-4038","issue":"5","journalAbbreviation":"Molecular Biology and Evolution","page":"1185-1192","source":"Silverchair","title":"Bayesian Coalescent Inference of Past Population Dynamics from Molecular Sequences","URL":"https://doi.org/10.1093/molbev/msi103","volume":"22","author":[{"family":"Drummond","given":"A. J."},{"family":"Rambaut","given":"A."},{"family":"Shapiro","given":"B."},{"family":"Pybus","given":"O. G."}],"accessed":{"date-parts":[["2022",9,26]]},"issued":{"date-parts":[["2005",5,1]]}}}],"schema":"https://github.com/citation-style-language/schema/raw/master/csl-citation.json"}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t xml:space="preserve"> to infer the demographic history from the mitochondrial sequences using BEAST2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{"citationID":"MOsSLUns","properties":{"formattedCitation":"(11)","plainCitation":"(11)","noteIndex":0},"citationItems":[{"id":2976,"uris":["http://zotero.org/users/9952604/items/TTQD7R7G"],"itemData":{"id":2976,"type":"article-journal","abstract":"Elaboration of Bayesian phylogenetic inference methods has continued at pace in recent years with major new advances in nearly all aspects of the joint modelling of evolutionary data. It is increasingly appreciated that some evolutionary questions can only be adequately answered by combining evidence from multiple independent sources of data, including genome sequences, sampling dates, phenotypic data, radiocarbon dates, fossil occurrences, and biogeographic range information among others. Including all relevant data into a single joint model is very challenging both conceptually and computationally. Advanced computational software packages that allow robust development of compatible (sub-)models which can be composed into a full model hierarchy have played a key role in these developments. Developing such software frameworks is increasingly a major scientific activity in its own right, and comes with specific challenges, from practical software design, development and engineering challenges to statistical and conceptual modelling challenges. BEAST 2 is one such computational software platform, and was first announced over 4 years ago. Here we describe a series of major new developments in the BEAST 2 core platform and model hierarchy that have occurred since the first release of the software, culminating in the recent 2.5 release.","container-title":"PLOS Computational Biology","DOI":"10.1371/journal.pcbi.1006650","ISSN":"1553-7358","issue":"4","journalAbbreviation":"PLOS Computational Biology","language":"en","note":"publisher: Public Library of Science","page":"e1006650","source":"PLoS Journals","title":"BEAST 2.5: An advanced software platform for Bayesian evolutionary analysis","title-short":"BEAST 2.5","URL":"https://journals.plos.org/ploscompbiol/article?id=10.1371/journal.pcbi.1006650","volume":"15","author":[{"family":"Bouckaert","given":"Remco"},{"family":"Vaughan","given":"Timothy G."},{"family":"Barido-Sottani","given":"Joëlle"},{"family":"Duchêne","given":"Sebastián"},{"family":"Fourment","given":"Mathieu"},{"family":"Gavryushkina","given":"Alexandra"},{"family":"Heled","given":"Joseph"},{"family":"Jones","given":"Graham"},{"family":"Kühnert","given":"Denise"},{"family":"Maio","given":"Nicola De"},{"family":"Matschiner","given":"Michael"},{"family":"Mendes","given":"Fábio K."},{"family":"Müller","given":"Nicola F."},{"family":"Ogilvie","given":"Huw A."},{"family":"Plessis","given":"Louis","dropping-particle":"du"},{"family":"Popinga","given":"Alex"},{"family":"Rambaut","given":"Andrew"},{"family":"Rasmussen","given":"David"},{"family":"Siveroni","given":"Igor"},{"family":"Suchard","given":"Marc A."},{"family":"Wu","given":"Chieh-Hsi"},{"family":"Xie","given":"Dong"},{"family":"Zhang","given":"Chi"},{"family":"Stadler","given":"Tanja"},{"family":"Drummond","given":"Alexei J."}],"accessed":{"date-parts":[["2022",9,26]]},"issued":{"date-parts":[["2019",4,8]]}}}],"schema":"https://github.com/citation-style-language/schema/raw/master/csl-citation.json"}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t xml:space="preserve">. Tip dates were inferred from the sediment dating model proposed in Wersebe et 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{"citationID":"B0xOTWU7","properties":{"formattedCitation":"(12)","plainCitation":"(12)","noteIndex":0},"citationItems":[{"id":2753,"uris":["http://zotero.org/users/9952604/items/5FS5J9L5"],"itemData":{"id":2753,"type":"article-journal","abstract":"Salinization of freshwater ecosystems threatens global aquatic biodiversity. There is a need for studies that follow populations in situ during salinization to understand the effects on species and ecosystems. We follow 170?years of Daphnia dynamics in the sediment ephippia archive of a small urban lake near St. Paul, Minnesota, to characterize effects of severe recent salinization on lake Daphnia. We found modest changes in the flux of ephippia in this lake; all three key Daphnia functional groups remained in the assemblage throughout the period of salinization. Reconstruction of the size distribution of Daphnia pulicaria demonstrated a consistent increase in body size in opposition to the expected trajectory during salinization. Our findings highlight that in hard-water lakes, the effects of salinization are nuanced and require further investigation to better understand overall impacts of salinization on hard-water lake Daphnia assemblages.","container-title":"Limnology and Oceanography Letters","DOI":"https://doi.org/10.1002/lol2.10217","ISSN":"2378-2242","issue":"n/a","note":"publisher: John Wiley &amp; Sons, Ltd","title":"Does salinization impact long-term Daphnia assemblage dynamics? Evidence from the sediment egg bank in a small hard-water lake","URL":"https://doi.org/10.1002/lol2.10217","volume":"n/a","author":[{"family":"Wersebe","given":"Matthew J"},{"family":"Edlund","given":"Mark B"},{"family":"Weider","given":"Lawrence J"}],"issued":{"date-parts":[["2021",10,13]]}}}],"schema":"https://github.com/citation-style-language/schema/raw/master/csl-citation.json"}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t xml:space="preserve">, to the closest year (i.e., LC inferred to be from 2019, 22-24 cm from 1994, etc.). </w:t>
      </w:r>
    </w:p>
    <w:p w14:paraId="6B3384CA" w14:textId="77777777" w:rsidR="00751867" w:rsidRDefault="00751867" w:rsidP="0075186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327A37DD" w14:textId="77777777" w:rsidR="00751867" w:rsidRDefault="00751867" w:rsidP="00751867">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2021 Tanners Lake Diel Vertical Migration (DVM):</w:t>
      </w:r>
    </w:p>
    <w:p w14:paraId="15BDE424" w14:textId="77777777" w:rsidR="00751867" w:rsidRDefault="00751867" w:rsidP="00751867">
      <w:pPr>
        <w:spacing w:after="0" w:line="480" w:lineRule="auto"/>
        <w:rPr>
          <w:rFonts w:ascii="Times New Roman" w:hAnsi="Times New Roman" w:cs="Times New Roman"/>
          <w:i/>
          <w:iCs/>
          <w:sz w:val="24"/>
          <w:szCs w:val="24"/>
        </w:rPr>
      </w:pPr>
    </w:p>
    <w:p w14:paraId="30E5FE2A" w14:textId="77777777" w:rsidR="00751867" w:rsidRDefault="00751867" w:rsidP="0075186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On 29 June 2021 we returned to Tanners Lake to investigate the temporal and spatial heterogeneity of </w:t>
      </w:r>
      <w:r>
        <w:rPr>
          <w:rFonts w:ascii="Times New Roman" w:hAnsi="Times New Roman" w:cs="Times New Roman"/>
          <w:i/>
          <w:iCs/>
          <w:sz w:val="24"/>
          <w:szCs w:val="24"/>
        </w:rPr>
        <w:t xml:space="preserve">Daphnia </w:t>
      </w:r>
      <w:r>
        <w:rPr>
          <w:rFonts w:ascii="Times New Roman" w:hAnsi="Times New Roman" w:cs="Times New Roman"/>
          <w:sz w:val="24"/>
          <w:szCs w:val="24"/>
        </w:rPr>
        <w:t xml:space="preserve">occupancy of the water column. We quantitatively sampled the </w:t>
      </w:r>
      <w:r>
        <w:rPr>
          <w:rFonts w:ascii="Times New Roman" w:hAnsi="Times New Roman" w:cs="Times New Roman"/>
          <w:i/>
          <w:iCs/>
          <w:sz w:val="24"/>
          <w:szCs w:val="24"/>
        </w:rPr>
        <w:t xml:space="preserve">Daphnia </w:t>
      </w:r>
      <w:r>
        <w:rPr>
          <w:rFonts w:ascii="Times New Roman" w:hAnsi="Times New Roman" w:cs="Times New Roman"/>
          <w:sz w:val="24"/>
          <w:szCs w:val="24"/>
        </w:rPr>
        <w:t>population using a 30-L Schindler-Patalas trap at three stations covering the north-south axis of Tanners Lake. Beginning at 0600 hours (local time), we sampled the deep pelagic station (</w:t>
      </w:r>
      <w:r w:rsidRPr="00185201">
        <w:rPr>
          <w:rFonts w:ascii="Times New Roman" w:hAnsi="Times New Roman" w:cs="Times New Roman"/>
          <w:sz w:val="24"/>
          <w:szCs w:val="24"/>
        </w:rPr>
        <w:t>44.95076</w:t>
      </w:r>
      <w:r>
        <w:rPr>
          <w:rFonts w:ascii="Symbol" w:eastAsia="Symbol" w:hAnsi="Symbol" w:cs="Symbol"/>
          <w:sz w:val="24"/>
          <w:szCs w:val="24"/>
        </w:rPr>
        <w:t>°</w:t>
      </w:r>
      <w:r>
        <w:rPr>
          <w:rFonts w:ascii="Times New Roman" w:hAnsi="Times New Roman" w:cs="Times New Roman"/>
          <w:sz w:val="24"/>
          <w:szCs w:val="24"/>
        </w:rPr>
        <w:t xml:space="preserve"> N, </w:t>
      </w:r>
      <w:r w:rsidRPr="00185201">
        <w:rPr>
          <w:rFonts w:ascii="Times New Roman" w:hAnsi="Times New Roman" w:cs="Times New Roman"/>
          <w:sz w:val="24"/>
          <w:szCs w:val="24"/>
        </w:rPr>
        <w:t>-92.98135</w:t>
      </w:r>
      <w:r>
        <w:rPr>
          <w:rFonts w:ascii="Symbol" w:eastAsia="Symbol" w:hAnsi="Symbol" w:cs="Symbol"/>
          <w:sz w:val="24"/>
          <w:szCs w:val="24"/>
        </w:rPr>
        <w:t>°</w:t>
      </w:r>
      <w:r>
        <w:rPr>
          <w:rFonts w:ascii="Times New Roman" w:hAnsi="Times New Roman" w:cs="Times New Roman"/>
          <w:sz w:val="24"/>
          <w:szCs w:val="24"/>
        </w:rPr>
        <w:t xml:space="preserve"> W) trapping plankton at depths of 1-m, 6-m, 8-m and 12-m from on board an anchored canoe. We collected samples at a mid-depth pelagic station (</w:t>
      </w:r>
      <w:r w:rsidRPr="00185201">
        <w:rPr>
          <w:rFonts w:ascii="Times New Roman" w:hAnsi="Times New Roman" w:cs="Times New Roman"/>
          <w:sz w:val="24"/>
          <w:szCs w:val="24"/>
        </w:rPr>
        <w:t>44.95287</w:t>
      </w:r>
      <w:r>
        <w:rPr>
          <w:rFonts w:ascii="Symbol" w:eastAsia="Symbol" w:hAnsi="Symbol" w:cs="Symbol"/>
          <w:sz w:val="24"/>
          <w:szCs w:val="24"/>
        </w:rPr>
        <w:t>°</w:t>
      </w:r>
      <w:r>
        <w:rPr>
          <w:rFonts w:ascii="Times New Roman" w:hAnsi="Times New Roman" w:cs="Times New Roman"/>
          <w:sz w:val="24"/>
          <w:szCs w:val="24"/>
        </w:rPr>
        <w:t xml:space="preserve"> N, </w:t>
      </w:r>
      <w:r w:rsidRPr="00185201">
        <w:rPr>
          <w:rFonts w:ascii="Times New Roman" w:hAnsi="Times New Roman" w:cs="Times New Roman"/>
          <w:sz w:val="24"/>
          <w:szCs w:val="24"/>
        </w:rPr>
        <w:t>-</w:t>
      </w:r>
      <w:r w:rsidRPr="00185201">
        <w:rPr>
          <w:rFonts w:ascii="Times New Roman" w:hAnsi="Times New Roman" w:cs="Times New Roman"/>
          <w:sz w:val="24"/>
          <w:szCs w:val="24"/>
        </w:rPr>
        <w:lastRenderedPageBreak/>
        <w:t>92.98108</w:t>
      </w:r>
      <w:r>
        <w:rPr>
          <w:rFonts w:ascii="Symbol" w:eastAsia="Symbol" w:hAnsi="Symbol" w:cs="Symbol"/>
          <w:sz w:val="24"/>
          <w:szCs w:val="24"/>
        </w:rPr>
        <w:t>°</w:t>
      </w:r>
      <w:r>
        <w:rPr>
          <w:rFonts w:ascii="Times New Roman" w:hAnsi="Times New Roman" w:cs="Times New Roman"/>
          <w:sz w:val="24"/>
          <w:szCs w:val="24"/>
        </w:rPr>
        <w:t xml:space="preserve"> W) sampling the plankton density at 1-m, 6-m 9-m. Finally, we also collected samples from a shallow littoral station (</w:t>
      </w:r>
      <w:r w:rsidRPr="00185201">
        <w:rPr>
          <w:rFonts w:ascii="Times New Roman" w:hAnsi="Times New Roman" w:cs="Times New Roman"/>
          <w:sz w:val="24"/>
          <w:szCs w:val="24"/>
        </w:rPr>
        <w:t>44.95681</w:t>
      </w:r>
      <w:r>
        <w:rPr>
          <w:rFonts w:ascii="Symbol" w:eastAsia="Symbol" w:hAnsi="Symbol" w:cs="Symbol"/>
          <w:sz w:val="24"/>
          <w:szCs w:val="24"/>
        </w:rPr>
        <w:t>°</w:t>
      </w:r>
      <w:r>
        <w:rPr>
          <w:rFonts w:ascii="Times New Roman" w:hAnsi="Times New Roman" w:cs="Times New Roman"/>
          <w:sz w:val="24"/>
          <w:szCs w:val="24"/>
        </w:rPr>
        <w:t xml:space="preserve"> N, </w:t>
      </w:r>
      <w:r w:rsidRPr="00185201">
        <w:rPr>
          <w:rFonts w:ascii="Times New Roman" w:hAnsi="Times New Roman" w:cs="Times New Roman"/>
          <w:sz w:val="24"/>
          <w:szCs w:val="24"/>
        </w:rPr>
        <w:t>-92.98141</w:t>
      </w:r>
      <w:r>
        <w:rPr>
          <w:rFonts w:ascii="Symbol" w:eastAsia="Symbol" w:hAnsi="Symbol" w:cs="Symbol"/>
          <w:sz w:val="24"/>
          <w:szCs w:val="24"/>
        </w:rPr>
        <w:t>°</w:t>
      </w:r>
      <w:r>
        <w:rPr>
          <w:rFonts w:ascii="Times New Roman" w:hAnsi="Times New Roman" w:cs="Times New Roman"/>
          <w:sz w:val="24"/>
          <w:szCs w:val="24"/>
        </w:rPr>
        <w:t xml:space="preserve"> W) at 1-m and 2.5-m. In addition to the plankton samples, while at each station we also collected vertical profiles of temperature (</w:t>
      </w:r>
      <w:r>
        <w:rPr>
          <w:rFonts w:ascii="Symbol" w:eastAsia="Symbol" w:hAnsi="Symbol" w:cs="Symbol"/>
          <w:sz w:val="24"/>
          <w:szCs w:val="24"/>
        </w:rPr>
        <w:t>°</w:t>
      </w:r>
      <w:r>
        <w:rPr>
          <w:rFonts w:ascii="Times New Roman" w:hAnsi="Times New Roman" w:cs="Times New Roman"/>
          <w:sz w:val="24"/>
          <w:szCs w:val="24"/>
        </w:rPr>
        <w:t xml:space="preserve">C), specific conductance (SPC; </w:t>
      </w:r>
      <w:r>
        <w:rPr>
          <w:rFonts w:ascii="Symbol" w:eastAsia="Symbol" w:hAnsi="Symbol" w:cs="Symbol"/>
          <w:sz w:val="24"/>
          <w:szCs w:val="24"/>
        </w:rPr>
        <w:t>m</w:t>
      </w:r>
      <w:r>
        <w:rPr>
          <w:rFonts w:ascii="Times New Roman" w:hAnsi="Times New Roman" w:cs="Times New Roman"/>
          <w:sz w:val="24"/>
          <w:szCs w:val="24"/>
        </w:rPr>
        <w:t>S/cm) and dissolved oxygen (%) using a multiparamter sonde (YSI, Yellow Springs, OH) and the approximate Secchi depth (m).</w:t>
      </w:r>
    </w:p>
    <w:p w14:paraId="025456DF" w14:textId="77777777" w:rsidR="00751867" w:rsidRDefault="00751867" w:rsidP="00751867">
      <w:pPr>
        <w:spacing w:after="0" w:line="480" w:lineRule="auto"/>
        <w:rPr>
          <w:rFonts w:ascii="Times New Roman" w:hAnsi="Times New Roman" w:cs="Times New Roman"/>
          <w:sz w:val="24"/>
          <w:szCs w:val="24"/>
        </w:rPr>
      </w:pPr>
    </w:p>
    <w:p w14:paraId="789552AB" w14:textId="77777777" w:rsidR="00751867" w:rsidRDefault="00751867" w:rsidP="0075186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We conducted two additional sampling bouts throughout the day, at 1200 hours and 2000 hours on 29 June 2021. During these times we only collected animals from the water column. Once on shore, we preserved animals according to the method outlined in Black and Dodson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{"citationID":"3nAmTVQI","properties":{"formattedCitation":"(14)","plainCitation":"(14)","noteIndex":0},"citationItems":[{"id":640,"uris":["http://zotero.org/users/9952604/items/WZHTWFAT"],"itemData":{"id":640,"type":"article-journal","container-title":"Limnology and Oceanography: Methods","DOI":"10.4319/lom.2003.1.45","ISSN":"15415856","issue":"1","note":"publisher: John Wiley &amp; Sons, Ltd","page":"45-50","title":"Ethanol: a better preservation technique for &lt;i&gt;Daphnia&lt;/i&gt;","URL":"http://doi.wiley.com/10.4319/lom.2003.1.45","volume":"1","author":[{"family":"Black","given":"A. Ross"},{"family":"Dodson","given":"Stanley I."}],"accessed":{"date-parts":[["2019",1,14]]},"issued":{"date-parts":[["2003",1,1]]}}}],"schema":"https://github.com/citation-style-language/schema/raw/master/csl-citation.json"}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t xml:space="preserve">. Each sample was standardized to 50 mL of 70% EtOH. We estimated the number of collected </w:t>
      </w:r>
      <w:r>
        <w:rPr>
          <w:rFonts w:ascii="Times New Roman" w:hAnsi="Times New Roman" w:cs="Times New Roman"/>
          <w:i/>
          <w:iCs/>
          <w:sz w:val="24"/>
          <w:szCs w:val="24"/>
        </w:rPr>
        <w:t xml:space="preserve">Daphnia </w:t>
      </w:r>
      <w:r>
        <w:rPr>
          <w:rFonts w:ascii="Times New Roman" w:hAnsi="Times New Roman" w:cs="Times New Roman"/>
          <w:sz w:val="24"/>
          <w:szCs w:val="24"/>
        </w:rPr>
        <w:t xml:space="preserve">by subsampling each 50 mL sample 3 times with a 2 mL </w:t>
      </w:r>
      <w:r w:rsidRPr="00185201">
        <w:rPr>
          <w:rFonts w:ascii="Times New Roman" w:hAnsi="Times New Roman" w:cs="Times New Roman"/>
          <w:sz w:val="24"/>
          <w:szCs w:val="24"/>
        </w:rPr>
        <w:t>Hensen-Stempel Pipette</w:t>
      </w:r>
      <w:r>
        <w:rPr>
          <w:rFonts w:ascii="Times New Roman" w:hAnsi="Times New Roman" w:cs="Times New Roman"/>
          <w:sz w:val="24"/>
          <w:szCs w:val="24"/>
        </w:rPr>
        <w:t xml:space="preserve"> and enumerating the animals over a grid. We identified animals to species using the key provided by Haney et al. (15). Using the average of the three Hensen-Stempel subsamples we calculated an estimate of the number of animals collected. Finally, this number was divided by 30-L (size of trap) to determine the density of animals (number per liter) present in the water column at the time of collection.</w:t>
      </w:r>
    </w:p>
    <w:p w14:paraId="13916A07" w14:textId="77777777" w:rsidR="00751867" w:rsidRDefault="00751867" w:rsidP="00751867">
      <w:pPr>
        <w:spacing w:after="0" w:line="480" w:lineRule="auto"/>
        <w:rPr>
          <w:rFonts w:ascii="Times New Roman" w:hAnsi="Times New Roman" w:cs="Times New Roman"/>
          <w:b/>
          <w:bCs/>
          <w:sz w:val="24"/>
          <w:szCs w:val="24"/>
        </w:rPr>
      </w:pPr>
    </w:p>
    <w:p w14:paraId="4C9D5B58" w14:textId="77777777" w:rsidR="00751867" w:rsidRPr="00F35D77" w:rsidRDefault="00751867" w:rsidP="00751867">
      <w:pPr>
        <w:spacing w:after="0" w:line="480" w:lineRule="auto"/>
        <w:rPr>
          <w:rFonts w:ascii="Times New Roman" w:hAnsi="Times New Roman" w:cs="Times New Roman"/>
          <w:i/>
          <w:iCs/>
          <w:sz w:val="24"/>
          <w:szCs w:val="24"/>
        </w:rPr>
      </w:pPr>
      <w:r w:rsidRPr="00F35D77">
        <w:rPr>
          <w:rFonts w:ascii="Times New Roman" w:hAnsi="Times New Roman" w:cs="Times New Roman"/>
          <w:i/>
          <w:iCs/>
          <w:sz w:val="24"/>
          <w:szCs w:val="24"/>
        </w:rPr>
        <w:t>2021 Tanners Lake DVM Study Results:</w:t>
      </w:r>
    </w:p>
    <w:p w14:paraId="4BC61FC7" w14:textId="77777777" w:rsidR="00751867" w:rsidRPr="00F35D77" w:rsidRDefault="00751867" w:rsidP="00751867">
      <w:pPr>
        <w:spacing w:after="0" w:line="480" w:lineRule="auto"/>
        <w:rPr>
          <w:rFonts w:ascii="Arial" w:hAnsi="Arial" w:cs="Arial"/>
          <w:sz w:val="20"/>
          <w:szCs w:val="20"/>
        </w:rPr>
      </w:pPr>
    </w:p>
    <w:p w14:paraId="0ABDE2D9" w14:textId="77777777" w:rsidR="00751867" w:rsidRPr="009464BA" w:rsidRDefault="00751867" w:rsidP="00751867">
      <w:pPr>
        <w:spacing w:after="0" w:line="480" w:lineRule="auto"/>
        <w:rPr>
          <w:rFonts w:ascii="Times New Roman" w:hAnsi="Times New Roman" w:cs="Times New Roman"/>
          <w:sz w:val="24"/>
          <w:szCs w:val="24"/>
        </w:rPr>
      </w:pPr>
      <w:r w:rsidRPr="00F35D77">
        <w:rPr>
          <w:rFonts w:ascii="Times New Roman" w:hAnsi="Times New Roman" w:cs="Times New Roman"/>
          <w:sz w:val="24"/>
          <w:szCs w:val="24"/>
        </w:rPr>
        <w:t xml:space="preserve">We limit our DVM results here to just the focal species of our genetic study, </w:t>
      </w:r>
      <w:r w:rsidRPr="00F35D77">
        <w:rPr>
          <w:rFonts w:ascii="Times New Roman" w:hAnsi="Times New Roman" w:cs="Times New Roman"/>
          <w:i/>
          <w:iCs/>
          <w:sz w:val="24"/>
          <w:szCs w:val="24"/>
        </w:rPr>
        <w:t xml:space="preserve">Daphnia pulicaria. </w:t>
      </w:r>
      <w:r w:rsidRPr="00F35D77">
        <w:rPr>
          <w:rFonts w:ascii="Times New Roman" w:hAnsi="Times New Roman" w:cs="Times New Roman"/>
          <w:sz w:val="24"/>
          <w:szCs w:val="24"/>
        </w:rPr>
        <w:t xml:space="preserve">However, several other species were collected during our surveys. We detected </w:t>
      </w:r>
      <w:r w:rsidRPr="00F35D77">
        <w:rPr>
          <w:rFonts w:ascii="Times New Roman" w:hAnsi="Times New Roman" w:cs="Times New Roman"/>
          <w:i/>
          <w:iCs/>
          <w:sz w:val="24"/>
          <w:szCs w:val="24"/>
        </w:rPr>
        <w:t xml:space="preserve">D. pulicaria </w:t>
      </w:r>
      <w:r w:rsidRPr="00F35D77">
        <w:rPr>
          <w:rFonts w:ascii="Times New Roman" w:hAnsi="Times New Roman" w:cs="Times New Roman"/>
          <w:sz w:val="24"/>
          <w:szCs w:val="24"/>
        </w:rPr>
        <w:t xml:space="preserve">in every sample except from the shallow littoral sites (0600 2.5-m&amp; 1200 1-m). In samples where we did detect </w:t>
      </w:r>
      <w:r w:rsidRPr="00F35D77">
        <w:rPr>
          <w:rFonts w:ascii="Times New Roman" w:hAnsi="Times New Roman" w:cs="Times New Roman"/>
          <w:i/>
          <w:iCs/>
          <w:sz w:val="24"/>
          <w:szCs w:val="24"/>
        </w:rPr>
        <w:t xml:space="preserve">D. pulicaria, </w:t>
      </w:r>
      <w:r w:rsidRPr="00F35D77">
        <w:rPr>
          <w:rFonts w:ascii="Times New Roman" w:hAnsi="Times New Roman" w:cs="Times New Roman"/>
          <w:sz w:val="24"/>
          <w:szCs w:val="24"/>
        </w:rPr>
        <w:t xml:space="preserve">densities ranged from a low of 0.185 individuals per liter (0600 12m </w:t>
      </w:r>
      <w:r w:rsidRPr="00F35D77">
        <w:rPr>
          <w:rFonts w:ascii="Times New Roman" w:hAnsi="Times New Roman" w:cs="Times New Roman"/>
          <w:sz w:val="24"/>
          <w:szCs w:val="24"/>
        </w:rPr>
        <w:lastRenderedPageBreak/>
        <w:t xml:space="preserve">deep) to a high of 27.225 animals per liter (0600 6 m deep). We consistently observed that the highest density estimates were at 6-m at the two pelagic sampling stations. Animals were observed at depth (12 m) throughout the day, ranging from 0.185 (0600) to 5.65 (1200) animals per liter. The density estimates of </w:t>
      </w:r>
      <w:r w:rsidRPr="00F35D77">
        <w:rPr>
          <w:rFonts w:ascii="Times New Roman" w:hAnsi="Times New Roman" w:cs="Times New Roman"/>
          <w:i/>
          <w:iCs/>
          <w:sz w:val="24"/>
          <w:szCs w:val="24"/>
        </w:rPr>
        <w:t xml:space="preserve">D. pulicaria </w:t>
      </w:r>
      <w:r w:rsidRPr="00F35D77">
        <w:rPr>
          <w:rFonts w:ascii="Times New Roman" w:hAnsi="Times New Roman" w:cs="Times New Roman"/>
          <w:sz w:val="24"/>
          <w:szCs w:val="24"/>
        </w:rPr>
        <w:t xml:space="preserve">are presented in Figure S6. Thermal and chemical stratification was much weaker in 2021 compared to our profiles taken in 2019 (see 12). The thermocline begins at approximately 3-m and ends at approximately 5.2-m of depth. SPC ranged from approximately 880 </w:t>
      </w:r>
      <w:r w:rsidRPr="00F35D77">
        <w:rPr>
          <w:rFonts w:ascii="Symbol" w:eastAsia="Symbol" w:hAnsi="Symbol" w:cs="Symbol"/>
          <w:sz w:val="24"/>
          <w:szCs w:val="24"/>
        </w:rPr>
        <w:t>m</w:t>
      </w:r>
      <w:r w:rsidRPr="00F35D77">
        <w:rPr>
          <w:rFonts w:ascii="Times New Roman" w:hAnsi="Times New Roman" w:cs="Times New Roman"/>
          <w:sz w:val="24"/>
          <w:szCs w:val="24"/>
        </w:rPr>
        <w:t xml:space="preserve">S/cm at the surface (~190 mg/L Cl-) to a high at 13-m of 1108 </w:t>
      </w:r>
      <w:r w:rsidRPr="00F35D77">
        <w:rPr>
          <w:rFonts w:ascii="Symbol" w:eastAsia="Symbol" w:hAnsi="Symbol" w:cs="Symbol"/>
          <w:sz w:val="24"/>
          <w:szCs w:val="24"/>
        </w:rPr>
        <w:t>m</w:t>
      </w:r>
      <w:r w:rsidRPr="00F35D77">
        <w:rPr>
          <w:rFonts w:ascii="Times New Roman" w:hAnsi="Times New Roman" w:cs="Times New Roman"/>
          <w:sz w:val="24"/>
          <w:szCs w:val="24"/>
        </w:rPr>
        <w:t>S/cm (~255 mg/L Cl-). Also, likely as a result of the weaker chemical stratification, DO was not completely depleted at depth and ranged from over 100% saturation at the surface to 5.1% saturation at 13-m (approximately 0.64 m/L O</w:t>
      </w:r>
      <w:r w:rsidRPr="00F35D77">
        <w:rPr>
          <w:rFonts w:ascii="Times New Roman" w:hAnsi="Times New Roman" w:cs="Times New Roman"/>
          <w:sz w:val="24"/>
          <w:szCs w:val="24"/>
          <w:vertAlign w:val="subscript"/>
        </w:rPr>
        <w:t>2</w:t>
      </w:r>
      <w:r w:rsidRPr="00F35D77">
        <w:rPr>
          <w:rFonts w:ascii="Times New Roman" w:hAnsi="Times New Roman" w:cs="Times New Roman"/>
          <w:sz w:val="24"/>
          <w:szCs w:val="24"/>
        </w:rPr>
        <w:t>). Temperature, SPC and DO profiles are available in Figure S7 A-C. Secchi depths at all stations ranged from ~2.5 m to 3.0 m and are available in Table S4.</w:t>
      </w:r>
      <w:r w:rsidRPr="009464BA">
        <w:rPr>
          <w:rFonts w:ascii="Times New Roman" w:hAnsi="Times New Roman" w:cs="Times New Roman"/>
          <w:sz w:val="24"/>
          <w:szCs w:val="24"/>
        </w:rPr>
        <w:t xml:space="preserve"> </w:t>
      </w:r>
    </w:p>
    <w:p w14:paraId="31B4523C" w14:textId="77777777" w:rsidR="00751867" w:rsidRDefault="00751867" w:rsidP="00751867">
      <w:pPr>
        <w:spacing w:after="0" w:line="480" w:lineRule="auto"/>
        <w:rPr>
          <w:rFonts w:ascii="Times New Roman" w:hAnsi="Times New Roman" w:cs="Times New Roman"/>
          <w:b/>
          <w:bCs/>
          <w:sz w:val="24"/>
          <w:szCs w:val="24"/>
        </w:rPr>
      </w:pPr>
    </w:p>
    <w:p w14:paraId="6DC3927F" w14:textId="77777777" w:rsidR="00751867" w:rsidRPr="00F4143E" w:rsidRDefault="00751867" w:rsidP="00751867">
      <w:pPr>
        <w:spacing w:after="0" w:line="240" w:lineRule="auto"/>
        <w:rPr>
          <w:rFonts w:ascii="Times New Roman" w:hAnsi="Times New Roman" w:cs="Times New Roman"/>
          <w:b/>
          <w:bCs/>
          <w:sz w:val="24"/>
          <w:szCs w:val="24"/>
        </w:rPr>
      </w:pPr>
      <w:r w:rsidRPr="00F4143E">
        <w:rPr>
          <w:rFonts w:ascii="Times New Roman" w:hAnsi="Times New Roman" w:cs="Times New Roman"/>
          <w:b/>
          <w:bCs/>
          <w:sz w:val="24"/>
          <w:szCs w:val="24"/>
        </w:rPr>
        <w:t>Works Cited:</w:t>
      </w:r>
    </w:p>
    <w:p w14:paraId="02D81604" w14:textId="77777777" w:rsidR="00751867" w:rsidRPr="00F4143E" w:rsidRDefault="00751867" w:rsidP="00751867">
      <w:pPr>
        <w:spacing w:after="0" w:line="240" w:lineRule="auto"/>
        <w:rPr>
          <w:rFonts w:ascii="Times New Roman" w:hAnsi="Times New Roman" w:cs="Times New Roman"/>
          <w:sz w:val="24"/>
          <w:szCs w:val="24"/>
        </w:rPr>
      </w:pPr>
    </w:p>
    <w:p w14:paraId="36D13EF1" w14:textId="77777777" w:rsidR="00751867" w:rsidRPr="00490815" w:rsidRDefault="00751867" w:rsidP="00751867">
      <w:pPr>
        <w:pStyle w:val="Bibliography"/>
        <w:rPr>
          <w:rFonts w:ascii="Times New Roman" w:hAnsi="Times New Roman" w:cs="Times New Roman"/>
          <w:sz w:val="24"/>
        </w:rPr>
      </w:pPr>
      <w:r w:rsidRPr="00F4143E">
        <w:rPr>
          <w:rFonts w:ascii="Times New Roman" w:hAnsi="Times New Roman" w:cs="Times New Roman"/>
          <w:sz w:val="24"/>
          <w:szCs w:val="24"/>
        </w:rPr>
        <w:fldChar w:fldCharType="begin" w:fldLock="1"/>
      </w:r>
      <w:r w:rsidRPr="00490815">
        <w:rPr>
          <w:rFonts w:ascii="Times New Roman" w:hAnsi="Times New Roman" w:cs="Times New Roman"/>
          <w:sz w:val="24"/>
          <w:szCs w:val="24"/>
        </w:rPr>
        <w:instrText xml:space="preserve">ADDIN Mendeley Bibliography CSL_BIBLIOGRAPHY </w:instrText>
      </w:r>
      <w:r w:rsidRPr="00F4143E">
        <w:rPr>
          <w:rFonts w:ascii="Times New Roman" w:hAnsi="Times New Roman" w:cs="Times New Roman"/>
          <w:sz w:val="24"/>
          <w:szCs w:val="24"/>
        </w:rPr>
        <w:fldChar w:fldCharType="separate"/>
      </w:r>
      <w:r w:rsidRPr="00490815">
        <w:rPr>
          <w:rFonts w:ascii="Times New Roman" w:hAnsi="Times New Roman" w:cs="Times New Roman"/>
          <w:sz w:val="24"/>
        </w:rPr>
        <w:t xml:space="preserve">1. </w:t>
      </w:r>
      <w:r w:rsidRPr="00490815">
        <w:rPr>
          <w:rFonts w:ascii="Times New Roman" w:hAnsi="Times New Roman" w:cs="Times New Roman"/>
          <w:sz w:val="24"/>
        </w:rPr>
        <w:tab/>
        <w:t xml:space="preserve">S. S. Kilham, D. A. Kreeger, S. G. Lynn, C. E. Goulden, L. Herrera, COMBO: a defined freshwater culture medium for algae and zooplankton. </w:t>
      </w:r>
      <w:r w:rsidRPr="00490815">
        <w:rPr>
          <w:rFonts w:ascii="Times New Roman" w:hAnsi="Times New Roman" w:cs="Times New Roman"/>
          <w:i/>
          <w:iCs/>
          <w:sz w:val="24"/>
        </w:rPr>
        <w:t>Hydrobiologia</w:t>
      </w:r>
      <w:r w:rsidRPr="00490815">
        <w:rPr>
          <w:rFonts w:ascii="Times New Roman" w:hAnsi="Times New Roman" w:cs="Times New Roman"/>
          <w:sz w:val="24"/>
        </w:rPr>
        <w:t xml:space="preserve"> </w:t>
      </w:r>
      <w:r w:rsidRPr="00490815">
        <w:rPr>
          <w:rFonts w:ascii="Times New Roman" w:hAnsi="Times New Roman" w:cs="Times New Roman"/>
          <w:b/>
          <w:bCs/>
          <w:sz w:val="24"/>
        </w:rPr>
        <w:t>377</w:t>
      </w:r>
      <w:r w:rsidRPr="00490815">
        <w:rPr>
          <w:rFonts w:ascii="Times New Roman" w:hAnsi="Times New Roman" w:cs="Times New Roman"/>
          <w:sz w:val="24"/>
        </w:rPr>
        <w:t>, 147–159 (1998).</w:t>
      </w:r>
    </w:p>
    <w:p w14:paraId="146872D5" w14:textId="77777777" w:rsidR="00751867" w:rsidRPr="00490815" w:rsidRDefault="00751867" w:rsidP="00751867">
      <w:pPr>
        <w:pStyle w:val="Bibliography"/>
        <w:rPr>
          <w:rFonts w:ascii="Times New Roman" w:hAnsi="Times New Roman" w:cs="Times New Roman"/>
          <w:sz w:val="24"/>
        </w:rPr>
      </w:pPr>
      <w:r w:rsidRPr="00490815">
        <w:rPr>
          <w:rFonts w:ascii="Times New Roman" w:hAnsi="Times New Roman" w:cs="Times New Roman"/>
          <w:sz w:val="24"/>
        </w:rPr>
        <w:t xml:space="preserve">2. </w:t>
      </w:r>
      <w:r w:rsidRPr="00490815">
        <w:rPr>
          <w:rFonts w:ascii="Times New Roman" w:hAnsi="Times New Roman" w:cs="Times New Roman"/>
          <w:sz w:val="24"/>
        </w:rPr>
        <w:tab/>
        <w:t xml:space="preserve">M. J. Wersebe, R. E. Sherman, P. D. Jeyasingh, L. J. Weider, The roles of recombination and selection in shaping genomic divergence in an incipient ecological species complex. </w:t>
      </w:r>
      <w:r w:rsidRPr="00490815">
        <w:rPr>
          <w:rFonts w:ascii="Times New Roman" w:hAnsi="Times New Roman" w:cs="Times New Roman"/>
          <w:i/>
          <w:iCs/>
          <w:sz w:val="24"/>
        </w:rPr>
        <w:t>Molecular Ecology</w:t>
      </w:r>
      <w:r w:rsidRPr="00490815">
        <w:rPr>
          <w:rFonts w:ascii="Times New Roman" w:hAnsi="Times New Roman" w:cs="Times New Roman"/>
          <w:sz w:val="24"/>
        </w:rPr>
        <w:t xml:space="preserve"> </w:t>
      </w:r>
      <w:r w:rsidRPr="00490815">
        <w:rPr>
          <w:rFonts w:ascii="Times New Roman" w:hAnsi="Times New Roman" w:cs="Times New Roman"/>
          <w:b/>
          <w:bCs/>
          <w:sz w:val="24"/>
        </w:rPr>
        <w:t>n/a</w:t>
      </w:r>
      <w:r w:rsidRPr="00490815">
        <w:rPr>
          <w:rFonts w:ascii="Times New Roman" w:hAnsi="Times New Roman" w:cs="Times New Roman"/>
          <w:sz w:val="24"/>
        </w:rPr>
        <w:t xml:space="preserve"> (2022).</w:t>
      </w:r>
    </w:p>
    <w:p w14:paraId="060A003E" w14:textId="77777777" w:rsidR="00751867" w:rsidRPr="00490815" w:rsidRDefault="00751867" w:rsidP="00751867">
      <w:pPr>
        <w:pStyle w:val="Bibliography"/>
        <w:rPr>
          <w:rFonts w:ascii="Times New Roman" w:hAnsi="Times New Roman" w:cs="Times New Roman"/>
          <w:sz w:val="24"/>
        </w:rPr>
      </w:pPr>
      <w:r w:rsidRPr="00490815">
        <w:rPr>
          <w:rFonts w:ascii="Times New Roman" w:hAnsi="Times New Roman" w:cs="Times New Roman"/>
          <w:sz w:val="24"/>
        </w:rPr>
        <w:t xml:space="preserve">3. </w:t>
      </w:r>
      <w:r w:rsidRPr="00490815">
        <w:rPr>
          <w:rFonts w:ascii="Times New Roman" w:hAnsi="Times New Roman" w:cs="Times New Roman"/>
          <w:sz w:val="24"/>
        </w:rPr>
        <w:tab/>
        <w:t xml:space="preserve">C. G. Athanasio, J. K. Chipman, M. R. Viant, L. Mirbahai, Optimisation of DNA extraction from the crustacean </w:t>
      </w:r>
      <w:r w:rsidRPr="00490815">
        <w:rPr>
          <w:rFonts w:ascii="Times New Roman" w:hAnsi="Times New Roman" w:cs="Times New Roman"/>
          <w:i/>
          <w:iCs/>
          <w:sz w:val="24"/>
        </w:rPr>
        <w:t>Daphnia</w:t>
      </w:r>
      <w:r w:rsidRPr="00490815">
        <w:rPr>
          <w:rFonts w:ascii="Times New Roman" w:hAnsi="Times New Roman" w:cs="Times New Roman"/>
          <w:sz w:val="24"/>
        </w:rPr>
        <w:t xml:space="preserve">. </w:t>
      </w:r>
      <w:r w:rsidRPr="00490815">
        <w:rPr>
          <w:rFonts w:ascii="Times New Roman" w:hAnsi="Times New Roman" w:cs="Times New Roman"/>
          <w:i/>
          <w:iCs/>
          <w:sz w:val="24"/>
        </w:rPr>
        <w:t>PeerJ</w:t>
      </w:r>
      <w:r w:rsidRPr="00490815">
        <w:rPr>
          <w:rFonts w:ascii="Times New Roman" w:hAnsi="Times New Roman" w:cs="Times New Roman"/>
          <w:sz w:val="24"/>
        </w:rPr>
        <w:t xml:space="preserve"> </w:t>
      </w:r>
      <w:r w:rsidRPr="00490815">
        <w:rPr>
          <w:rFonts w:ascii="Times New Roman" w:hAnsi="Times New Roman" w:cs="Times New Roman"/>
          <w:b/>
          <w:bCs/>
          <w:sz w:val="24"/>
        </w:rPr>
        <w:t>4</w:t>
      </w:r>
      <w:r w:rsidRPr="00490815">
        <w:rPr>
          <w:rFonts w:ascii="Times New Roman" w:hAnsi="Times New Roman" w:cs="Times New Roman"/>
          <w:sz w:val="24"/>
        </w:rPr>
        <w:t>, e2004 (2016).</w:t>
      </w:r>
    </w:p>
    <w:p w14:paraId="48B7FA1A" w14:textId="77777777" w:rsidR="00751867" w:rsidRPr="00490815" w:rsidRDefault="00751867" w:rsidP="00751867">
      <w:pPr>
        <w:pStyle w:val="Bibliography"/>
        <w:rPr>
          <w:rFonts w:ascii="Times New Roman" w:hAnsi="Times New Roman" w:cs="Times New Roman"/>
          <w:sz w:val="24"/>
        </w:rPr>
      </w:pPr>
      <w:r w:rsidRPr="00490815">
        <w:rPr>
          <w:rFonts w:ascii="Times New Roman" w:hAnsi="Times New Roman" w:cs="Times New Roman"/>
          <w:sz w:val="24"/>
        </w:rPr>
        <w:t xml:space="preserve">4. </w:t>
      </w:r>
      <w:r w:rsidRPr="00490815">
        <w:rPr>
          <w:rFonts w:ascii="Times New Roman" w:hAnsi="Times New Roman" w:cs="Times New Roman"/>
          <w:sz w:val="24"/>
        </w:rPr>
        <w:tab/>
        <w:t xml:space="preserve">T. J. Crease, The complete sequence of the mitochondrial genome of Daphnia pulex (Cladocera: Crustacea). </w:t>
      </w:r>
      <w:r w:rsidRPr="00490815">
        <w:rPr>
          <w:rFonts w:ascii="Times New Roman" w:hAnsi="Times New Roman" w:cs="Times New Roman"/>
          <w:i/>
          <w:iCs/>
          <w:sz w:val="24"/>
        </w:rPr>
        <w:t>Gene</w:t>
      </w:r>
      <w:r w:rsidRPr="00490815">
        <w:rPr>
          <w:rFonts w:ascii="Times New Roman" w:hAnsi="Times New Roman" w:cs="Times New Roman"/>
          <w:sz w:val="24"/>
        </w:rPr>
        <w:t xml:space="preserve"> </w:t>
      </w:r>
      <w:r w:rsidRPr="00490815">
        <w:rPr>
          <w:rFonts w:ascii="Times New Roman" w:hAnsi="Times New Roman" w:cs="Times New Roman"/>
          <w:b/>
          <w:bCs/>
          <w:sz w:val="24"/>
        </w:rPr>
        <w:t>233</w:t>
      </w:r>
      <w:r w:rsidRPr="00490815">
        <w:rPr>
          <w:rFonts w:ascii="Times New Roman" w:hAnsi="Times New Roman" w:cs="Times New Roman"/>
          <w:sz w:val="24"/>
        </w:rPr>
        <w:t>, 89–99 (1999).</w:t>
      </w:r>
    </w:p>
    <w:p w14:paraId="55029E65" w14:textId="77777777" w:rsidR="00751867" w:rsidRPr="00490815" w:rsidRDefault="00751867" w:rsidP="00751867">
      <w:pPr>
        <w:pStyle w:val="Bibliography"/>
        <w:rPr>
          <w:rFonts w:ascii="Times New Roman" w:hAnsi="Times New Roman" w:cs="Times New Roman"/>
          <w:sz w:val="24"/>
        </w:rPr>
      </w:pPr>
      <w:r w:rsidRPr="00490815">
        <w:rPr>
          <w:rFonts w:ascii="Times New Roman" w:hAnsi="Times New Roman" w:cs="Times New Roman"/>
          <w:sz w:val="24"/>
        </w:rPr>
        <w:t xml:space="preserve">5. </w:t>
      </w:r>
      <w:r w:rsidRPr="00490815">
        <w:rPr>
          <w:rFonts w:ascii="Times New Roman" w:hAnsi="Times New Roman" w:cs="Times New Roman"/>
          <w:sz w:val="24"/>
        </w:rPr>
        <w:tab/>
        <w:t xml:space="preserve">P. Danecek, </w:t>
      </w:r>
      <w:r w:rsidRPr="00490815">
        <w:rPr>
          <w:rFonts w:ascii="Times New Roman" w:hAnsi="Times New Roman" w:cs="Times New Roman"/>
          <w:i/>
          <w:iCs/>
          <w:sz w:val="24"/>
        </w:rPr>
        <w:t>et al.</w:t>
      </w:r>
      <w:r w:rsidRPr="00490815">
        <w:rPr>
          <w:rFonts w:ascii="Times New Roman" w:hAnsi="Times New Roman" w:cs="Times New Roman"/>
          <w:sz w:val="24"/>
        </w:rPr>
        <w:t xml:space="preserve">, Twelve years of SAMtools and BCFtools. </w:t>
      </w:r>
      <w:r w:rsidRPr="00490815">
        <w:rPr>
          <w:rFonts w:ascii="Times New Roman" w:hAnsi="Times New Roman" w:cs="Times New Roman"/>
          <w:i/>
          <w:iCs/>
          <w:sz w:val="24"/>
        </w:rPr>
        <w:t>GigaScience</w:t>
      </w:r>
      <w:r w:rsidRPr="00490815">
        <w:rPr>
          <w:rFonts w:ascii="Times New Roman" w:hAnsi="Times New Roman" w:cs="Times New Roman"/>
          <w:sz w:val="24"/>
        </w:rPr>
        <w:t xml:space="preserve"> </w:t>
      </w:r>
      <w:r w:rsidRPr="00490815">
        <w:rPr>
          <w:rFonts w:ascii="Times New Roman" w:hAnsi="Times New Roman" w:cs="Times New Roman"/>
          <w:b/>
          <w:bCs/>
          <w:sz w:val="24"/>
        </w:rPr>
        <w:t>10</w:t>
      </w:r>
      <w:r w:rsidRPr="00490815">
        <w:rPr>
          <w:rFonts w:ascii="Times New Roman" w:hAnsi="Times New Roman" w:cs="Times New Roman"/>
          <w:sz w:val="24"/>
        </w:rPr>
        <w:t>, 1–4 (2021).</w:t>
      </w:r>
    </w:p>
    <w:p w14:paraId="6083788F" w14:textId="77777777" w:rsidR="00751867" w:rsidRPr="00490815" w:rsidRDefault="00751867" w:rsidP="00751867">
      <w:pPr>
        <w:pStyle w:val="Bibliography"/>
        <w:rPr>
          <w:rFonts w:ascii="Times New Roman" w:hAnsi="Times New Roman" w:cs="Times New Roman"/>
          <w:sz w:val="24"/>
        </w:rPr>
      </w:pPr>
      <w:r w:rsidRPr="00490815">
        <w:rPr>
          <w:rFonts w:ascii="Times New Roman" w:hAnsi="Times New Roman" w:cs="Times New Roman"/>
          <w:sz w:val="24"/>
        </w:rPr>
        <w:t xml:space="preserve">6. </w:t>
      </w:r>
      <w:r w:rsidRPr="00490815">
        <w:rPr>
          <w:rFonts w:ascii="Times New Roman" w:hAnsi="Times New Roman" w:cs="Times New Roman"/>
          <w:sz w:val="24"/>
        </w:rPr>
        <w:tab/>
        <w:t xml:space="preserve">K. Katoh, D. M. Standley, MAFFT Multiple Sequence Alignment Software Version 7: Improvements in Performance and Usability. </w:t>
      </w:r>
      <w:r w:rsidRPr="00490815">
        <w:rPr>
          <w:rFonts w:ascii="Times New Roman" w:hAnsi="Times New Roman" w:cs="Times New Roman"/>
          <w:i/>
          <w:iCs/>
          <w:sz w:val="24"/>
        </w:rPr>
        <w:t>Molecular Biology and Evolution</w:t>
      </w:r>
      <w:r w:rsidRPr="00490815">
        <w:rPr>
          <w:rFonts w:ascii="Times New Roman" w:hAnsi="Times New Roman" w:cs="Times New Roman"/>
          <w:sz w:val="24"/>
        </w:rPr>
        <w:t xml:space="preserve"> </w:t>
      </w:r>
      <w:r w:rsidRPr="00490815">
        <w:rPr>
          <w:rFonts w:ascii="Times New Roman" w:hAnsi="Times New Roman" w:cs="Times New Roman"/>
          <w:b/>
          <w:bCs/>
          <w:sz w:val="24"/>
        </w:rPr>
        <w:t>30</w:t>
      </w:r>
      <w:r w:rsidRPr="00490815">
        <w:rPr>
          <w:rFonts w:ascii="Times New Roman" w:hAnsi="Times New Roman" w:cs="Times New Roman"/>
          <w:sz w:val="24"/>
        </w:rPr>
        <w:t>, 772–780 (2013).</w:t>
      </w:r>
    </w:p>
    <w:p w14:paraId="2EB4E70F" w14:textId="77777777" w:rsidR="00751867" w:rsidRPr="00490815" w:rsidRDefault="00751867" w:rsidP="00751867">
      <w:pPr>
        <w:pStyle w:val="Bibliography"/>
        <w:rPr>
          <w:rFonts w:ascii="Times New Roman" w:hAnsi="Times New Roman" w:cs="Times New Roman"/>
          <w:sz w:val="24"/>
        </w:rPr>
      </w:pPr>
      <w:r w:rsidRPr="00490815">
        <w:rPr>
          <w:rFonts w:ascii="Times New Roman" w:hAnsi="Times New Roman" w:cs="Times New Roman"/>
          <w:sz w:val="24"/>
        </w:rPr>
        <w:lastRenderedPageBreak/>
        <w:t xml:space="preserve">7. </w:t>
      </w:r>
      <w:r w:rsidRPr="00490815">
        <w:rPr>
          <w:rFonts w:ascii="Times New Roman" w:hAnsi="Times New Roman" w:cs="Times New Roman"/>
          <w:sz w:val="24"/>
        </w:rPr>
        <w:tab/>
        <w:t xml:space="preserve">L.-T. Nguyen, H. A. Schmidt, A. von Haeseler, B. Q. Minh, IQ-TREE: A Fast and Effective Stochastic Algorithm for Estimating Maximum-Likelihood Phylogenies. </w:t>
      </w:r>
      <w:r w:rsidRPr="00490815">
        <w:rPr>
          <w:rFonts w:ascii="Times New Roman" w:hAnsi="Times New Roman" w:cs="Times New Roman"/>
          <w:i/>
          <w:iCs/>
          <w:sz w:val="24"/>
        </w:rPr>
        <w:t>Molecular Biology and Evolution</w:t>
      </w:r>
      <w:r w:rsidRPr="00490815">
        <w:rPr>
          <w:rFonts w:ascii="Times New Roman" w:hAnsi="Times New Roman" w:cs="Times New Roman"/>
          <w:sz w:val="24"/>
        </w:rPr>
        <w:t xml:space="preserve"> </w:t>
      </w:r>
      <w:r w:rsidRPr="00490815">
        <w:rPr>
          <w:rFonts w:ascii="Times New Roman" w:hAnsi="Times New Roman" w:cs="Times New Roman"/>
          <w:b/>
          <w:bCs/>
          <w:sz w:val="24"/>
        </w:rPr>
        <w:t>32</w:t>
      </w:r>
      <w:r w:rsidRPr="00490815">
        <w:rPr>
          <w:rFonts w:ascii="Times New Roman" w:hAnsi="Times New Roman" w:cs="Times New Roman"/>
          <w:sz w:val="24"/>
        </w:rPr>
        <w:t>, 268–274 (2015).</w:t>
      </w:r>
    </w:p>
    <w:p w14:paraId="6D10ED82" w14:textId="77777777" w:rsidR="00751867" w:rsidRPr="00490815" w:rsidRDefault="00751867" w:rsidP="00751867">
      <w:pPr>
        <w:pStyle w:val="Bibliography"/>
        <w:rPr>
          <w:rFonts w:ascii="Times New Roman" w:hAnsi="Times New Roman" w:cs="Times New Roman"/>
          <w:sz w:val="24"/>
        </w:rPr>
      </w:pPr>
      <w:r w:rsidRPr="00490815">
        <w:rPr>
          <w:rFonts w:ascii="Times New Roman" w:hAnsi="Times New Roman" w:cs="Times New Roman"/>
          <w:sz w:val="24"/>
        </w:rPr>
        <w:t xml:space="preserve">8. </w:t>
      </w:r>
      <w:r w:rsidRPr="00490815">
        <w:rPr>
          <w:rFonts w:ascii="Times New Roman" w:hAnsi="Times New Roman" w:cs="Times New Roman"/>
          <w:sz w:val="24"/>
        </w:rPr>
        <w:tab/>
        <w:t xml:space="preserve">D. T. Hoang, O. Chernomor, A. von Haeseler, B. Q. Minh, L. S. Vinh, UFBoot2: Improving the Ultrafast Bootstrap Approximation. </w:t>
      </w:r>
      <w:r w:rsidRPr="00490815">
        <w:rPr>
          <w:rFonts w:ascii="Times New Roman" w:hAnsi="Times New Roman" w:cs="Times New Roman"/>
          <w:i/>
          <w:iCs/>
          <w:sz w:val="24"/>
        </w:rPr>
        <w:t>Molecular Biology and Evolution</w:t>
      </w:r>
      <w:r w:rsidRPr="00490815">
        <w:rPr>
          <w:rFonts w:ascii="Times New Roman" w:hAnsi="Times New Roman" w:cs="Times New Roman"/>
          <w:sz w:val="24"/>
        </w:rPr>
        <w:t xml:space="preserve"> </w:t>
      </w:r>
      <w:r w:rsidRPr="00490815">
        <w:rPr>
          <w:rFonts w:ascii="Times New Roman" w:hAnsi="Times New Roman" w:cs="Times New Roman"/>
          <w:b/>
          <w:bCs/>
          <w:sz w:val="24"/>
        </w:rPr>
        <w:t>35</w:t>
      </w:r>
      <w:r w:rsidRPr="00490815">
        <w:rPr>
          <w:rFonts w:ascii="Times New Roman" w:hAnsi="Times New Roman" w:cs="Times New Roman"/>
          <w:sz w:val="24"/>
        </w:rPr>
        <w:t>, 518–522 (2018).</w:t>
      </w:r>
    </w:p>
    <w:p w14:paraId="3D7483DF" w14:textId="77777777" w:rsidR="00751867" w:rsidRPr="00490815" w:rsidRDefault="00751867" w:rsidP="00751867">
      <w:pPr>
        <w:pStyle w:val="Bibliography"/>
        <w:rPr>
          <w:rFonts w:ascii="Times New Roman" w:hAnsi="Times New Roman" w:cs="Times New Roman"/>
          <w:sz w:val="24"/>
        </w:rPr>
      </w:pPr>
      <w:r w:rsidRPr="00490815">
        <w:rPr>
          <w:rFonts w:ascii="Times New Roman" w:hAnsi="Times New Roman" w:cs="Times New Roman"/>
          <w:sz w:val="24"/>
        </w:rPr>
        <w:t xml:space="preserve">9. </w:t>
      </w:r>
      <w:r w:rsidRPr="00490815">
        <w:rPr>
          <w:rFonts w:ascii="Times New Roman" w:hAnsi="Times New Roman" w:cs="Times New Roman"/>
          <w:sz w:val="24"/>
        </w:rPr>
        <w:tab/>
        <w:t xml:space="preserve">P. Sagulenko, V. Puller, R. A. Neher, TreeTime: Maximum-likelihood phylodynamic analysis. </w:t>
      </w:r>
      <w:r w:rsidRPr="00490815">
        <w:rPr>
          <w:rFonts w:ascii="Times New Roman" w:hAnsi="Times New Roman" w:cs="Times New Roman"/>
          <w:i/>
          <w:iCs/>
          <w:sz w:val="24"/>
        </w:rPr>
        <w:t>Virus Evolution</w:t>
      </w:r>
      <w:r w:rsidRPr="00490815">
        <w:rPr>
          <w:rFonts w:ascii="Times New Roman" w:hAnsi="Times New Roman" w:cs="Times New Roman"/>
          <w:sz w:val="24"/>
        </w:rPr>
        <w:t xml:space="preserve"> </w:t>
      </w:r>
      <w:r w:rsidRPr="00490815">
        <w:rPr>
          <w:rFonts w:ascii="Times New Roman" w:hAnsi="Times New Roman" w:cs="Times New Roman"/>
          <w:b/>
          <w:bCs/>
          <w:sz w:val="24"/>
        </w:rPr>
        <w:t>4</w:t>
      </w:r>
      <w:r w:rsidRPr="00490815">
        <w:rPr>
          <w:rFonts w:ascii="Times New Roman" w:hAnsi="Times New Roman" w:cs="Times New Roman"/>
          <w:sz w:val="24"/>
        </w:rPr>
        <w:t>, vex042 (2018).</w:t>
      </w:r>
    </w:p>
    <w:p w14:paraId="39F3CE5D" w14:textId="77777777" w:rsidR="00751867" w:rsidRPr="00490815" w:rsidRDefault="00751867" w:rsidP="00751867">
      <w:pPr>
        <w:pStyle w:val="Bibliography"/>
        <w:rPr>
          <w:rFonts w:ascii="Times New Roman" w:hAnsi="Times New Roman" w:cs="Times New Roman"/>
          <w:sz w:val="24"/>
        </w:rPr>
      </w:pPr>
      <w:r w:rsidRPr="00490815">
        <w:rPr>
          <w:rFonts w:ascii="Times New Roman" w:hAnsi="Times New Roman" w:cs="Times New Roman"/>
          <w:sz w:val="24"/>
        </w:rPr>
        <w:t xml:space="preserve">10. </w:t>
      </w:r>
      <w:r w:rsidRPr="00490815">
        <w:rPr>
          <w:rFonts w:ascii="Times New Roman" w:hAnsi="Times New Roman" w:cs="Times New Roman"/>
          <w:sz w:val="24"/>
        </w:rPr>
        <w:tab/>
        <w:t xml:space="preserve">A. J. Drummond, A. Rambaut, B. Shapiro, O. G. Pybus, Bayesian Coalescent Inference of Past Population Dynamics from Molecular Sequences. </w:t>
      </w:r>
      <w:r w:rsidRPr="00490815">
        <w:rPr>
          <w:rFonts w:ascii="Times New Roman" w:hAnsi="Times New Roman" w:cs="Times New Roman"/>
          <w:i/>
          <w:iCs/>
          <w:sz w:val="24"/>
        </w:rPr>
        <w:t>Molecular Biology and Evolution</w:t>
      </w:r>
      <w:r w:rsidRPr="00490815">
        <w:rPr>
          <w:rFonts w:ascii="Times New Roman" w:hAnsi="Times New Roman" w:cs="Times New Roman"/>
          <w:sz w:val="24"/>
        </w:rPr>
        <w:t xml:space="preserve"> </w:t>
      </w:r>
      <w:r w:rsidRPr="00490815">
        <w:rPr>
          <w:rFonts w:ascii="Times New Roman" w:hAnsi="Times New Roman" w:cs="Times New Roman"/>
          <w:b/>
          <w:bCs/>
          <w:sz w:val="24"/>
        </w:rPr>
        <w:t>22</w:t>
      </w:r>
      <w:r w:rsidRPr="00490815">
        <w:rPr>
          <w:rFonts w:ascii="Times New Roman" w:hAnsi="Times New Roman" w:cs="Times New Roman"/>
          <w:sz w:val="24"/>
        </w:rPr>
        <w:t>, 1185–1192 (2005).</w:t>
      </w:r>
    </w:p>
    <w:p w14:paraId="5940A325" w14:textId="77777777" w:rsidR="00751867" w:rsidRPr="00490815" w:rsidRDefault="00751867" w:rsidP="00751867">
      <w:pPr>
        <w:pStyle w:val="Bibliography"/>
        <w:rPr>
          <w:rFonts w:ascii="Times New Roman" w:hAnsi="Times New Roman" w:cs="Times New Roman"/>
          <w:sz w:val="24"/>
        </w:rPr>
      </w:pPr>
      <w:r w:rsidRPr="00490815">
        <w:rPr>
          <w:rFonts w:ascii="Times New Roman" w:hAnsi="Times New Roman" w:cs="Times New Roman"/>
          <w:sz w:val="24"/>
        </w:rPr>
        <w:t xml:space="preserve">11. </w:t>
      </w:r>
      <w:r w:rsidRPr="00490815">
        <w:rPr>
          <w:rFonts w:ascii="Times New Roman" w:hAnsi="Times New Roman" w:cs="Times New Roman"/>
          <w:sz w:val="24"/>
        </w:rPr>
        <w:tab/>
        <w:t xml:space="preserve">R. Bouckaert, </w:t>
      </w:r>
      <w:r w:rsidRPr="00490815">
        <w:rPr>
          <w:rFonts w:ascii="Times New Roman" w:hAnsi="Times New Roman" w:cs="Times New Roman"/>
          <w:i/>
          <w:iCs/>
          <w:sz w:val="24"/>
        </w:rPr>
        <w:t>et al.</w:t>
      </w:r>
      <w:r w:rsidRPr="00490815">
        <w:rPr>
          <w:rFonts w:ascii="Times New Roman" w:hAnsi="Times New Roman" w:cs="Times New Roman"/>
          <w:sz w:val="24"/>
        </w:rPr>
        <w:t xml:space="preserve">, BEAST 2.5: An advanced software platform for Bayesian evolutionary analysis. </w:t>
      </w:r>
      <w:r w:rsidRPr="00490815">
        <w:rPr>
          <w:rFonts w:ascii="Times New Roman" w:hAnsi="Times New Roman" w:cs="Times New Roman"/>
          <w:i/>
          <w:iCs/>
          <w:sz w:val="24"/>
        </w:rPr>
        <w:t>PLOS Computational Biology</w:t>
      </w:r>
      <w:r w:rsidRPr="00490815">
        <w:rPr>
          <w:rFonts w:ascii="Times New Roman" w:hAnsi="Times New Roman" w:cs="Times New Roman"/>
          <w:sz w:val="24"/>
        </w:rPr>
        <w:t xml:space="preserve"> </w:t>
      </w:r>
      <w:r w:rsidRPr="00490815">
        <w:rPr>
          <w:rFonts w:ascii="Times New Roman" w:hAnsi="Times New Roman" w:cs="Times New Roman"/>
          <w:b/>
          <w:bCs/>
          <w:sz w:val="24"/>
        </w:rPr>
        <w:t>15</w:t>
      </w:r>
      <w:r w:rsidRPr="00490815">
        <w:rPr>
          <w:rFonts w:ascii="Times New Roman" w:hAnsi="Times New Roman" w:cs="Times New Roman"/>
          <w:sz w:val="24"/>
        </w:rPr>
        <w:t>, e1006650 (2019).</w:t>
      </w:r>
    </w:p>
    <w:p w14:paraId="1FBFA8B9" w14:textId="77777777" w:rsidR="00751867" w:rsidRPr="00490815" w:rsidRDefault="00751867" w:rsidP="00751867">
      <w:pPr>
        <w:pStyle w:val="Bibliography"/>
        <w:rPr>
          <w:rFonts w:ascii="Times New Roman" w:hAnsi="Times New Roman" w:cs="Times New Roman"/>
          <w:sz w:val="24"/>
        </w:rPr>
      </w:pPr>
      <w:r w:rsidRPr="00490815">
        <w:rPr>
          <w:rFonts w:ascii="Times New Roman" w:hAnsi="Times New Roman" w:cs="Times New Roman"/>
          <w:sz w:val="24"/>
        </w:rPr>
        <w:t xml:space="preserve">12. </w:t>
      </w:r>
      <w:r w:rsidRPr="00490815">
        <w:rPr>
          <w:rFonts w:ascii="Times New Roman" w:hAnsi="Times New Roman" w:cs="Times New Roman"/>
          <w:sz w:val="24"/>
        </w:rPr>
        <w:tab/>
        <w:t xml:space="preserve">M. J. Wersebe, M. B. Edlund, L. J. Weider, Does salinization impact long-term Daphnia assemblage dynamics? Evidence from the sediment egg bank in a small hard-water lake. </w:t>
      </w:r>
      <w:r w:rsidRPr="00490815">
        <w:rPr>
          <w:rFonts w:ascii="Times New Roman" w:hAnsi="Times New Roman" w:cs="Times New Roman"/>
          <w:i/>
          <w:iCs/>
          <w:sz w:val="24"/>
        </w:rPr>
        <w:t>Limnology and Oceanography Letters</w:t>
      </w:r>
      <w:r w:rsidRPr="00490815">
        <w:rPr>
          <w:rFonts w:ascii="Times New Roman" w:hAnsi="Times New Roman" w:cs="Times New Roman"/>
          <w:sz w:val="24"/>
        </w:rPr>
        <w:t xml:space="preserve"> </w:t>
      </w:r>
      <w:r w:rsidRPr="00490815">
        <w:rPr>
          <w:rFonts w:ascii="Times New Roman" w:hAnsi="Times New Roman" w:cs="Times New Roman"/>
          <w:b/>
          <w:bCs/>
          <w:sz w:val="24"/>
        </w:rPr>
        <w:t>n/a</w:t>
      </w:r>
      <w:r w:rsidRPr="00490815">
        <w:rPr>
          <w:rFonts w:ascii="Times New Roman" w:hAnsi="Times New Roman" w:cs="Times New Roman"/>
          <w:sz w:val="24"/>
        </w:rPr>
        <w:t xml:space="preserve"> (2021).</w:t>
      </w:r>
    </w:p>
    <w:p w14:paraId="16B8725D" w14:textId="77777777" w:rsidR="00751867" w:rsidRPr="00490815" w:rsidRDefault="00751867" w:rsidP="00751867">
      <w:pPr>
        <w:pStyle w:val="Bibliography"/>
        <w:rPr>
          <w:rFonts w:ascii="Times New Roman" w:hAnsi="Times New Roman" w:cs="Times New Roman"/>
          <w:sz w:val="24"/>
        </w:rPr>
      </w:pPr>
      <w:r w:rsidRPr="00490815">
        <w:rPr>
          <w:rFonts w:ascii="Times New Roman" w:hAnsi="Times New Roman" w:cs="Times New Roman"/>
          <w:sz w:val="24"/>
        </w:rPr>
        <w:t xml:space="preserve">13. </w:t>
      </w:r>
      <w:r w:rsidRPr="00490815">
        <w:rPr>
          <w:rFonts w:ascii="Times New Roman" w:hAnsi="Times New Roman" w:cs="Times New Roman"/>
          <w:sz w:val="24"/>
        </w:rPr>
        <w:tab/>
        <w:t xml:space="preserve">K. L. Korunes, K. Samuk, pixy: Unbiased estimation of nucleotide diversity and divergence in the presence of missing data. </w:t>
      </w:r>
      <w:r w:rsidRPr="00490815">
        <w:rPr>
          <w:rFonts w:ascii="Times New Roman" w:hAnsi="Times New Roman" w:cs="Times New Roman"/>
          <w:i/>
          <w:iCs/>
          <w:sz w:val="24"/>
        </w:rPr>
        <w:t>Molecular Ecology Resources</w:t>
      </w:r>
      <w:r w:rsidRPr="00490815">
        <w:rPr>
          <w:rFonts w:ascii="Times New Roman" w:hAnsi="Times New Roman" w:cs="Times New Roman"/>
          <w:sz w:val="24"/>
        </w:rPr>
        <w:t xml:space="preserve"> </w:t>
      </w:r>
      <w:r w:rsidRPr="00490815">
        <w:rPr>
          <w:rFonts w:ascii="Times New Roman" w:hAnsi="Times New Roman" w:cs="Times New Roman"/>
          <w:b/>
          <w:bCs/>
          <w:sz w:val="24"/>
        </w:rPr>
        <w:t>21</w:t>
      </w:r>
      <w:r w:rsidRPr="00490815">
        <w:rPr>
          <w:rFonts w:ascii="Times New Roman" w:hAnsi="Times New Roman" w:cs="Times New Roman"/>
          <w:sz w:val="24"/>
        </w:rPr>
        <w:t>, 1359–1368 (2021).</w:t>
      </w:r>
    </w:p>
    <w:p w14:paraId="3D081341" w14:textId="77777777" w:rsidR="00751867" w:rsidRPr="00490815" w:rsidRDefault="00751867" w:rsidP="00751867">
      <w:pPr>
        <w:pStyle w:val="Bibliography"/>
        <w:rPr>
          <w:rFonts w:ascii="Times New Roman" w:hAnsi="Times New Roman" w:cs="Times New Roman"/>
          <w:sz w:val="24"/>
        </w:rPr>
      </w:pPr>
      <w:r w:rsidRPr="00490815">
        <w:rPr>
          <w:rFonts w:ascii="Times New Roman" w:hAnsi="Times New Roman" w:cs="Times New Roman"/>
          <w:sz w:val="24"/>
        </w:rPr>
        <w:t xml:space="preserve">14. </w:t>
      </w:r>
      <w:r w:rsidRPr="00490815">
        <w:rPr>
          <w:rFonts w:ascii="Times New Roman" w:hAnsi="Times New Roman" w:cs="Times New Roman"/>
          <w:sz w:val="24"/>
        </w:rPr>
        <w:tab/>
        <w:t xml:space="preserve">A. R. Black, S. I. Dodson, Ethanol: a better preservation technique for </w:t>
      </w:r>
      <w:r w:rsidRPr="00490815">
        <w:rPr>
          <w:rFonts w:ascii="Times New Roman" w:hAnsi="Times New Roman" w:cs="Times New Roman"/>
          <w:i/>
          <w:iCs/>
          <w:sz w:val="24"/>
        </w:rPr>
        <w:t>Daphnia</w:t>
      </w:r>
      <w:r w:rsidRPr="00490815">
        <w:rPr>
          <w:rFonts w:ascii="Times New Roman" w:hAnsi="Times New Roman" w:cs="Times New Roman"/>
          <w:sz w:val="24"/>
        </w:rPr>
        <w:t xml:space="preserve">. </w:t>
      </w:r>
      <w:r w:rsidRPr="00490815">
        <w:rPr>
          <w:rFonts w:ascii="Times New Roman" w:hAnsi="Times New Roman" w:cs="Times New Roman"/>
          <w:i/>
          <w:iCs/>
          <w:sz w:val="24"/>
        </w:rPr>
        <w:t>Limnology and Oceanography: Methods</w:t>
      </w:r>
      <w:r w:rsidRPr="00490815">
        <w:rPr>
          <w:rFonts w:ascii="Times New Roman" w:hAnsi="Times New Roman" w:cs="Times New Roman"/>
          <w:sz w:val="24"/>
        </w:rPr>
        <w:t xml:space="preserve"> </w:t>
      </w:r>
      <w:r w:rsidRPr="00490815">
        <w:rPr>
          <w:rFonts w:ascii="Times New Roman" w:hAnsi="Times New Roman" w:cs="Times New Roman"/>
          <w:b/>
          <w:bCs/>
          <w:sz w:val="24"/>
        </w:rPr>
        <w:t>1</w:t>
      </w:r>
      <w:r w:rsidRPr="00490815">
        <w:rPr>
          <w:rFonts w:ascii="Times New Roman" w:hAnsi="Times New Roman" w:cs="Times New Roman"/>
          <w:sz w:val="24"/>
        </w:rPr>
        <w:t>, 45–50 (2003).</w:t>
      </w:r>
    </w:p>
    <w:p w14:paraId="79D78AAA" w14:textId="77777777" w:rsidR="00751867" w:rsidRPr="00F4143E" w:rsidRDefault="00751867" w:rsidP="00751867">
      <w:pPr>
        <w:spacing w:after="0" w:line="240" w:lineRule="auto"/>
        <w:ind w:left="720" w:hanging="720"/>
        <w:rPr>
          <w:rFonts w:ascii="Times New Roman" w:hAnsi="Times New Roman" w:cs="Times New Roman"/>
          <w:sz w:val="24"/>
          <w:szCs w:val="24"/>
        </w:rPr>
      </w:pPr>
      <w:r w:rsidRPr="00F4143E">
        <w:rPr>
          <w:rFonts w:ascii="Times New Roman" w:hAnsi="Times New Roman" w:cs="Times New Roman"/>
          <w:sz w:val="24"/>
          <w:szCs w:val="24"/>
        </w:rPr>
        <w:fldChar w:fldCharType="end"/>
      </w:r>
      <w:r w:rsidRPr="00F4143E">
        <w:rPr>
          <w:rFonts w:ascii="Times New Roman" w:hAnsi="Times New Roman" w:cs="Times New Roman"/>
          <w:sz w:val="24"/>
          <w:szCs w:val="24"/>
        </w:rPr>
        <w:t xml:space="preserve">15. </w:t>
      </w:r>
      <w:r w:rsidRPr="00490815">
        <w:rPr>
          <w:rFonts w:ascii="Times New Roman" w:hAnsi="Times New Roman" w:cs="Times New Roman"/>
          <w:sz w:val="24"/>
          <w:szCs w:val="24"/>
        </w:rPr>
        <w:t>Haney, J.F.</w:t>
      </w:r>
      <w:r w:rsidRPr="00490815">
        <w:rPr>
          <w:rFonts w:ascii="Times New Roman" w:hAnsi="Times New Roman" w:cs="Times New Roman"/>
          <w:i/>
          <w:iCs/>
          <w:sz w:val="24"/>
          <w:szCs w:val="24"/>
        </w:rPr>
        <w:t xml:space="preserve"> et al</w:t>
      </w:r>
      <w:r w:rsidRPr="00490815">
        <w:rPr>
          <w:rFonts w:ascii="Times New Roman" w:hAnsi="Times New Roman" w:cs="Times New Roman"/>
          <w:sz w:val="24"/>
          <w:szCs w:val="24"/>
        </w:rPr>
        <w:t>. An-Image-based Key to the Zooplankton of North America. version 5.0 released 2013. University of New Hampshire Center for Freshwater Biology &lt;cfb.unh.edu&gt;</w:t>
      </w:r>
      <w:r w:rsidRPr="00F4143E">
        <w:rPr>
          <w:rFonts w:ascii="Times New Roman" w:hAnsi="Times New Roman" w:cs="Times New Roman"/>
          <w:sz w:val="24"/>
          <w:szCs w:val="24"/>
        </w:rPr>
        <w:br w:type="page"/>
      </w:r>
    </w:p>
    <w:p w14:paraId="5CEF84BB" w14:textId="77777777" w:rsidR="00751867" w:rsidRDefault="00751867" w:rsidP="00751867">
      <w:pPr>
        <w:rPr>
          <w:rFonts w:ascii="Times New Roman" w:hAnsi="Times New Roman" w:cs="Times New Roman"/>
          <w:b/>
          <w:bCs/>
          <w:sz w:val="24"/>
          <w:szCs w:val="24"/>
        </w:rPr>
      </w:pPr>
      <w:r>
        <w:rPr>
          <w:rFonts w:ascii="Times New Roman" w:hAnsi="Times New Roman" w:cs="Times New Roman"/>
          <w:b/>
          <w:bCs/>
          <w:sz w:val="24"/>
          <w:szCs w:val="24"/>
        </w:rPr>
        <w:lastRenderedPageBreak/>
        <w:t>Supplemental Figures:</w:t>
      </w:r>
    </w:p>
    <w:p w14:paraId="6BC3E634" w14:textId="77777777" w:rsidR="00751867" w:rsidRPr="00EB3526" w:rsidRDefault="00751867" w:rsidP="00751867">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2DA48DE" wp14:editId="7B2A2D4F">
            <wp:extent cx="5943600" cy="5454650"/>
            <wp:effectExtent l="0" t="0" r="0" b="0"/>
            <wp:docPr id="59" name="Graphic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209">
                      <a:extLst>
                        <a:ext uri="{28A0092B-C50C-407E-A947-70E740481C1C}">
                          <a14:useLocalDpi xmlns:a14="http://schemas.microsoft.com/office/drawing/2010/main" val="0"/>
                        </a:ext>
                        <a:ext uri="{96DAC541-7B7A-43D3-8B79-37D633B846F1}">
                          <asvg:svgBlip xmlns:asvg="http://schemas.microsoft.com/office/drawing/2016/SVG/main" r:embed="rId210"/>
                        </a:ext>
                      </a:extLst>
                    </a:blip>
                    <a:stretch>
                      <a:fillRect/>
                    </a:stretch>
                  </pic:blipFill>
                  <pic:spPr>
                    <a:xfrm>
                      <a:off x="0" y="0"/>
                      <a:ext cx="5943600" cy="5454650"/>
                    </a:xfrm>
                    <a:prstGeom prst="rect">
                      <a:avLst/>
                    </a:prstGeom>
                  </pic:spPr>
                </pic:pic>
              </a:graphicData>
            </a:graphic>
          </wp:inline>
        </w:drawing>
      </w:r>
    </w:p>
    <w:p w14:paraId="556344C9" w14:textId="77777777" w:rsidR="00751867" w:rsidRDefault="00751867" w:rsidP="00751867">
      <w:pPr>
        <w:rPr>
          <w:rFonts w:ascii="Times New Roman" w:hAnsi="Times New Roman" w:cs="Times New Roman"/>
          <w:sz w:val="24"/>
          <w:szCs w:val="24"/>
        </w:rPr>
      </w:pPr>
      <w:r>
        <w:rPr>
          <w:rFonts w:ascii="Times New Roman" w:hAnsi="Times New Roman" w:cs="Times New Roman"/>
          <w:b/>
          <w:bCs/>
          <w:sz w:val="24"/>
          <w:szCs w:val="24"/>
        </w:rPr>
        <w:t xml:space="preserve">Figure S1: </w:t>
      </w:r>
      <w:r>
        <w:rPr>
          <w:rFonts w:ascii="Times New Roman" w:hAnsi="Times New Roman" w:cs="Times New Roman"/>
          <w:sz w:val="24"/>
          <w:szCs w:val="24"/>
        </w:rPr>
        <w:t>Effective population size (N</w:t>
      </w:r>
      <w:r>
        <w:rPr>
          <w:rFonts w:ascii="Times New Roman" w:hAnsi="Times New Roman" w:cs="Times New Roman"/>
          <w:sz w:val="24"/>
          <w:szCs w:val="24"/>
          <w:vertAlign w:val="subscript"/>
        </w:rPr>
        <w:t>e</w:t>
      </w:r>
      <w:r>
        <w:rPr>
          <w:rFonts w:ascii="Times New Roman" w:hAnsi="Times New Roman" w:cs="Times New Roman"/>
          <w:sz w:val="24"/>
          <w:szCs w:val="24"/>
        </w:rPr>
        <w:t xml:space="preserve">) trajectory inferred using Linkage Disequilibrium. The program GONE was run 7 random samples of 600,000 SNPs sampled from all the SNPs called in the Lake Clones (LC) subpopulation. Results were pruned to show the first 300 generations (method accurate up to ~200-300 generations back in time). </w:t>
      </w:r>
    </w:p>
    <w:p w14:paraId="5C52C270" w14:textId="77777777" w:rsidR="00751867" w:rsidRDefault="00751867" w:rsidP="00751867">
      <w:pPr>
        <w:rPr>
          <w:rFonts w:ascii="Times New Roman" w:hAnsi="Times New Roman" w:cs="Times New Roman"/>
          <w:sz w:val="24"/>
          <w:szCs w:val="24"/>
        </w:rPr>
      </w:pPr>
      <w:r>
        <w:rPr>
          <w:rFonts w:ascii="Times New Roman" w:hAnsi="Times New Roman" w:cs="Times New Roman"/>
          <w:sz w:val="24"/>
          <w:szCs w:val="24"/>
        </w:rPr>
        <w:br w:type="page"/>
      </w:r>
    </w:p>
    <w:p w14:paraId="6DFA2058" w14:textId="77777777" w:rsidR="00751867" w:rsidRDefault="00751867" w:rsidP="00961BEE">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C19268A" wp14:editId="65A87D72">
            <wp:extent cx="4768770" cy="279497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4796825" cy="2811417"/>
                    </a:xfrm>
                    <a:prstGeom prst="rect">
                      <a:avLst/>
                    </a:prstGeom>
                  </pic:spPr>
                </pic:pic>
              </a:graphicData>
            </a:graphic>
          </wp:inline>
        </w:drawing>
      </w:r>
    </w:p>
    <w:p w14:paraId="2FB7D21F" w14:textId="77777777" w:rsidR="00751867" w:rsidRDefault="00751867" w:rsidP="00961BEE">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F5BFA7" wp14:editId="6842F09D">
            <wp:extent cx="5058137" cy="2369191"/>
            <wp:effectExtent l="0" t="0" r="0"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2">
                      <a:extLst>
                        <a:ext uri="{28A0092B-C50C-407E-A947-70E740481C1C}">
                          <a14:useLocalDpi xmlns:a14="http://schemas.microsoft.com/office/drawing/2010/main" val="0"/>
                        </a:ext>
                      </a:extLst>
                    </a:blip>
                    <a:stretch>
                      <a:fillRect/>
                    </a:stretch>
                  </pic:blipFill>
                  <pic:spPr>
                    <a:xfrm>
                      <a:off x="0" y="0"/>
                      <a:ext cx="5123304" cy="2399715"/>
                    </a:xfrm>
                    <a:prstGeom prst="rect">
                      <a:avLst/>
                    </a:prstGeom>
                  </pic:spPr>
                </pic:pic>
              </a:graphicData>
            </a:graphic>
          </wp:inline>
        </w:drawing>
      </w:r>
    </w:p>
    <w:p w14:paraId="47B13B9F" w14:textId="52DD69DE" w:rsidR="00751867" w:rsidRDefault="00751867" w:rsidP="00751867">
      <w:pPr>
        <w:rPr>
          <w:rFonts w:ascii="Times New Roman" w:hAnsi="Times New Roman" w:cs="Times New Roman"/>
          <w:sz w:val="24"/>
          <w:szCs w:val="24"/>
        </w:rPr>
      </w:pPr>
      <w:r>
        <w:rPr>
          <w:rFonts w:ascii="Times New Roman" w:hAnsi="Times New Roman" w:cs="Times New Roman"/>
          <w:b/>
          <w:bCs/>
          <w:sz w:val="24"/>
          <w:szCs w:val="24"/>
        </w:rPr>
        <w:t xml:space="preserve">Figure S2: (TOP) </w:t>
      </w:r>
      <w:r>
        <w:rPr>
          <w:rFonts w:ascii="Times New Roman" w:hAnsi="Times New Roman" w:cs="Times New Roman"/>
          <w:sz w:val="24"/>
          <w:szCs w:val="24"/>
        </w:rPr>
        <w:t xml:space="preserve">Time-scaled maximum-likelihood phylogeny for full-length Tanners Lake (TL) mitochondrial genome sequences. Tip dates were assigned based on the age of the sediment layer of ephippial recovery inferred by the dating model for TL (see above) to nearest year. The tree was rooted with TimeTree to maximize the temporal signal using the default method. Nodes coalesced samples typically across time periods, indicating a constant population across time. </w:t>
      </w:r>
      <w:r>
        <w:rPr>
          <w:rFonts w:ascii="Times New Roman" w:hAnsi="Times New Roman" w:cs="Times New Roman"/>
          <w:b/>
          <w:bCs/>
          <w:sz w:val="24"/>
          <w:szCs w:val="24"/>
        </w:rPr>
        <w:t xml:space="preserve">(BOTTOM) </w:t>
      </w:r>
      <w:r>
        <w:rPr>
          <w:rFonts w:ascii="Times New Roman" w:hAnsi="Times New Roman" w:cs="Times New Roman"/>
          <w:sz w:val="24"/>
          <w:szCs w:val="24"/>
        </w:rPr>
        <w:t>Bayesian skyline plot inferred using BEAST2. The shape of the demographic history is similar to that inferred by GONE (see S1 above); however N</w:t>
      </w:r>
      <w:r w:rsidRPr="000B46EC">
        <w:rPr>
          <w:rFonts w:ascii="Times New Roman" w:hAnsi="Times New Roman" w:cs="Times New Roman"/>
          <w:sz w:val="24"/>
          <w:szCs w:val="24"/>
          <w:vertAlign w:val="subscript"/>
        </w:rPr>
        <w:t xml:space="preserve">e </w:t>
      </w:r>
      <w:r>
        <w:rPr>
          <w:rFonts w:ascii="Times New Roman" w:hAnsi="Times New Roman" w:cs="Times New Roman"/>
          <w:sz w:val="24"/>
          <w:szCs w:val="24"/>
        </w:rPr>
        <w:t>sizes differed by an order of magnitude.</w:t>
      </w:r>
    </w:p>
    <w:p w14:paraId="7549266A" w14:textId="77777777" w:rsidR="00751867" w:rsidRDefault="00751867" w:rsidP="00751867">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599D292" wp14:editId="492FF54B">
            <wp:extent cx="5524500" cy="4106837"/>
            <wp:effectExtent l="0" t="0" r="0" b="0"/>
            <wp:docPr id="62" name="Picture 6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pic:nvPicPr>
                  <pic:blipFill>
                    <a:blip r:embed="rId213">
                      <a:extLst>
                        <a:ext uri="{28A0092B-C50C-407E-A947-70E740481C1C}">
                          <a14:useLocalDpi xmlns:a14="http://schemas.microsoft.com/office/drawing/2010/main" val="0"/>
                        </a:ext>
                      </a:extLst>
                    </a:blip>
                    <a:stretch>
                      <a:fillRect/>
                    </a:stretch>
                  </pic:blipFill>
                  <pic:spPr>
                    <a:xfrm>
                      <a:off x="0" y="0"/>
                      <a:ext cx="5537033" cy="4116154"/>
                    </a:xfrm>
                    <a:prstGeom prst="rect">
                      <a:avLst/>
                    </a:prstGeom>
                  </pic:spPr>
                </pic:pic>
              </a:graphicData>
            </a:graphic>
          </wp:inline>
        </w:drawing>
      </w:r>
    </w:p>
    <w:p w14:paraId="1253A0AE" w14:textId="77777777" w:rsidR="00751867" w:rsidRDefault="00751867" w:rsidP="00751867">
      <w:pPr>
        <w:rPr>
          <w:rFonts w:ascii="Times New Roman" w:hAnsi="Times New Roman" w:cs="Times New Roman"/>
          <w:sz w:val="24"/>
          <w:szCs w:val="24"/>
        </w:rPr>
      </w:pPr>
      <w:r w:rsidRPr="00490815">
        <w:rPr>
          <w:rFonts w:ascii="Times New Roman" w:hAnsi="Times New Roman" w:cs="Times New Roman"/>
          <w:b/>
          <w:bCs/>
          <w:sz w:val="24"/>
          <w:szCs w:val="24"/>
        </w:rPr>
        <w:t>Figure S3:</w:t>
      </w:r>
      <w:r>
        <w:rPr>
          <w:rFonts w:ascii="Times New Roman" w:hAnsi="Times New Roman" w:cs="Times New Roman"/>
          <w:sz w:val="24"/>
          <w:szCs w:val="24"/>
        </w:rPr>
        <w:t xml:space="preserve"> Windowed (10kb) nucleotide diversity genome-wide for the TOP population. </w:t>
      </w:r>
    </w:p>
    <w:p w14:paraId="2D47E38B" w14:textId="77777777" w:rsidR="00751867" w:rsidRDefault="00751867" w:rsidP="00751867">
      <w:pPr>
        <w:rPr>
          <w:rFonts w:ascii="Times New Roman" w:hAnsi="Times New Roman" w:cs="Times New Roman"/>
          <w:sz w:val="24"/>
          <w:szCs w:val="24"/>
        </w:rPr>
      </w:pPr>
    </w:p>
    <w:p w14:paraId="39F1050B" w14:textId="77777777" w:rsidR="00751867" w:rsidRDefault="00751867" w:rsidP="00751867">
      <w:pPr>
        <w:rPr>
          <w:rFonts w:ascii="Times New Roman" w:hAnsi="Times New Roman" w:cs="Times New Roman"/>
          <w:sz w:val="24"/>
          <w:szCs w:val="24"/>
        </w:rPr>
      </w:pPr>
      <w:r>
        <w:rPr>
          <w:rFonts w:ascii="Times New Roman" w:hAnsi="Times New Roman" w:cs="Times New Roman"/>
          <w:sz w:val="24"/>
          <w:szCs w:val="24"/>
        </w:rPr>
        <w:br w:type="page"/>
      </w:r>
    </w:p>
    <w:p w14:paraId="6E5B3DA7" w14:textId="77777777" w:rsidR="00751867" w:rsidRDefault="00751867" w:rsidP="00961BEE">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FE2184F" wp14:editId="79B78915">
            <wp:extent cx="5356154" cy="3981691"/>
            <wp:effectExtent l="0" t="0" r="3810" b="0"/>
            <wp:docPr id="63" name="Picture 6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pic:cNvPicPr/>
                  </pic:nvPicPr>
                  <pic:blipFill>
                    <a:blip r:embed="rId214">
                      <a:extLst>
                        <a:ext uri="{28A0092B-C50C-407E-A947-70E740481C1C}">
                          <a14:useLocalDpi xmlns:a14="http://schemas.microsoft.com/office/drawing/2010/main" val="0"/>
                        </a:ext>
                      </a:extLst>
                    </a:blip>
                    <a:stretch>
                      <a:fillRect/>
                    </a:stretch>
                  </pic:blipFill>
                  <pic:spPr>
                    <a:xfrm>
                      <a:off x="0" y="0"/>
                      <a:ext cx="5381624" cy="4000625"/>
                    </a:xfrm>
                    <a:prstGeom prst="rect">
                      <a:avLst/>
                    </a:prstGeom>
                  </pic:spPr>
                </pic:pic>
              </a:graphicData>
            </a:graphic>
          </wp:inline>
        </w:drawing>
      </w:r>
    </w:p>
    <w:p w14:paraId="3D591486" w14:textId="77777777" w:rsidR="00751867" w:rsidRDefault="00751867" w:rsidP="00751867">
      <w:pPr>
        <w:rPr>
          <w:rFonts w:ascii="Times New Roman" w:hAnsi="Times New Roman" w:cs="Times New Roman"/>
          <w:sz w:val="24"/>
          <w:szCs w:val="24"/>
        </w:rPr>
      </w:pPr>
      <w:r w:rsidRPr="001832E4">
        <w:rPr>
          <w:rFonts w:ascii="Times New Roman" w:hAnsi="Times New Roman" w:cs="Times New Roman"/>
          <w:b/>
          <w:bCs/>
          <w:sz w:val="24"/>
          <w:szCs w:val="24"/>
        </w:rPr>
        <w:t>Figure S</w:t>
      </w:r>
      <w:r>
        <w:rPr>
          <w:rFonts w:ascii="Times New Roman" w:hAnsi="Times New Roman" w:cs="Times New Roman"/>
          <w:b/>
          <w:bCs/>
          <w:sz w:val="24"/>
          <w:szCs w:val="24"/>
        </w:rPr>
        <w:t>4</w:t>
      </w:r>
      <w:r w:rsidRPr="001832E4">
        <w:rPr>
          <w:rFonts w:ascii="Times New Roman" w:hAnsi="Times New Roman" w:cs="Times New Roman"/>
          <w:b/>
          <w:bCs/>
          <w:sz w:val="24"/>
          <w:szCs w:val="24"/>
        </w:rPr>
        <w:t>:</w:t>
      </w:r>
      <w:r>
        <w:rPr>
          <w:rFonts w:ascii="Times New Roman" w:hAnsi="Times New Roman" w:cs="Times New Roman"/>
          <w:sz w:val="24"/>
          <w:szCs w:val="24"/>
        </w:rPr>
        <w:t xml:space="preserve"> Windowed (10kb) nucleotide diversity genome-wide for the MID population. </w:t>
      </w:r>
    </w:p>
    <w:p w14:paraId="1D751F0A" w14:textId="77777777" w:rsidR="00751867" w:rsidRDefault="00751867" w:rsidP="00751867">
      <w:pPr>
        <w:rPr>
          <w:rFonts w:ascii="Times New Roman" w:hAnsi="Times New Roman" w:cs="Times New Roman"/>
          <w:sz w:val="24"/>
          <w:szCs w:val="24"/>
        </w:rPr>
      </w:pPr>
      <w:r>
        <w:rPr>
          <w:rFonts w:ascii="Times New Roman" w:hAnsi="Times New Roman" w:cs="Times New Roman"/>
          <w:sz w:val="24"/>
          <w:szCs w:val="24"/>
        </w:rPr>
        <w:br w:type="page"/>
      </w:r>
    </w:p>
    <w:p w14:paraId="31348B9D" w14:textId="77777777" w:rsidR="00751867" w:rsidRDefault="00751867" w:rsidP="00751867">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B5EF1D2" wp14:editId="3FEA9807">
            <wp:extent cx="5636417" cy="4190035"/>
            <wp:effectExtent l="0" t="0" r="2540" b="1270"/>
            <wp:docPr id="64" name="Picture 6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imeline&#10;&#10;Description automatically generated"/>
                    <pic:cNvPicPr/>
                  </pic:nvPicPr>
                  <pic:blipFill>
                    <a:blip r:embed="rId215">
                      <a:extLst>
                        <a:ext uri="{28A0092B-C50C-407E-A947-70E740481C1C}">
                          <a14:useLocalDpi xmlns:a14="http://schemas.microsoft.com/office/drawing/2010/main" val="0"/>
                        </a:ext>
                      </a:extLst>
                    </a:blip>
                    <a:stretch>
                      <a:fillRect/>
                    </a:stretch>
                  </pic:blipFill>
                  <pic:spPr>
                    <a:xfrm>
                      <a:off x="0" y="0"/>
                      <a:ext cx="5666101" cy="4212102"/>
                    </a:xfrm>
                    <a:prstGeom prst="rect">
                      <a:avLst/>
                    </a:prstGeom>
                  </pic:spPr>
                </pic:pic>
              </a:graphicData>
            </a:graphic>
          </wp:inline>
        </w:drawing>
      </w:r>
    </w:p>
    <w:p w14:paraId="47DCDCBA" w14:textId="77777777" w:rsidR="00751867" w:rsidRDefault="00751867" w:rsidP="00751867">
      <w:pPr>
        <w:rPr>
          <w:rFonts w:ascii="Times New Roman" w:hAnsi="Times New Roman" w:cs="Times New Roman"/>
          <w:sz w:val="24"/>
          <w:szCs w:val="24"/>
        </w:rPr>
      </w:pPr>
      <w:r w:rsidRPr="001832E4">
        <w:rPr>
          <w:rFonts w:ascii="Times New Roman" w:hAnsi="Times New Roman" w:cs="Times New Roman"/>
          <w:b/>
          <w:bCs/>
          <w:sz w:val="24"/>
          <w:szCs w:val="24"/>
        </w:rPr>
        <w:t>Figure S</w:t>
      </w:r>
      <w:r>
        <w:rPr>
          <w:rFonts w:ascii="Times New Roman" w:hAnsi="Times New Roman" w:cs="Times New Roman"/>
          <w:b/>
          <w:bCs/>
          <w:sz w:val="24"/>
          <w:szCs w:val="24"/>
        </w:rPr>
        <w:t>5</w:t>
      </w:r>
      <w:r w:rsidRPr="001832E4">
        <w:rPr>
          <w:rFonts w:ascii="Times New Roman" w:hAnsi="Times New Roman" w:cs="Times New Roman"/>
          <w:b/>
          <w:bCs/>
          <w:sz w:val="24"/>
          <w:szCs w:val="24"/>
        </w:rPr>
        <w:t>:</w:t>
      </w:r>
      <w:r>
        <w:rPr>
          <w:rFonts w:ascii="Times New Roman" w:hAnsi="Times New Roman" w:cs="Times New Roman"/>
          <w:sz w:val="24"/>
          <w:szCs w:val="24"/>
        </w:rPr>
        <w:t xml:space="preserve"> Windowed (10kb) nucleotide diversity genome-wide for the DEEP population. </w:t>
      </w:r>
    </w:p>
    <w:p w14:paraId="7F0CAB7A" w14:textId="77777777" w:rsidR="00751867" w:rsidRDefault="00751867" w:rsidP="00751867">
      <w:pPr>
        <w:rPr>
          <w:rFonts w:ascii="Times New Roman" w:hAnsi="Times New Roman" w:cs="Times New Roman"/>
          <w:sz w:val="24"/>
          <w:szCs w:val="24"/>
        </w:rPr>
      </w:pPr>
      <w:r>
        <w:rPr>
          <w:rFonts w:ascii="Times New Roman" w:hAnsi="Times New Roman" w:cs="Times New Roman"/>
          <w:sz w:val="24"/>
          <w:szCs w:val="24"/>
        </w:rPr>
        <w:br w:type="page"/>
      </w:r>
    </w:p>
    <w:p w14:paraId="241B5458" w14:textId="77777777" w:rsidR="00751867" w:rsidRDefault="00751867" w:rsidP="00751867">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13D58C5" wp14:editId="2983323E">
            <wp:extent cx="5943600" cy="4418394"/>
            <wp:effectExtent l="0" t="0" r="0" b="1270"/>
            <wp:docPr id="65" name="Picture 6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216">
                      <a:extLst>
                        <a:ext uri="{28A0092B-C50C-407E-A947-70E740481C1C}">
                          <a14:useLocalDpi xmlns:a14="http://schemas.microsoft.com/office/drawing/2010/main" val="0"/>
                        </a:ext>
                      </a:extLst>
                    </a:blip>
                    <a:stretch>
                      <a:fillRect/>
                    </a:stretch>
                  </pic:blipFill>
                  <pic:spPr>
                    <a:xfrm>
                      <a:off x="0" y="0"/>
                      <a:ext cx="5943600" cy="4418394"/>
                    </a:xfrm>
                    <a:prstGeom prst="rect">
                      <a:avLst/>
                    </a:prstGeom>
                  </pic:spPr>
                </pic:pic>
              </a:graphicData>
            </a:graphic>
          </wp:inline>
        </w:drawing>
      </w:r>
    </w:p>
    <w:p w14:paraId="477F7289" w14:textId="77777777" w:rsidR="00751867" w:rsidRDefault="00751867" w:rsidP="00751867">
      <w:pPr>
        <w:rPr>
          <w:rFonts w:ascii="Times New Roman" w:hAnsi="Times New Roman" w:cs="Times New Roman"/>
          <w:sz w:val="24"/>
          <w:szCs w:val="24"/>
        </w:rPr>
      </w:pPr>
      <w:r>
        <w:rPr>
          <w:rFonts w:ascii="Times New Roman" w:hAnsi="Times New Roman" w:cs="Times New Roman"/>
          <w:b/>
          <w:bCs/>
          <w:sz w:val="24"/>
          <w:szCs w:val="24"/>
        </w:rPr>
        <w:t>Figure S6:</w:t>
      </w:r>
      <w:r>
        <w:rPr>
          <w:rFonts w:ascii="Times New Roman" w:hAnsi="Times New Roman" w:cs="Times New Roman"/>
          <w:sz w:val="24"/>
          <w:szCs w:val="24"/>
        </w:rPr>
        <w:t xml:space="preserve"> Spatial and temporal heterogeneity in </w:t>
      </w:r>
      <w:r w:rsidRPr="00490815">
        <w:rPr>
          <w:rFonts w:ascii="Times New Roman" w:hAnsi="Times New Roman" w:cs="Times New Roman"/>
          <w:i/>
          <w:iCs/>
          <w:sz w:val="24"/>
          <w:szCs w:val="24"/>
        </w:rPr>
        <w:t>Daphnia pulicaria</w:t>
      </w:r>
      <w:r>
        <w:rPr>
          <w:rFonts w:ascii="Times New Roman" w:hAnsi="Times New Roman" w:cs="Times New Roman"/>
          <w:sz w:val="24"/>
          <w:szCs w:val="24"/>
        </w:rPr>
        <w:t xml:space="preserve"> densities. Colors represent the three sampling stations. Left Panel: </w:t>
      </w:r>
      <w:r w:rsidRPr="00490815">
        <w:rPr>
          <w:rFonts w:ascii="Times New Roman" w:hAnsi="Times New Roman" w:cs="Times New Roman"/>
          <w:i/>
          <w:iCs/>
          <w:sz w:val="24"/>
          <w:szCs w:val="24"/>
        </w:rPr>
        <w:t>D. pulicaria</w:t>
      </w:r>
      <w:r>
        <w:rPr>
          <w:rFonts w:ascii="Times New Roman" w:hAnsi="Times New Roman" w:cs="Times New Roman"/>
          <w:sz w:val="24"/>
          <w:szCs w:val="24"/>
        </w:rPr>
        <w:t xml:space="preserve"> densities across depths at the three stations at 0600 hours. Middle Panel: </w:t>
      </w:r>
      <w:r w:rsidRPr="00490815">
        <w:rPr>
          <w:rFonts w:ascii="Times New Roman" w:hAnsi="Times New Roman" w:cs="Times New Roman"/>
          <w:i/>
          <w:iCs/>
          <w:sz w:val="24"/>
          <w:szCs w:val="24"/>
        </w:rPr>
        <w:t>D. pulicaria</w:t>
      </w:r>
      <w:r>
        <w:rPr>
          <w:rFonts w:ascii="Times New Roman" w:hAnsi="Times New Roman" w:cs="Times New Roman"/>
          <w:sz w:val="24"/>
          <w:szCs w:val="24"/>
        </w:rPr>
        <w:t xml:space="preserve"> densities across depths at the three stations at 1200 hours. Right Panel: </w:t>
      </w:r>
      <w:r w:rsidRPr="00490815">
        <w:rPr>
          <w:rFonts w:ascii="Times New Roman" w:hAnsi="Times New Roman" w:cs="Times New Roman"/>
          <w:i/>
          <w:iCs/>
          <w:sz w:val="24"/>
          <w:szCs w:val="24"/>
        </w:rPr>
        <w:t>D. pulicaria</w:t>
      </w:r>
      <w:r>
        <w:rPr>
          <w:rFonts w:ascii="Times New Roman" w:hAnsi="Times New Roman" w:cs="Times New Roman"/>
          <w:sz w:val="24"/>
          <w:szCs w:val="24"/>
        </w:rPr>
        <w:t xml:space="preserve"> densities across depths at the three stations at 2200 hours.</w:t>
      </w:r>
    </w:p>
    <w:p w14:paraId="7F59BEF1" w14:textId="77777777" w:rsidR="00751867" w:rsidRDefault="00751867" w:rsidP="00751867">
      <w:pPr>
        <w:rPr>
          <w:rFonts w:ascii="Times New Roman" w:hAnsi="Times New Roman" w:cs="Times New Roman"/>
          <w:sz w:val="24"/>
          <w:szCs w:val="24"/>
        </w:rPr>
      </w:pPr>
    </w:p>
    <w:p w14:paraId="30FF2733" w14:textId="77777777" w:rsidR="00751867" w:rsidRDefault="00751867" w:rsidP="00751867">
      <w:pPr>
        <w:rPr>
          <w:rFonts w:ascii="Times New Roman" w:hAnsi="Times New Roman" w:cs="Times New Roman"/>
          <w:sz w:val="24"/>
          <w:szCs w:val="24"/>
        </w:rPr>
      </w:pPr>
      <w:r>
        <w:rPr>
          <w:rFonts w:ascii="Times New Roman" w:hAnsi="Times New Roman" w:cs="Times New Roman"/>
          <w:sz w:val="24"/>
          <w:szCs w:val="24"/>
        </w:rPr>
        <w:br w:type="page"/>
      </w:r>
    </w:p>
    <w:p w14:paraId="478FAEE9" w14:textId="77777777" w:rsidR="00751867" w:rsidRDefault="00751867" w:rsidP="00751867">
      <w:pPr>
        <w:rPr>
          <w:rFonts w:ascii="Times New Roman" w:hAnsi="Times New Roman" w:cs="Times New Roman"/>
          <w:sz w:val="24"/>
          <w:szCs w:val="24"/>
        </w:rPr>
      </w:pPr>
    </w:p>
    <w:p w14:paraId="6E36033F" w14:textId="77777777" w:rsidR="00751867" w:rsidRDefault="00751867" w:rsidP="0075186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2B429A" wp14:editId="7BA6D742">
            <wp:extent cx="5943600" cy="4418435"/>
            <wp:effectExtent l="0" t="0" r="0" b="1270"/>
            <wp:docPr id="66" name="Picture 6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pic:nvPicPr>
                  <pic:blipFill>
                    <a:blip r:embed="rId217">
                      <a:extLst>
                        <a:ext uri="{28A0092B-C50C-407E-A947-70E740481C1C}">
                          <a14:useLocalDpi xmlns:a14="http://schemas.microsoft.com/office/drawing/2010/main" val="0"/>
                        </a:ext>
                      </a:extLst>
                    </a:blip>
                    <a:stretch>
                      <a:fillRect/>
                    </a:stretch>
                  </pic:blipFill>
                  <pic:spPr>
                    <a:xfrm>
                      <a:off x="0" y="0"/>
                      <a:ext cx="5943600" cy="4418435"/>
                    </a:xfrm>
                    <a:prstGeom prst="rect">
                      <a:avLst/>
                    </a:prstGeom>
                  </pic:spPr>
                </pic:pic>
              </a:graphicData>
            </a:graphic>
          </wp:inline>
        </w:drawing>
      </w:r>
    </w:p>
    <w:p w14:paraId="29278997" w14:textId="77777777" w:rsidR="00751867" w:rsidRDefault="00751867" w:rsidP="00751867">
      <w:pPr>
        <w:rPr>
          <w:rFonts w:ascii="Times New Roman" w:hAnsi="Times New Roman" w:cs="Times New Roman"/>
          <w:sz w:val="24"/>
          <w:szCs w:val="24"/>
        </w:rPr>
      </w:pPr>
      <w:r>
        <w:rPr>
          <w:rFonts w:ascii="Times New Roman" w:hAnsi="Times New Roman" w:cs="Times New Roman"/>
          <w:b/>
          <w:bCs/>
          <w:sz w:val="24"/>
          <w:szCs w:val="24"/>
        </w:rPr>
        <w:t xml:space="preserve">Figure S7: </w:t>
      </w:r>
      <w:r>
        <w:rPr>
          <w:rFonts w:ascii="Times New Roman" w:hAnsi="Times New Roman" w:cs="Times New Roman"/>
          <w:sz w:val="24"/>
          <w:szCs w:val="24"/>
        </w:rPr>
        <w:t>Abiotic profiles collected on 29 June 2021 collected with a YSI multiparameter sonde. Colors represent profiles taken at each sampling station. A) Temperature profile (</w:t>
      </w:r>
      <w:r>
        <w:rPr>
          <w:rFonts w:ascii="Symbol" w:eastAsia="Symbol" w:hAnsi="Symbol" w:cs="Symbol"/>
          <w:sz w:val="24"/>
          <w:szCs w:val="24"/>
        </w:rPr>
        <w:t>°</w:t>
      </w:r>
      <w:r>
        <w:rPr>
          <w:rFonts w:ascii="Times New Roman" w:hAnsi="Times New Roman" w:cs="Times New Roman"/>
          <w:sz w:val="24"/>
          <w:szCs w:val="24"/>
        </w:rPr>
        <w:t>C). B) Specific conductance profile (</w:t>
      </w:r>
      <w:r>
        <w:rPr>
          <w:rFonts w:ascii="Symbol" w:eastAsia="Symbol" w:hAnsi="Symbol" w:cs="Symbol"/>
          <w:sz w:val="24"/>
          <w:szCs w:val="24"/>
        </w:rPr>
        <w:t>m</w:t>
      </w:r>
      <w:r>
        <w:rPr>
          <w:rFonts w:ascii="Times New Roman" w:hAnsi="Times New Roman" w:cs="Times New Roman"/>
          <w:sz w:val="24"/>
          <w:szCs w:val="24"/>
        </w:rPr>
        <w:t xml:space="preserve">S/cm). C) Dissolved Oxygen profile (% saturation). </w:t>
      </w:r>
    </w:p>
    <w:p w14:paraId="6CD62983" w14:textId="77777777" w:rsidR="00751867" w:rsidRDefault="00751867" w:rsidP="00751867">
      <w:pPr>
        <w:rPr>
          <w:rFonts w:ascii="Times New Roman" w:hAnsi="Times New Roman" w:cs="Times New Roman"/>
          <w:sz w:val="24"/>
          <w:szCs w:val="24"/>
        </w:rPr>
      </w:pPr>
      <w:r>
        <w:rPr>
          <w:rFonts w:ascii="Times New Roman" w:hAnsi="Times New Roman" w:cs="Times New Roman"/>
          <w:sz w:val="24"/>
          <w:szCs w:val="24"/>
        </w:rPr>
        <w:br w:type="page"/>
      </w:r>
    </w:p>
    <w:p w14:paraId="6F03879D" w14:textId="77777777" w:rsidR="00751867" w:rsidRDefault="00751867" w:rsidP="00751867">
      <w:pPr>
        <w:rPr>
          <w:rFonts w:ascii="Times New Roman" w:hAnsi="Times New Roman" w:cs="Times New Roman"/>
          <w:b/>
          <w:bCs/>
          <w:sz w:val="24"/>
          <w:szCs w:val="24"/>
        </w:rPr>
      </w:pPr>
    </w:p>
    <w:p w14:paraId="75768A24" w14:textId="77777777" w:rsidR="00751867" w:rsidRDefault="00751867" w:rsidP="00751867">
      <w:pPr>
        <w:rPr>
          <w:rFonts w:ascii="Times New Roman" w:hAnsi="Times New Roman" w:cs="Times New Roman"/>
          <w:sz w:val="24"/>
          <w:szCs w:val="24"/>
        </w:rPr>
      </w:pPr>
      <w:r>
        <w:rPr>
          <w:rFonts w:ascii="Times New Roman" w:hAnsi="Times New Roman" w:cs="Times New Roman"/>
          <w:b/>
          <w:bCs/>
          <w:sz w:val="24"/>
          <w:szCs w:val="24"/>
        </w:rPr>
        <w:t xml:space="preserve">Table S1: </w:t>
      </w:r>
      <w:r>
        <w:rPr>
          <w:rFonts w:ascii="Times New Roman" w:hAnsi="Times New Roman" w:cs="Times New Roman"/>
          <w:sz w:val="24"/>
          <w:szCs w:val="24"/>
        </w:rPr>
        <w:t xml:space="preserve">95% confidence intervals for the demographic model fit using FSC2.7. </w:t>
      </w:r>
    </w:p>
    <w:tbl>
      <w:tblPr>
        <w:tblStyle w:val="TableGrid"/>
        <w:tblpPr w:leftFromText="180" w:rightFromText="180" w:vertAnchor="text" w:horzAnchor="margin" w:tblpY="-38"/>
        <w:tblW w:w="0" w:type="auto"/>
        <w:tblLook w:val="04A0" w:firstRow="1" w:lastRow="0" w:firstColumn="1" w:lastColumn="0" w:noHBand="0" w:noVBand="1"/>
      </w:tblPr>
      <w:tblGrid>
        <w:gridCol w:w="3116"/>
        <w:gridCol w:w="3117"/>
        <w:gridCol w:w="3117"/>
      </w:tblGrid>
      <w:tr w:rsidR="00751867" w14:paraId="7ED01BBD" w14:textId="77777777" w:rsidTr="005620B0">
        <w:tc>
          <w:tcPr>
            <w:tcW w:w="3116" w:type="dxa"/>
          </w:tcPr>
          <w:p w14:paraId="5F9E8DDF" w14:textId="77777777" w:rsidR="00751867" w:rsidRDefault="00751867" w:rsidP="005620B0">
            <w:pPr>
              <w:rPr>
                <w:rFonts w:ascii="Times New Roman" w:hAnsi="Times New Roman" w:cs="Times New Roman"/>
                <w:b/>
                <w:bCs/>
              </w:rPr>
            </w:pPr>
          </w:p>
        </w:tc>
        <w:tc>
          <w:tcPr>
            <w:tcW w:w="3117" w:type="dxa"/>
          </w:tcPr>
          <w:p w14:paraId="60B59B85" w14:textId="77777777" w:rsidR="00751867" w:rsidRDefault="00751867" w:rsidP="005620B0">
            <w:pPr>
              <w:rPr>
                <w:rFonts w:ascii="Times New Roman" w:hAnsi="Times New Roman" w:cs="Times New Roman"/>
                <w:b/>
                <w:bCs/>
              </w:rPr>
            </w:pPr>
            <w:r>
              <w:rPr>
                <w:rFonts w:ascii="Times New Roman" w:hAnsi="Times New Roman" w:cs="Times New Roman"/>
                <w:b/>
                <w:bCs/>
              </w:rPr>
              <w:t>Effective Population Size</w:t>
            </w:r>
          </w:p>
        </w:tc>
        <w:tc>
          <w:tcPr>
            <w:tcW w:w="3117" w:type="dxa"/>
          </w:tcPr>
          <w:p w14:paraId="321C32A8" w14:textId="77777777" w:rsidR="00751867" w:rsidRDefault="00751867" w:rsidP="005620B0">
            <w:pPr>
              <w:rPr>
                <w:rFonts w:ascii="Times New Roman" w:hAnsi="Times New Roman" w:cs="Times New Roman"/>
                <w:b/>
                <w:bCs/>
              </w:rPr>
            </w:pPr>
            <w:r>
              <w:rPr>
                <w:rFonts w:ascii="Times New Roman" w:hAnsi="Times New Roman" w:cs="Times New Roman"/>
                <w:b/>
                <w:bCs/>
              </w:rPr>
              <w:t xml:space="preserve">Growth Rate </w:t>
            </w:r>
          </w:p>
        </w:tc>
      </w:tr>
      <w:tr w:rsidR="00751867" w14:paraId="1228AFDA" w14:textId="77777777" w:rsidTr="005620B0">
        <w:tc>
          <w:tcPr>
            <w:tcW w:w="3116" w:type="dxa"/>
          </w:tcPr>
          <w:p w14:paraId="10C51128" w14:textId="77777777" w:rsidR="00751867" w:rsidRDefault="00751867" w:rsidP="005620B0">
            <w:pPr>
              <w:rPr>
                <w:rFonts w:ascii="Times New Roman" w:hAnsi="Times New Roman" w:cs="Times New Roman"/>
                <w:b/>
                <w:bCs/>
              </w:rPr>
            </w:pPr>
            <w:r>
              <w:rPr>
                <w:rFonts w:ascii="Times New Roman" w:hAnsi="Times New Roman" w:cs="Times New Roman"/>
                <w:b/>
                <w:bCs/>
              </w:rPr>
              <w:t>Model</w:t>
            </w:r>
          </w:p>
        </w:tc>
        <w:tc>
          <w:tcPr>
            <w:tcW w:w="3117" w:type="dxa"/>
          </w:tcPr>
          <w:p w14:paraId="732FE9CB" w14:textId="77777777" w:rsidR="00751867" w:rsidRPr="00451DF8" w:rsidRDefault="00751867" w:rsidP="005620B0">
            <w:pPr>
              <w:rPr>
                <w:rFonts w:ascii="Times New Roman" w:hAnsi="Times New Roman" w:cs="Times New Roman"/>
              </w:rPr>
            </w:pPr>
            <w:r w:rsidRPr="00451DF8">
              <w:rPr>
                <w:rFonts w:ascii="Times New Roman" w:hAnsi="Times New Roman" w:cs="Times New Roman"/>
              </w:rPr>
              <w:t>2931</w:t>
            </w:r>
          </w:p>
        </w:tc>
        <w:tc>
          <w:tcPr>
            <w:tcW w:w="3117" w:type="dxa"/>
          </w:tcPr>
          <w:p w14:paraId="10290EC7" w14:textId="77777777" w:rsidR="00751867" w:rsidRPr="00451DF8" w:rsidRDefault="00751867" w:rsidP="005620B0">
            <w:pPr>
              <w:rPr>
                <w:rFonts w:ascii="Times New Roman" w:hAnsi="Times New Roman" w:cs="Times New Roman"/>
                <w:vertAlign w:val="superscript"/>
              </w:rPr>
            </w:pPr>
            <w:r>
              <w:rPr>
                <w:rFonts w:ascii="Times New Roman" w:hAnsi="Times New Roman" w:cs="Times New Roman"/>
              </w:rPr>
              <w:t>2.6269 x 10</w:t>
            </w:r>
            <w:r>
              <w:rPr>
                <w:rFonts w:ascii="Times New Roman" w:hAnsi="Times New Roman" w:cs="Times New Roman"/>
                <w:vertAlign w:val="superscript"/>
              </w:rPr>
              <w:t>-5</w:t>
            </w:r>
          </w:p>
        </w:tc>
      </w:tr>
      <w:tr w:rsidR="00751867" w14:paraId="0DA9346D" w14:textId="77777777" w:rsidTr="005620B0">
        <w:tc>
          <w:tcPr>
            <w:tcW w:w="3116" w:type="dxa"/>
          </w:tcPr>
          <w:p w14:paraId="3DEF0394" w14:textId="77777777" w:rsidR="00751867" w:rsidRDefault="00751867" w:rsidP="005620B0">
            <w:pPr>
              <w:rPr>
                <w:rFonts w:ascii="Times New Roman" w:hAnsi="Times New Roman" w:cs="Times New Roman"/>
                <w:b/>
                <w:bCs/>
              </w:rPr>
            </w:pPr>
            <w:r>
              <w:rPr>
                <w:rFonts w:ascii="Times New Roman" w:hAnsi="Times New Roman" w:cs="Times New Roman"/>
                <w:b/>
                <w:bCs/>
              </w:rPr>
              <w:t>+ 95% Confidence</w:t>
            </w:r>
          </w:p>
        </w:tc>
        <w:tc>
          <w:tcPr>
            <w:tcW w:w="3117" w:type="dxa"/>
          </w:tcPr>
          <w:p w14:paraId="15692640" w14:textId="77777777" w:rsidR="00751867" w:rsidRPr="00451DF8" w:rsidRDefault="00751867" w:rsidP="005620B0">
            <w:pPr>
              <w:rPr>
                <w:rFonts w:ascii="Times New Roman" w:hAnsi="Times New Roman" w:cs="Times New Roman"/>
              </w:rPr>
            </w:pPr>
            <w:r>
              <w:rPr>
                <w:rFonts w:ascii="Times New Roman" w:hAnsi="Times New Roman" w:cs="Times New Roman"/>
              </w:rPr>
              <w:t>2939.162</w:t>
            </w:r>
          </w:p>
        </w:tc>
        <w:tc>
          <w:tcPr>
            <w:tcW w:w="3117" w:type="dxa"/>
          </w:tcPr>
          <w:p w14:paraId="7DED24C9" w14:textId="77777777" w:rsidR="00751867" w:rsidRPr="00B61392" w:rsidRDefault="00751867" w:rsidP="005620B0">
            <w:pPr>
              <w:rPr>
                <w:rFonts w:ascii="Times New Roman" w:hAnsi="Times New Roman" w:cs="Times New Roman"/>
                <w:vertAlign w:val="superscript"/>
              </w:rPr>
            </w:pPr>
            <w:r>
              <w:rPr>
                <w:rFonts w:ascii="Times New Roman" w:hAnsi="Times New Roman" w:cs="Times New Roman"/>
              </w:rPr>
              <w:t>2.6479 x 10</w:t>
            </w:r>
            <w:r>
              <w:rPr>
                <w:rFonts w:ascii="Times New Roman" w:hAnsi="Times New Roman" w:cs="Times New Roman"/>
                <w:vertAlign w:val="superscript"/>
              </w:rPr>
              <w:t>-6</w:t>
            </w:r>
          </w:p>
        </w:tc>
      </w:tr>
      <w:tr w:rsidR="00751867" w14:paraId="240CD557" w14:textId="77777777" w:rsidTr="005620B0">
        <w:tc>
          <w:tcPr>
            <w:tcW w:w="3116" w:type="dxa"/>
          </w:tcPr>
          <w:p w14:paraId="2F4CE163" w14:textId="77777777" w:rsidR="00751867" w:rsidRPr="00451DF8" w:rsidRDefault="00751867" w:rsidP="005620B0">
            <w:pPr>
              <w:rPr>
                <w:rFonts w:ascii="Times New Roman" w:hAnsi="Times New Roman" w:cs="Times New Roman"/>
                <w:b/>
                <w:bCs/>
              </w:rPr>
            </w:pPr>
            <w:r>
              <w:rPr>
                <w:rFonts w:ascii="Times New Roman" w:hAnsi="Times New Roman" w:cs="Times New Roman"/>
                <w:b/>
                <w:bCs/>
              </w:rPr>
              <w:t>- 95% Confidence</w:t>
            </w:r>
          </w:p>
        </w:tc>
        <w:tc>
          <w:tcPr>
            <w:tcW w:w="3117" w:type="dxa"/>
          </w:tcPr>
          <w:p w14:paraId="336F57C0" w14:textId="77777777" w:rsidR="00751867" w:rsidRPr="00451DF8" w:rsidRDefault="00751867" w:rsidP="005620B0">
            <w:pPr>
              <w:rPr>
                <w:rFonts w:ascii="Times New Roman" w:hAnsi="Times New Roman" w:cs="Times New Roman"/>
              </w:rPr>
            </w:pPr>
            <w:r>
              <w:rPr>
                <w:rFonts w:ascii="Times New Roman" w:hAnsi="Times New Roman" w:cs="Times New Roman"/>
              </w:rPr>
              <w:t>2921.498</w:t>
            </w:r>
          </w:p>
        </w:tc>
        <w:tc>
          <w:tcPr>
            <w:tcW w:w="3117" w:type="dxa"/>
          </w:tcPr>
          <w:p w14:paraId="518630D9" w14:textId="77777777" w:rsidR="00751867" w:rsidRPr="00B61392" w:rsidRDefault="00751867" w:rsidP="005620B0">
            <w:pPr>
              <w:rPr>
                <w:rFonts w:ascii="Times New Roman" w:hAnsi="Times New Roman" w:cs="Times New Roman"/>
                <w:vertAlign w:val="superscript"/>
              </w:rPr>
            </w:pPr>
            <w:r>
              <w:rPr>
                <w:rFonts w:ascii="Times New Roman" w:hAnsi="Times New Roman" w:cs="Times New Roman"/>
              </w:rPr>
              <w:t>-5.529 x 10</w:t>
            </w:r>
            <w:r>
              <w:rPr>
                <w:rFonts w:ascii="Times New Roman" w:hAnsi="Times New Roman" w:cs="Times New Roman"/>
                <w:vertAlign w:val="superscript"/>
              </w:rPr>
              <w:t>-6</w:t>
            </w:r>
          </w:p>
        </w:tc>
      </w:tr>
      <w:tr w:rsidR="00751867" w14:paraId="4F5B1D09" w14:textId="77777777" w:rsidTr="005620B0">
        <w:tc>
          <w:tcPr>
            <w:tcW w:w="3116" w:type="dxa"/>
          </w:tcPr>
          <w:p w14:paraId="1B6142A6" w14:textId="77777777" w:rsidR="00751867" w:rsidRDefault="00751867" w:rsidP="005620B0">
            <w:pPr>
              <w:rPr>
                <w:rFonts w:ascii="Times New Roman" w:hAnsi="Times New Roman" w:cs="Times New Roman"/>
                <w:b/>
                <w:bCs/>
              </w:rPr>
            </w:pPr>
            <w:r>
              <w:rPr>
                <w:rFonts w:ascii="Times New Roman" w:hAnsi="Times New Roman" w:cs="Times New Roman"/>
                <w:b/>
                <w:bCs/>
              </w:rPr>
              <w:t xml:space="preserve">Mean </w:t>
            </w:r>
          </w:p>
        </w:tc>
        <w:tc>
          <w:tcPr>
            <w:tcW w:w="3117" w:type="dxa"/>
          </w:tcPr>
          <w:p w14:paraId="7D469E30" w14:textId="77777777" w:rsidR="00751867" w:rsidRPr="00451DF8" w:rsidRDefault="00751867" w:rsidP="005620B0">
            <w:pPr>
              <w:rPr>
                <w:rFonts w:ascii="Times New Roman" w:hAnsi="Times New Roman" w:cs="Times New Roman"/>
              </w:rPr>
            </w:pPr>
            <w:r>
              <w:rPr>
                <w:rFonts w:ascii="Times New Roman" w:hAnsi="Times New Roman" w:cs="Times New Roman"/>
              </w:rPr>
              <w:t>2930.33</w:t>
            </w:r>
          </w:p>
        </w:tc>
        <w:tc>
          <w:tcPr>
            <w:tcW w:w="3117" w:type="dxa"/>
          </w:tcPr>
          <w:p w14:paraId="192F8702" w14:textId="77777777" w:rsidR="00751867" w:rsidRPr="00B61392" w:rsidRDefault="00751867" w:rsidP="005620B0">
            <w:pPr>
              <w:rPr>
                <w:rFonts w:ascii="Times New Roman" w:hAnsi="Times New Roman" w:cs="Times New Roman"/>
                <w:vertAlign w:val="superscript"/>
              </w:rPr>
            </w:pPr>
            <w:r>
              <w:rPr>
                <w:rFonts w:ascii="Times New Roman" w:hAnsi="Times New Roman" w:cs="Times New Roman"/>
              </w:rPr>
              <w:t>-1.44 x 10</w:t>
            </w:r>
            <w:r>
              <w:rPr>
                <w:rFonts w:ascii="Times New Roman" w:hAnsi="Times New Roman" w:cs="Times New Roman"/>
                <w:vertAlign w:val="superscript"/>
              </w:rPr>
              <w:t>-6</w:t>
            </w:r>
          </w:p>
        </w:tc>
      </w:tr>
    </w:tbl>
    <w:p w14:paraId="7575BCC8" w14:textId="77777777" w:rsidR="00751867" w:rsidRDefault="00751867" w:rsidP="00751867">
      <w:pPr>
        <w:rPr>
          <w:rFonts w:ascii="Times New Roman" w:hAnsi="Times New Roman" w:cs="Times New Roman"/>
          <w:sz w:val="24"/>
          <w:szCs w:val="24"/>
        </w:rPr>
      </w:pPr>
    </w:p>
    <w:p w14:paraId="40D82EAE" w14:textId="77777777" w:rsidR="00751867" w:rsidRDefault="00751867" w:rsidP="00751867">
      <w:pPr>
        <w:jc w:val="both"/>
        <w:rPr>
          <w:rFonts w:ascii="Times New Roman" w:hAnsi="Times New Roman" w:cs="Times New Roman"/>
          <w:sz w:val="24"/>
          <w:szCs w:val="24"/>
        </w:rPr>
      </w:pPr>
      <w:r>
        <w:rPr>
          <w:rFonts w:ascii="Times New Roman" w:hAnsi="Times New Roman" w:cs="Times New Roman"/>
          <w:sz w:val="24"/>
          <w:szCs w:val="24"/>
        </w:rPr>
        <w:br w:type="page"/>
      </w:r>
    </w:p>
    <w:p w14:paraId="4083A3F3" w14:textId="77777777" w:rsidR="00751867" w:rsidRDefault="00751867" w:rsidP="00751867">
      <w:pPr>
        <w:rPr>
          <w:rFonts w:ascii="Times New Roman" w:hAnsi="Times New Roman" w:cs="Times New Roman"/>
          <w:sz w:val="24"/>
          <w:szCs w:val="24"/>
        </w:rPr>
      </w:pPr>
      <w:r>
        <w:rPr>
          <w:rFonts w:ascii="Times New Roman" w:hAnsi="Times New Roman" w:cs="Times New Roman"/>
          <w:b/>
          <w:bCs/>
          <w:sz w:val="24"/>
          <w:szCs w:val="24"/>
        </w:rPr>
        <w:lastRenderedPageBreak/>
        <w:t xml:space="preserve">Table S2: </w:t>
      </w:r>
      <w:r>
        <w:rPr>
          <w:rFonts w:ascii="Times New Roman" w:hAnsi="Times New Roman" w:cs="Times New Roman"/>
          <w:sz w:val="24"/>
          <w:szCs w:val="24"/>
        </w:rPr>
        <w:t xml:space="preserve">GO term enrichment analysis. </w:t>
      </w:r>
    </w:p>
    <w:p w14:paraId="153579D8"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#Analysis Type:</w:t>
      </w:r>
      <w:r w:rsidRPr="001B2F13">
        <w:rPr>
          <w:rFonts w:ascii="Times New Roman" w:hAnsi="Times New Roman" w:cs="Times New Roman"/>
          <w:sz w:val="24"/>
          <w:szCs w:val="24"/>
        </w:rPr>
        <w:tab/>
        <w:t>PANTHER Overrepresentation Test (Released 20220202)</w:t>
      </w:r>
    </w:p>
    <w:p w14:paraId="3F9021C5"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#Annotation Version and Release Date:</w:t>
      </w:r>
      <w:r w:rsidRPr="001B2F13">
        <w:rPr>
          <w:rFonts w:ascii="Times New Roman" w:hAnsi="Times New Roman" w:cs="Times New Roman"/>
          <w:sz w:val="24"/>
          <w:szCs w:val="24"/>
        </w:rPr>
        <w:tab/>
        <w:t>PANTHER version 17.0 Released 2022-02-22</w:t>
      </w:r>
    </w:p>
    <w:p w14:paraId="176C554A"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#Analyzed List:</w:t>
      </w:r>
      <w:r w:rsidRPr="001B2F13">
        <w:rPr>
          <w:rFonts w:ascii="Times New Roman" w:hAnsi="Times New Roman" w:cs="Times New Roman"/>
          <w:sz w:val="24"/>
          <w:szCs w:val="24"/>
        </w:rPr>
        <w:tab/>
        <w:t>outlier_prots.panther.txt</w:t>
      </w:r>
    </w:p>
    <w:p w14:paraId="3210BFBD"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#Reference List:</w:t>
      </w:r>
      <w:r w:rsidRPr="001B2F13">
        <w:rPr>
          <w:rFonts w:ascii="Times New Roman" w:hAnsi="Times New Roman" w:cs="Times New Roman"/>
          <w:sz w:val="24"/>
          <w:szCs w:val="24"/>
        </w:rPr>
        <w:tab/>
        <w:t>Daphnia pulex (all genes in database)</w:t>
      </w:r>
    </w:p>
    <w:p w14:paraId="479896EB"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#Test Type:</w:t>
      </w:r>
      <w:r w:rsidRPr="001B2F13">
        <w:rPr>
          <w:rFonts w:ascii="Times New Roman" w:hAnsi="Times New Roman" w:cs="Times New Roman"/>
          <w:sz w:val="24"/>
          <w:szCs w:val="24"/>
        </w:rPr>
        <w:tab/>
        <w:t>FISHER</w:t>
      </w:r>
    </w:p>
    <w:p w14:paraId="43E2865E"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#Correction:</w:t>
      </w:r>
      <w:r w:rsidRPr="001B2F13">
        <w:rPr>
          <w:rFonts w:ascii="Times New Roman" w:hAnsi="Times New Roman" w:cs="Times New Roman"/>
          <w:sz w:val="24"/>
          <w:szCs w:val="24"/>
        </w:rPr>
        <w:tab/>
        <w:t>FDR</w:t>
      </w:r>
    </w:p>
    <w:p w14:paraId="6449AB8C"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#PANTHER GO-Slim Molecular Function</w:t>
      </w:r>
      <w:r w:rsidRPr="001B2F13">
        <w:rPr>
          <w:rFonts w:ascii="Times New Roman" w:hAnsi="Times New Roman" w:cs="Times New Roman"/>
          <w:sz w:val="24"/>
          <w:szCs w:val="24"/>
        </w:rPr>
        <w:tab/>
        <w:t>Daphnia pulex - REFLIST (30047)</w:t>
      </w:r>
      <w:r w:rsidRPr="001B2F13">
        <w:rPr>
          <w:rFonts w:ascii="Times New Roman" w:hAnsi="Times New Roman" w:cs="Times New Roman"/>
          <w:sz w:val="24"/>
          <w:szCs w:val="24"/>
        </w:rPr>
        <w:tab/>
        <w:t>outlier_prots.panther.txt (201)</w:t>
      </w:r>
      <w:r w:rsidRPr="001B2F13">
        <w:rPr>
          <w:rFonts w:ascii="Times New Roman" w:hAnsi="Times New Roman" w:cs="Times New Roman"/>
          <w:sz w:val="24"/>
          <w:szCs w:val="24"/>
        </w:rPr>
        <w:tab/>
        <w:t>outlier_prots.panther.txt (expected)</w:t>
      </w:r>
      <w:r w:rsidRPr="001B2F13">
        <w:rPr>
          <w:rFonts w:ascii="Times New Roman" w:hAnsi="Times New Roman" w:cs="Times New Roman"/>
          <w:sz w:val="24"/>
          <w:szCs w:val="24"/>
        </w:rPr>
        <w:tab/>
        <w:t>outlier_prots.panther.txt (over/under)</w:t>
      </w:r>
      <w:r w:rsidRPr="001B2F13">
        <w:rPr>
          <w:rFonts w:ascii="Times New Roman" w:hAnsi="Times New Roman" w:cs="Times New Roman"/>
          <w:sz w:val="24"/>
          <w:szCs w:val="24"/>
        </w:rPr>
        <w:tab/>
        <w:t>outlier_prots.panther.txt (fold Enrichment)</w:t>
      </w:r>
      <w:r w:rsidRPr="001B2F13">
        <w:rPr>
          <w:rFonts w:ascii="Times New Roman" w:hAnsi="Times New Roman" w:cs="Times New Roman"/>
          <w:sz w:val="24"/>
          <w:szCs w:val="24"/>
        </w:rPr>
        <w:tab/>
        <w:t>outlier_prots.panther.txt (raw P-value)</w:t>
      </w:r>
      <w:r w:rsidRPr="001B2F13">
        <w:rPr>
          <w:rFonts w:ascii="Times New Roman" w:hAnsi="Times New Roman" w:cs="Times New Roman"/>
          <w:sz w:val="24"/>
          <w:szCs w:val="24"/>
        </w:rPr>
        <w:tab/>
        <w:t>outlier_prots.panther.txt (FDR)</w:t>
      </w:r>
    </w:p>
    <w:p w14:paraId="79470D2C"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protein kinase C binding (GO:0005080)</w:t>
      </w:r>
      <w:r w:rsidRPr="001B2F13">
        <w:rPr>
          <w:rFonts w:ascii="Times New Roman" w:hAnsi="Times New Roman" w:cs="Times New Roman"/>
          <w:sz w:val="24"/>
          <w:szCs w:val="24"/>
        </w:rPr>
        <w:tab/>
        <w:t>5</w:t>
      </w:r>
      <w:r w:rsidRPr="001B2F13">
        <w:rPr>
          <w:rFonts w:ascii="Times New Roman" w:hAnsi="Times New Roman" w:cs="Times New Roman"/>
          <w:sz w:val="24"/>
          <w:szCs w:val="24"/>
        </w:rPr>
        <w:tab/>
        <w:t>2</w:t>
      </w:r>
      <w:r w:rsidRPr="001B2F13">
        <w:rPr>
          <w:rFonts w:ascii="Times New Roman" w:hAnsi="Times New Roman" w:cs="Times New Roman"/>
          <w:sz w:val="24"/>
          <w:szCs w:val="24"/>
        </w:rPr>
        <w:tab/>
        <w:t>.03</w:t>
      </w:r>
      <w:r w:rsidRPr="001B2F13">
        <w:rPr>
          <w:rFonts w:ascii="Times New Roman" w:hAnsi="Times New Roman" w:cs="Times New Roman"/>
          <w:sz w:val="24"/>
          <w:szCs w:val="24"/>
        </w:rPr>
        <w:tab/>
        <w:t>+</w:t>
      </w:r>
      <w:r w:rsidRPr="001B2F13">
        <w:rPr>
          <w:rFonts w:ascii="Times New Roman" w:hAnsi="Times New Roman" w:cs="Times New Roman"/>
          <w:sz w:val="24"/>
          <w:szCs w:val="24"/>
        </w:rPr>
        <w:tab/>
        <w:t>59.80</w:t>
      </w:r>
      <w:r w:rsidRPr="001B2F13">
        <w:rPr>
          <w:rFonts w:ascii="Times New Roman" w:hAnsi="Times New Roman" w:cs="Times New Roman"/>
          <w:sz w:val="24"/>
          <w:szCs w:val="24"/>
        </w:rPr>
        <w:tab/>
        <w:t>9.03E-04</w:t>
      </w:r>
      <w:r w:rsidRPr="001B2F13">
        <w:rPr>
          <w:rFonts w:ascii="Times New Roman" w:hAnsi="Times New Roman" w:cs="Times New Roman"/>
          <w:sz w:val="24"/>
          <w:szCs w:val="24"/>
        </w:rPr>
        <w:tab/>
        <w:t>1.12E-02</w:t>
      </w:r>
    </w:p>
    <w:p w14:paraId="35D13FBB"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voltage-gated potassium channel activity (GO:0005249)</w:t>
      </w:r>
      <w:r w:rsidRPr="001B2F13">
        <w:rPr>
          <w:rFonts w:ascii="Times New Roman" w:hAnsi="Times New Roman" w:cs="Times New Roman"/>
          <w:sz w:val="24"/>
          <w:szCs w:val="24"/>
        </w:rPr>
        <w:tab/>
        <w:t>14</w:t>
      </w:r>
      <w:r w:rsidRPr="001B2F13">
        <w:rPr>
          <w:rFonts w:ascii="Times New Roman" w:hAnsi="Times New Roman" w:cs="Times New Roman"/>
          <w:sz w:val="24"/>
          <w:szCs w:val="24"/>
        </w:rPr>
        <w:tab/>
        <w:t>3</w:t>
      </w:r>
      <w:r w:rsidRPr="001B2F13">
        <w:rPr>
          <w:rFonts w:ascii="Times New Roman" w:hAnsi="Times New Roman" w:cs="Times New Roman"/>
          <w:sz w:val="24"/>
          <w:szCs w:val="24"/>
        </w:rPr>
        <w:tab/>
        <w:t>.09</w:t>
      </w:r>
      <w:r w:rsidRPr="001B2F13">
        <w:rPr>
          <w:rFonts w:ascii="Times New Roman" w:hAnsi="Times New Roman" w:cs="Times New Roman"/>
          <w:sz w:val="24"/>
          <w:szCs w:val="24"/>
        </w:rPr>
        <w:tab/>
        <w:t>+</w:t>
      </w:r>
      <w:r w:rsidRPr="001B2F13">
        <w:rPr>
          <w:rFonts w:ascii="Times New Roman" w:hAnsi="Times New Roman" w:cs="Times New Roman"/>
          <w:sz w:val="24"/>
          <w:szCs w:val="24"/>
        </w:rPr>
        <w:tab/>
        <w:t>32.03</w:t>
      </w:r>
      <w:r w:rsidRPr="001B2F13">
        <w:rPr>
          <w:rFonts w:ascii="Times New Roman" w:hAnsi="Times New Roman" w:cs="Times New Roman"/>
          <w:sz w:val="24"/>
          <w:szCs w:val="24"/>
        </w:rPr>
        <w:tab/>
        <w:t>1.84E-04</w:t>
      </w:r>
      <w:r w:rsidRPr="001B2F13">
        <w:rPr>
          <w:rFonts w:ascii="Times New Roman" w:hAnsi="Times New Roman" w:cs="Times New Roman"/>
          <w:sz w:val="24"/>
          <w:szCs w:val="24"/>
        </w:rPr>
        <w:tab/>
        <w:t>3.47E-03</w:t>
      </w:r>
    </w:p>
    <w:p w14:paraId="3786AE65"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postsynaptic neurotransmitter receptor activity (GO:0098960)</w:t>
      </w:r>
      <w:r w:rsidRPr="001B2F13">
        <w:rPr>
          <w:rFonts w:ascii="Times New Roman" w:hAnsi="Times New Roman" w:cs="Times New Roman"/>
          <w:sz w:val="24"/>
          <w:szCs w:val="24"/>
        </w:rPr>
        <w:tab/>
        <w:t>11</w:t>
      </w:r>
      <w:r w:rsidRPr="001B2F13">
        <w:rPr>
          <w:rFonts w:ascii="Times New Roman" w:hAnsi="Times New Roman" w:cs="Times New Roman"/>
          <w:sz w:val="24"/>
          <w:szCs w:val="24"/>
        </w:rPr>
        <w:tab/>
        <w:t>2</w:t>
      </w:r>
      <w:r w:rsidRPr="001B2F13">
        <w:rPr>
          <w:rFonts w:ascii="Times New Roman" w:hAnsi="Times New Roman" w:cs="Times New Roman"/>
          <w:sz w:val="24"/>
          <w:szCs w:val="24"/>
        </w:rPr>
        <w:tab/>
        <w:t>.07</w:t>
      </w:r>
      <w:r w:rsidRPr="001B2F13">
        <w:rPr>
          <w:rFonts w:ascii="Times New Roman" w:hAnsi="Times New Roman" w:cs="Times New Roman"/>
          <w:sz w:val="24"/>
          <w:szCs w:val="24"/>
        </w:rPr>
        <w:tab/>
        <w:t>+</w:t>
      </w:r>
      <w:r w:rsidRPr="001B2F13">
        <w:rPr>
          <w:rFonts w:ascii="Times New Roman" w:hAnsi="Times New Roman" w:cs="Times New Roman"/>
          <w:sz w:val="24"/>
          <w:szCs w:val="24"/>
        </w:rPr>
        <w:tab/>
        <w:t>27.18</w:t>
      </w:r>
      <w:r w:rsidRPr="001B2F13">
        <w:rPr>
          <w:rFonts w:ascii="Times New Roman" w:hAnsi="Times New Roman" w:cs="Times New Roman"/>
          <w:sz w:val="24"/>
          <w:szCs w:val="24"/>
        </w:rPr>
        <w:tab/>
        <w:t>3.27E-03</w:t>
      </w:r>
      <w:r w:rsidRPr="001B2F13">
        <w:rPr>
          <w:rFonts w:ascii="Times New Roman" w:hAnsi="Times New Roman" w:cs="Times New Roman"/>
          <w:sz w:val="24"/>
          <w:szCs w:val="24"/>
        </w:rPr>
        <w:tab/>
        <w:t>3.27E-02</w:t>
      </w:r>
    </w:p>
    <w:p w14:paraId="44DD1AC7"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RNA polymerase II complex binding (GO:0000993)</w:t>
      </w:r>
      <w:r w:rsidRPr="001B2F13">
        <w:rPr>
          <w:rFonts w:ascii="Times New Roman" w:hAnsi="Times New Roman" w:cs="Times New Roman"/>
          <w:sz w:val="24"/>
          <w:szCs w:val="24"/>
        </w:rPr>
        <w:tab/>
        <w:t>12</w:t>
      </w:r>
      <w:r w:rsidRPr="001B2F13">
        <w:rPr>
          <w:rFonts w:ascii="Times New Roman" w:hAnsi="Times New Roman" w:cs="Times New Roman"/>
          <w:sz w:val="24"/>
          <w:szCs w:val="24"/>
        </w:rPr>
        <w:tab/>
        <w:t>2</w:t>
      </w:r>
      <w:r w:rsidRPr="001B2F13">
        <w:rPr>
          <w:rFonts w:ascii="Times New Roman" w:hAnsi="Times New Roman" w:cs="Times New Roman"/>
          <w:sz w:val="24"/>
          <w:szCs w:val="24"/>
        </w:rPr>
        <w:tab/>
        <w:t>.08</w:t>
      </w:r>
      <w:r w:rsidRPr="001B2F13">
        <w:rPr>
          <w:rFonts w:ascii="Times New Roman" w:hAnsi="Times New Roman" w:cs="Times New Roman"/>
          <w:sz w:val="24"/>
          <w:szCs w:val="24"/>
        </w:rPr>
        <w:tab/>
        <w:t>+</w:t>
      </w:r>
      <w:r w:rsidRPr="001B2F13">
        <w:rPr>
          <w:rFonts w:ascii="Times New Roman" w:hAnsi="Times New Roman" w:cs="Times New Roman"/>
          <w:sz w:val="24"/>
          <w:szCs w:val="24"/>
        </w:rPr>
        <w:tab/>
        <w:t>24.91</w:t>
      </w:r>
      <w:r w:rsidRPr="001B2F13">
        <w:rPr>
          <w:rFonts w:ascii="Times New Roman" w:hAnsi="Times New Roman" w:cs="Times New Roman"/>
          <w:sz w:val="24"/>
          <w:szCs w:val="24"/>
        </w:rPr>
        <w:tab/>
        <w:t>3.79E-03</w:t>
      </w:r>
      <w:r w:rsidRPr="001B2F13">
        <w:rPr>
          <w:rFonts w:ascii="Times New Roman" w:hAnsi="Times New Roman" w:cs="Times New Roman"/>
          <w:sz w:val="24"/>
          <w:szCs w:val="24"/>
        </w:rPr>
        <w:tab/>
        <w:t>3.72E-02</w:t>
      </w:r>
    </w:p>
    <w:p w14:paraId="71592612"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neuropeptide receptor activity (GO:0008188)</w:t>
      </w:r>
      <w:r w:rsidRPr="001B2F13">
        <w:rPr>
          <w:rFonts w:ascii="Times New Roman" w:hAnsi="Times New Roman" w:cs="Times New Roman"/>
          <w:sz w:val="24"/>
          <w:szCs w:val="24"/>
        </w:rPr>
        <w:tab/>
        <w:t>12</w:t>
      </w:r>
      <w:r w:rsidRPr="001B2F13">
        <w:rPr>
          <w:rFonts w:ascii="Times New Roman" w:hAnsi="Times New Roman" w:cs="Times New Roman"/>
          <w:sz w:val="24"/>
          <w:szCs w:val="24"/>
        </w:rPr>
        <w:tab/>
        <w:t>2</w:t>
      </w:r>
      <w:r w:rsidRPr="001B2F13">
        <w:rPr>
          <w:rFonts w:ascii="Times New Roman" w:hAnsi="Times New Roman" w:cs="Times New Roman"/>
          <w:sz w:val="24"/>
          <w:szCs w:val="24"/>
        </w:rPr>
        <w:tab/>
        <w:t>.08</w:t>
      </w:r>
      <w:r w:rsidRPr="001B2F13">
        <w:rPr>
          <w:rFonts w:ascii="Times New Roman" w:hAnsi="Times New Roman" w:cs="Times New Roman"/>
          <w:sz w:val="24"/>
          <w:szCs w:val="24"/>
        </w:rPr>
        <w:tab/>
        <w:t>+</w:t>
      </w:r>
      <w:r w:rsidRPr="001B2F13">
        <w:rPr>
          <w:rFonts w:ascii="Times New Roman" w:hAnsi="Times New Roman" w:cs="Times New Roman"/>
          <w:sz w:val="24"/>
          <w:szCs w:val="24"/>
        </w:rPr>
        <w:tab/>
        <w:t>24.91</w:t>
      </w:r>
      <w:r w:rsidRPr="001B2F13">
        <w:rPr>
          <w:rFonts w:ascii="Times New Roman" w:hAnsi="Times New Roman" w:cs="Times New Roman"/>
          <w:sz w:val="24"/>
          <w:szCs w:val="24"/>
        </w:rPr>
        <w:tab/>
        <w:t>3.79E-03</w:t>
      </w:r>
      <w:r w:rsidRPr="001B2F13">
        <w:rPr>
          <w:rFonts w:ascii="Times New Roman" w:hAnsi="Times New Roman" w:cs="Times New Roman"/>
          <w:sz w:val="24"/>
          <w:szCs w:val="24"/>
        </w:rPr>
        <w:tab/>
        <w:t>3.65E-02</w:t>
      </w:r>
    </w:p>
    <w:p w14:paraId="04168252"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3'-5'-exoribonuclease activity (GO:0000175)</w:t>
      </w:r>
      <w:r w:rsidRPr="001B2F13">
        <w:rPr>
          <w:rFonts w:ascii="Times New Roman" w:hAnsi="Times New Roman" w:cs="Times New Roman"/>
          <w:sz w:val="24"/>
          <w:szCs w:val="24"/>
        </w:rPr>
        <w:tab/>
        <w:t>13</w:t>
      </w:r>
      <w:r w:rsidRPr="001B2F13">
        <w:rPr>
          <w:rFonts w:ascii="Times New Roman" w:hAnsi="Times New Roman" w:cs="Times New Roman"/>
          <w:sz w:val="24"/>
          <w:szCs w:val="24"/>
        </w:rPr>
        <w:tab/>
        <w:t>2</w:t>
      </w:r>
      <w:r w:rsidRPr="001B2F13">
        <w:rPr>
          <w:rFonts w:ascii="Times New Roman" w:hAnsi="Times New Roman" w:cs="Times New Roman"/>
          <w:sz w:val="24"/>
          <w:szCs w:val="24"/>
        </w:rPr>
        <w:tab/>
        <w:t>.09</w:t>
      </w:r>
      <w:r w:rsidRPr="001B2F13">
        <w:rPr>
          <w:rFonts w:ascii="Times New Roman" w:hAnsi="Times New Roman" w:cs="Times New Roman"/>
          <w:sz w:val="24"/>
          <w:szCs w:val="24"/>
        </w:rPr>
        <w:tab/>
        <w:t>+</w:t>
      </w:r>
      <w:r w:rsidRPr="001B2F13">
        <w:rPr>
          <w:rFonts w:ascii="Times New Roman" w:hAnsi="Times New Roman" w:cs="Times New Roman"/>
          <w:sz w:val="24"/>
          <w:szCs w:val="24"/>
        </w:rPr>
        <w:tab/>
        <w:t>23.00</w:t>
      </w:r>
      <w:r w:rsidRPr="001B2F13">
        <w:rPr>
          <w:rFonts w:ascii="Times New Roman" w:hAnsi="Times New Roman" w:cs="Times New Roman"/>
          <w:sz w:val="24"/>
          <w:szCs w:val="24"/>
        </w:rPr>
        <w:tab/>
        <w:t>4.36E-03</w:t>
      </w:r>
      <w:r w:rsidRPr="001B2F13">
        <w:rPr>
          <w:rFonts w:ascii="Times New Roman" w:hAnsi="Times New Roman" w:cs="Times New Roman"/>
          <w:sz w:val="24"/>
          <w:szCs w:val="24"/>
        </w:rPr>
        <w:tab/>
        <w:t>4.04E-02</w:t>
      </w:r>
    </w:p>
    <w:p w14:paraId="6E9227FA"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basal RNA polymerase II transcription machinery binding (GO:0001099)</w:t>
      </w:r>
      <w:r w:rsidRPr="001B2F13">
        <w:rPr>
          <w:rFonts w:ascii="Times New Roman" w:hAnsi="Times New Roman" w:cs="Times New Roman"/>
          <w:sz w:val="24"/>
          <w:szCs w:val="24"/>
        </w:rPr>
        <w:tab/>
        <w:t>13</w:t>
      </w:r>
      <w:r w:rsidRPr="001B2F13">
        <w:rPr>
          <w:rFonts w:ascii="Times New Roman" w:hAnsi="Times New Roman" w:cs="Times New Roman"/>
          <w:sz w:val="24"/>
          <w:szCs w:val="24"/>
        </w:rPr>
        <w:tab/>
        <w:t>2</w:t>
      </w:r>
      <w:r w:rsidRPr="001B2F13">
        <w:rPr>
          <w:rFonts w:ascii="Times New Roman" w:hAnsi="Times New Roman" w:cs="Times New Roman"/>
          <w:sz w:val="24"/>
          <w:szCs w:val="24"/>
        </w:rPr>
        <w:tab/>
        <w:t>.09</w:t>
      </w:r>
      <w:r w:rsidRPr="001B2F13">
        <w:rPr>
          <w:rFonts w:ascii="Times New Roman" w:hAnsi="Times New Roman" w:cs="Times New Roman"/>
          <w:sz w:val="24"/>
          <w:szCs w:val="24"/>
        </w:rPr>
        <w:tab/>
        <w:t>+</w:t>
      </w:r>
      <w:r w:rsidRPr="001B2F13">
        <w:rPr>
          <w:rFonts w:ascii="Times New Roman" w:hAnsi="Times New Roman" w:cs="Times New Roman"/>
          <w:sz w:val="24"/>
          <w:szCs w:val="24"/>
        </w:rPr>
        <w:tab/>
        <w:t>23.00</w:t>
      </w:r>
      <w:r w:rsidRPr="001B2F13">
        <w:rPr>
          <w:rFonts w:ascii="Times New Roman" w:hAnsi="Times New Roman" w:cs="Times New Roman"/>
          <w:sz w:val="24"/>
          <w:szCs w:val="24"/>
        </w:rPr>
        <w:tab/>
        <w:t>4.36E-03</w:t>
      </w:r>
      <w:r w:rsidRPr="001B2F13">
        <w:rPr>
          <w:rFonts w:ascii="Times New Roman" w:hAnsi="Times New Roman" w:cs="Times New Roman"/>
          <w:sz w:val="24"/>
          <w:szCs w:val="24"/>
        </w:rPr>
        <w:tab/>
        <w:t>3.97E-02</w:t>
      </w:r>
    </w:p>
    <w:p w14:paraId="781497C1"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basal transcription machinery binding (GO:0001098)</w:t>
      </w:r>
      <w:r w:rsidRPr="001B2F13">
        <w:rPr>
          <w:rFonts w:ascii="Times New Roman" w:hAnsi="Times New Roman" w:cs="Times New Roman"/>
          <w:sz w:val="24"/>
          <w:szCs w:val="24"/>
        </w:rPr>
        <w:tab/>
        <w:t>13</w:t>
      </w:r>
      <w:r w:rsidRPr="001B2F13">
        <w:rPr>
          <w:rFonts w:ascii="Times New Roman" w:hAnsi="Times New Roman" w:cs="Times New Roman"/>
          <w:sz w:val="24"/>
          <w:szCs w:val="24"/>
        </w:rPr>
        <w:tab/>
        <w:t>2</w:t>
      </w:r>
      <w:r w:rsidRPr="001B2F13">
        <w:rPr>
          <w:rFonts w:ascii="Times New Roman" w:hAnsi="Times New Roman" w:cs="Times New Roman"/>
          <w:sz w:val="24"/>
          <w:szCs w:val="24"/>
        </w:rPr>
        <w:tab/>
        <w:t>.09</w:t>
      </w:r>
      <w:r w:rsidRPr="001B2F13">
        <w:rPr>
          <w:rFonts w:ascii="Times New Roman" w:hAnsi="Times New Roman" w:cs="Times New Roman"/>
          <w:sz w:val="24"/>
          <w:szCs w:val="24"/>
        </w:rPr>
        <w:tab/>
        <w:t>+</w:t>
      </w:r>
      <w:r w:rsidRPr="001B2F13">
        <w:rPr>
          <w:rFonts w:ascii="Times New Roman" w:hAnsi="Times New Roman" w:cs="Times New Roman"/>
          <w:sz w:val="24"/>
          <w:szCs w:val="24"/>
        </w:rPr>
        <w:tab/>
        <w:t>23.00</w:t>
      </w:r>
      <w:r w:rsidRPr="001B2F13">
        <w:rPr>
          <w:rFonts w:ascii="Times New Roman" w:hAnsi="Times New Roman" w:cs="Times New Roman"/>
          <w:sz w:val="24"/>
          <w:szCs w:val="24"/>
        </w:rPr>
        <w:tab/>
        <w:t>4.36E-03</w:t>
      </w:r>
      <w:r w:rsidRPr="001B2F13">
        <w:rPr>
          <w:rFonts w:ascii="Times New Roman" w:hAnsi="Times New Roman" w:cs="Times New Roman"/>
          <w:sz w:val="24"/>
          <w:szCs w:val="24"/>
        </w:rPr>
        <w:tab/>
        <w:t>3.90E-02</w:t>
      </w:r>
    </w:p>
    <w:p w14:paraId="490EC3B8"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voltage-gated channel activity (GO:0022832)</w:t>
      </w:r>
      <w:r w:rsidRPr="001B2F13">
        <w:rPr>
          <w:rFonts w:ascii="Times New Roman" w:hAnsi="Times New Roman" w:cs="Times New Roman"/>
          <w:sz w:val="24"/>
          <w:szCs w:val="24"/>
        </w:rPr>
        <w:tab/>
        <w:t>33</w:t>
      </w:r>
      <w:r w:rsidRPr="001B2F13">
        <w:rPr>
          <w:rFonts w:ascii="Times New Roman" w:hAnsi="Times New Roman" w:cs="Times New Roman"/>
          <w:sz w:val="24"/>
          <w:szCs w:val="24"/>
        </w:rPr>
        <w:tab/>
        <w:t>5</w:t>
      </w:r>
      <w:r w:rsidRPr="001B2F13">
        <w:rPr>
          <w:rFonts w:ascii="Times New Roman" w:hAnsi="Times New Roman" w:cs="Times New Roman"/>
          <w:sz w:val="24"/>
          <w:szCs w:val="24"/>
        </w:rPr>
        <w:tab/>
        <w:t>.22</w:t>
      </w:r>
      <w:r w:rsidRPr="001B2F13">
        <w:rPr>
          <w:rFonts w:ascii="Times New Roman" w:hAnsi="Times New Roman" w:cs="Times New Roman"/>
          <w:sz w:val="24"/>
          <w:szCs w:val="24"/>
        </w:rPr>
        <w:tab/>
        <w:t>+</w:t>
      </w:r>
      <w:r w:rsidRPr="001B2F13">
        <w:rPr>
          <w:rFonts w:ascii="Times New Roman" w:hAnsi="Times New Roman" w:cs="Times New Roman"/>
          <w:sz w:val="24"/>
          <w:szCs w:val="24"/>
        </w:rPr>
        <w:tab/>
        <w:t>22.65</w:t>
      </w:r>
      <w:r w:rsidRPr="001B2F13">
        <w:rPr>
          <w:rFonts w:ascii="Times New Roman" w:hAnsi="Times New Roman" w:cs="Times New Roman"/>
          <w:sz w:val="24"/>
          <w:szCs w:val="24"/>
        </w:rPr>
        <w:tab/>
        <w:t>5.18E-06</w:t>
      </w:r>
      <w:r w:rsidRPr="001B2F13">
        <w:rPr>
          <w:rFonts w:ascii="Times New Roman" w:hAnsi="Times New Roman" w:cs="Times New Roman"/>
          <w:sz w:val="24"/>
          <w:szCs w:val="24"/>
        </w:rPr>
        <w:tab/>
        <w:t>5.28E-04</w:t>
      </w:r>
    </w:p>
    <w:p w14:paraId="56774661"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voltage-gated ion channel activity (GO:0005244)</w:t>
      </w:r>
      <w:r w:rsidRPr="001B2F13">
        <w:rPr>
          <w:rFonts w:ascii="Times New Roman" w:hAnsi="Times New Roman" w:cs="Times New Roman"/>
          <w:sz w:val="24"/>
          <w:szCs w:val="24"/>
        </w:rPr>
        <w:tab/>
        <w:t>33</w:t>
      </w:r>
      <w:r w:rsidRPr="001B2F13">
        <w:rPr>
          <w:rFonts w:ascii="Times New Roman" w:hAnsi="Times New Roman" w:cs="Times New Roman"/>
          <w:sz w:val="24"/>
          <w:szCs w:val="24"/>
        </w:rPr>
        <w:tab/>
        <w:t>5</w:t>
      </w:r>
      <w:r w:rsidRPr="001B2F13">
        <w:rPr>
          <w:rFonts w:ascii="Times New Roman" w:hAnsi="Times New Roman" w:cs="Times New Roman"/>
          <w:sz w:val="24"/>
          <w:szCs w:val="24"/>
        </w:rPr>
        <w:tab/>
        <w:t>.22</w:t>
      </w:r>
      <w:r w:rsidRPr="001B2F13">
        <w:rPr>
          <w:rFonts w:ascii="Times New Roman" w:hAnsi="Times New Roman" w:cs="Times New Roman"/>
          <w:sz w:val="24"/>
          <w:szCs w:val="24"/>
        </w:rPr>
        <w:tab/>
        <w:t>+</w:t>
      </w:r>
      <w:r w:rsidRPr="001B2F13">
        <w:rPr>
          <w:rFonts w:ascii="Times New Roman" w:hAnsi="Times New Roman" w:cs="Times New Roman"/>
          <w:sz w:val="24"/>
          <w:szCs w:val="24"/>
        </w:rPr>
        <w:tab/>
        <w:t>22.65</w:t>
      </w:r>
      <w:r w:rsidRPr="001B2F13">
        <w:rPr>
          <w:rFonts w:ascii="Times New Roman" w:hAnsi="Times New Roman" w:cs="Times New Roman"/>
          <w:sz w:val="24"/>
          <w:szCs w:val="24"/>
        </w:rPr>
        <w:tab/>
        <w:t>5.18E-06</w:t>
      </w:r>
      <w:r w:rsidRPr="001B2F13">
        <w:rPr>
          <w:rFonts w:ascii="Times New Roman" w:hAnsi="Times New Roman" w:cs="Times New Roman"/>
          <w:sz w:val="24"/>
          <w:szCs w:val="24"/>
        </w:rPr>
        <w:tab/>
        <w:t>4.40E-04</w:t>
      </w:r>
    </w:p>
    <w:p w14:paraId="38D3DD97"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voltage-gated cation channel activity (GO:0022843)</w:t>
      </w:r>
      <w:r w:rsidRPr="001B2F13">
        <w:rPr>
          <w:rFonts w:ascii="Times New Roman" w:hAnsi="Times New Roman" w:cs="Times New Roman"/>
          <w:sz w:val="24"/>
          <w:szCs w:val="24"/>
        </w:rPr>
        <w:tab/>
        <w:t>27</w:t>
      </w:r>
      <w:r w:rsidRPr="001B2F13">
        <w:rPr>
          <w:rFonts w:ascii="Times New Roman" w:hAnsi="Times New Roman" w:cs="Times New Roman"/>
          <w:sz w:val="24"/>
          <w:szCs w:val="24"/>
        </w:rPr>
        <w:tab/>
        <w:t>4</w:t>
      </w:r>
      <w:r w:rsidRPr="001B2F13">
        <w:rPr>
          <w:rFonts w:ascii="Times New Roman" w:hAnsi="Times New Roman" w:cs="Times New Roman"/>
          <w:sz w:val="24"/>
          <w:szCs w:val="24"/>
        </w:rPr>
        <w:tab/>
        <w:t>.18</w:t>
      </w:r>
      <w:r w:rsidRPr="001B2F13">
        <w:rPr>
          <w:rFonts w:ascii="Times New Roman" w:hAnsi="Times New Roman" w:cs="Times New Roman"/>
          <w:sz w:val="24"/>
          <w:szCs w:val="24"/>
        </w:rPr>
        <w:tab/>
        <w:t>+</w:t>
      </w:r>
      <w:r w:rsidRPr="001B2F13">
        <w:rPr>
          <w:rFonts w:ascii="Times New Roman" w:hAnsi="Times New Roman" w:cs="Times New Roman"/>
          <w:sz w:val="24"/>
          <w:szCs w:val="24"/>
        </w:rPr>
        <w:tab/>
        <w:t>22.15</w:t>
      </w:r>
      <w:r w:rsidRPr="001B2F13">
        <w:rPr>
          <w:rFonts w:ascii="Times New Roman" w:hAnsi="Times New Roman" w:cs="Times New Roman"/>
          <w:sz w:val="24"/>
          <w:szCs w:val="24"/>
        </w:rPr>
        <w:tab/>
        <w:t>5.17E-05</w:t>
      </w:r>
      <w:r w:rsidRPr="001B2F13">
        <w:rPr>
          <w:rFonts w:ascii="Times New Roman" w:hAnsi="Times New Roman" w:cs="Times New Roman"/>
          <w:sz w:val="24"/>
          <w:szCs w:val="24"/>
        </w:rPr>
        <w:tab/>
        <w:t>1.47E-03</w:t>
      </w:r>
    </w:p>
    <w:p w14:paraId="32E8C857"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lastRenderedPageBreak/>
        <w:t>RNA polymerase core enzyme binding (GO:0043175)</w:t>
      </w:r>
      <w:r w:rsidRPr="001B2F13">
        <w:rPr>
          <w:rFonts w:ascii="Times New Roman" w:hAnsi="Times New Roman" w:cs="Times New Roman"/>
          <w:sz w:val="24"/>
          <w:szCs w:val="24"/>
        </w:rPr>
        <w:tab/>
        <w:t>14</w:t>
      </w:r>
      <w:r w:rsidRPr="001B2F13">
        <w:rPr>
          <w:rFonts w:ascii="Times New Roman" w:hAnsi="Times New Roman" w:cs="Times New Roman"/>
          <w:sz w:val="24"/>
          <w:szCs w:val="24"/>
        </w:rPr>
        <w:tab/>
        <w:t>2</w:t>
      </w:r>
      <w:r w:rsidRPr="001B2F13">
        <w:rPr>
          <w:rFonts w:ascii="Times New Roman" w:hAnsi="Times New Roman" w:cs="Times New Roman"/>
          <w:sz w:val="24"/>
          <w:szCs w:val="24"/>
        </w:rPr>
        <w:tab/>
        <w:t>.09</w:t>
      </w:r>
      <w:r w:rsidRPr="001B2F13">
        <w:rPr>
          <w:rFonts w:ascii="Times New Roman" w:hAnsi="Times New Roman" w:cs="Times New Roman"/>
          <w:sz w:val="24"/>
          <w:szCs w:val="24"/>
        </w:rPr>
        <w:tab/>
        <w:t>+</w:t>
      </w:r>
      <w:r w:rsidRPr="001B2F13">
        <w:rPr>
          <w:rFonts w:ascii="Times New Roman" w:hAnsi="Times New Roman" w:cs="Times New Roman"/>
          <w:sz w:val="24"/>
          <w:szCs w:val="24"/>
        </w:rPr>
        <w:tab/>
        <w:t>21.36</w:t>
      </w:r>
      <w:r w:rsidRPr="001B2F13">
        <w:rPr>
          <w:rFonts w:ascii="Times New Roman" w:hAnsi="Times New Roman" w:cs="Times New Roman"/>
          <w:sz w:val="24"/>
          <w:szCs w:val="24"/>
        </w:rPr>
        <w:tab/>
        <w:t>4.96E-03</w:t>
      </w:r>
      <w:r w:rsidRPr="001B2F13">
        <w:rPr>
          <w:rFonts w:ascii="Times New Roman" w:hAnsi="Times New Roman" w:cs="Times New Roman"/>
          <w:sz w:val="24"/>
          <w:szCs w:val="24"/>
        </w:rPr>
        <w:tab/>
        <w:t>4.29E-02</w:t>
      </w:r>
    </w:p>
    <w:p w14:paraId="275A8D52"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neuropeptide binding (GO:0042923)</w:t>
      </w:r>
      <w:r w:rsidRPr="001B2F13">
        <w:rPr>
          <w:rFonts w:ascii="Times New Roman" w:hAnsi="Times New Roman" w:cs="Times New Roman"/>
          <w:sz w:val="24"/>
          <w:szCs w:val="24"/>
        </w:rPr>
        <w:tab/>
        <w:t>15</w:t>
      </w:r>
      <w:r w:rsidRPr="001B2F13">
        <w:rPr>
          <w:rFonts w:ascii="Times New Roman" w:hAnsi="Times New Roman" w:cs="Times New Roman"/>
          <w:sz w:val="24"/>
          <w:szCs w:val="24"/>
        </w:rPr>
        <w:tab/>
        <w:t>2</w:t>
      </w:r>
      <w:r w:rsidRPr="001B2F13">
        <w:rPr>
          <w:rFonts w:ascii="Times New Roman" w:hAnsi="Times New Roman" w:cs="Times New Roman"/>
          <w:sz w:val="24"/>
          <w:szCs w:val="24"/>
        </w:rPr>
        <w:tab/>
        <w:t>.10</w:t>
      </w:r>
      <w:r w:rsidRPr="001B2F13">
        <w:rPr>
          <w:rFonts w:ascii="Times New Roman" w:hAnsi="Times New Roman" w:cs="Times New Roman"/>
          <w:sz w:val="24"/>
          <w:szCs w:val="24"/>
        </w:rPr>
        <w:tab/>
        <w:t>+</w:t>
      </w:r>
      <w:r w:rsidRPr="001B2F13">
        <w:rPr>
          <w:rFonts w:ascii="Times New Roman" w:hAnsi="Times New Roman" w:cs="Times New Roman"/>
          <w:sz w:val="24"/>
          <w:szCs w:val="24"/>
        </w:rPr>
        <w:tab/>
        <w:t>19.93</w:t>
      </w:r>
      <w:r w:rsidRPr="001B2F13">
        <w:rPr>
          <w:rFonts w:ascii="Times New Roman" w:hAnsi="Times New Roman" w:cs="Times New Roman"/>
          <w:sz w:val="24"/>
          <w:szCs w:val="24"/>
        </w:rPr>
        <w:tab/>
        <w:t>5.60E-03</w:t>
      </w:r>
      <w:r w:rsidRPr="001B2F13">
        <w:rPr>
          <w:rFonts w:ascii="Times New Roman" w:hAnsi="Times New Roman" w:cs="Times New Roman"/>
          <w:sz w:val="24"/>
          <w:szCs w:val="24"/>
        </w:rPr>
        <w:tab/>
        <w:t>4.76E-02</w:t>
      </w:r>
    </w:p>
    <w:p w14:paraId="57EC42DA"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chloride channel activity (GO:0005254)</w:t>
      </w:r>
      <w:r w:rsidRPr="001B2F13">
        <w:rPr>
          <w:rFonts w:ascii="Times New Roman" w:hAnsi="Times New Roman" w:cs="Times New Roman"/>
          <w:sz w:val="24"/>
          <w:szCs w:val="24"/>
        </w:rPr>
        <w:tab/>
        <w:t>23</w:t>
      </w:r>
      <w:r w:rsidRPr="001B2F13">
        <w:rPr>
          <w:rFonts w:ascii="Times New Roman" w:hAnsi="Times New Roman" w:cs="Times New Roman"/>
          <w:sz w:val="24"/>
          <w:szCs w:val="24"/>
        </w:rPr>
        <w:tab/>
        <w:t>3</w:t>
      </w:r>
      <w:r w:rsidRPr="001B2F13">
        <w:rPr>
          <w:rFonts w:ascii="Times New Roman" w:hAnsi="Times New Roman" w:cs="Times New Roman"/>
          <w:sz w:val="24"/>
          <w:szCs w:val="24"/>
        </w:rPr>
        <w:tab/>
        <w:t>.15</w:t>
      </w:r>
      <w:r w:rsidRPr="001B2F13">
        <w:rPr>
          <w:rFonts w:ascii="Times New Roman" w:hAnsi="Times New Roman" w:cs="Times New Roman"/>
          <w:sz w:val="24"/>
          <w:szCs w:val="24"/>
        </w:rPr>
        <w:tab/>
        <w:t>+</w:t>
      </w:r>
      <w:r w:rsidRPr="001B2F13">
        <w:rPr>
          <w:rFonts w:ascii="Times New Roman" w:hAnsi="Times New Roman" w:cs="Times New Roman"/>
          <w:sz w:val="24"/>
          <w:szCs w:val="24"/>
        </w:rPr>
        <w:tab/>
        <w:t>19.50</w:t>
      </w:r>
      <w:r w:rsidRPr="001B2F13">
        <w:rPr>
          <w:rFonts w:ascii="Times New Roman" w:hAnsi="Times New Roman" w:cs="Times New Roman"/>
          <w:sz w:val="24"/>
          <w:szCs w:val="24"/>
        </w:rPr>
        <w:tab/>
        <w:t>6.71E-04</w:t>
      </w:r>
      <w:r w:rsidRPr="001B2F13">
        <w:rPr>
          <w:rFonts w:ascii="Times New Roman" w:hAnsi="Times New Roman" w:cs="Times New Roman"/>
          <w:sz w:val="24"/>
          <w:szCs w:val="24"/>
        </w:rPr>
        <w:tab/>
        <w:t>9.25E-03</w:t>
      </w:r>
    </w:p>
    <w:p w14:paraId="1DCD8AA7"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potassium channel activity (GO:0005267)</w:t>
      </w:r>
      <w:r w:rsidRPr="001B2F13">
        <w:rPr>
          <w:rFonts w:ascii="Times New Roman" w:hAnsi="Times New Roman" w:cs="Times New Roman"/>
          <w:sz w:val="24"/>
          <w:szCs w:val="24"/>
        </w:rPr>
        <w:tab/>
        <w:t>35</w:t>
      </w:r>
      <w:r w:rsidRPr="001B2F13">
        <w:rPr>
          <w:rFonts w:ascii="Times New Roman" w:hAnsi="Times New Roman" w:cs="Times New Roman"/>
          <w:sz w:val="24"/>
          <w:szCs w:val="24"/>
        </w:rPr>
        <w:tab/>
        <w:t>4</w:t>
      </w:r>
      <w:r w:rsidRPr="001B2F13">
        <w:rPr>
          <w:rFonts w:ascii="Times New Roman" w:hAnsi="Times New Roman" w:cs="Times New Roman"/>
          <w:sz w:val="24"/>
          <w:szCs w:val="24"/>
        </w:rPr>
        <w:tab/>
        <w:t>.23</w:t>
      </w:r>
      <w:r w:rsidRPr="001B2F13">
        <w:rPr>
          <w:rFonts w:ascii="Times New Roman" w:hAnsi="Times New Roman" w:cs="Times New Roman"/>
          <w:sz w:val="24"/>
          <w:szCs w:val="24"/>
        </w:rPr>
        <w:tab/>
        <w:t>+</w:t>
      </w:r>
      <w:r w:rsidRPr="001B2F13">
        <w:rPr>
          <w:rFonts w:ascii="Times New Roman" w:hAnsi="Times New Roman" w:cs="Times New Roman"/>
          <w:sz w:val="24"/>
          <w:szCs w:val="24"/>
        </w:rPr>
        <w:tab/>
        <w:t>17.08</w:t>
      </w:r>
      <w:r w:rsidRPr="001B2F13">
        <w:rPr>
          <w:rFonts w:ascii="Times New Roman" w:hAnsi="Times New Roman" w:cs="Times New Roman"/>
          <w:sz w:val="24"/>
          <w:szCs w:val="24"/>
        </w:rPr>
        <w:tab/>
        <w:t>1.30E-04</w:t>
      </w:r>
      <w:r w:rsidRPr="001B2F13">
        <w:rPr>
          <w:rFonts w:ascii="Times New Roman" w:hAnsi="Times New Roman" w:cs="Times New Roman"/>
          <w:sz w:val="24"/>
          <w:szCs w:val="24"/>
        </w:rPr>
        <w:tab/>
        <w:t>3.01E-03</w:t>
      </w:r>
    </w:p>
    <w:p w14:paraId="714CD9E5"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tetrapyrrole binding (GO:0046906)</w:t>
      </w:r>
      <w:r w:rsidRPr="001B2F13">
        <w:rPr>
          <w:rFonts w:ascii="Times New Roman" w:hAnsi="Times New Roman" w:cs="Times New Roman"/>
          <w:sz w:val="24"/>
          <w:szCs w:val="24"/>
        </w:rPr>
        <w:tab/>
        <w:t>29</w:t>
      </w:r>
      <w:r w:rsidRPr="001B2F13">
        <w:rPr>
          <w:rFonts w:ascii="Times New Roman" w:hAnsi="Times New Roman" w:cs="Times New Roman"/>
          <w:sz w:val="24"/>
          <w:szCs w:val="24"/>
        </w:rPr>
        <w:tab/>
        <w:t>3</w:t>
      </w:r>
      <w:r w:rsidRPr="001B2F13">
        <w:rPr>
          <w:rFonts w:ascii="Times New Roman" w:hAnsi="Times New Roman" w:cs="Times New Roman"/>
          <w:sz w:val="24"/>
          <w:szCs w:val="24"/>
        </w:rPr>
        <w:tab/>
        <w:t>.19</w:t>
      </w:r>
      <w:r w:rsidRPr="001B2F13">
        <w:rPr>
          <w:rFonts w:ascii="Times New Roman" w:hAnsi="Times New Roman" w:cs="Times New Roman"/>
          <w:sz w:val="24"/>
          <w:szCs w:val="24"/>
        </w:rPr>
        <w:tab/>
        <w:t>+</w:t>
      </w:r>
      <w:r w:rsidRPr="001B2F13">
        <w:rPr>
          <w:rFonts w:ascii="Times New Roman" w:hAnsi="Times New Roman" w:cs="Times New Roman"/>
          <w:sz w:val="24"/>
          <w:szCs w:val="24"/>
        </w:rPr>
        <w:tab/>
        <w:t>15.46</w:t>
      </w:r>
      <w:r w:rsidRPr="001B2F13">
        <w:rPr>
          <w:rFonts w:ascii="Times New Roman" w:hAnsi="Times New Roman" w:cs="Times New Roman"/>
          <w:sz w:val="24"/>
          <w:szCs w:val="24"/>
        </w:rPr>
        <w:tab/>
        <w:t>1.24E-03</w:t>
      </w:r>
      <w:r w:rsidRPr="001B2F13">
        <w:rPr>
          <w:rFonts w:ascii="Times New Roman" w:hAnsi="Times New Roman" w:cs="Times New Roman"/>
          <w:sz w:val="24"/>
          <w:szCs w:val="24"/>
        </w:rPr>
        <w:tab/>
        <w:t>1.44E-02</w:t>
      </w:r>
    </w:p>
    <w:p w14:paraId="2C500CFF"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heme binding (GO:0020037)</w:t>
      </w:r>
      <w:r w:rsidRPr="001B2F13">
        <w:rPr>
          <w:rFonts w:ascii="Times New Roman" w:hAnsi="Times New Roman" w:cs="Times New Roman"/>
          <w:sz w:val="24"/>
          <w:szCs w:val="24"/>
        </w:rPr>
        <w:tab/>
        <w:t>29</w:t>
      </w:r>
      <w:r w:rsidRPr="001B2F13">
        <w:rPr>
          <w:rFonts w:ascii="Times New Roman" w:hAnsi="Times New Roman" w:cs="Times New Roman"/>
          <w:sz w:val="24"/>
          <w:szCs w:val="24"/>
        </w:rPr>
        <w:tab/>
        <w:t>3</w:t>
      </w:r>
      <w:r w:rsidRPr="001B2F13">
        <w:rPr>
          <w:rFonts w:ascii="Times New Roman" w:hAnsi="Times New Roman" w:cs="Times New Roman"/>
          <w:sz w:val="24"/>
          <w:szCs w:val="24"/>
        </w:rPr>
        <w:tab/>
        <w:t>.19</w:t>
      </w:r>
      <w:r w:rsidRPr="001B2F13">
        <w:rPr>
          <w:rFonts w:ascii="Times New Roman" w:hAnsi="Times New Roman" w:cs="Times New Roman"/>
          <w:sz w:val="24"/>
          <w:szCs w:val="24"/>
        </w:rPr>
        <w:tab/>
        <w:t>+</w:t>
      </w:r>
      <w:r w:rsidRPr="001B2F13">
        <w:rPr>
          <w:rFonts w:ascii="Times New Roman" w:hAnsi="Times New Roman" w:cs="Times New Roman"/>
          <w:sz w:val="24"/>
          <w:szCs w:val="24"/>
        </w:rPr>
        <w:tab/>
        <w:t>15.46</w:t>
      </w:r>
      <w:r w:rsidRPr="001B2F13">
        <w:rPr>
          <w:rFonts w:ascii="Times New Roman" w:hAnsi="Times New Roman" w:cs="Times New Roman"/>
          <w:sz w:val="24"/>
          <w:szCs w:val="24"/>
        </w:rPr>
        <w:tab/>
        <w:t>1.24E-03</w:t>
      </w:r>
      <w:r w:rsidRPr="001B2F13">
        <w:rPr>
          <w:rFonts w:ascii="Times New Roman" w:hAnsi="Times New Roman" w:cs="Times New Roman"/>
          <w:sz w:val="24"/>
          <w:szCs w:val="24"/>
        </w:rPr>
        <w:tab/>
        <w:t>1.41E-02</w:t>
      </w:r>
    </w:p>
    <w:p w14:paraId="160F4E35"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sulfotransferase activity (GO:0008146)</w:t>
      </w:r>
      <w:r w:rsidRPr="001B2F13">
        <w:rPr>
          <w:rFonts w:ascii="Times New Roman" w:hAnsi="Times New Roman" w:cs="Times New Roman"/>
          <w:sz w:val="24"/>
          <w:szCs w:val="24"/>
        </w:rPr>
        <w:tab/>
        <w:t>53</w:t>
      </w:r>
      <w:r w:rsidRPr="001B2F13">
        <w:rPr>
          <w:rFonts w:ascii="Times New Roman" w:hAnsi="Times New Roman" w:cs="Times New Roman"/>
          <w:sz w:val="24"/>
          <w:szCs w:val="24"/>
        </w:rPr>
        <w:tab/>
        <w:t>5</w:t>
      </w:r>
      <w:r w:rsidRPr="001B2F13">
        <w:rPr>
          <w:rFonts w:ascii="Times New Roman" w:hAnsi="Times New Roman" w:cs="Times New Roman"/>
          <w:sz w:val="24"/>
          <w:szCs w:val="24"/>
        </w:rPr>
        <w:tab/>
        <w:t>.35</w:t>
      </w:r>
      <w:r w:rsidRPr="001B2F13">
        <w:rPr>
          <w:rFonts w:ascii="Times New Roman" w:hAnsi="Times New Roman" w:cs="Times New Roman"/>
          <w:sz w:val="24"/>
          <w:szCs w:val="24"/>
        </w:rPr>
        <w:tab/>
        <w:t>+</w:t>
      </w:r>
      <w:r w:rsidRPr="001B2F13">
        <w:rPr>
          <w:rFonts w:ascii="Times New Roman" w:hAnsi="Times New Roman" w:cs="Times New Roman"/>
          <w:sz w:val="24"/>
          <w:szCs w:val="24"/>
        </w:rPr>
        <w:tab/>
        <w:t>14.10</w:t>
      </w:r>
      <w:r w:rsidRPr="001B2F13">
        <w:rPr>
          <w:rFonts w:ascii="Times New Roman" w:hAnsi="Times New Roman" w:cs="Times New Roman"/>
          <w:sz w:val="24"/>
          <w:szCs w:val="24"/>
        </w:rPr>
        <w:tab/>
        <w:t>4.24E-05</w:t>
      </w:r>
      <w:r w:rsidRPr="001B2F13">
        <w:rPr>
          <w:rFonts w:ascii="Times New Roman" w:hAnsi="Times New Roman" w:cs="Times New Roman"/>
          <w:sz w:val="24"/>
          <w:szCs w:val="24"/>
        </w:rPr>
        <w:tab/>
        <w:t>1.44E-03</w:t>
      </w:r>
    </w:p>
    <w:p w14:paraId="64380A3D"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gated channel activity (GO:0022836)</w:t>
      </w:r>
      <w:r w:rsidRPr="001B2F13">
        <w:rPr>
          <w:rFonts w:ascii="Times New Roman" w:hAnsi="Times New Roman" w:cs="Times New Roman"/>
          <w:sz w:val="24"/>
          <w:szCs w:val="24"/>
        </w:rPr>
        <w:tab/>
        <w:t>77</w:t>
      </w:r>
      <w:r w:rsidRPr="001B2F13">
        <w:rPr>
          <w:rFonts w:ascii="Times New Roman" w:hAnsi="Times New Roman" w:cs="Times New Roman"/>
          <w:sz w:val="24"/>
          <w:szCs w:val="24"/>
        </w:rPr>
        <w:tab/>
        <w:t>6</w:t>
      </w:r>
      <w:r w:rsidRPr="001B2F13">
        <w:rPr>
          <w:rFonts w:ascii="Times New Roman" w:hAnsi="Times New Roman" w:cs="Times New Roman"/>
          <w:sz w:val="24"/>
          <w:szCs w:val="24"/>
        </w:rPr>
        <w:tab/>
        <w:t>.52</w:t>
      </w:r>
      <w:r w:rsidRPr="001B2F13">
        <w:rPr>
          <w:rFonts w:ascii="Times New Roman" w:hAnsi="Times New Roman" w:cs="Times New Roman"/>
          <w:sz w:val="24"/>
          <w:szCs w:val="24"/>
        </w:rPr>
        <w:tab/>
        <w:t>+</w:t>
      </w:r>
      <w:r w:rsidRPr="001B2F13">
        <w:rPr>
          <w:rFonts w:ascii="Times New Roman" w:hAnsi="Times New Roman" w:cs="Times New Roman"/>
          <w:sz w:val="24"/>
          <w:szCs w:val="24"/>
        </w:rPr>
        <w:tab/>
        <w:t>11.65</w:t>
      </w:r>
      <w:r w:rsidRPr="001B2F13">
        <w:rPr>
          <w:rFonts w:ascii="Times New Roman" w:hAnsi="Times New Roman" w:cs="Times New Roman"/>
          <w:sz w:val="24"/>
          <w:szCs w:val="24"/>
        </w:rPr>
        <w:tab/>
        <w:t>1.97E-05</w:t>
      </w:r>
      <w:r w:rsidRPr="001B2F13">
        <w:rPr>
          <w:rFonts w:ascii="Times New Roman" w:hAnsi="Times New Roman" w:cs="Times New Roman"/>
          <w:sz w:val="24"/>
          <w:szCs w:val="24"/>
        </w:rPr>
        <w:tab/>
        <w:t>1.26E-03</w:t>
      </w:r>
    </w:p>
    <w:p w14:paraId="54EDAED6"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potassium ion transmembrane transporter activity (GO:0015079)</w:t>
      </w:r>
      <w:r w:rsidRPr="001B2F13">
        <w:rPr>
          <w:rFonts w:ascii="Times New Roman" w:hAnsi="Times New Roman" w:cs="Times New Roman"/>
          <w:sz w:val="24"/>
          <w:szCs w:val="24"/>
        </w:rPr>
        <w:tab/>
        <w:t>53</w:t>
      </w:r>
      <w:r w:rsidRPr="001B2F13">
        <w:rPr>
          <w:rFonts w:ascii="Times New Roman" w:hAnsi="Times New Roman" w:cs="Times New Roman"/>
          <w:sz w:val="24"/>
          <w:szCs w:val="24"/>
        </w:rPr>
        <w:tab/>
        <w:t>4</w:t>
      </w:r>
      <w:r w:rsidRPr="001B2F13">
        <w:rPr>
          <w:rFonts w:ascii="Times New Roman" w:hAnsi="Times New Roman" w:cs="Times New Roman"/>
          <w:sz w:val="24"/>
          <w:szCs w:val="24"/>
        </w:rPr>
        <w:tab/>
        <w:t>.35</w:t>
      </w:r>
      <w:r w:rsidRPr="001B2F13">
        <w:rPr>
          <w:rFonts w:ascii="Times New Roman" w:hAnsi="Times New Roman" w:cs="Times New Roman"/>
          <w:sz w:val="24"/>
          <w:szCs w:val="24"/>
        </w:rPr>
        <w:tab/>
        <w:t>+</w:t>
      </w:r>
      <w:r w:rsidRPr="001B2F13">
        <w:rPr>
          <w:rFonts w:ascii="Times New Roman" w:hAnsi="Times New Roman" w:cs="Times New Roman"/>
          <w:sz w:val="24"/>
          <w:szCs w:val="24"/>
        </w:rPr>
        <w:tab/>
        <w:t>11.28</w:t>
      </w:r>
      <w:r w:rsidRPr="001B2F13">
        <w:rPr>
          <w:rFonts w:ascii="Times New Roman" w:hAnsi="Times New Roman" w:cs="Times New Roman"/>
          <w:sz w:val="24"/>
          <w:szCs w:val="24"/>
        </w:rPr>
        <w:tab/>
        <w:t>5.68E-04</w:t>
      </w:r>
      <w:r w:rsidRPr="001B2F13">
        <w:rPr>
          <w:rFonts w:ascii="Times New Roman" w:hAnsi="Times New Roman" w:cs="Times New Roman"/>
          <w:sz w:val="24"/>
          <w:szCs w:val="24"/>
        </w:rPr>
        <w:tab/>
        <w:t>8.04E-03</w:t>
      </w:r>
    </w:p>
    <w:p w14:paraId="3D591811"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hydrolase activity, hydrolyzing O-glycosyl compounds (GO:0004553)</w:t>
      </w:r>
      <w:r w:rsidRPr="001B2F13">
        <w:rPr>
          <w:rFonts w:ascii="Times New Roman" w:hAnsi="Times New Roman" w:cs="Times New Roman"/>
          <w:sz w:val="24"/>
          <w:szCs w:val="24"/>
        </w:rPr>
        <w:tab/>
        <w:t>81</w:t>
      </w:r>
      <w:r w:rsidRPr="001B2F13">
        <w:rPr>
          <w:rFonts w:ascii="Times New Roman" w:hAnsi="Times New Roman" w:cs="Times New Roman"/>
          <w:sz w:val="24"/>
          <w:szCs w:val="24"/>
        </w:rPr>
        <w:tab/>
        <w:t>6</w:t>
      </w:r>
      <w:r w:rsidRPr="001B2F13">
        <w:rPr>
          <w:rFonts w:ascii="Times New Roman" w:hAnsi="Times New Roman" w:cs="Times New Roman"/>
          <w:sz w:val="24"/>
          <w:szCs w:val="24"/>
        </w:rPr>
        <w:tab/>
        <w:t>.54</w:t>
      </w:r>
      <w:r w:rsidRPr="001B2F13">
        <w:rPr>
          <w:rFonts w:ascii="Times New Roman" w:hAnsi="Times New Roman" w:cs="Times New Roman"/>
          <w:sz w:val="24"/>
          <w:szCs w:val="24"/>
        </w:rPr>
        <w:tab/>
        <w:t>+</w:t>
      </w:r>
      <w:r w:rsidRPr="001B2F13">
        <w:rPr>
          <w:rFonts w:ascii="Times New Roman" w:hAnsi="Times New Roman" w:cs="Times New Roman"/>
          <w:sz w:val="24"/>
          <w:szCs w:val="24"/>
        </w:rPr>
        <w:tab/>
        <w:t>11.07</w:t>
      </w:r>
      <w:r w:rsidRPr="001B2F13">
        <w:rPr>
          <w:rFonts w:ascii="Times New Roman" w:hAnsi="Times New Roman" w:cs="Times New Roman"/>
          <w:sz w:val="24"/>
          <w:szCs w:val="24"/>
        </w:rPr>
        <w:tab/>
        <w:t>2.58E-05</w:t>
      </w:r>
      <w:r w:rsidRPr="001B2F13">
        <w:rPr>
          <w:rFonts w:ascii="Times New Roman" w:hAnsi="Times New Roman" w:cs="Times New Roman"/>
          <w:sz w:val="24"/>
          <w:szCs w:val="24"/>
        </w:rPr>
        <w:tab/>
        <w:t>1.20E-03</w:t>
      </w:r>
    </w:p>
    <w:p w14:paraId="1DFD133A"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hydrolase activity, acting on glycosyl bonds (GO:0016798)</w:t>
      </w:r>
      <w:r w:rsidRPr="001B2F13">
        <w:rPr>
          <w:rFonts w:ascii="Times New Roman" w:hAnsi="Times New Roman" w:cs="Times New Roman"/>
          <w:sz w:val="24"/>
          <w:szCs w:val="24"/>
        </w:rPr>
        <w:tab/>
        <w:t>88</w:t>
      </w:r>
      <w:r w:rsidRPr="001B2F13">
        <w:rPr>
          <w:rFonts w:ascii="Times New Roman" w:hAnsi="Times New Roman" w:cs="Times New Roman"/>
          <w:sz w:val="24"/>
          <w:szCs w:val="24"/>
        </w:rPr>
        <w:tab/>
        <w:t>6</w:t>
      </w:r>
      <w:r w:rsidRPr="001B2F13">
        <w:rPr>
          <w:rFonts w:ascii="Times New Roman" w:hAnsi="Times New Roman" w:cs="Times New Roman"/>
          <w:sz w:val="24"/>
          <w:szCs w:val="24"/>
        </w:rPr>
        <w:tab/>
        <w:t>.59</w:t>
      </w:r>
      <w:r w:rsidRPr="001B2F13">
        <w:rPr>
          <w:rFonts w:ascii="Times New Roman" w:hAnsi="Times New Roman" w:cs="Times New Roman"/>
          <w:sz w:val="24"/>
          <w:szCs w:val="24"/>
        </w:rPr>
        <w:tab/>
        <w:t>+</w:t>
      </w:r>
      <w:r w:rsidRPr="001B2F13">
        <w:rPr>
          <w:rFonts w:ascii="Times New Roman" w:hAnsi="Times New Roman" w:cs="Times New Roman"/>
          <w:sz w:val="24"/>
          <w:szCs w:val="24"/>
        </w:rPr>
        <w:tab/>
        <w:t>10.19</w:t>
      </w:r>
      <w:r w:rsidRPr="001B2F13">
        <w:rPr>
          <w:rFonts w:ascii="Times New Roman" w:hAnsi="Times New Roman" w:cs="Times New Roman"/>
          <w:sz w:val="24"/>
          <w:szCs w:val="24"/>
        </w:rPr>
        <w:tab/>
        <w:t>4.00E-05</w:t>
      </w:r>
      <w:r w:rsidRPr="001B2F13">
        <w:rPr>
          <w:rFonts w:ascii="Times New Roman" w:hAnsi="Times New Roman" w:cs="Times New Roman"/>
          <w:sz w:val="24"/>
          <w:szCs w:val="24"/>
        </w:rPr>
        <w:tab/>
        <w:t>1.46E-03</w:t>
      </w:r>
    </w:p>
    <w:p w14:paraId="10D763C0"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inorganic anion transmembrane transporter activity (GO:0015103)</w:t>
      </w:r>
      <w:r w:rsidRPr="001B2F13">
        <w:rPr>
          <w:rFonts w:ascii="Times New Roman" w:hAnsi="Times New Roman" w:cs="Times New Roman"/>
          <w:sz w:val="24"/>
          <w:szCs w:val="24"/>
        </w:rPr>
        <w:tab/>
        <w:t>46</w:t>
      </w:r>
      <w:r w:rsidRPr="001B2F13">
        <w:rPr>
          <w:rFonts w:ascii="Times New Roman" w:hAnsi="Times New Roman" w:cs="Times New Roman"/>
          <w:sz w:val="24"/>
          <w:szCs w:val="24"/>
        </w:rPr>
        <w:tab/>
        <w:t>3</w:t>
      </w:r>
      <w:r w:rsidRPr="001B2F13">
        <w:rPr>
          <w:rFonts w:ascii="Times New Roman" w:hAnsi="Times New Roman" w:cs="Times New Roman"/>
          <w:sz w:val="24"/>
          <w:szCs w:val="24"/>
        </w:rPr>
        <w:tab/>
        <w:t>.31</w:t>
      </w:r>
      <w:r w:rsidRPr="001B2F13">
        <w:rPr>
          <w:rFonts w:ascii="Times New Roman" w:hAnsi="Times New Roman" w:cs="Times New Roman"/>
          <w:sz w:val="24"/>
          <w:szCs w:val="24"/>
        </w:rPr>
        <w:tab/>
        <w:t>+</w:t>
      </w:r>
      <w:r w:rsidRPr="001B2F13">
        <w:rPr>
          <w:rFonts w:ascii="Times New Roman" w:hAnsi="Times New Roman" w:cs="Times New Roman"/>
          <w:sz w:val="24"/>
          <w:szCs w:val="24"/>
        </w:rPr>
        <w:tab/>
        <w:t>9.75</w:t>
      </w:r>
      <w:r w:rsidRPr="001B2F13">
        <w:rPr>
          <w:rFonts w:ascii="Times New Roman" w:hAnsi="Times New Roman" w:cs="Times New Roman"/>
          <w:sz w:val="24"/>
          <w:szCs w:val="24"/>
        </w:rPr>
        <w:tab/>
        <w:t>4.25E-03</w:t>
      </w:r>
      <w:r w:rsidRPr="001B2F13">
        <w:rPr>
          <w:rFonts w:ascii="Times New Roman" w:hAnsi="Times New Roman" w:cs="Times New Roman"/>
          <w:sz w:val="24"/>
          <w:szCs w:val="24"/>
        </w:rPr>
        <w:tab/>
        <w:t>4.02E-02</w:t>
      </w:r>
    </w:p>
    <w:p w14:paraId="321A81C3"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ion channel activity (GO:0005216)</w:t>
      </w:r>
      <w:r w:rsidRPr="001B2F13">
        <w:rPr>
          <w:rFonts w:ascii="Times New Roman" w:hAnsi="Times New Roman" w:cs="Times New Roman"/>
          <w:sz w:val="24"/>
          <w:szCs w:val="24"/>
        </w:rPr>
        <w:tab/>
        <w:t>145</w:t>
      </w:r>
      <w:r w:rsidRPr="001B2F13">
        <w:rPr>
          <w:rFonts w:ascii="Times New Roman" w:hAnsi="Times New Roman" w:cs="Times New Roman"/>
          <w:sz w:val="24"/>
          <w:szCs w:val="24"/>
        </w:rPr>
        <w:tab/>
        <w:t>8</w:t>
      </w:r>
      <w:r w:rsidRPr="001B2F13">
        <w:rPr>
          <w:rFonts w:ascii="Times New Roman" w:hAnsi="Times New Roman" w:cs="Times New Roman"/>
          <w:sz w:val="24"/>
          <w:szCs w:val="24"/>
        </w:rPr>
        <w:tab/>
        <w:t>.97</w:t>
      </w:r>
      <w:r w:rsidRPr="001B2F13">
        <w:rPr>
          <w:rFonts w:ascii="Times New Roman" w:hAnsi="Times New Roman" w:cs="Times New Roman"/>
          <w:sz w:val="24"/>
          <w:szCs w:val="24"/>
        </w:rPr>
        <w:tab/>
        <w:t>+</w:t>
      </w:r>
      <w:r w:rsidRPr="001B2F13">
        <w:rPr>
          <w:rFonts w:ascii="Times New Roman" w:hAnsi="Times New Roman" w:cs="Times New Roman"/>
          <w:sz w:val="24"/>
          <w:szCs w:val="24"/>
        </w:rPr>
        <w:tab/>
        <w:t>8.25</w:t>
      </w:r>
      <w:r w:rsidRPr="001B2F13">
        <w:rPr>
          <w:rFonts w:ascii="Times New Roman" w:hAnsi="Times New Roman" w:cs="Times New Roman"/>
          <w:sz w:val="24"/>
          <w:szCs w:val="24"/>
        </w:rPr>
        <w:tab/>
        <w:t>8.98E-06</w:t>
      </w:r>
      <w:r w:rsidRPr="001B2F13">
        <w:rPr>
          <w:rFonts w:ascii="Times New Roman" w:hAnsi="Times New Roman" w:cs="Times New Roman"/>
          <w:sz w:val="24"/>
          <w:szCs w:val="24"/>
        </w:rPr>
        <w:tab/>
        <w:t>6.54E-04</w:t>
      </w:r>
    </w:p>
    <w:p w14:paraId="3DF0D47B"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anion transmembrane transporter activity (GO:0008509)</w:t>
      </w:r>
      <w:r w:rsidRPr="001B2F13">
        <w:rPr>
          <w:rFonts w:ascii="Times New Roman" w:hAnsi="Times New Roman" w:cs="Times New Roman"/>
          <w:sz w:val="24"/>
          <w:szCs w:val="24"/>
        </w:rPr>
        <w:tab/>
        <w:t>76</w:t>
      </w:r>
      <w:r w:rsidRPr="001B2F13">
        <w:rPr>
          <w:rFonts w:ascii="Times New Roman" w:hAnsi="Times New Roman" w:cs="Times New Roman"/>
          <w:sz w:val="24"/>
          <w:szCs w:val="24"/>
        </w:rPr>
        <w:tab/>
        <w:t>4</w:t>
      </w:r>
      <w:r w:rsidRPr="001B2F13">
        <w:rPr>
          <w:rFonts w:ascii="Times New Roman" w:hAnsi="Times New Roman" w:cs="Times New Roman"/>
          <w:sz w:val="24"/>
          <w:szCs w:val="24"/>
        </w:rPr>
        <w:tab/>
        <w:t>.51</w:t>
      </w:r>
      <w:r w:rsidRPr="001B2F13">
        <w:rPr>
          <w:rFonts w:ascii="Times New Roman" w:hAnsi="Times New Roman" w:cs="Times New Roman"/>
          <w:sz w:val="24"/>
          <w:szCs w:val="24"/>
        </w:rPr>
        <w:tab/>
        <w:t>+</w:t>
      </w:r>
      <w:r w:rsidRPr="001B2F13">
        <w:rPr>
          <w:rFonts w:ascii="Times New Roman" w:hAnsi="Times New Roman" w:cs="Times New Roman"/>
          <w:sz w:val="24"/>
          <w:szCs w:val="24"/>
        </w:rPr>
        <w:tab/>
        <w:t>7.87</w:t>
      </w:r>
      <w:r w:rsidRPr="001B2F13">
        <w:rPr>
          <w:rFonts w:ascii="Times New Roman" w:hAnsi="Times New Roman" w:cs="Times New Roman"/>
          <w:sz w:val="24"/>
          <w:szCs w:val="24"/>
        </w:rPr>
        <w:tab/>
        <w:t>2.02E-03</w:t>
      </w:r>
      <w:r w:rsidRPr="001B2F13">
        <w:rPr>
          <w:rFonts w:ascii="Times New Roman" w:hAnsi="Times New Roman" w:cs="Times New Roman"/>
          <w:sz w:val="24"/>
          <w:szCs w:val="24"/>
        </w:rPr>
        <w:tab/>
        <w:t>2.10E-02</w:t>
      </w:r>
    </w:p>
    <w:p w14:paraId="5B1446D4"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passive transmembrane transporter activity (GO:0022803)</w:t>
      </w:r>
      <w:r w:rsidRPr="001B2F13">
        <w:rPr>
          <w:rFonts w:ascii="Times New Roman" w:hAnsi="Times New Roman" w:cs="Times New Roman"/>
          <w:sz w:val="24"/>
          <w:szCs w:val="24"/>
        </w:rPr>
        <w:tab/>
        <w:t>163</w:t>
      </w:r>
      <w:r w:rsidRPr="001B2F13">
        <w:rPr>
          <w:rFonts w:ascii="Times New Roman" w:hAnsi="Times New Roman" w:cs="Times New Roman"/>
          <w:sz w:val="24"/>
          <w:szCs w:val="24"/>
        </w:rPr>
        <w:tab/>
        <w:t>8</w:t>
      </w:r>
      <w:r w:rsidRPr="001B2F13">
        <w:rPr>
          <w:rFonts w:ascii="Times New Roman" w:hAnsi="Times New Roman" w:cs="Times New Roman"/>
          <w:sz w:val="24"/>
          <w:szCs w:val="24"/>
        </w:rPr>
        <w:tab/>
        <w:t>1.09</w:t>
      </w:r>
      <w:r w:rsidRPr="001B2F13">
        <w:rPr>
          <w:rFonts w:ascii="Times New Roman" w:hAnsi="Times New Roman" w:cs="Times New Roman"/>
          <w:sz w:val="24"/>
          <w:szCs w:val="24"/>
        </w:rPr>
        <w:tab/>
        <w:t>+</w:t>
      </w:r>
      <w:r w:rsidRPr="001B2F13">
        <w:rPr>
          <w:rFonts w:ascii="Times New Roman" w:hAnsi="Times New Roman" w:cs="Times New Roman"/>
          <w:sz w:val="24"/>
          <w:szCs w:val="24"/>
        </w:rPr>
        <w:tab/>
        <w:t>7.34</w:t>
      </w:r>
      <w:r w:rsidRPr="001B2F13">
        <w:rPr>
          <w:rFonts w:ascii="Times New Roman" w:hAnsi="Times New Roman" w:cs="Times New Roman"/>
          <w:sz w:val="24"/>
          <w:szCs w:val="24"/>
        </w:rPr>
        <w:tab/>
        <w:t>2.01E-05</w:t>
      </w:r>
      <w:r w:rsidRPr="001B2F13">
        <w:rPr>
          <w:rFonts w:ascii="Times New Roman" w:hAnsi="Times New Roman" w:cs="Times New Roman"/>
          <w:sz w:val="24"/>
          <w:szCs w:val="24"/>
        </w:rPr>
        <w:tab/>
        <w:t>1.14E-03</w:t>
      </w:r>
    </w:p>
    <w:p w14:paraId="33EE0C2E"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channel activity (GO:0015267)</w:t>
      </w:r>
      <w:r w:rsidRPr="001B2F13">
        <w:rPr>
          <w:rFonts w:ascii="Times New Roman" w:hAnsi="Times New Roman" w:cs="Times New Roman"/>
          <w:sz w:val="24"/>
          <w:szCs w:val="24"/>
        </w:rPr>
        <w:tab/>
        <w:t>163</w:t>
      </w:r>
      <w:r w:rsidRPr="001B2F13">
        <w:rPr>
          <w:rFonts w:ascii="Times New Roman" w:hAnsi="Times New Roman" w:cs="Times New Roman"/>
          <w:sz w:val="24"/>
          <w:szCs w:val="24"/>
        </w:rPr>
        <w:tab/>
        <w:t>8</w:t>
      </w:r>
      <w:r w:rsidRPr="001B2F13">
        <w:rPr>
          <w:rFonts w:ascii="Times New Roman" w:hAnsi="Times New Roman" w:cs="Times New Roman"/>
          <w:sz w:val="24"/>
          <w:szCs w:val="24"/>
        </w:rPr>
        <w:tab/>
        <w:t>1.09</w:t>
      </w:r>
      <w:r w:rsidRPr="001B2F13">
        <w:rPr>
          <w:rFonts w:ascii="Times New Roman" w:hAnsi="Times New Roman" w:cs="Times New Roman"/>
          <w:sz w:val="24"/>
          <w:szCs w:val="24"/>
        </w:rPr>
        <w:tab/>
        <w:t>+</w:t>
      </w:r>
      <w:r w:rsidRPr="001B2F13">
        <w:rPr>
          <w:rFonts w:ascii="Times New Roman" w:hAnsi="Times New Roman" w:cs="Times New Roman"/>
          <w:sz w:val="24"/>
          <w:szCs w:val="24"/>
        </w:rPr>
        <w:tab/>
        <w:t>7.34</w:t>
      </w:r>
      <w:r w:rsidRPr="001B2F13">
        <w:rPr>
          <w:rFonts w:ascii="Times New Roman" w:hAnsi="Times New Roman" w:cs="Times New Roman"/>
          <w:sz w:val="24"/>
          <w:szCs w:val="24"/>
        </w:rPr>
        <w:tab/>
        <w:t>2.01E-05</w:t>
      </w:r>
      <w:r w:rsidRPr="001B2F13">
        <w:rPr>
          <w:rFonts w:ascii="Times New Roman" w:hAnsi="Times New Roman" w:cs="Times New Roman"/>
          <w:sz w:val="24"/>
          <w:szCs w:val="24"/>
        </w:rPr>
        <w:tab/>
        <w:t>1.03E-03</w:t>
      </w:r>
    </w:p>
    <w:p w14:paraId="4E562065"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cation channel activity (GO:0005261)</w:t>
      </w:r>
      <w:r w:rsidRPr="001B2F13">
        <w:rPr>
          <w:rFonts w:ascii="Times New Roman" w:hAnsi="Times New Roman" w:cs="Times New Roman"/>
          <w:sz w:val="24"/>
          <w:szCs w:val="24"/>
        </w:rPr>
        <w:tab/>
        <w:t>110</w:t>
      </w:r>
      <w:r w:rsidRPr="001B2F13">
        <w:rPr>
          <w:rFonts w:ascii="Times New Roman" w:hAnsi="Times New Roman" w:cs="Times New Roman"/>
          <w:sz w:val="24"/>
          <w:szCs w:val="24"/>
        </w:rPr>
        <w:tab/>
        <w:t>5</w:t>
      </w:r>
      <w:r w:rsidRPr="001B2F13">
        <w:rPr>
          <w:rFonts w:ascii="Times New Roman" w:hAnsi="Times New Roman" w:cs="Times New Roman"/>
          <w:sz w:val="24"/>
          <w:szCs w:val="24"/>
        </w:rPr>
        <w:tab/>
        <w:t>.74</w:t>
      </w:r>
      <w:r w:rsidRPr="001B2F13">
        <w:rPr>
          <w:rFonts w:ascii="Times New Roman" w:hAnsi="Times New Roman" w:cs="Times New Roman"/>
          <w:sz w:val="24"/>
          <w:szCs w:val="24"/>
        </w:rPr>
        <w:tab/>
        <w:t>+</w:t>
      </w:r>
      <w:r w:rsidRPr="001B2F13">
        <w:rPr>
          <w:rFonts w:ascii="Times New Roman" w:hAnsi="Times New Roman" w:cs="Times New Roman"/>
          <w:sz w:val="24"/>
          <w:szCs w:val="24"/>
        </w:rPr>
        <w:tab/>
        <w:t>6.79</w:t>
      </w:r>
      <w:r w:rsidRPr="001B2F13">
        <w:rPr>
          <w:rFonts w:ascii="Times New Roman" w:hAnsi="Times New Roman" w:cs="Times New Roman"/>
          <w:sz w:val="24"/>
          <w:szCs w:val="24"/>
        </w:rPr>
        <w:tab/>
        <w:t>1.05E-03</w:t>
      </w:r>
      <w:r w:rsidRPr="001B2F13">
        <w:rPr>
          <w:rFonts w:ascii="Times New Roman" w:hAnsi="Times New Roman" w:cs="Times New Roman"/>
          <w:sz w:val="24"/>
          <w:szCs w:val="24"/>
        </w:rPr>
        <w:tab/>
        <w:t>1.27E-02</w:t>
      </w:r>
    </w:p>
    <w:p w14:paraId="59259ACE"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lastRenderedPageBreak/>
        <w:t>transmembrane signaling receptor activity (GO:0004888)</w:t>
      </w:r>
      <w:r w:rsidRPr="001B2F13">
        <w:rPr>
          <w:rFonts w:ascii="Times New Roman" w:hAnsi="Times New Roman" w:cs="Times New Roman"/>
          <w:sz w:val="24"/>
          <w:szCs w:val="24"/>
        </w:rPr>
        <w:tab/>
        <w:t>168</w:t>
      </w:r>
      <w:r w:rsidRPr="001B2F13">
        <w:rPr>
          <w:rFonts w:ascii="Times New Roman" w:hAnsi="Times New Roman" w:cs="Times New Roman"/>
          <w:sz w:val="24"/>
          <w:szCs w:val="24"/>
        </w:rPr>
        <w:tab/>
        <w:t>7</w:t>
      </w:r>
      <w:r w:rsidRPr="001B2F13">
        <w:rPr>
          <w:rFonts w:ascii="Times New Roman" w:hAnsi="Times New Roman" w:cs="Times New Roman"/>
          <w:sz w:val="24"/>
          <w:szCs w:val="24"/>
        </w:rPr>
        <w:tab/>
        <w:t>1.12</w:t>
      </w:r>
      <w:r w:rsidRPr="001B2F13">
        <w:rPr>
          <w:rFonts w:ascii="Times New Roman" w:hAnsi="Times New Roman" w:cs="Times New Roman"/>
          <w:sz w:val="24"/>
          <w:szCs w:val="24"/>
        </w:rPr>
        <w:tab/>
        <w:t>+</w:t>
      </w:r>
      <w:r w:rsidRPr="001B2F13">
        <w:rPr>
          <w:rFonts w:ascii="Times New Roman" w:hAnsi="Times New Roman" w:cs="Times New Roman"/>
          <w:sz w:val="24"/>
          <w:szCs w:val="24"/>
        </w:rPr>
        <w:tab/>
        <w:t>6.23</w:t>
      </w:r>
      <w:r w:rsidRPr="001B2F13">
        <w:rPr>
          <w:rFonts w:ascii="Times New Roman" w:hAnsi="Times New Roman" w:cs="Times New Roman"/>
          <w:sz w:val="24"/>
          <w:szCs w:val="24"/>
        </w:rPr>
        <w:tab/>
        <w:t>1.78E-04</w:t>
      </w:r>
      <w:r w:rsidRPr="001B2F13">
        <w:rPr>
          <w:rFonts w:ascii="Times New Roman" w:hAnsi="Times New Roman" w:cs="Times New Roman"/>
          <w:sz w:val="24"/>
          <w:szCs w:val="24"/>
        </w:rPr>
        <w:tab/>
        <w:t>3.48E-03</w:t>
      </w:r>
    </w:p>
    <w:p w14:paraId="12B0C20E"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peptide binding (GO:0042277)</w:t>
      </w:r>
      <w:r w:rsidRPr="001B2F13">
        <w:rPr>
          <w:rFonts w:ascii="Times New Roman" w:hAnsi="Times New Roman" w:cs="Times New Roman"/>
          <w:sz w:val="24"/>
          <w:szCs w:val="24"/>
        </w:rPr>
        <w:tab/>
        <w:t>98</w:t>
      </w:r>
      <w:r w:rsidRPr="001B2F13">
        <w:rPr>
          <w:rFonts w:ascii="Times New Roman" w:hAnsi="Times New Roman" w:cs="Times New Roman"/>
          <w:sz w:val="24"/>
          <w:szCs w:val="24"/>
        </w:rPr>
        <w:tab/>
        <w:t>4</w:t>
      </w:r>
      <w:r w:rsidRPr="001B2F13">
        <w:rPr>
          <w:rFonts w:ascii="Times New Roman" w:hAnsi="Times New Roman" w:cs="Times New Roman"/>
          <w:sz w:val="24"/>
          <w:szCs w:val="24"/>
        </w:rPr>
        <w:tab/>
        <w:t>.66</w:t>
      </w:r>
      <w:r w:rsidRPr="001B2F13">
        <w:rPr>
          <w:rFonts w:ascii="Times New Roman" w:hAnsi="Times New Roman" w:cs="Times New Roman"/>
          <w:sz w:val="24"/>
          <w:szCs w:val="24"/>
        </w:rPr>
        <w:tab/>
        <w:t>+</w:t>
      </w:r>
      <w:r w:rsidRPr="001B2F13">
        <w:rPr>
          <w:rFonts w:ascii="Times New Roman" w:hAnsi="Times New Roman" w:cs="Times New Roman"/>
          <w:sz w:val="24"/>
          <w:szCs w:val="24"/>
        </w:rPr>
        <w:tab/>
        <w:t>6.10</w:t>
      </w:r>
      <w:r w:rsidRPr="001B2F13">
        <w:rPr>
          <w:rFonts w:ascii="Times New Roman" w:hAnsi="Times New Roman" w:cs="Times New Roman"/>
          <w:sz w:val="24"/>
          <w:szCs w:val="24"/>
        </w:rPr>
        <w:tab/>
        <w:t>4.84E-03</w:t>
      </w:r>
      <w:r w:rsidRPr="001B2F13">
        <w:rPr>
          <w:rFonts w:ascii="Times New Roman" w:hAnsi="Times New Roman" w:cs="Times New Roman"/>
          <w:sz w:val="24"/>
          <w:szCs w:val="24"/>
        </w:rPr>
        <w:tab/>
        <w:t>4.26E-02</w:t>
      </w:r>
    </w:p>
    <w:p w14:paraId="2211582C"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inorganic molecular entity transmembrane transporter activity (GO:0015318)</w:t>
      </w:r>
      <w:r w:rsidRPr="001B2F13">
        <w:rPr>
          <w:rFonts w:ascii="Times New Roman" w:hAnsi="Times New Roman" w:cs="Times New Roman"/>
          <w:sz w:val="24"/>
          <w:szCs w:val="24"/>
        </w:rPr>
        <w:tab/>
        <w:t>210</w:t>
      </w:r>
      <w:r w:rsidRPr="001B2F13">
        <w:rPr>
          <w:rFonts w:ascii="Times New Roman" w:hAnsi="Times New Roman" w:cs="Times New Roman"/>
          <w:sz w:val="24"/>
          <w:szCs w:val="24"/>
        </w:rPr>
        <w:tab/>
        <w:t>8</w:t>
      </w:r>
      <w:r w:rsidRPr="001B2F13">
        <w:rPr>
          <w:rFonts w:ascii="Times New Roman" w:hAnsi="Times New Roman" w:cs="Times New Roman"/>
          <w:sz w:val="24"/>
          <w:szCs w:val="24"/>
        </w:rPr>
        <w:tab/>
        <w:t>1.40</w:t>
      </w:r>
      <w:r w:rsidRPr="001B2F13">
        <w:rPr>
          <w:rFonts w:ascii="Times New Roman" w:hAnsi="Times New Roman" w:cs="Times New Roman"/>
          <w:sz w:val="24"/>
          <w:szCs w:val="24"/>
        </w:rPr>
        <w:tab/>
        <w:t>+</w:t>
      </w:r>
      <w:r w:rsidRPr="001B2F13">
        <w:rPr>
          <w:rFonts w:ascii="Times New Roman" w:hAnsi="Times New Roman" w:cs="Times New Roman"/>
          <w:sz w:val="24"/>
          <w:szCs w:val="24"/>
        </w:rPr>
        <w:tab/>
        <w:t>5.69</w:t>
      </w:r>
      <w:r w:rsidRPr="001B2F13">
        <w:rPr>
          <w:rFonts w:ascii="Times New Roman" w:hAnsi="Times New Roman" w:cs="Times New Roman"/>
          <w:sz w:val="24"/>
          <w:szCs w:val="24"/>
        </w:rPr>
        <w:tab/>
        <w:t>1.12E-04</w:t>
      </w:r>
      <w:r w:rsidRPr="001B2F13">
        <w:rPr>
          <w:rFonts w:ascii="Times New Roman" w:hAnsi="Times New Roman" w:cs="Times New Roman"/>
          <w:sz w:val="24"/>
          <w:szCs w:val="24"/>
        </w:rPr>
        <w:tab/>
        <w:t>2.72E-03</w:t>
      </w:r>
    </w:p>
    <w:p w14:paraId="0E705599"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RNA polymerase II cis-regulatory region sequence-specific DNA binding (GO:0000978)</w:t>
      </w:r>
      <w:r w:rsidRPr="001B2F13">
        <w:rPr>
          <w:rFonts w:ascii="Times New Roman" w:hAnsi="Times New Roman" w:cs="Times New Roman"/>
          <w:sz w:val="24"/>
          <w:szCs w:val="24"/>
        </w:rPr>
        <w:tab/>
        <w:t>215</w:t>
      </w:r>
      <w:r w:rsidRPr="001B2F13">
        <w:rPr>
          <w:rFonts w:ascii="Times New Roman" w:hAnsi="Times New Roman" w:cs="Times New Roman"/>
          <w:sz w:val="24"/>
          <w:szCs w:val="24"/>
        </w:rPr>
        <w:tab/>
        <w:t>8</w:t>
      </w:r>
      <w:r w:rsidRPr="001B2F13">
        <w:rPr>
          <w:rFonts w:ascii="Times New Roman" w:hAnsi="Times New Roman" w:cs="Times New Roman"/>
          <w:sz w:val="24"/>
          <w:szCs w:val="24"/>
        </w:rPr>
        <w:tab/>
        <w:t>1.44</w:t>
      </w:r>
      <w:r w:rsidRPr="001B2F13">
        <w:rPr>
          <w:rFonts w:ascii="Times New Roman" w:hAnsi="Times New Roman" w:cs="Times New Roman"/>
          <w:sz w:val="24"/>
          <w:szCs w:val="24"/>
        </w:rPr>
        <w:tab/>
        <w:t>+</w:t>
      </w:r>
      <w:r w:rsidRPr="001B2F13">
        <w:rPr>
          <w:rFonts w:ascii="Times New Roman" w:hAnsi="Times New Roman" w:cs="Times New Roman"/>
          <w:sz w:val="24"/>
          <w:szCs w:val="24"/>
        </w:rPr>
        <w:tab/>
        <w:t>5.56</w:t>
      </w:r>
      <w:r w:rsidRPr="001B2F13">
        <w:rPr>
          <w:rFonts w:ascii="Times New Roman" w:hAnsi="Times New Roman" w:cs="Times New Roman"/>
          <w:sz w:val="24"/>
          <w:szCs w:val="24"/>
        </w:rPr>
        <w:tab/>
        <w:t>1.31E-04</w:t>
      </w:r>
      <w:r w:rsidRPr="001B2F13">
        <w:rPr>
          <w:rFonts w:ascii="Times New Roman" w:hAnsi="Times New Roman" w:cs="Times New Roman"/>
          <w:sz w:val="24"/>
          <w:szCs w:val="24"/>
        </w:rPr>
        <w:tab/>
        <w:t>2.90E-03</w:t>
      </w:r>
    </w:p>
    <w:p w14:paraId="0690783F"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ion transmembrane transporter activity (GO:0015075)</w:t>
      </w:r>
      <w:r w:rsidRPr="001B2F13">
        <w:rPr>
          <w:rFonts w:ascii="Times New Roman" w:hAnsi="Times New Roman" w:cs="Times New Roman"/>
          <w:sz w:val="24"/>
          <w:szCs w:val="24"/>
        </w:rPr>
        <w:tab/>
        <w:t>242</w:t>
      </w:r>
      <w:r w:rsidRPr="001B2F13">
        <w:rPr>
          <w:rFonts w:ascii="Times New Roman" w:hAnsi="Times New Roman" w:cs="Times New Roman"/>
          <w:sz w:val="24"/>
          <w:szCs w:val="24"/>
        </w:rPr>
        <w:tab/>
        <w:t>9</w:t>
      </w:r>
      <w:r w:rsidRPr="001B2F13">
        <w:rPr>
          <w:rFonts w:ascii="Times New Roman" w:hAnsi="Times New Roman" w:cs="Times New Roman"/>
          <w:sz w:val="24"/>
          <w:szCs w:val="24"/>
        </w:rPr>
        <w:tab/>
        <w:t>1.62</w:t>
      </w:r>
      <w:r w:rsidRPr="001B2F13">
        <w:rPr>
          <w:rFonts w:ascii="Times New Roman" w:hAnsi="Times New Roman" w:cs="Times New Roman"/>
          <w:sz w:val="24"/>
          <w:szCs w:val="24"/>
        </w:rPr>
        <w:tab/>
        <w:t>+</w:t>
      </w:r>
      <w:r w:rsidRPr="001B2F13">
        <w:rPr>
          <w:rFonts w:ascii="Times New Roman" w:hAnsi="Times New Roman" w:cs="Times New Roman"/>
          <w:sz w:val="24"/>
          <w:szCs w:val="24"/>
        </w:rPr>
        <w:tab/>
        <w:t>5.56</w:t>
      </w:r>
      <w:r w:rsidRPr="001B2F13">
        <w:rPr>
          <w:rFonts w:ascii="Times New Roman" w:hAnsi="Times New Roman" w:cs="Times New Roman"/>
          <w:sz w:val="24"/>
          <w:szCs w:val="24"/>
        </w:rPr>
        <w:tab/>
        <w:t>4.99E-05</w:t>
      </w:r>
      <w:r w:rsidRPr="001B2F13">
        <w:rPr>
          <w:rFonts w:ascii="Times New Roman" w:hAnsi="Times New Roman" w:cs="Times New Roman"/>
          <w:sz w:val="24"/>
          <w:szCs w:val="24"/>
        </w:rPr>
        <w:tab/>
        <w:t>1.50E-03</w:t>
      </w:r>
    </w:p>
    <w:p w14:paraId="6F61BC0F"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cis-regulatory region sequence-specific DNA binding (GO:0000987)</w:t>
      </w:r>
      <w:r w:rsidRPr="001B2F13">
        <w:rPr>
          <w:rFonts w:ascii="Times New Roman" w:hAnsi="Times New Roman" w:cs="Times New Roman"/>
          <w:sz w:val="24"/>
          <w:szCs w:val="24"/>
        </w:rPr>
        <w:tab/>
        <w:t>216</w:t>
      </w:r>
      <w:r w:rsidRPr="001B2F13">
        <w:rPr>
          <w:rFonts w:ascii="Times New Roman" w:hAnsi="Times New Roman" w:cs="Times New Roman"/>
          <w:sz w:val="24"/>
          <w:szCs w:val="24"/>
        </w:rPr>
        <w:tab/>
        <w:t>8</w:t>
      </w:r>
      <w:r w:rsidRPr="001B2F13">
        <w:rPr>
          <w:rFonts w:ascii="Times New Roman" w:hAnsi="Times New Roman" w:cs="Times New Roman"/>
          <w:sz w:val="24"/>
          <w:szCs w:val="24"/>
        </w:rPr>
        <w:tab/>
        <w:t>1.44</w:t>
      </w:r>
      <w:r w:rsidRPr="001B2F13">
        <w:rPr>
          <w:rFonts w:ascii="Times New Roman" w:hAnsi="Times New Roman" w:cs="Times New Roman"/>
          <w:sz w:val="24"/>
          <w:szCs w:val="24"/>
        </w:rPr>
        <w:tab/>
        <w:t>+</w:t>
      </w:r>
      <w:r w:rsidRPr="001B2F13">
        <w:rPr>
          <w:rFonts w:ascii="Times New Roman" w:hAnsi="Times New Roman" w:cs="Times New Roman"/>
          <w:sz w:val="24"/>
          <w:szCs w:val="24"/>
        </w:rPr>
        <w:tab/>
        <w:t>5.54</w:t>
      </w:r>
      <w:r w:rsidRPr="001B2F13">
        <w:rPr>
          <w:rFonts w:ascii="Times New Roman" w:hAnsi="Times New Roman" w:cs="Times New Roman"/>
          <w:sz w:val="24"/>
          <w:szCs w:val="24"/>
        </w:rPr>
        <w:tab/>
        <w:t>1.35E-04</w:t>
      </w:r>
      <w:r w:rsidRPr="001B2F13">
        <w:rPr>
          <w:rFonts w:ascii="Times New Roman" w:hAnsi="Times New Roman" w:cs="Times New Roman"/>
          <w:sz w:val="24"/>
          <w:szCs w:val="24"/>
        </w:rPr>
        <w:tab/>
        <w:t>2.86E-03</w:t>
      </w:r>
    </w:p>
    <w:p w14:paraId="13788DFA"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signaling receptor activity (GO:0038023)</w:t>
      </w:r>
      <w:r w:rsidRPr="001B2F13">
        <w:rPr>
          <w:rFonts w:ascii="Times New Roman" w:hAnsi="Times New Roman" w:cs="Times New Roman"/>
          <w:sz w:val="24"/>
          <w:szCs w:val="24"/>
        </w:rPr>
        <w:tab/>
        <w:t>279</w:t>
      </w:r>
      <w:r w:rsidRPr="001B2F13">
        <w:rPr>
          <w:rFonts w:ascii="Times New Roman" w:hAnsi="Times New Roman" w:cs="Times New Roman"/>
          <w:sz w:val="24"/>
          <w:szCs w:val="24"/>
        </w:rPr>
        <w:tab/>
        <w:t>10</w:t>
      </w:r>
      <w:r w:rsidRPr="001B2F13">
        <w:rPr>
          <w:rFonts w:ascii="Times New Roman" w:hAnsi="Times New Roman" w:cs="Times New Roman"/>
          <w:sz w:val="24"/>
          <w:szCs w:val="24"/>
        </w:rPr>
        <w:tab/>
        <w:t>1.87</w:t>
      </w:r>
      <w:r w:rsidRPr="001B2F13">
        <w:rPr>
          <w:rFonts w:ascii="Times New Roman" w:hAnsi="Times New Roman" w:cs="Times New Roman"/>
          <w:sz w:val="24"/>
          <w:szCs w:val="24"/>
        </w:rPr>
        <w:tab/>
        <w:t>+</w:t>
      </w:r>
      <w:r w:rsidRPr="001B2F13">
        <w:rPr>
          <w:rFonts w:ascii="Times New Roman" w:hAnsi="Times New Roman" w:cs="Times New Roman"/>
          <w:sz w:val="24"/>
          <w:szCs w:val="24"/>
        </w:rPr>
        <w:tab/>
        <w:t>5.36</w:t>
      </w:r>
      <w:r w:rsidRPr="001B2F13">
        <w:rPr>
          <w:rFonts w:ascii="Times New Roman" w:hAnsi="Times New Roman" w:cs="Times New Roman"/>
          <w:sz w:val="24"/>
          <w:szCs w:val="24"/>
        </w:rPr>
        <w:tab/>
        <w:t>2.58E-05</w:t>
      </w:r>
      <w:r w:rsidRPr="001B2F13">
        <w:rPr>
          <w:rFonts w:ascii="Times New Roman" w:hAnsi="Times New Roman" w:cs="Times New Roman"/>
          <w:sz w:val="24"/>
          <w:szCs w:val="24"/>
        </w:rPr>
        <w:tab/>
        <w:t>1.10E-03</w:t>
      </w:r>
    </w:p>
    <w:p w14:paraId="12EB737C"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molecular transducer activity (GO:0060089)</w:t>
      </w:r>
      <w:r w:rsidRPr="001B2F13">
        <w:rPr>
          <w:rFonts w:ascii="Times New Roman" w:hAnsi="Times New Roman" w:cs="Times New Roman"/>
          <w:sz w:val="24"/>
          <w:szCs w:val="24"/>
        </w:rPr>
        <w:tab/>
        <w:t>280</w:t>
      </w:r>
      <w:r w:rsidRPr="001B2F13">
        <w:rPr>
          <w:rFonts w:ascii="Times New Roman" w:hAnsi="Times New Roman" w:cs="Times New Roman"/>
          <w:sz w:val="24"/>
          <w:szCs w:val="24"/>
        </w:rPr>
        <w:tab/>
        <w:t>10</w:t>
      </w:r>
      <w:r w:rsidRPr="001B2F13">
        <w:rPr>
          <w:rFonts w:ascii="Times New Roman" w:hAnsi="Times New Roman" w:cs="Times New Roman"/>
          <w:sz w:val="24"/>
          <w:szCs w:val="24"/>
        </w:rPr>
        <w:tab/>
        <w:t>1.87</w:t>
      </w:r>
      <w:r w:rsidRPr="001B2F13">
        <w:rPr>
          <w:rFonts w:ascii="Times New Roman" w:hAnsi="Times New Roman" w:cs="Times New Roman"/>
          <w:sz w:val="24"/>
          <w:szCs w:val="24"/>
        </w:rPr>
        <w:tab/>
        <w:t>+</w:t>
      </w:r>
      <w:r w:rsidRPr="001B2F13">
        <w:rPr>
          <w:rFonts w:ascii="Times New Roman" w:hAnsi="Times New Roman" w:cs="Times New Roman"/>
          <w:sz w:val="24"/>
          <w:szCs w:val="24"/>
        </w:rPr>
        <w:tab/>
        <w:t>5.34</w:t>
      </w:r>
      <w:r w:rsidRPr="001B2F13">
        <w:rPr>
          <w:rFonts w:ascii="Times New Roman" w:hAnsi="Times New Roman" w:cs="Times New Roman"/>
          <w:sz w:val="24"/>
          <w:szCs w:val="24"/>
        </w:rPr>
        <w:tab/>
        <w:t>2.66E-05</w:t>
      </w:r>
      <w:r w:rsidRPr="001B2F13">
        <w:rPr>
          <w:rFonts w:ascii="Times New Roman" w:hAnsi="Times New Roman" w:cs="Times New Roman"/>
          <w:sz w:val="24"/>
          <w:szCs w:val="24"/>
        </w:rPr>
        <w:tab/>
        <w:t>1.04E-03</w:t>
      </w:r>
    </w:p>
    <w:p w14:paraId="6DBA1058"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DNA-binding transcription factor activity (GO:0003700)</w:t>
      </w:r>
      <w:r w:rsidRPr="001B2F13">
        <w:rPr>
          <w:rFonts w:ascii="Times New Roman" w:hAnsi="Times New Roman" w:cs="Times New Roman"/>
          <w:sz w:val="24"/>
          <w:szCs w:val="24"/>
        </w:rPr>
        <w:tab/>
        <w:t>324</w:t>
      </w:r>
      <w:r w:rsidRPr="001B2F13">
        <w:rPr>
          <w:rFonts w:ascii="Times New Roman" w:hAnsi="Times New Roman" w:cs="Times New Roman"/>
          <w:sz w:val="24"/>
          <w:szCs w:val="24"/>
        </w:rPr>
        <w:tab/>
        <w:t>9</w:t>
      </w:r>
      <w:r w:rsidRPr="001B2F13">
        <w:rPr>
          <w:rFonts w:ascii="Times New Roman" w:hAnsi="Times New Roman" w:cs="Times New Roman"/>
          <w:sz w:val="24"/>
          <w:szCs w:val="24"/>
        </w:rPr>
        <w:tab/>
        <w:t>2.17</w:t>
      </w:r>
      <w:r w:rsidRPr="001B2F13">
        <w:rPr>
          <w:rFonts w:ascii="Times New Roman" w:hAnsi="Times New Roman" w:cs="Times New Roman"/>
          <w:sz w:val="24"/>
          <w:szCs w:val="24"/>
        </w:rPr>
        <w:tab/>
        <w:t>+</w:t>
      </w:r>
      <w:r w:rsidRPr="001B2F13">
        <w:rPr>
          <w:rFonts w:ascii="Times New Roman" w:hAnsi="Times New Roman" w:cs="Times New Roman"/>
          <w:sz w:val="24"/>
          <w:szCs w:val="24"/>
        </w:rPr>
        <w:tab/>
        <w:t>4.15</w:t>
      </w:r>
      <w:r w:rsidRPr="001B2F13">
        <w:rPr>
          <w:rFonts w:ascii="Times New Roman" w:hAnsi="Times New Roman" w:cs="Times New Roman"/>
          <w:sz w:val="24"/>
          <w:szCs w:val="24"/>
        </w:rPr>
        <w:tab/>
        <w:t>4.14E-04</w:t>
      </w:r>
      <w:r w:rsidRPr="001B2F13">
        <w:rPr>
          <w:rFonts w:ascii="Times New Roman" w:hAnsi="Times New Roman" w:cs="Times New Roman"/>
          <w:sz w:val="24"/>
          <w:szCs w:val="24"/>
        </w:rPr>
        <w:tab/>
        <w:t>6.40E-03</w:t>
      </w:r>
    </w:p>
    <w:p w14:paraId="1611F7EF"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RNA polymerase II transcription regulatory region sequence-specific DNA binding (GO:0000977)</w:t>
      </w:r>
      <w:r w:rsidRPr="001B2F13">
        <w:rPr>
          <w:rFonts w:ascii="Times New Roman" w:hAnsi="Times New Roman" w:cs="Times New Roman"/>
          <w:sz w:val="24"/>
          <w:szCs w:val="24"/>
        </w:rPr>
        <w:tab/>
        <w:t>330</w:t>
      </w:r>
      <w:r w:rsidRPr="001B2F13">
        <w:rPr>
          <w:rFonts w:ascii="Times New Roman" w:hAnsi="Times New Roman" w:cs="Times New Roman"/>
          <w:sz w:val="24"/>
          <w:szCs w:val="24"/>
        </w:rPr>
        <w:tab/>
        <w:t>9</w:t>
      </w:r>
      <w:r w:rsidRPr="001B2F13">
        <w:rPr>
          <w:rFonts w:ascii="Times New Roman" w:hAnsi="Times New Roman" w:cs="Times New Roman"/>
          <w:sz w:val="24"/>
          <w:szCs w:val="24"/>
        </w:rPr>
        <w:tab/>
        <w:t>2.21</w:t>
      </w:r>
      <w:r w:rsidRPr="001B2F13">
        <w:rPr>
          <w:rFonts w:ascii="Times New Roman" w:hAnsi="Times New Roman" w:cs="Times New Roman"/>
          <w:sz w:val="24"/>
          <w:szCs w:val="24"/>
        </w:rPr>
        <w:tab/>
        <w:t>+</w:t>
      </w:r>
      <w:r w:rsidRPr="001B2F13">
        <w:rPr>
          <w:rFonts w:ascii="Times New Roman" w:hAnsi="Times New Roman" w:cs="Times New Roman"/>
          <w:sz w:val="24"/>
          <w:szCs w:val="24"/>
        </w:rPr>
        <w:tab/>
        <w:t>4.08</w:t>
      </w:r>
      <w:r w:rsidRPr="001B2F13">
        <w:rPr>
          <w:rFonts w:ascii="Times New Roman" w:hAnsi="Times New Roman" w:cs="Times New Roman"/>
          <w:sz w:val="24"/>
          <w:szCs w:val="24"/>
        </w:rPr>
        <w:tab/>
        <w:t>4.71E-04</w:t>
      </w:r>
      <w:r w:rsidRPr="001B2F13">
        <w:rPr>
          <w:rFonts w:ascii="Times New Roman" w:hAnsi="Times New Roman" w:cs="Times New Roman"/>
          <w:sz w:val="24"/>
          <w:szCs w:val="24"/>
        </w:rPr>
        <w:tab/>
        <w:t>7.07E-03</w:t>
      </w:r>
    </w:p>
    <w:p w14:paraId="4A6137F5"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DNA-binding transcription factor activity, RNA polymerase II-specific (GO:0000981)</w:t>
      </w:r>
      <w:r w:rsidRPr="001B2F13">
        <w:rPr>
          <w:rFonts w:ascii="Times New Roman" w:hAnsi="Times New Roman" w:cs="Times New Roman"/>
          <w:sz w:val="24"/>
          <w:szCs w:val="24"/>
        </w:rPr>
        <w:tab/>
        <w:t>304</w:t>
      </w:r>
      <w:r w:rsidRPr="001B2F13">
        <w:rPr>
          <w:rFonts w:ascii="Times New Roman" w:hAnsi="Times New Roman" w:cs="Times New Roman"/>
          <w:sz w:val="24"/>
          <w:szCs w:val="24"/>
        </w:rPr>
        <w:tab/>
        <w:t>8</w:t>
      </w:r>
      <w:r w:rsidRPr="001B2F13">
        <w:rPr>
          <w:rFonts w:ascii="Times New Roman" w:hAnsi="Times New Roman" w:cs="Times New Roman"/>
          <w:sz w:val="24"/>
          <w:szCs w:val="24"/>
        </w:rPr>
        <w:tab/>
        <w:t>2.03</w:t>
      </w:r>
      <w:r w:rsidRPr="001B2F13">
        <w:rPr>
          <w:rFonts w:ascii="Times New Roman" w:hAnsi="Times New Roman" w:cs="Times New Roman"/>
          <w:sz w:val="24"/>
          <w:szCs w:val="24"/>
        </w:rPr>
        <w:tab/>
        <w:t>+</w:t>
      </w:r>
      <w:r w:rsidRPr="001B2F13">
        <w:rPr>
          <w:rFonts w:ascii="Times New Roman" w:hAnsi="Times New Roman" w:cs="Times New Roman"/>
          <w:sz w:val="24"/>
          <w:szCs w:val="24"/>
        </w:rPr>
        <w:tab/>
        <w:t>3.93</w:t>
      </w:r>
      <w:r w:rsidRPr="001B2F13">
        <w:rPr>
          <w:rFonts w:ascii="Times New Roman" w:hAnsi="Times New Roman" w:cs="Times New Roman"/>
          <w:sz w:val="24"/>
          <w:szCs w:val="24"/>
        </w:rPr>
        <w:tab/>
        <w:t>1.21E-03</w:t>
      </w:r>
      <w:r w:rsidRPr="001B2F13">
        <w:rPr>
          <w:rFonts w:ascii="Times New Roman" w:hAnsi="Times New Roman" w:cs="Times New Roman"/>
          <w:sz w:val="24"/>
          <w:szCs w:val="24"/>
        </w:rPr>
        <w:tab/>
        <w:t>1.43E-02</w:t>
      </w:r>
    </w:p>
    <w:p w14:paraId="0EAC8B52"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transcription cis-regulatory region binding (GO:0000976)</w:t>
      </w:r>
      <w:r w:rsidRPr="001B2F13">
        <w:rPr>
          <w:rFonts w:ascii="Times New Roman" w:hAnsi="Times New Roman" w:cs="Times New Roman"/>
          <w:sz w:val="24"/>
          <w:szCs w:val="24"/>
        </w:rPr>
        <w:tab/>
        <w:t>350</w:t>
      </w:r>
      <w:r w:rsidRPr="001B2F13">
        <w:rPr>
          <w:rFonts w:ascii="Times New Roman" w:hAnsi="Times New Roman" w:cs="Times New Roman"/>
          <w:sz w:val="24"/>
          <w:szCs w:val="24"/>
        </w:rPr>
        <w:tab/>
        <w:t>9</w:t>
      </w:r>
      <w:r w:rsidRPr="001B2F13">
        <w:rPr>
          <w:rFonts w:ascii="Times New Roman" w:hAnsi="Times New Roman" w:cs="Times New Roman"/>
          <w:sz w:val="24"/>
          <w:szCs w:val="24"/>
        </w:rPr>
        <w:tab/>
        <w:t>2.34</w:t>
      </w:r>
      <w:r w:rsidRPr="001B2F13">
        <w:rPr>
          <w:rFonts w:ascii="Times New Roman" w:hAnsi="Times New Roman" w:cs="Times New Roman"/>
          <w:sz w:val="24"/>
          <w:szCs w:val="24"/>
        </w:rPr>
        <w:tab/>
        <w:t>+</w:t>
      </w:r>
      <w:r w:rsidRPr="001B2F13">
        <w:rPr>
          <w:rFonts w:ascii="Times New Roman" w:hAnsi="Times New Roman" w:cs="Times New Roman"/>
          <w:sz w:val="24"/>
          <w:szCs w:val="24"/>
        </w:rPr>
        <w:tab/>
        <w:t>3.84</w:t>
      </w:r>
      <w:r w:rsidRPr="001B2F13">
        <w:rPr>
          <w:rFonts w:ascii="Times New Roman" w:hAnsi="Times New Roman" w:cs="Times New Roman"/>
          <w:sz w:val="24"/>
          <w:szCs w:val="24"/>
        </w:rPr>
        <w:tab/>
        <w:t>7.09E-04</w:t>
      </w:r>
      <w:r w:rsidRPr="001B2F13">
        <w:rPr>
          <w:rFonts w:ascii="Times New Roman" w:hAnsi="Times New Roman" w:cs="Times New Roman"/>
          <w:sz w:val="24"/>
          <w:szCs w:val="24"/>
        </w:rPr>
        <w:tab/>
        <w:t>9.51E-03</w:t>
      </w:r>
    </w:p>
    <w:p w14:paraId="0C69900D"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transcription regulatory region nucleic acid binding (GO:0001067)</w:t>
      </w:r>
      <w:r w:rsidRPr="001B2F13">
        <w:rPr>
          <w:rFonts w:ascii="Times New Roman" w:hAnsi="Times New Roman" w:cs="Times New Roman"/>
          <w:sz w:val="24"/>
          <w:szCs w:val="24"/>
        </w:rPr>
        <w:tab/>
        <w:t>350</w:t>
      </w:r>
      <w:r w:rsidRPr="001B2F13">
        <w:rPr>
          <w:rFonts w:ascii="Times New Roman" w:hAnsi="Times New Roman" w:cs="Times New Roman"/>
          <w:sz w:val="24"/>
          <w:szCs w:val="24"/>
        </w:rPr>
        <w:tab/>
        <w:t>9</w:t>
      </w:r>
      <w:r w:rsidRPr="001B2F13">
        <w:rPr>
          <w:rFonts w:ascii="Times New Roman" w:hAnsi="Times New Roman" w:cs="Times New Roman"/>
          <w:sz w:val="24"/>
          <w:szCs w:val="24"/>
        </w:rPr>
        <w:tab/>
        <w:t>2.34</w:t>
      </w:r>
      <w:r w:rsidRPr="001B2F13">
        <w:rPr>
          <w:rFonts w:ascii="Times New Roman" w:hAnsi="Times New Roman" w:cs="Times New Roman"/>
          <w:sz w:val="24"/>
          <w:szCs w:val="24"/>
        </w:rPr>
        <w:tab/>
        <w:t>+</w:t>
      </w:r>
      <w:r w:rsidRPr="001B2F13">
        <w:rPr>
          <w:rFonts w:ascii="Times New Roman" w:hAnsi="Times New Roman" w:cs="Times New Roman"/>
          <w:sz w:val="24"/>
          <w:szCs w:val="24"/>
        </w:rPr>
        <w:tab/>
        <w:t>3.84</w:t>
      </w:r>
      <w:r w:rsidRPr="001B2F13">
        <w:rPr>
          <w:rFonts w:ascii="Times New Roman" w:hAnsi="Times New Roman" w:cs="Times New Roman"/>
          <w:sz w:val="24"/>
          <w:szCs w:val="24"/>
        </w:rPr>
        <w:tab/>
        <w:t>7.09E-04</w:t>
      </w:r>
      <w:r w:rsidRPr="001B2F13">
        <w:rPr>
          <w:rFonts w:ascii="Times New Roman" w:hAnsi="Times New Roman" w:cs="Times New Roman"/>
          <w:sz w:val="24"/>
          <w:szCs w:val="24"/>
        </w:rPr>
        <w:tab/>
        <w:t>9.27E-03</w:t>
      </w:r>
    </w:p>
    <w:p w14:paraId="48C7EC3C"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phosphotransferase activity, alcohol group as acceptor (GO:0016773)</w:t>
      </w:r>
      <w:r w:rsidRPr="001B2F13">
        <w:rPr>
          <w:rFonts w:ascii="Times New Roman" w:hAnsi="Times New Roman" w:cs="Times New Roman"/>
          <w:sz w:val="24"/>
          <w:szCs w:val="24"/>
        </w:rPr>
        <w:tab/>
        <w:t>313</w:t>
      </w:r>
      <w:r w:rsidRPr="001B2F13">
        <w:rPr>
          <w:rFonts w:ascii="Times New Roman" w:hAnsi="Times New Roman" w:cs="Times New Roman"/>
          <w:sz w:val="24"/>
          <w:szCs w:val="24"/>
        </w:rPr>
        <w:tab/>
        <w:t>8</w:t>
      </w:r>
      <w:r w:rsidRPr="001B2F13">
        <w:rPr>
          <w:rFonts w:ascii="Times New Roman" w:hAnsi="Times New Roman" w:cs="Times New Roman"/>
          <w:sz w:val="24"/>
          <w:szCs w:val="24"/>
        </w:rPr>
        <w:tab/>
        <w:t>2.09</w:t>
      </w:r>
      <w:r w:rsidRPr="001B2F13">
        <w:rPr>
          <w:rFonts w:ascii="Times New Roman" w:hAnsi="Times New Roman" w:cs="Times New Roman"/>
          <w:sz w:val="24"/>
          <w:szCs w:val="24"/>
        </w:rPr>
        <w:tab/>
        <w:t>+</w:t>
      </w:r>
      <w:r w:rsidRPr="001B2F13">
        <w:rPr>
          <w:rFonts w:ascii="Times New Roman" w:hAnsi="Times New Roman" w:cs="Times New Roman"/>
          <w:sz w:val="24"/>
          <w:szCs w:val="24"/>
        </w:rPr>
        <w:tab/>
        <w:t>3.82</w:t>
      </w:r>
      <w:r w:rsidRPr="001B2F13">
        <w:rPr>
          <w:rFonts w:ascii="Times New Roman" w:hAnsi="Times New Roman" w:cs="Times New Roman"/>
          <w:sz w:val="24"/>
          <w:szCs w:val="24"/>
        </w:rPr>
        <w:tab/>
        <w:t>1.45E-03</w:t>
      </w:r>
      <w:r w:rsidRPr="001B2F13">
        <w:rPr>
          <w:rFonts w:ascii="Times New Roman" w:hAnsi="Times New Roman" w:cs="Times New Roman"/>
          <w:sz w:val="24"/>
          <w:szCs w:val="24"/>
        </w:rPr>
        <w:tab/>
        <w:t>1.57E-02</w:t>
      </w:r>
    </w:p>
    <w:p w14:paraId="38BE8566"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double-stranded DNA binding (GO:0003690)</w:t>
      </w:r>
      <w:r w:rsidRPr="001B2F13">
        <w:rPr>
          <w:rFonts w:ascii="Times New Roman" w:hAnsi="Times New Roman" w:cs="Times New Roman"/>
          <w:sz w:val="24"/>
          <w:szCs w:val="24"/>
        </w:rPr>
        <w:tab/>
        <w:t>393</w:t>
      </w:r>
      <w:r w:rsidRPr="001B2F13">
        <w:rPr>
          <w:rFonts w:ascii="Times New Roman" w:hAnsi="Times New Roman" w:cs="Times New Roman"/>
          <w:sz w:val="24"/>
          <w:szCs w:val="24"/>
        </w:rPr>
        <w:tab/>
        <w:t>10</w:t>
      </w:r>
      <w:r w:rsidRPr="001B2F13">
        <w:rPr>
          <w:rFonts w:ascii="Times New Roman" w:hAnsi="Times New Roman" w:cs="Times New Roman"/>
          <w:sz w:val="24"/>
          <w:szCs w:val="24"/>
        </w:rPr>
        <w:tab/>
        <w:t>2.63</w:t>
      </w:r>
      <w:r w:rsidRPr="001B2F13">
        <w:rPr>
          <w:rFonts w:ascii="Times New Roman" w:hAnsi="Times New Roman" w:cs="Times New Roman"/>
          <w:sz w:val="24"/>
          <w:szCs w:val="24"/>
        </w:rPr>
        <w:tab/>
        <w:t>+</w:t>
      </w:r>
      <w:r w:rsidRPr="001B2F13">
        <w:rPr>
          <w:rFonts w:ascii="Times New Roman" w:hAnsi="Times New Roman" w:cs="Times New Roman"/>
          <w:sz w:val="24"/>
          <w:szCs w:val="24"/>
        </w:rPr>
        <w:tab/>
        <w:t>3.80</w:t>
      </w:r>
      <w:r w:rsidRPr="001B2F13">
        <w:rPr>
          <w:rFonts w:ascii="Times New Roman" w:hAnsi="Times New Roman" w:cs="Times New Roman"/>
          <w:sz w:val="24"/>
          <w:szCs w:val="24"/>
        </w:rPr>
        <w:tab/>
        <w:t>3.92E-04</w:t>
      </w:r>
      <w:r w:rsidRPr="001B2F13">
        <w:rPr>
          <w:rFonts w:ascii="Times New Roman" w:hAnsi="Times New Roman" w:cs="Times New Roman"/>
          <w:sz w:val="24"/>
          <w:szCs w:val="24"/>
        </w:rPr>
        <w:tab/>
        <w:t>6.24E-03</w:t>
      </w:r>
    </w:p>
    <w:p w14:paraId="00107E76"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transcription regulator activity (GO:0140110)</w:t>
      </w:r>
      <w:r w:rsidRPr="001B2F13">
        <w:rPr>
          <w:rFonts w:ascii="Times New Roman" w:hAnsi="Times New Roman" w:cs="Times New Roman"/>
          <w:sz w:val="24"/>
          <w:szCs w:val="24"/>
        </w:rPr>
        <w:tab/>
        <w:t>438</w:t>
      </w:r>
      <w:r w:rsidRPr="001B2F13">
        <w:rPr>
          <w:rFonts w:ascii="Times New Roman" w:hAnsi="Times New Roman" w:cs="Times New Roman"/>
          <w:sz w:val="24"/>
          <w:szCs w:val="24"/>
        </w:rPr>
        <w:tab/>
        <w:t>11</w:t>
      </w:r>
      <w:r w:rsidRPr="001B2F13">
        <w:rPr>
          <w:rFonts w:ascii="Times New Roman" w:hAnsi="Times New Roman" w:cs="Times New Roman"/>
          <w:sz w:val="24"/>
          <w:szCs w:val="24"/>
        </w:rPr>
        <w:tab/>
        <w:t>2.93</w:t>
      </w:r>
      <w:r w:rsidRPr="001B2F13">
        <w:rPr>
          <w:rFonts w:ascii="Times New Roman" w:hAnsi="Times New Roman" w:cs="Times New Roman"/>
          <w:sz w:val="24"/>
          <w:szCs w:val="24"/>
        </w:rPr>
        <w:tab/>
        <w:t>+</w:t>
      </w:r>
      <w:r w:rsidRPr="001B2F13">
        <w:rPr>
          <w:rFonts w:ascii="Times New Roman" w:hAnsi="Times New Roman" w:cs="Times New Roman"/>
          <w:sz w:val="24"/>
          <w:szCs w:val="24"/>
        </w:rPr>
        <w:tab/>
        <w:t>3.75</w:t>
      </w:r>
      <w:r w:rsidRPr="001B2F13">
        <w:rPr>
          <w:rFonts w:ascii="Times New Roman" w:hAnsi="Times New Roman" w:cs="Times New Roman"/>
          <w:sz w:val="24"/>
          <w:szCs w:val="24"/>
        </w:rPr>
        <w:tab/>
        <w:t>2.25E-04</w:t>
      </w:r>
      <w:r w:rsidRPr="001B2F13">
        <w:rPr>
          <w:rFonts w:ascii="Times New Roman" w:hAnsi="Times New Roman" w:cs="Times New Roman"/>
          <w:sz w:val="24"/>
          <w:szCs w:val="24"/>
        </w:rPr>
        <w:tab/>
        <w:t>3.83E-03</w:t>
      </w:r>
    </w:p>
    <w:p w14:paraId="13D037A2"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sequence-specific double-stranded DNA binding (GO:1990837)</w:t>
      </w:r>
      <w:r w:rsidRPr="001B2F13">
        <w:rPr>
          <w:rFonts w:ascii="Times New Roman" w:hAnsi="Times New Roman" w:cs="Times New Roman"/>
          <w:sz w:val="24"/>
          <w:szCs w:val="24"/>
        </w:rPr>
        <w:tab/>
        <w:t>361</w:t>
      </w:r>
      <w:r w:rsidRPr="001B2F13">
        <w:rPr>
          <w:rFonts w:ascii="Times New Roman" w:hAnsi="Times New Roman" w:cs="Times New Roman"/>
          <w:sz w:val="24"/>
          <w:szCs w:val="24"/>
        </w:rPr>
        <w:tab/>
        <w:t>9</w:t>
      </w:r>
      <w:r w:rsidRPr="001B2F13">
        <w:rPr>
          <w:rFonts w:ascii="Times New Roman" w:hAnsi="Times New Roman" w:cs="Times New Roman"/>
          <w:sz w:val="24"/>
          <w:szCs w:val="24"/>
        </w:rPr>
        <w:tab/>
        <w:t>2.41</w:t>
      </w:r>
      <w:r w:rsidRPr="001B2F13">
        <w:rPr>
          <w:rFonts w:ascii="Times New Roman" w:hAnsi="Times New Roman" w:cs="Times New Roman"/>
          <w:sz w:val="24"/>
          <w:szCs w:val="24"/>
        </w:rPr>
        <w:tab/>
        <w:t>+</w:t>
      </w:r>
      <w:r w:rsidRPr="001B2F13">
        <w:rPr>
          <w:rFonts w:ascii="Times New Roman" w:hAnsi="Times New Roman" w:cs="Times New Roman"/>
          <w:sz w:val="24"/>
          <w:szCs w:val="24"/>
        </w:rPr>
        <w:tab/>
        <w:t>3.73</w:t>
      </w:r>
      <w:r w:rsidRPr="001B2F13">
        <w:rPr>
          <w:rFonts w:ascii="Times New Roman" w:hAnsi="Times New Roman" w:cs="Times New Roman"/>
          <w:sz w:val="24"/>
          <w:szCs w:val="24"/>
        </w:rPr>
        <w:tab/>
        <w:t>8.77E-04</w:t>
      </w:r>
      <w:r w:rsidRPr="001B2F13">
        <w:rPr>
          <w:rFonts w:ascii="Times New Roman" w:hAnsi="Times New Roman" w:cs="Times New Roman"/>
          <w:sz w:val="24"/>
          <w:szCs w:val="24"/>
        </w:rPr>
        <w:tab/>
        <w:t>1.12E-02</w:t>
      </w:r>
    </w:p>
    <w:p w14:paraId="35F2EF43"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lastRenderedPageBreak/>
        <w:t>transmembrane transporter activity (GO:0022857)</w:t>
      </w:r>
      <w:r w:rsidRPr="001B2F13">
        <w:rPr>
          <w:rFonts w:ascii="Times New Roman" w:hAnsi="Times New Roman" w:cs="Times New Roman"/>
          <w:sz w:val="24"/>
          <w:szCs w:val="24"/>
        </w:rPr>
        <w:tab/>
        <w:t>407</w:t>
      </w:r>
      <w:r w:rsidRPr="001B2F13">
        <w:rPr>
          <w:rFonts w:ascii="Times New Roman" w:hAnsi="Times New Roman" w:cs="Times New Roman"/>
          <w:sz w:val="24"/>
          <w:szCs w:val="24"/>
        </w:rPr>
        <w:tab/>
        <w:t>10</w:t>
      </w:r>
      <w:r w:rsidRPr="001B2F13">
        <w:rPr>
          <w:rFonts w:ascii="Times New Roman" w:hAnsi="Times New Roman" w:cs="Times New Roman"/>
          <w:sz w:val="24"/>
          <w:szCs w:val="24"/>
        </w:rPr>
        <w:tab/>
        <w:t>2.72</w:t>
      </w:r>
      <w:r w:rsidRPr="001B2F13">
        <w:rPr>
          <w:rFonts w:ascii="Times New Roman" w:hAnsi="Times New Roman" w:cs="Times New Roman"/>
          <w:sz w:val="24"/>
          <w:szCs w:val="24"/>
        </w:rPr>
        <w:tab/>
        <w:t>+</w:t>
      </w:r>
      <w:r w:rsidRPr="001B2F13">
        <w:rPr>
          <w:rFonts w:ascii="Times New Roman" w:hAnsi="Times New Roman" w:cs="Times New Roman"/>
          <w:sz w:val="24"/>
          <w:szCs w:val="24"/>
        </w:rPr>
        <w:tab/>
        <w:t>3.67</w:t>
      </w:r>
      <w:r w:rsidRPr="001B2F13">
        <w:rPr>
          <w:rFonts w:ascii="Times New Roman" w:hAnsi="Times New Roman" w:cs="Times New Roman"/>
          <w:sz w:val="24"/>
          <w:szCs w:val="24"/>
        </w:rPr>
        <w:tab/>
        <w:t>5.11E-04</w:t>
      </w:r>
      <w:r w:rsidRPr="001B2F13">
        <w:rPr>
          <w:rFonts w:ascii="Times New Roman" w:hAnsi="Times New Roman" w:cs="Times New Roman"/>
          <w:sz w:val="24"/>
          <w:szCs w:val="24"/>
        </w:rPr>
        <w:tab/>
        <w:t>7.45E-03</w:t>
      </w:r>
    </w:p>
    <w:p w14:paraId="43D1A152"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DNA binding (GO:0003677)</w:t>
      </w:r>
      <w:r w:rsidRPr="001B2F13">
        <w:rPr>
          <w:rFonts w:ascii="Times New Roman" w:hAnsi="Times New Roman" w:cs="Times New Roman"/>
          <w:sz w:val="24"/>
          <w:szCs w:val="24"/>
        </w:rPr>
        <w:tab/>
        <w:t>579</w:t>
      </w:r>
      <w:r w:rsidRPr="001B2F13">
        <w:rPr>
          <w:rFonts w:ascii="Times New Roman" w:hAnsi="Times New Roman" w:cs="Times New Roman"/>
          <w:sz w:val="24"/>
          <w:szCs w:val="24"/>
        </w:rPr>
        <w:tab/>
        <w:t>14</w:t>
      </w:r>
      <w:r w:rsidRPr="001B2F13">
        <w:rPr>
          <w:rFonts w:ascii="Times New Roman" w:hAnsi="Times New Roman" w:cs="Times New Roman"/>
          <w:sz w:val="24"/>
          <w:szCs w:val="24"/>
        </w:rPr>
        <w:tab/>
        <w:t>3.87</w:t>
      </w:r>
      <w:r w:rsidRPr="001B2F13">
        <w:rPr>
          <w:rFonts w:ascii="Times New Roman" w:hAnsi="Times New Roman" w:cs="Times New Roman"/>
          <w:sz w:val="24"/>
          <w:szCs w:val="24"/>
        </w:rPr>
        <w:tab/>
        <w:t>+</w:t>
      </w:r>
      <w:r w:rsidRPr="001B2F13">
        <w:rPr>
          <w:rFonts w:ascii="Times New Roman" w:hAnsi="Times New Roman" w:cs="Times New Roman"/>
          <w:sz w:val="24"/>
          <w:szCs w:val="24"/>
        </w:rPr>
        <w:tab/>
        <w:t>3.61</w:t>
      </w:r>
      <w:r w:rsidRPr="001B2F13">
        <w:rPr>
          <w:rFonts w:ascii="Times New Roman" w:hAnsi="Times New Roman" w:cs="Times New Roman"/>
          <w:sz w:val="24"/>
          <w:szCs w:val="24"/>
        </w:rPr>
        <w:tab/>
        <w:t>4.72E-05</w:t>
      </w:r>
      <w:r w:rsidRPr="001B2F13">
        <w:rPr>
          <w:rFonts w:ascii="Times New Roman" w:hAnsi="Times New Roman" w:cs="Times New Roman"/>
          <w:sz w:val="24"/>
          <w:szCs w:val="24"/>
        </w:rPr>
        <w:tab/>
        <w:t>1.51E-03</w:t>
      </w:r>
    </w:p>
    <w:p w14:paraId="5C268F18" w14:textId="77777777" w:rsidR="00751867" w:rsidRPr="001B2F13"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kinase activity (GO:0016301)</w:t>
      </w:r>
      <w:r w:rsidRPr="001B2F13">
        <w:rPr>
          <w:rFonts w:ascii="Times New Roman" w:hAnsi="Times New Roman" w:cs="Times New Roman"/>
          <w:sz w:val="24"/>
          <w:szCs w:val="24"/>
        </w:rPr>
        <w:tab/>
        <w:t>346</w:t>
      </w:r>
      <w:r w:rsidRPr="001B2F13">
        <w:rPr>
          <w:rFonts w:ascii="Times New Roman" w:hAnsi="Times New Roman" w:cs="Times New Roman"/>
          <w:sz w:val="24"/>
          <w:szCs w:val="24"/>
        </w:rPr>
        <w:tab/>
        <w:t>8</w:t>
      </w:r>
      <w:r w:rsidRPr="001B2F13">
        <w:rPr>
          <w:rFonts w:ascii="Times New Roman" w:hAnsi="Times New Roman" w:cs="Times New Roman"/>
          <w:sz w:val="24"/>
          <w:szCs w:val="24"/>
        </w:rPr>
        <w:tab/>
        <w:t>2.31</w:t>
      </w:r>
      <w:r w:rsidRPr="001B2F13">
        <w:rPr>
          <w:rFonts w:ascii="Times New Roman" w:hAnsi="Times New Roman" w:cs="Times New Roman"/>
          <w:sz w:val="24"/>
          <w:szCs w:val="24"/>
        </w:rPr>
        <w:tab/>
        <w:t>+</w:t>
      </w:r>
      <w:r w:rsidRPr="001B2F13">
        <w:rPr>
          <w:rFonts w:ascii="Times New Roman" w:hAnsi="Times New Roman" w:cs="Times New Roman"/>
          <w:sz w:val="24"/>
          <w:szCs w:val="24"/>
        </w:rPr>
        <w:tab/>
        <w:t>3.46</w:t>
      </w:r>
      <w:r w:rsidRPr="001B2F13">
        <w:rPr>
          <w:rFonts w:ascii="Times New Roman" w:hAnsi="Times New Roman" w:cs="Times New Roman"/>
          <w:sz w:val="24"/>
          <w:szCs w:val="24"/>
        </w:rPr>
        <w:tab/>
        <w:t>2.65E-03</w:t>
      </w:r>
      <w:r w:rsidRPr="001B2F13">
        <w:rPr>
          <w:rFonts w:ascii="Times New Roman" w:hAnsi="Times New Roman" w:cs="Times New Roman"/>
          <w:sz w:val="24"/>
          <w:szCs w:val="24"/>
        </w:rPr>
        <w:tab/>
        <w:t>2.71E-02</w:t>
      </w:r>
    </w:p>
    <w:p w14:paraId="4E4C706C" w14:textId="77777777" w:rsidR="00751867" w:rsidRDefault="00751867" w:rsidP="00751867">
      <w:pPr>
        <w:rPr>
          <w:rFonts w:ascii="Times New Roman" w:hAnsi="Times New Roman" w:cs="Times New Roman"/>
          <w:sz w:val="24"/>
          <w:szCs w:val="24"/>
        </w:rPr>
      </w:pPr>
      <w:r w:rsidRPr="001B2F13">
        <w:rPr>
          <w:rFonts w:ascii="Times New Roman" w:hAnsi="Times New Roman" w:cs="Times New Roman"/>
          <w:sz w:val="24"/>
          <w:szCs w:val="24"/>
        </w:rPr>
        <w:t>sequence-specific DNA binding (GO:0043565)</w:t>
      </w:r>
      <w:r w:rsidRPr="001B2F13">
        <w:rPr>
          <w:rFonts w:ascii="Times New Roman" w:hAnsi="Times New Roman" w:cs="Times New Roman"/>
          <w:sz w:val="24"/>
          <w:szCs w:val="24"/>
        </w:rPr>
        <w:tab/>
        <w:t>391</w:t>
      </w:r>
      <w:r w:rsidRPr="001B2F13">
        <w:rPr>
          <w:rFonts w:ascii="Times New Roman" w:hAnsi="Times New Roman" w:cs="Times New Roman"/>
          <w:sz w:val="24"/>
          <w:szCs w:val="24"/>
        </w:rPr>
        <w:tab/>
        <w:t>9</w:t>
      </w:r>
      <w:r w:rsidRPr="001B2F13">
        <w:rPr>
          <w:rFonts w:ascii="Times New Roman" w:hAnsi="Times New Roman" w:cs="Times New Roman"/>
          <w:sz w:val="24"/>
          <w:szCs w:val="24"/>
        </w:rPr>
        <w:tab/>
        <w:t>2.62</w:t>
      </w:r>
      <w:r w:rsidRPr="001B2F13">
        <w:rPr>
          <w:rFonts w:ascii="Times New Roman" w:hAnsi="Times New Roman" w:cs="Times New Roman"/>
          <w:sz w:val="24"/>
          <w:szCs w:val="24"/>
        </w:rPr>
        <w:tab/>
        <w:t>+</w:t>
      </w:r>
      <w:r w:rsidRPr="001B2F13">
        <w:rPr>
          <w:rFonts w:ascii="Times New Roman" w:hAnsi="Times New Roman" w:cs="Times New Roman"/>
          <w:sz w:val="24"/>
          <w:szCs w:val="24"/>
        </w:rPr>
        <w:tab/>
        <w:t>3.44</w:t>
      </w:r>
      <w:r w:rsidRPr="001B2F13">
        <w:rPr>
          <w:rFonts w:ascii="Times New Roman" w:hAnsi="Times New Roman" w:cs="Times New Roman"/>
          <w:sz w:val="24"/>
          <w:szCs w:val="24"/>
        </w:rPr>
        <w:tab/>
        <w:t>1.50E-03</w:t>
      </w:r>
      <w:r w:rsidRPr="001B2F13">
        <w:rPr>
          <w:rFonts w:ascii="Times New Roman" w:hAnsi="Times New Roman" w:cs="Times New Roman"/>
          <w:sz w:val="24"/>
          <w:szCs w:val="24"/>
        </w:rPr>
        <w:tab/>
        <w:t>1.60E-02</w:t>
      </w:r>
    </w:p>
    <w:p w14:paraId="6581BDDE" w14:textId="77777777" w:rsidR="00751867" w:rsidRDefault="00751867" w:rsidP="00751867">
      <w:pPr>
        <w:rPr>
          <w:rFonts w:ascii="Times New Roman" w:hAnsi="Times New Roman" w:cs="Times New Roman"/>
          <w:sz w:val="24"/>
          <w:szCs w:val="24"/>
        </w:rPr>
      </w:pPr>
      <w:r>
        <w:rPr>
          <w:rFonts w:ascii="Times New Roman" w:hAnsi="Times New Roman" w:cs="Times New Roman"/>
          <w:sz w:val="24"/>
          <w:szCs w:val="24"/>
        </w:rPr>
        <w:br w:type="page"/>
      </w:r>
    </w:p>
    <w:p w14:paraId="3D5DD74C" w14:textId="77777777" w:rsidR="00751867" w:rsidRDefault="00751867" w:rsidP="00751867">
      <w:pPr>
        <w:rPr>
          <w:rFonts w:ascii="Times New Roman" w:hAnsi="Times New Roman" w:cs="Times New Roman"/>
          <w:b/>
          <w:bCs/>
          <w:sz w:val="24"/>
          <w:szCs w:val="24"/>
        </w:rPr>
      </w:pPr>
    </w:p>
    <w:tbl>
      <w:tblPr>
        <w:tblStyle w:val="TableGrid"/>
        <w:tblpPr w:leftFromText="180" w:rightFromText="180" w:vertAnchor="text" w:horzAnchor="margin" w:tblpY="396"/>
        <w:tblW w:w="0" w:type="auto"/>
        <w:tblLook w:val="04A0" w:firstRow="1" w:lastRow="0" w:firstColumn="1" w:lastColumn="0" w:noHBand="0" w:noVBand="1"/>
      </w:tblPr>
      <w:tblGrid>
        <w:gridCol w:w="1746"/>
        <w:gridCol w:w="1564"/>
        <w:gridCol w:w="1431"/>
        <w:gridCol w:w="2188"/>
        <w:gridCol w:w="2421"/>
      </w:tblGrid>
      <w:tr w:rsidR="00751867" w14:paraId="7C62DDEE" w14:textId="77777777" w:rsidTr="005620B0">
        <w:tc>
          <w:tcPr>
            <w:tcW w:w="1746" w:type="dxa"/>
          </w:tcPr>
          <w:p w14:paraId="54195CCB" w14:textId="77777777" w:rsidR="00751867" w:rsidRDefault="00751867" w:rsidP="005620B0">
            <w:pPr>
              <w:rPr>
                <w:rFonts w:ascii="Times New Roman" w:hAnsi="Times New Roman" w:cs="Times New Roman"/>
                <w:b/>
                <w:bCs/>
              </w:rPr>
            </w:pPr>
            <w:r>
              <w:rPr>
                <w:rFonts w:ascii="Times New Roman" w:hAnsi="Times New Roman" w:cs="Times New Roman"/>
                <w:b/>
                <w:bCs/>
              </w:rPr>
              <w:t>Chromosome</w:t>
            </w:r>
          </w:p>
        </w:tc>
        <w:tc>
          <w:tcPr>
            <w:tcW w:w="1564" w:type="dxa"/>
          </w:tcPr>
          <w:p w14:paraId="6C09BDF2" w14:textId="77777777" w:rsidR="00751867" w:rsidRDefault="00751867" w:rsidP="005620B0">
            <w:pPr>
              <w:rPr>
                <w:rFonts w:ascii="Times New Roman" w:hAnsi="Times New Roman" w:cs="Times New Roman"/>
                <w:b/>
                <w:bCs/>
              </w:rPr>
            </w:pPr>
            <w:r>
              <w:rPr>
                <w:rFonts w:ascii="Times New Roman" w:hAnsi="Times New Roman" w:cs="Times New Roman"/>
                <w:b/>
                <w:bCs/>
              </w:rPr>
              <w:t>Position</w:t>
            </w:r>
          </w:p>
        </w:tc>
        <w:tc>
          <w:tcPr>
            <w:tcW w:w="1431" w:type="dxa"/>
          </w:tcPr>
          <w:p w14:paraId="4CC8E3D3" w14:textId="77777777" w:rsidR="00751867" w:rsidRDefault="00751867" w:rsidP="005620B0">
            <w:pPr>
              <w:rPr>
                <w:rFonts w:ascii="Times New Roman" w:hAnsi="Times New Roman" w:cs="Times New Roman"/>
                <w:b/>
                <w:bCs/>
              </w:rPr>
            </w:pPr>
            <w:r>
              <w:rPr>
                <w:rFonts w:ascii="Times New Roman" w:hAnsi="Times New Roman" w:cs="Times New Roman"/>
                <w:b/>
                <w:bCs/>
              </w:rPr>
              <w:t>Fst</w:t>
            </w:r>
          </w:p>
        </w:tc>
        <w:tc>
          <w:tcPr>
            <w:tcW w:w="2188" w:type="dxa"/>
          </w:tcPr>
          <w:p w14:paraId="51D8F9AE" w14:textId="77777777" w:rsidR="00751867" w:rsidRDefault="00751867" w:rsidP="005620B0">
            <w:pPr>
              <w:rPr>
                <w:rFonts w:ascii="Times New Roman" w:hAnsi="Times New Roman" w:cs="Times New Roman"/>
                <w:b/>
                <w:bCs/>
              </w:rPr>
            </w:pPr>
            <w:r>
              <w:rPr>
                <w:rFonts w:ascii="Times New Roman" w:hAnsi="Times New Roman" w:cs="Times New Roman"/>
                <w:b/>
                <w:bCs/>
              </w:rPr>
              <w:t>Type</w:t>
            </w:r>
          </w:p>
        </w:tc>
        <w:tc>
          <w:tcPr>
            <w:tcW w:w="2421" w:type="dxa"/>
          </w:tcPr>
          <w:p w14:paraId="0BEF74DC" w14:textId="77777777" w:rsidR="00751867" w:rsidRDefault="00751867" w:rsidP="005620B0">
            <w:pPr>
              <w:rPr>
                <w:rFonts w:ascii="Times New Roman" w:hAnsi="Times New Roman" w:cs="Times New Roman"/>
                <w:b/>
                <w:bCs/>
              </w:rPr>
            </w:pPr>
            <w:r>
              <w:rPr>
                <w:rFonts w:ascii="Times New Roman" w:hAnsi="Times New Roman" w:cs="Times New Roman"/>
                <w:b/>
                <w:bCs/>
              </w:rPr>
              <w:t>Gene</w:t>
            </w:r>
          </w:p>
        </w:tc>
      </w:tr>
      <w:tr w:rsidR="00751867" w14:paraId="6B00175F" w14:textId="77777777" w:rsidTr="005620B0">
        <w:tc>
          <w:tcPr>
            <w:tcW w:w="1746" w:type="dxa"/>
          </w:tcPr>
          <w:p w14:paraId="77E8F4A2" w14:textId="77777777" w:rsidR="00751867" w:rsidRPr="00162B1B" w:rsidRDefault="00751867" w:rsidP="005620B0">
            <w:pPr>
              <w:rPr>
                <w:rFonts w:ascii="Times New Roman" w:hAnsi="Times New Roman" w:cs="Times New Roman"/>
              </w:rPr>
            </w:pPr>
            <w:r w:rsidRPr="00162B1B">
              <w:rPr>
                <w:rFonts w:ascii="Times New Roman" w:hAnsi="Times New Roman" w:cs="Times New Roman"/>
              </w:rPr>
              <w:t>04</w:t>
            </w:r>
          </w:p>
        </w:tc>
        <w:tc>
          <w:tcPr>
            <w:tcW w:w="1564" w:type="dxa"/>
          </w:tcPr>
          <w:p w14:paraId="3EFDF0C0" w14:textId="77777777" w:rsidR="00751867" w:rsidRPr="00162B1B" w:rsidRDefault="00751867" w:rsidP="005620B0">
            <w:pPr>
              <w:rPr>
                <w:rFonts w:ascii="Times New Roman" w:hAnsi="Times New Roman" w:cs="Times New Roman"/>
              </w:rPr>
            </w:pPr>
            <w:r w:rsidRPr="00162B1B">
              <w:rPr>
                <w:rFonts w:ascii="Times New Roman" w:hAnsi="Times New Roman" w:cs="Times New Roman"/>
              </w:rPr>
              <w:t>13394600</w:t>
            </w:r>
          </w:p>
        </w:tc>
        <w:tc>
          <w:tcPr>
            <w:tcW w:w="1431" w:type="dxa"/>
          </w:tcPr>
          <w:p w14:paraId="2F09C001" w14:textId="77777777" w:rsidR="00751867" w:rsidRPr="00162B1B" w:rsidRDefault="00751867" w:rsidP="005620B0">
            <w:pPr>
              <w:rPr>
                <w:rFonts w:ascii="Times New Roman" w:hAnsi="Times New Roman" w:cs="Times New Roman"/>
              </w:rPr>
            </w:pPr>
            <w:r>
              <w:rPr>
                <w:rFonts w:ascii="Times New Roman" w:hAnsi="Times New Roman" w:cs="Times New Roman"/>
              </w:rPr>
              <w:t>0.3983</w:t>
            </w:r>
          </w:p>
        </w:tc>
        <w:tc>
          <w:tcPr>
            <w:tcW w:w="2188" w:type="dxa"/>
          </w:tcPr>
          <w:p w14:paraId="2417C06E" w14:textId="77777777" w:rsidR="00751867" w:rsidRPr="00162B1B" w:rsidRDefault="00751867" w:rsidP="005620B0">
            <w:pPr>
              <w:rPr>
                <w:rFonts w:ascii="Times New Roman" w:hAnsi="Times New Roman" w:cs="Times New Roman"/>
              </w:rPr>
            </w:pPr>
            <w:r>
              <w:rPr>
                <w:rFonts w:ascii="Times New Roman" w:hAnsi="Times New Roman" w:cs="Times New Roman"/>
              </w:rPr>
              <w:t>Intronic</w:t>
            </w:r>
          </w:p>
        </w:tc>
        <w:tc>
          <w:tcPr>
            <w:tcW w:w="2421" w:type="dxa"/>
          </w:tcPr>
          <w:p w14:paraId="3E3DFC2D" w14:textId="77777777" w:rsidR="00751867" w:rsidRPr="006373B0" w:rsidRDefault="00751867" w:rsidP="005620B0">
            <w:pPr>
              <w:rPr>
                <w:rFonts w:ascii="Times New Roman" w:hAnsi="Times New Roman" w:cs="Times New Roman"/>
                <w:i/>
                <w:iCs/>
              </w:rPr>
            </w:pPr>
            <w:r>
              <w:rPr>
                <w:rFonts w:ascii="Times New Roman" w:hAnsi="Times New Roman" w:cs="Times New Roman"/>
                <w:i/>
                <w:iCs/>
              </w:rPr>
              <w:t>pank4; tda6</w:t>
            </w:r>
          </w:p>
        </w:tc>
      </w:tr>
      <w:tr w:rsidR="00751867" w14:paraId="1C3E5E18" w14:textId="77777777" w:rsidTr="005620B0">
        <w:tc>
          <w:tcPr>
            <w:tcW w:w="1746" w:type="dxa"/>
          </w:tcPr>
          <w:p w14:paraId="7D8D8D38" w14:textId="77777777" w:rsidR="00751867" w:rsidRPr="00162B1B" w:rsidRDefault="00751867" w:rsidP="005620B0">
            <w:pPr>
              <w:rPr>
                <w:rFonts w:ascii="Times New Roman" w:hAnsi="Times New Roman" w:cs="Times New Roman"/>
              </w:rPr>
            </w:pPr>
            <w:r>
              <w:rPr>
                <w:rFonts w:ascii="Times New Roman" w:hAnsi="Times New Roman" w:cs="Times New Roman"/>
              </w:rPr>
              <w:t>02</w:t>
            </w:r>
          </w:p>
        </w:tc>
        <w:tc>
          <w:tcPr>
            <w:tcW w:w="1564" w:type="dxa"/>
          </w:tcPr>
          <w:p w14:paraId="3A6FAB55" w14:textId="77777777" w:rsidR="00751867" w:rsidRPr="00162B1B" w:rsidRDefault="00751867" w:rsidP="005620B0">
            <w:pPr>
              <w:rPr>
                <w:rFonts w:ascii="Times New Roman" w:hAnsi="Times New Roman" w:cs="Times New Roman"/>
              </w:rPr>
            </w:pPr>
            <w:r>
              <w:rPr>
                <w:rFonts w:ascii="Times New Roman" w:hAnsi="Times New Roman" w:cs="Times New Roman"/>
              </w:rPr>
              <w:t>6974770</w:t>
            </w:r>
          </w:p>
        </w:tc>
        <w:tc>
          <w:tcPr>
            <w:tcW w:w="1431" w:type="dxa"/>
          </w:tcPr>
          <w:p w14:paraId="690CBDCF" w14:textId="77777777" w:rsidR="00751867" w:rsidRPr="00162B1B" w:rsidRDefault="00751867" w:rsidP="005620B0">
            <w:pPr>
              <w:rPr>
                <w:rFonts w:ascii="Times New Roman" w:hAnsi="Times New Roman" w:cs="Times New Roman"/>
              </w:rPr>
            </w:pPr>
            <w:r>
              <w:rPr>
                <w:rFonts w:ascii="Times New Roman" w:hAnsi="Times New Roman" w:cs="Times New Roman"/>
              </w:rPr>
              <w:t>0.3645</w:t>
            </w:r>
          </w:p>
        </w:tc>
        <w:tc>
          <w:tcPr>
            <w:tcW w:w="2188" w:type="dxa"/>
          </w:tcPr>
          <w:p w14:paraId="28DA978D" w14:textId="77777777" w:rsidR="00751867" w:rsidRPr="00162B1B" w:rsidRDefault="00751867" w:rsidP="005620B0">
            <w:pPr>
              <w:rPr>
                <w:rFonts w:ascii="Times New Roman" w:hAnsi="Times New Roman" w:cs="Times New Roman"/>
              </w:rPr>
            </w:pPr>
            <w:r>
              <w:rPr>
                <w:rFonts w:ascii="Times New Roman" w:hAnsi="Times New Roman" w:cs="Times New Roman"/>
              </w:rPr>
              <w:t>Intergenetic</w:t>
            </w:r>
          </w:p>
        </w:tc>
        <w:tc>
          <w:tcPr>
            <w:tcW w:w="2421" w:type="dxa"/>
          </w:tcPr>
          <w:p w14:paraId="64F4BE88" w14:textId="77777777" w:rsidR="00751867" w:rsidRPr="00162B1B" w:rsidRDefault="00751867" w:rsidP="005620B0">
            <w:pPr>
              <w:rPr>
                <w:rFonts w:ascii="Times New Roman" w:hAnsi="Times New Roman" w:cs="Times New Roman"/>
              </w:rPr>
            </w:pPr>
            <w:r>
              <w:rPr>
                <w:rFonts w:ascii="Times New Roman" w:hAnsi="Times New Roman" w:cs="Times New Roman"/>
              </w:rPr>
              <w:t>NA</w:t>
            </w:r>
          </w:p>
        </w:tc>
      </w:tr>
      <w:tr w:rsidR="00751867" w14:paraId="36DA92DD" w14:textId="77777777" w:rsidTr="005620B0">
        <w:tc>
          <w:tcPr>
            <w:tcW w:w="1746" w:type="dxa"/>
          </w:tcPr>
          <w:p w14:paraId="1FAC8DC5" w14:textId="77777777" w:rsidR="00751867" w:rsidRPr="00162B1B" w:rsidRDefault="00751867" w:rsidP="005620B0">
            <w:pPr>
              <w:rPr>
                <w:rFonts w:ascii="Times New Roman" w:hAnsi="Times New Roman" w:cs="Times New Roman"/>
              </w:rPr>
            </w:pPr>
            <w:r>
              <w:rPr>
                <w:rFonts w:ascii="Times New Roman" w:hAnsi="Times New Roman" w:cs="Times New Roman"/>
              </w:rPr>
              <w:t>02</w:t>
            </w:r>
          </w:p>
        </w:tc>
        <w:tc>
          <w:tcPr>
            <w:tcW w:w="1564" w:type="dxa"/>
          </w:tcPr>
          <w:p w14:paraId="39C78A3F" w14:textId="77777777" w:rsidR="00751867" w:rsidRPr="00162B1B" w:rsidRDefault="00751867" w:rsidP="005620B0">
            <w:pPr>
              <w:rPr>
                <w:rFonts w:ascii="Times New Roman" w:hAnsi="Times New Roman" w:cs="Times New Roman"/>
              </w:rPr>
            </w:pPr>
            <w:r>
              <w:rPr>
                <w:rFonts w:ascii="Times New Roman" w:hAnsi="Times New Roman" w:cs="Times New Roman"/>
              </w:rPr>
              <w:t>3614856</w:t>
            </w:r>
          </w:p>
        </w:tc>
        <w:tc>
          <w:tcPr>
            <w:tcW w:w="1431" w:type="dxa"/>
          </w:tcPr>
          <w:p w14:paraId="370F57E6" w14:textId="77777777" w:rsidR="00751867" w:rsidRPr="00162B1B" w:rsidRDefault="00751867" w:rsidP="005620B0">
            <w:pPr>
              <w:rPr>
                <w:rFonts w:ascii="Times New Roman" w:hAnsi="Times New Roman" w:cs="Times New Roman"/>
              </w:rPr>
            </w:pPr>
            <w:r>
              <w:rPr>
                <w:rFonts w:ascii="Times New Roman" w:hAnsi="Times New Roman" w:cs="Times New Roman"/>
              </w:rPr>
              <w:t>0.3635</w:t>
            </w:r>
          </w:p>
        </w:tc>
        <w:tc>
          <w:tcPr>
            <w:tcW w:w="2188" w:type="dxa"/>
          </w:tcPr>
          <w:p w14:paraId="62ABD131" w14:textId="77777777" w:rsidR="00751867" w:rsidRPr="00162B1B" w:rsidRDefault="00751867" w:rsidP="005620B0">
            <w:pPr>
              <w:rPr>
                <w:rFonts w:ascii="Times New Roman" w:hAnsi="Times New Roman" w:cs="Times New Roman"/>
              </w:rPr>
            </w:pPr>
            <w:r>
              <w:rPr>
                <w:rFonts w:ascii="Times New Roman" w:hAnsi="Times New Roman" w:cs="Times New Roman"/>
              </w:rPr>
              <w:t>Intronic</w:t>
            </w:r>
          </w:p>
        </w:tc>
        <w:tc>
          <w:tcPr>
            <w:tcW w:w="2421" w:type="dxa"/>
          </w:tcPr>
          <w:p w14:paraId="74853F4E" w14:textId="77777777" w:rsidR="00751867" w:rsidRPr="006373B0" w:rsidRDefault="00751867" w:rsidP="005620B0">
            <w:pPr>
              <w:rPr>
                <w:rFonts w:ascii="Times New Roman" w:hAnsi="Times New Roman" w:cs="Times New Roman"/>
                <w:i/>
                <w:iCs/>
              </w:rPr>
            </w:pPr>
            <w:r>
              <w:rPr>
                <w:rFonts w:ascii="Times New Roman" w:hAnsi="Times New Roman" w:cs="Times New Roman"/>
                <w:i/>
                <w:iCs/>
              </w:rPr>
              <w:t xml:space="preserve">col1a1; tcaim </w:t>
            </w:r>
          </w:p>
        </w:tc>
      </w:tr>
      <w:tr w:rsidR="00751867" w14:paraId="016DB54C" w14:textId="77777777" w:rsidTr="005620B0">
        <w:tc>
          <w:tcPr>
            <w:tcW w:w="1746" w:type="dxa"/>
          </w:tcPr>
          <w:p w14:paraId="7A41081D" w14:textId="77777777" w:rsidR="00751867" w:rsidRPr="00162B1B" w:rsidRDefault="00751867" w:rsidP="005620B0">
            <w:pPr>
              <w:rPr>
                <w:rFonts w:ascii="Times New Roman" w:hAnsi="Times New Roman" w:cs="Times New Roman"/>
              </w:rPr>
            </w:pPr>
            <w:r>
              <w:rPr>
                <w:rFonts w:ascii="Times New Roman" w:hAnsi="Times New Roman" w:cs="Times New Roman"/>
              </w:rPr>
              <w:t>03</w:t>
            </w:r>
          </w:p>
        </w:tc>
        <w:tc>
          <w:tcPr>
            <w:tcW w:w="1564" w:type="dxa"/>
          </w:tcPr>
          <w:p w14:paraId="2BE14CF4" w14:textId="77777777" w:rsidR="00751867" w:rsidRPr="00162B1B" w:rsidRDefault="00751867" w:rsidP="005620B0">
            <w:pPr>
              <w:rPr>
                <w:rFonts w:ascii="Times New Roman" w:hAnsi="Times New Roman" w:cs="Times New Roman"/>
              </w:rPr>
            </w:pPr>
            <w:r>
              <w:rPr>
                <w:rFonts w:ascii="Times New Roman" w:hAnsi="Times New Roman" w:cs="Times New Roman"/>
              </w:rPr>
              <w:t>8229625</w:t>
            </w:r>
          </w:p>
        </w:tc>
        <w:tc>
          <w:tcPr>
            <w:tcW w:w="1431" w:type="dxa"/>
          </w:tcPr>
          <w:p w14:paraId="7D51EF66" w14:textId="77777777" w:rsidR="00751867" w:rsidRPr="00162B1B" w:rsidRDefault="00751867" w:rsidP="005620B0">
            <w:pPr>
              <w:rPr>
                <w:rFonts w:ascii="Times New Roman" w:hAnsi="Times New Roman" w:cs="Times New Roman"/>
              </w:rPr>
            </w:pPr>
            <w:r>
              <w:rPr>
                <w:rFonts w:ascii="Times New Roman" w:hAnsi="Times New Roman" w:cs="Times New Roman"/>
              </w:rPr>
              <w:t>0.3609</w:t>
            </w:r>
          </w:p>
        </w:tc>
        <w:tc>
          <w:tcPr>
            <w:tcW w:w="2188" w:type="dxa"/>
          </w:tcPr>
          <w:p w14:paraId="4B5A1630" w14:textId="77777777" w:rsidR="00751867" w:rsidRPr="00162B1B" w:rsidRDefault="00751867" w:rsidP="005620B0">
            <w:pPr>
              <w:rPr>
                <w:rFonts w:ascii="Times New Roman" w:hAnsi="Times New Roman" w:cs="Times New Roman"/>
              </w:rPr>
            </w:pPr>
            <w:r>
              <w:rPr>
                <w:rFonts w:ascii="Times New Roman" w:hAnsi="Times New Roman" w:cs="Times New Roman"/>
              </w:rPr>
              <w:t>Intronic</w:t>
            </w:r>
          </w:p>
        </w:tc>
        <w:tc>
          <w:tcPr>
            <w:tcW w:w="2421" w:type="dxa"/>
          </w:tcPr>
          <w:p w14:paraId="5A120C46" w14:textId="77777777" w:rsidR="00751867" w:rsidRPr="00C122D4" w:rsidRDefault="00751867" w:rsidP="005620B0">
            <w:pPr>
              <w:rPr>
                <w:rFonts w:ascii="Times New Roman" w:hAnsi="Times New Roman" w:cs="Times New Roman"/>
                <w:i/>
                <w:iCs/>
              </w:rPr>
            </w:pPr>
            <w:r>
              <w:rPr>
                <w:rFonts w:ascii="Times New Roman" w:hAnsi="Times New Roman" w:cs="Times New Roman"/>
                <w:i/>
                <w:iCs/>
              </w:rPr>
              <w:t>rap1gap</w:t>
            </w:r>
          </w:p>
        </w:tc>
      </w:tr>
      <w:tr w:rsidR="00751867" w14:paraId="03D6CD2E" w14:textId="77777777" w:rsidTr="005620B0">
        <w:tc>
          <w:tcPr>
            <w:tcW w:w="1746" w:type="dxa"/>
          </w:tcPr>
          <w:p w14:paraId="68D0CC3F" w14:textId="77777777" w:rsidR="00751867" w:rsidRPr="00162B1B" w:rsidRDefault="00751867" w:rsidP="005620B0">
            <w:pPr>
              <w:rPr>
                <w:rFonts w:ascii="Times New Roman" w:hAnsi="Times New Roman" w:cs="Times New Roman"/>
              </w:rPr>
            </w:pPr>
            <w:r>
              <w:rPr>
                <w:rFonts w:ascii="Times New Roman" w:hAnsi="Times New Roman" w:cs="Times New Roman"/>
              </w:rPr>
              <w:t>03</w:t>
            </w:r>
          </w:p>
        </w:tc>
        <w:tc>
          <w:tcPr>
            <w:tcW w:w="1564" w:type="dxa"/>
          </w:tcPr>
          <w:p w14:paraId="2D386A1A" w14:textId="77777777" w:rsidR="00751867" w:rsidRPr="00162B1B" w:rsidRDefault="00751867" w:rsidP="005620B0">
            <w:pPr>
              <w:rPr>
                <w:rFonts w:ascii="Times New Roman" w:hAnsi="Times New Roman" w:cs="Times New Roman"/>
              </w:rPr>
            </w:pPr>
            <w:r>
              <w:rPr>
                <w:rFonts w:ascii="Times New Roman" w:hAnsi="Times New Roman" w:cs="Times New Roman"/>
              </w:rPr>
              <w:t>7485508</w:t>
            </w:r>
          </w:p>
        </w:tc>
        <w:tc>
          <w:tcPr>
            <w:tcW w:w="1431" w:type="dxa"/>
          </w:tcPr>
          <w:p w14:paraId="684B24E2" w14:textId="77777777" w:rsidR="00751867" w:rsidRPr="00162B1B" w:rsidRDefault="00751867" w:rsidP="005620B0">
            <w:pPr>
              <w:rPr>
                <w:rFonts w:ascii="Times New Roman" w:hAnsi="Times New Roman" w:cs="Times New Roman"/>
              </w:rPr>
            </w:pPr>
            <w:r>
              <w:rPr>
                <w:rFonts w:ascii="Times New Roman" w:hAnsi="Times New Roman" w:cs="Times New Roman"/>
              </w:rPr>
              <w:t>0.3480</w:t>
            </w:r>
          </w:p>
        </w:tc>
        <w:tc>
          <w:tcPr>
            <w:tcW w:w="2188" w:type="dxa"/>
          </w:tcPr>
          <w:p w14:paraId="25D2F035" w14:textId="77777777" w:rsidR="00751867" w:rsidRPr="00162B1B" w:rsidRDefault="00751867" w:rsidP="005620B0">
            <w:pPr>
              <w:rPr>
                <w:rFonts w:ascii="Times New Roman" w:hAnsi="Times New Roman" w:cs="Times New Roman"/>
              </w:rPr>
            </w:pPr>
            <w:r>
              <w:rPr>
                <w:rFonts w:ascii="Times New Roman" w:hAnsi="Times New Roman" w:cs="Times New Roman"/>
              </w:rPr>
              <w:t>Intronic</w:t>
            </w:r>
          </w:p>
        </w:tc>
        <w:tc>
          <w:tcPr>
            <w:tcW w:w="2421" w:type="dxa"/>
          </w:tcPr>
          <w:p w14:paraId="2855EFA1" w14:textId="77777777" w:rsidR="00751867" w:rsidRPr="00C122D4" w:rsidRDefault="00751867" w:rsidP="005620B0">
            <w:pPr>
              <w:rPr>
                <w:rFonts w:ascii="Times New Roman" w:hAnsi="Times New Roman" w:cs="Times New Roman"/>
                <w:i/>
                <w:iCs/>
              </w:rPr>
            </w:pPr>
            <w:r>
              <w:rPr>
                <w:rFonts w:ascii="Times New Roman" w:hAnsi="Times New Roman" w:cs="Times New Roman"/>
                <w:i/>
                <w:iCs/>
              </w:rPr>
              <w:t>daam1</w:t>
            </w:r>
          </w:p>
        </w:tc>
      </w:tr>
      <w:tr w:rsidR="00751867" w14:paraId="391BD524" w14:textId="77777777" w:rsidTr="005620B0">
        <w:tc>
          <w:tcPr>
            <w:tcW w:w="1746" w:type="dxa"/>
          </w:tcPr>
          <w:p w14:paraId="628A2172" w14:textId="77777777" w:rsidR="00751867" w:rsidRPr="00162B1B" w:rsidRDefault="00751867" w:rsidP="005620B0">
            <w:pPr>
              <w:rPr>
                <w:rFonts w:ascii="Times New Roman" w:hAnsi="Times New Roman" w:cs="Times New Roman"/>
              </w:rPr>
            </w:pPr>
            <w:r>
              <w:rPr>
                <w:rFonts w:ascii="Times New Roman" w:hAnsi="Times New Roman" w:cs="Times New Roman"/>
              </w:rPr>
              <w:t>05</w:t>
            </w:r>
          </w:p>
        </w:tc>
        <w:tc>
          <w:tcPr>
            <w:tcW w:w="1564" w:type="dxa"/>
          </w:tcPr>
          <w:p w14:paraId="6831F40B" w14:textId="77777777" w:rsidR="00751867" w:rsidRPr="00162B1B" w:rsidRDefault="00751867" w:rsidP="005620B0">
            <w:pPr>
              <w:rPr>
                <w:rFonts w:ascii="Times New Roman" w:hAnsi="Times New Roman" w:cs="Times New Roman"/>
              </w:rPr>
            </w:pPr>
            <w:r>
              <w:rPr>
                <w:rFonts w:ascii="Times New Roman" w:hAnsi="Times New Roman" w:cs="Times New Roman"/>
              </w:rPr>
              <w:t>4372154</w:t>
            </w:r>
          </w:p>
        </w:tc>
        <w:tc>
          <w:tcPr>
            <w:tcW w:w="1431" w:type="dxa"/>
          </w:tcPr>
          <w:p w14:paraId="5F6C3DD5" w14:textId="77777777" w:rsidR="00751867" w:rsidRPr="00162B1B" w:rsidRDefault="00751867" w:rsidP="005620B0">
            <w:pPr>
              <w:rPr>
                <w:rFonts w:ascii="Times New Roman" w:hAnsi="Times New Roman" w:cs="Times New Roman"/>
              </w:rPr>
            </w:pPr>
            <w:r>
              <w:rPr>
                <w:rFonts w:ascii="Times New Roman" w:hAnsi="Times New Roman" w:cs="Times New Roman"/>
              </w:rPr>
              <w:t>0.3284</w:t>
            </w:r>
          </w:p>
        </w:tc>
        <w:tc>
          <w:tcPr>
            <w:tcW w:w="2188" w:type="dxa"/>
          </w:tcPr>
          <w:p w14:paraId="568D0D89" w14:textId="77777777" w:rsidR="00751867" w:rsidRPr="00162B1B" w:rsidRDefault="00751867" w:rsidP="005620B0">
            <w:pPr>
              <w:rPr>
                <w:rFonts w:ascii="Times New Roman" w:hAnsi="Times New Roman" w:cs="Times New Roman"/>
              </w:rPr>
            </w:pPr>
            <w:r>
              <w:rPr>
                <w:rFonts w:ascii="Times New Roman" w:hAnsi="Times New Roman" w:cs="Times New Roman"/>
              </w:rPr>
              <w:t>Intronic</w:t>
            </w:r>
          </w:p>
        </w:tc>
        <w:tc>
          <w:tcPr>
            <w:tcW w:w="2421" w:type="dxa"/>
          </w:tcPr>
          <w:p w14:paraId="7C4D35F4" w14:textId="77777777" w:rsidR="00751867" w:rsidRPr="00C122D4" w:rsidRDefault="00751867" w:rsidP="005620B0">
            <w:pPr>
              <w:rPr>
                <w:rFonts w:ascii="Times New Roman" w:hAnsi="Times New Roman" w:cs="Times New Roman"/>
                <w:i/>
                <w:iCs/>
              </w:rPr>
            </w:pPr>
            <w:r>
              <w:rPr>
                <w:rFonts w:ascii="Times New Roman" w:hAnsi="Times New Roman" w:cs="Times New Roman"/>
                <w:i/>
                <w:iCs/>
              </w:rPr>
              <w:t>ptn</w:t>
            </w:r>
          </w:p>
        </w:tc>
      </w:tr>
      <w:tr w:rsidR="00751867" w14:paraId="64185A7C" w14:textId="77777777" w:rsidTr="005620B0">
        <w:tc>
          <w:tcPr>
            <w:tcW w:w="1746" w:type="dxa"/>
          </w:tcPr>
          <w:p w14:paraId="7BCC9786" w14:textId="77777777" w:rsidR="00751867" w:rsidRPr="00162B1B" w:rsidRDefault="00751867" w:rsidP="005620B0">
            <w:pPr>
              <w:rPr>
                <w:rFonts w:ascii="Times New Roman" w:hAnsi="Times New Roman" w:cs="Times New Roman"/>
              </w:rPr>
            </w:pPr>
            <w:r>
              <w:rPr>
                <w:rFonts w:ascii="Times New Roman" w:hAnsi="Times New Roman" w:cs="Times New Roman"/>
              </w:rPr>
              <w:t>06</w:t>
            </w:r>
          </w:p>
        </w:tc>
        <w:tc>
          <w:tcPr>
            <w:tcW w:w="1564" w:type="dxa"/>
          </w:tcPr>
          <w:p w14:paraId="72DDDA86" w14:textId="77777777" w:rsidR="00751867" w:rsidRPr="00162B1B" w:rsidRDefault="00751867" w:rsidP="005620B0">
            <w:pPr>
              <w:rPr>
                <w:rFonts w:ascii="Times New Roman" w:hAnsi="Times New Roman" w:cs="Times New Roman"/>
              </w:rPr>
            </w:pPr>
            <w:r>
              <w:rPr>
                <w:rFonts w:ascii="Times New Roman" w:hAnsi="Times New Roman" w:cs="Times New Roman"/>
              </w:rPr>
              <w:t>21993985</w:t>
            </w:r>
          </w:p>
        </w:tc>
        <w:tc>
          <w:tcPr>
            <w:tcW w:w="1431" w:type="dxa"/>
          </w:tcPr>
          <w:p w14:paraId="441547C8" w14:textId="77777777" w:rsidR="00751867" w:rsidRPr="00162B1B" w:rsidRDefault="00751867" w:rsidP="005620B0">
            <w:pPr>
              <w:rPr>
                <w:rFonts w:ascii="Times New Roman" w:hAnsi="Times New Roman" w:cs="Times New Roman"/>
              </w:rPr>
            </w:pPr>
            <w:r>
              <w:rPr>
                <w:rFonts w:ascii="Times New Roman" w:hAnsi="Times New Roman" w:cs="Times New Roman"/>
              </w:rPr>
              <w:t>0.3221</w:t>
            </w:r>
          </w:p>
        </w:tc>
        <w:tc>
          <w:tcPr>
            <w:tcW w:w="2188" w:type="dxa"/>
          </w:tcPr>
          <w:p w14:paraId="7F6F9C4B" w14:textId="77777777" w:rsidR="00751867" w:rsidRPr="00162B1B" w:rsidRDefault="00751867" w:rsidP="005620B0">
            <w:pPr>
              <w:rPr>
                <w:rFonts w:ascii="Times New Roman" w:hAnsi="Times New Roman" w:cs="Times New Roman"/>
              </w:rPr>
            </w:pPr>
            <w:r>
              <w:rPr>
                <w:rFonts w:ascii="Times New Roman" w:hAnsi="Times New Roman" w:cs="Times New Roman"/>
              </w:rPr>
              <w:t>Intronic</w:t>
            </w:r>
          </w:p>
        </w:tc>
        <w:tc>
          <w:tcPr>
            <w:tcW w:w="2421" w:type="dxa"/>
          </w:tcPr>
          <w:p w14:paraId="77CBE4E0" w14:textId="77777777" w:rsidR="00751867" w:rsidRPr="00C122D4" w:rsidRDefault="00751867" w:rsidP="005620B0">
            <w:pPr>
              <w:rPr>
                <w:rFonts w:ascii="Times New Roman" w:hAnsi="Times New Roman" w:cs="Times New Roman"/>
                <w:i/>
                <w:iCs/>
              </w:rPr>
            </w:pPr>
            <w:r>
              <w:rPr>
                <w:rFonts w:ascii="Times New Roman" w:hAnsi="Times New Roman" w:cs="Times New Roman"/>
                <w:i/>
                <w:iCs/>
              </w:rPr>
              <w:t>rotund</w:t>
            </w:r>
          </w:p>
        </w:tc>
      </w:tr>
      <w:tr w:rsidR="00751867" w14:paraId="1B085FC0" w14:textId="77777777" w:rsidTr="005620B0">
        <w:tc>
          <w:tcPr>
            <w:tcW w:w="1746" w:type="dxa"/>
          </w:tcPr>
          <w:p w14:paraId="155443A8" w14:textId="77777777" w:rsidR="00751867" w:rsidRDefault="00751867" w:rsidP="005620B0">
            <w:pPr>
              <w:rPr>
                <w:rFonts w:ascii="Times New Roman" w:hAnsi="Times New Roman" w:cs="Times New Roman"/>
              </w:rPr>
            </w:pPr>
            <w:r>
              <w:rPr>
                <w:rFonts w:ascii="Times New Roman" w:hAnsi="Times New Roman" w:cs="Times New Roman"/>
              </w:rPr>
              <w:t>04</w:t>
            </w:r>
          </w:p>
        </w:tc>
        <w:tc>
          <w:tcPr>
            <w:tcW w:w="1564" w:type="dxa"/>
          </w:tcPr>
          <w:p w14:paraId="5CB43A21" w14:textId="77777777" w:rsidR="00751867" w:rsidRPr="00162B1B" w:rsidRDefault="00751867" w:rsidP="005620B0">
            <w:pPr>
              <w:rPr>
                <w:rFonts w:ascii="Times New Roman" w:hAnsi="Times New Roman" w:cs="Times New Roman"/>
              </w:rPr>
            </w:pPr>
            <w:r>
              <w:rPr>
                <w:rFonts w:ascii="Times New Roman" w:hAnsi="Times New Roman" w:cs="Times New Roman"/>
              </w:rPr>
              <w:t>2181789</w:t>
            </w:r>
          </w:p>
        </w:tc>
        <w:tc>
          <w:tcPr>
            <w:tcW w:w="1431" w:type="dxa"/>
          </w:tcPr>
          <w:p w14:paraId="0926E360" w14:textId="77777777" w:rsidR="00751867" w:rsidRPr="00162B1B" w:rsidRDefault="00751867" w:rsidP="005620B0">
            <w:pPr>
              <w:rPr>
                <w:rFonts w:ascii="Times New Roman" w:hAnsi="Times New Roman" w:cs="Times New Roman"/>
              </w:rPr>
            </w:pPr>
            <w:r>
              <w:rPr>
                <w:rFonts w:ascii="Times New Roman" w:hAnsi="Times New Roman" w:cs="Times New Roman"/>
              </w:rPr>
              <w:t>0.3220</w:t>
            </w:r>
          </w:p>
        </w:tc>
        <w:tc>
          <w:tcPr>
            <w:tcW w:w="2188" w:type="dxa"/>
          </w:tcPr>
          <w:p w14:paraId="33ED961E" w14:textId="77777777" w:rsidR="00751867" w:rsidRPr="00162B1B" w:rsidRDefault="00751867" w:rsidP="005620B0">
            <w:pPr>
              <w:rPr>
                <w:rFonts w:ascii="Times New Roman" w:hAnsi="Times New Roman" w:cs="Times New Roman"/>
              </w:rPr>
            </w:pPr>
            <w:r>
              <w:rPr>
                <w:rFonts w:ascii="Times New Roman" w:hAnsi="Times New Roman" w:cs="Times New Roman"/>
              </w:rPr>
              <w:t>Intronic</w:t>
            </w:r>
          </w:p>
        </w:tc>
        <w:tc>
          <w:tcPr>
            <w:tcW w:w="2421" w:type="dxa"/>
          </w:tcPr>
          <w:p w14:paraId="3CA4D83D" w14:textId="77777777" w:rsidR="00751867" w:rsidRPr="00C122D4" w:rsidRDefault="00751867" w:rsidP="005620B0">
            <w:pPr>
              <w:rPr>
                <w:rFonts w:ascii="Times New Roman" w:hAnsi="Times New Roman" w:cs="Times New Roman"/>
                <w:i/>
                <w:iCs/>
              </w:rPr>
            </w:pPr>
            <w:r>
              <w:rPr>
                <w:rFonts w:ascii="Times New Roman" w:hAnsi="Times New Roman" w:cs="Times New Roman"/>
                <w:i/>
                <w:iCs/>
              </w:rPr>
              <w:t>still life</w:t>
            </w:r>
          </w:p>
        </w:tc>
      </w:tr>
      <w:tr w:rsidR="00751867" w14:paraId="3273A05F" w14:textId="77777777" w:rsidTr="005620B0">
        <w:tc>
          <w:tcPr>
            <w:tcW w:w="1746" w:type="dxa"/>
          </w:tcPr>
          <w:p w14:paraId="2B4DF615" w14:textId="77777777" w:rsidR="00751867" w:rsidRDefault="00751867" w:rsidP="005620B0">
            <w:pPr>
              <w:rPr>
                <w:rFonts w:ascii="Times New Roman" w:hAnsi="Times New Roman" w:cs="Times New Roman"/>
              </w:rPr>
            </w:pPr>
            <w:r>
              <w:rPr>
                <w:rFonts w:ascii="Times New Roman" w:hAnsi="Times New Roman" w:cs="Times New Roman"/>
              </w:rPr>
              <w:t>04</w:t>
            </w:r>
          </w:p>
        </w:tc>
        <w:tc>
          <w:tcPr>
            <w:tcW w:w="1564" w:type="dxa"/>
          </w:tcPr>
          <w:p w14:paraId="68E65958" w14:textId="77777777" w:rsidR="00751867" w:rsidRPr="00162B1B" w:rsidRDefault="00751867" w:rsidP="005620B0">
            <w:pPr>
              <w:rPr>
                <w:rFonts w:ascii="Times New Roman" w:hAnsi="Times New Roman" w:cs="Times New Roman"/>
              </w:rPr>
            </w:pPr>
            <w:r>
              <w:rPr>
                <w:rFonts w:ascii="Times New Roman" w:hAnsi="Times New Roman" w:cs="Times New Roman"/>
              </w:rPr>
              <w:t>19599247</w:t>
            </w:r>
          </w:p>
        </w:tc>
        <w:tc>
          <w:tcPr>
            <w:tcW w:w="1431" w:type="dxa"/>
          </w:tcPr>
          <w:p w14:paraId="67FE7D60" w14:textId="77777777" w:rsidR="00751867" w:rsidRPr="00162B1B" w:rsidRDefault="00751867" w:rsidP="005620B0">
            <w:pPr>
              <w:rPr>
                <w:rFonts w:ascii="Times New Roman" w:hAnsi="Times New Roman" w:cs="Times New Roman"/>
              </w:rPr>
            </w:pPr>
            <w:r>
              <w:rPr>
                <w:rFonts w:ascii="Times New Roman" w:hAnsi="Times New Roman" w:cs="Times New Roman"/>
              </w:rPr>
              <w:t>0.3211</w:t>
            </w:r>
          </w:p>
        </w:tc>
        <w:tc>
          <w:tcPr>
            <w:tcW w:w="2188" w:type="dxa"/>
          </w:tcPr>
          <w:p w14:paraId="291CC81C" w14:textId="77777777" w:rsidR="00751867" w:rsidRPr="00162B1B" w:rsidRDefault="00751867" w:rsidP="005620B0">
            <w:pPr>
              <w:rPr>
                <w:rFonts w:ascii="Times New Roman" w:hAnsi="Times New Roman" w:cs="Times New Roman"/>
              </w:rPr>
            </w:pPr>
            <w:r>
              <w:rPr>
                <w:rFonts w:ascii="Times New Roman" w:hAnsi="Times New Roman" w:cs="Times New Roman"/>
              </w:rPr>
              <w:t>Intronic</w:t>
            </w:r>
          </w:p>
        </w:tc>
        <w:tc>
          <w:tcPr>
            <w:tcW w:w="2421" w:type="dxa"/>
          </w:tcPr>
          <w:p w14:paraId="503593CB" w14:textId="77777777" w:rsidR="00751867" w:rsidRPr="00C122D4" w:rsidRDefault="00751867" w:rsidP="005620B0">
            <w:pPr>
              <w:rPr>
                <w:rFonts w:ascii="Times New Roman" w:hAnsi="Times New Roman" w:cs="Times New Roman"/>
                <w:i/>
                <w:iCs/>
              </w:rPr>
            </w:pPr>
            <w:r>
              <w:rPr>
                <w:rFonts w:ascii="Times New Roman" w:hAnsi="Times New Roman" w:cs="Times New Roman"/>
                <w:i/>
                <w:iCs/>
              </w:rPr>
              <w:t>fstl5</w:t>
            </w:r>
          </w:p>
        </w:tc>
      </w:tr>
      <w:tr w:rsidR="00751867" w14:paraId="691069B7" w14:textId="77777777" w:rsidTr="005620B0">
        <w:tc>
          <w:tcPr>
            <w:tcW w:w="1746" w:type="dxa"/>
          </w:tcPr>
          <w:p w14:paraId="18DC3D3F" w14:textId="77777777" w:rsidR="00751867" w:rsidRDefault="00751867" w:rsidP="005620B0">
            <w:pPr>
              <w:rPr>
                <w:rFonts w:ascii="Times New Roman" w:hAnsi="Times New Roman" w:cs="Times New Roman"/>
              </w:rPr>
            </w:pPr>
            <w:r>
              <w:rPr>
                <w:rFonts w:ascii="Times New Roman" w:hAnsi="Times New Roman" w:cs="Times New Roman"/>
              </w:rPr>
              <w:t>05</w:t>
            </w:r>
          </w:p>
        </w:tc>
        <w:tc>
          <w:tcPr>
            <w:tcW w:w="1564" w:type="dxa"/>
          </w:tcPr>
          <w:p w14:paraId="54266078" w14:textId="77777777" w:rsidR="00751867" w:rsidRPr="00162B1B" w:rsidRDefault="00751867" w:rsidP="005620B0">
            <w:pPr>
              <w:rPr>
                <w:rFonts w:ascii="Times New Roman" w:hAnsi="Times New Roman" w:cs="Times New Roman"/>
              </w:rPr>
            </w:pPr>
            <w:r>
              <w:rPr>
                <w:rFonts w:ascii="Times New Roman" w:hAnsi="Times New Roman" w:cs="Times New Roman"/>
              </w:rPr>
              <w:t>4380601</w:t>
            </w:r>
          </w:p>
        </w:tc>
        <w:tc>
          <w:tcPr>
            <w:tcW w:w="1431" w:type="dxa"/>
          </w:tcPr>
          <w:p w14:paraId="5F4FB97A" w14:textId="77777777" w:rsidR="00751867" w:rsidRPr="00162B1B" w:rsidRDefault="00751867" w:rsidP="005620B0">
            <w:pPr>
              <w:rPr>
                <w:rFonts w:ascii="Times New Roman" w:hAnsi="Times New Roman" w:cs="Times New Roman"/>
              </w:rPr>
            </w:pPr>
            <w:r>
              <w:rPr>
                <w:rFonts w:ascii="Times New Roman" w:hAnsi="Times New Roman" w:cs="Times New Roman"/>
              </w:rPr>
              <w:t>0.3206</w:t>
            </w:r>
          </w:p>
        </w:tc>
        <w:tc>
          <w:tcPr>
            <w:tcW w:w="2188" w:type="dxa"/>
          </w:tcPr>
          <w:p w14:paraId="108B6E04" w14:textId="77777777" w:rsidR="00751867" w:rsidRPr="00162B1B" w:rsidRDefault="00751867" w:rsidP="005620B0">
            <w:pPr>
              <w:rPr>
                <w:rFonts w:ascii="Times New Roman" w:hAnsi="Times New Roman" w:cs="Times New Roman"/>
              </w:rPr>
            </w:pPr>
            <w:r>
              <w:rPr>
                <w:rFonts w:ascii="Times New Roman" w:hAnsi="Times New Roman" w:cs="Times New Roman"/>
              </w:rPr>
              <w:t>Intronic</w:t>
            </w:r>
          </w:p>
        </w:tc>
        <w:tc>
          <w:tcPr>
            <w:tcW w:w="2421" w:type="dxa"/>
          </w:tcPr>
          <w:p w14:paraId="50084A1F" w14:textId="77777777" w:rsidR="00751867" w:rsidRPr="00C122D4" w:rsidRDefault="00751867" w:rsidP="005620B0">
            <w:pPr>
              <w:rPr>
                <w:rFonts w:ascii="Times New Roman" w:hAnsi="Times New Roman" w:cs="Times New Roman"/>
                <w:i/>
                <w:iCs/>
              </w:rPr>
            </w:pPr>
            <w:r>
              <w:rPr>
                <w:rFonts w:ascii="Times New Roman" w:hAnsi="Times New Roman" w:cs="Times New Roman"/>
                <w:i/>
                <w:iCs/>
              </w:rPr>
              <w:t>ptn</w:t>
            </w:r>
          </w:p>
        </w:tc>
      </w:tr>
      <w:tr w:rsidR="00751867" w14:paraId="2761B7C8" w14:textId="77777777" w:rsidTr="005620B0">
        <w:tc>
          <w:tcPr>
            <w:tcW w:w="1746" w:type="dxa"/>
          </w:tcPr>
          <w:p w14:paraId="35B4853F" w14:textId="77777777" w:rsidR="00751867" w:rsidRDefault="00751867" w:rsidP="005620B0">
            <w:pPr>
              <w:rPr>
                <w:rFonts w:ascii="Times New Roman" w:hAnsi="Times New Roman" w:cs="Times New Roman"/>
              </w:rPr>
            </w:pPr>
            <w:r>
              <w:rPr>
                <w:rFonts w:ascii="Times New Roman" w:hAnsi="Times New Roman" w:cs="Times New Roman"/>
              </w:rPr>
              <w:t>02</w:t>
            </w:r>
          </w:p>
        </w:tc>
        <w:tc>
          <w:tcPr>
            <w:tcW w:w="1564" w:type="dxa"/>
          </w:tcPr>
          <w:p w14:paraId="69688DB6" w14:textId="77777777" w:rsidR="00751867" w:rsidRPr="00162B1B" w:rsidRDefault="00751867" w:rsidP="005620B0">
            <w:pPr>
              <w:rPr>
                <w:rFonts w:ascii="Times New Roman" w:hAnsi="Times New Roman" w:cs="Times New Roman"/>
              </w:rPr>
            </w:pPr>
            <w:r>
              <w:rPr>
                <w:rFonts w:ascii="Times New Roman" w:hAnsi="Times New Roman" w:cs="Times New Roman"/>
              </w:rPr>
              <w:t>9684091</w:t>
            </w:r>
          </w:p>
        </w:tc>
        <w:tc>
          <w:tcPr>
            <w:tcW w:w="1431" w:type="dxa"/>
          </w:tcPr>
          <w:p w14:paraId="6B11786C" w14:textId="77777777" w:rsidR="00751867" w:rsidRPr="00162B1B" w:rsidRDefault="00751867" w:rsidP="005620B0">
            <w:pPr>
              <w:rPr>
                <w:rFonts w:ascii="Times New Roman" w:hAnsi="Times New Roman" w:cs="Times New Roman"/>
              </w:rPr>
            </w:pPr>
            <w:r>
              <w:rPr>
                <w:rFonts w:ascii="Times New Roman" w:hAnsi="Times New Roman" w:cs="Times New Roman"/>
              </w:rPr>
              <w:t>0.3175</w:t>
            </w:r>
          </w:p>
        </w:tc>
        <w:tc>
          <w:tcPr>
            <w:tcW w:w="2188" w:type="dxa"/>
          </w:tcPr>
          <w:p w14:paraId="1845CA5D" w14:textId="77777777" w:rsidR="00751867" w:rsidRPr="00162B1B" w:rsidRDefault="00751867" w:rsidP="005620B0">
            <w:pPr>
              <w:rPr>
                <w:rFonts w:ascii="Times New Roman" w:hAnsi="Times New Roman" w:cs="Times New Roman"/>
              </w:rPr>
            </w:pPr>
            <w:r>
              <w:rPr>
                <w:rFonts w:ascii="Times New Roman" w:hAnsi="Times New Roman" w:cs="Times New Roman"/>
              </w:rPr>
              <w:t>Intronic</w:t>
            </w:r>
          </w:p>
        </w:tc>
        <w:tc>
          <w:tcPr>
            <w:tcW w:w="2421" w:type="dxa"/>
          </w:tcPr>
          <w:p w14:paraId="48710077" w14:textId="77777777" w:rsidR="00751867" w:rsidRDefault="00751867" w:rsidP="005620B0">
            <w:pPr>
              <w:rPr>
                <w:rFonts w:ascii="Times New Roman" w:hAnsi="Times New Roman" w:cs="Times New Roman"/>
              </w:rPr>
            </w:pPr>
            <w:r>
              <w:rPr>
                <w:rFonts w:ascii="Times New Roman" w:hAnsi="Times New Roman" w:cs="Times New Roman"/>
              </w:rPr>
              <w:t>Uncharacterized:</w:t>
            </w:r>
          </w:p>
          <w:p w14:paraId="322BB54A" w14:textId="77777777" w:rsidR="00751867" w:rsidRDefault="00751867" w:rsidP="005620B0">
            <w:pPr>
              <w:rPr>
                <w:rFonts w:ascii="Times New Roman" w:hAnsi="Times New Roman" w:cs="Times New Roman"/>
              </w:rPr>
            </w:pPr>
            <w:r>
              <w:rPr>
                <w:rFonts w:ascii="Times New Roman" w:hAnsi="Times New Roman" w:cs="Times New Roman"/>
              </w:rPr>
              <w:t>LOC124326411</w:t>
            </w:r>
          </w:p>
          <w:p w14:paraId="51D6AC7A" w14:textId="77777777" w:rsidR="00751867" w:rsidRDefault="00751867" w:rsidP="005620B0">
            <w:pPr>
              <w:rPr>
                <w:rFonts w:ascii="Times New Roman" w:hAnsi="Times New Roman" w:cs="Times New Roman"/>
              </w:rPr>
            </w:pPr>
            <w:r>
              <w:rPr>
                <w:rFonts w:ascii="Times New Roman" w:hAnsi="Times New Roman" w:cs="Times New Roman"/>
              </w:rPr>
              <w:t>LOC124326443</w:t>
            </w:r>
          </w:p>
          <w:p w14:paraId="33A3A0EF" w14:textId="77777777" w:rsidR="00751867" w:rsidRPr="00162B1B" w:rsidRDefault="00751867" w:rsidP="005620B0">
            <w:pPr>
              <w:rPr>
                <w:rFonts w:ascii="Times New Roman" w:hAnsi="Times New Roman" w:cs="Times New Roman"/>
              </w:rPr>
            </w:pPr>
            <w:r>
              <w:rPr>
                <w:rFonts w:ascii="Times New Roman" w:hAnsi="Times New Roman" w:cs="Times New Roman"/>
              </w:rPr>
              <w:t>LOC124326498</w:t>
            </w:r>
          </w:p>
        </w:tc>
      </w:tr>
    </w:tbl>
    <w:p w14:paraId="6AD44E04" w14:textId="77777777" w:rsidR="00751867" w:rsidRDefault="00751867" w:rsidP="00751867">
      <w:pPr>
        <w:rPr>
          <w:rFonts w:ascii="Times New Roman" w:hAnsi="Times New Roman" w:cs="Times New Roman"/>
          <w:sz w:val="24"/>
          <w:szCs w:val="24"/>
        </w:rPr>
      </w:pPr>
      <w:r>
        <w:rPr>
          <w:rFonts w:ascii="Times New Roman" w:hAnsi="Times New Roman" w:cs="Times New Roman"/>
          <w:b/>
          <w:bCs/>
          <w:sz w:val="24"/>
          <w:szCs w:val="24"/>
        </w:rPr>
        <w:t xml:space="preserve">Table S3: </w:t>
      </w:r>
      <w:r>
        <w:rPr>
          <w:rFonts w:ascii="Times New Roman" w:hAnsi="Times New Roman" w:cs="Times New Roman"/>
          <w:sz w:val="24"/>
          <w:szCs w:val="24"/>
        </w:rPr>
        <w:t xml:space="preserve">Extreme outlier SNPs and nearest genes (within 5Kb). </w:t>
      </w:r>
    </w:p>
    <w:p w14:paraId="6DC1F1E7" w14:textId="77777777" w:rsidR="00751867" w:rsidRDefault="00751867" w:rsidP="00751867">
      <w:pPr>
        <w:rPr>
          <w:rFonts w:ascii="Times New Roman" w:hAnsi="Times New Roman" w:cs="Times New Roman"/>
          <w:sz w:val="24"/>
          <w:szCs w:val="24"/>
        </w:rPr>
      </w:pPr>
    </w:p>
    <w:p w14:paraId="446A0DE6" w14:textId="77777777" w:rsidR="00751867" w:rsidRDefault="00751867" w:rsidP="00751867">
      <w:pPr>
        <w:rPr>
          <w:rFonts w:ascii="Times New Roman" w:hAnsi="Times New Roman" w:cs="Times New Roman"/>
          <w:sz w:val="24"/>
          <w:szCs w:val="24"/>
        </w:rPr>
      </w:pPr>
      <w:r>
        <w:rPr>
          <w:rFonts w:ascii="Times New Roman" w:hAnsi="Times New Roman" w:cs="Times New Roman"/>
          <w:sz w:val="24"/>
          <w:szCs w:val="24"/>
        </w:rPr>
        <w:br w:type="page"/>
      </w:r>
    </w:p>
    <w:p w14:paraId="33A40872" w14:textId="77777777" w:rsidR="00751867" w:rsidRDefault="00751867" w:rsidP="00751867">
      <w:pPr>
        <w:rPr>
          <w:rFonts w:ascii="Times New Roman" w:hAnsi="Times New Roman" w:cs="Times New Roman"/>
          <w:sz w:val="24"/>
          <w:szCs w:val="24"/>
        </w:rPr>
      </w:pPr>
      <w:r>
        <w:rPr>
          <w:rFonts w:ascii="Times New Roman" w:hAnsi="Times New Roman" w:cs="Times New Roman"/>
          <w:b/>
          <w:bCs/>
          <w:sz w:val="24"/>
          <w:szCs w:val="24"/>
        </w:rPr>
        <w:lastRenderedPageBreak/>
        <w:t>Table S4:</w:t>
      </w:r>
      <w:r>
        <w:rPr>
          <w:rFonts w:ascii="Times New Roman" w:hAnsi="Times New Roman" w:cs="Times New Roman"/>
          <w:sz w:val="24"/>
          <w:szCs w:val="24"/>
        </w:rPr>
        <w:t xml:space="preserve"> Secchi Depths at sampling stations on Tanners Lake</w:t>
      </w:r>
    </w:p>
    <w:tbl>
      <w:tblPr>
        <w:tblStyle w:val="TableGrid"/>
        <w:tblW w:w="0" w:type="auto"/>
        <w:tblLook w:val="04A0" w:firstRow="1" w:lastRow="0" w:firstColumn="1" w:lastColumn="0" w:noHBand="0" w:noVBand="1"/>
      </w:tblPr>
      <w:tblGrid>
        <w:gridCol w:w="2337"/>
        <w:gridCol w:w="2337"/>
        <w:gridCol w:w="2338"/>
        <w:gridCol w:w="2338"/>
      </w:tblGrid>
      <w:tr w:rsidR="00751867" w14:paraId="7F1EF503" w14:textId="77777777" w:rsidTr="005620B0">
        <w:tc>
          <w:tcPr>
            <w:tcW w:w="2337" w:type="dxa"/>
          </w:tcPr>
          <w:p w14:paraId="36E4D9BA" w14:textId="77777777" w:rsidR="00751867" w:rsidRPr="00490815" w:rsidRDefault="00751867" w:rsidP="005620B0">
            <w:pPr>
              <w:rPr>
                <w:rFonts w:ascii="Times New Roman" w:hAnsi="Times New Roman" w:cs="Times New Roman"/>
                <w:b/>
                <w:bCs/>
              </w:rPr>
            </w:pPr>
            <w:r w:rsidRPr="00490815">
              <w:rPr>
                <w:rFonts w:ascii="Times New Roman" w:hAnsi="Times New Roman" w:cs="Times New Roman"/>
                <w:b/>
                <w:bCs/>
              </w:rPr>
              <w:t>Time</w:t>
            </w:r>
          </w:p>
        </w:tc>
        <w:tc>
          <w:tcPr>
            <w:tcW w:w="2337" w:type="dxa"/>
          </w:tcPr>
          <w:p w14:paraId="04818605" w14:textId="77777777" w:rsidR="00751867" w:rsidRPr="00490815" w:rsidRDefault="00751867" w:rsidP="005620B0">
            <w:pPr>
              <w:rPr>
                <w:rFonts w:ascii="Times New Roman" w:hAnsi="Times New Roman" w:cs="Times New Roman"/>
                <w:b/>
                <w:bCs/>
              </w:rPr>
            </w:pPr>
            <w:r w:rsidRPr="00490815">
              <w:rPr>
                <w:rFonts w:ascii="Times New Roman" w:hAnsi="Times New Roman" w:cs="Times New Roman"/>
                <w:b/>
                <w:bCs/>
              </w:rPr>
              <w:t>0600</w:t>
            </w:r>
          </w:p>
        </w:tc>
        <w:tc>
          <w:tcPr>
            <w:tcW w:w="2338" w:type="dxa"/>
          </w:tcPr>
          <w:p w14:paraId="77FF324C" w14:textId="77777777" w:rsidR="00751867" w:rsidRPr="00490815" w:rsidRDefault="00751867" w:rsidP="005620B0">
            <w:pPr>
              <w:rPr>
                <w:rFonts w:ascii="Times New Roman" w:hAnsi="Times New Roman" w:cs="Times New Roman"/>
                <w:b/>
                <w:bCs/>
              </w:rPr>
            </w:pPr>
            <w:r w:rsidRPr="00490815">
              <w:rPr>
                <w:rFonts w:ascii="Times New Roman" w:hAnsi="Times New Roman" w:cs="Times New Roman"/>
                <w:b/>
                <w:bCs/>
              </w:rPr>
              <w:t>1200</w:t>
            </w:r>
          </w:p>
        </w:tc>
        <w:tc>
          <w:tcPr>
            <w:tcW w:w="2338" w:type="dxa"/>
          </w:tcPr>
          <w:p w14:paraId="14398E90" w14:textId="77777777" w:rsidR="00751867" w:rsidRPr="00490815" w:rsidRDefault="00751867" w:rsidP="005620B0">
            <w:pPr>
              <w:rPr>
                <w:rFonts w:ascii="Times New Roman" w:hAnsi="Times New Roman" w:cs="Times New Roman"/>
                <w:b/>
                <w:bCs/>
              </w:rPr>
            </w:pPr>
            <w:r w:rsidRPr="00490815">
              <w:rPr>
                <w:rFonts w:ascii="Times New Roman" w:hAnsi="Times New Roman" w:cs="Times New Roman"/>
                <w:b/>
                <w:bCs/>
              </w:rPr>
              <w:t>2000</w:t>
            </w:r>
          </w:p>
        </w:tc>
      </w:tr>
      <w:tr w:rsidR="00751867" w14:paraId="6CF0A602" w14:textId="77777777" w:rsidTr="005620B0">
        <w:tc>
          <w:tcPr>
            <w:tcW w:w="2337" w:type="dxa"/>
          </w:tcPr>
          <w:p w14:paraId="61AA77F6" w14:textId="77777777" w:rsidR="00751867" w:rsidRPr="00490815" w:rsidRDefault="00751867" w:rsidP="005620B0">
            <w:pPr>
              <w:rPr>
                <w:rFonts w:ascii="Times New Roman" w:hAnsi="Times New Roman" w:cs="Times New Roman"/>
                <w:b/>
                <w:bCs/>
              </w:rPr>
            </w:pPr>
            <w:r w:rsidRPr="00490815">
              <w:rPr>
                <w:rFonts w:ascii="Times New Roman" w:hAnsi="Times New Roman" w:cs="Times New Roman"/>
                <w:b/>
                <w:bCs/>
              </w:rPr>
              <w:t>Deep Pelagic</w:t>
            </w:r>
          </w:p>
        </w:tc>
        <w:tc>
          <w:tcPr>
            <w:tcW w:w="2337" w:type="dxa"/>
          </w:tcPr>
          <w:p w14:paraId="63C90C94" w14:textId="77777777" w:rsidR="00751867" w:rsidRDefault="00751867" w:rsidP="005620B0">
            <w:pPr>
              <w:rPr>
                <w:rFonts w:ascii="Times New Roman" w:hAnsi="Times New Roman" w:cs="Times New Roman"/>
              </w:rPr>
            </w:pPr>
            <w:r>
              <w:rPr>
                <w:rFonts w:ascii="Times New Roman" w:hAnsi="Times New Roman" w:cs="Times New Roman"/>
              </w:rPr>
              <w:t>3.0 m</w:t>
            </w:r>
          </w:p>
        </w:tc>
        <w:tc>
          <w:tcPr>
            <w:tcW w:w="2338" w:type="dxa"/>
          </w:tcPr>
          <w:p w14:paraId="32F47F67" w14:textId="77777777" w:rsidR="00751867" w:rsidRDefault="00751867" w:rsidP="005620B0">
            <w:pPr>
              <w:rPr>
                <w:rFonts w:ascii="Times New Roman" w:hAnsi="Times New Roman" w:cs="Times New Roman"/>
              </w:rPr>
            </w:pPr>
            <w:r>
              <w:rPr>
                <w:rFonts w:ascii="Times New Roman" w:hAnsi="Times New Roman" w:cs="Times New Roman"/>
              </w:rPr>
              <w:t>2.9 m</w:t>
            </w:r>
          </w:p>
        </w:tc>
        <w:tc>
          <w:tcPr>
            <w:tcW w:w="2338" w:type="dxa"/>
          </w:tcPr>
          <w:p w14:paraId="68C87300" w14:textId="77777777" w:rsidR="00751867" w:rsidRDefault="00751867" w:rsidP="005620B0">
            <w:pPr>
              <w:rPr>
                <w:rFonts w:ascii="Times New Roman" w:hAnsi="Times New Roman" w:cs="Times New Roman"/>
              </w:rPr>
            </w:pPr>
            <w:r>
              <w:rPr>
                <w:rFonts w:ascii="Times New Roman" w:hAnsi="Times New Roman" w:cs="Times New Roman"/>
              </w:rPr>
              <w:t>2.9 m</w:t>
            </w:r>
          </w:p>
        </w:tc>
      </w:tr>
      <w:tr w:rsidR="00751867" w14:paraId="5E42D89C" w14:textId="77777777" w:rsidTr="005620B0">
        <w:tc>
          <w:tcPr>
            <w:tcW w:w="2337" w:type="dxa"/>
          </w:tcPr>
          <w:p w14:paraId="671D80DA" w14:textId="77777777" w:rsidR="00751867" w:rsidRPr="00490815" w:rsidRDefault="00751867" w:rsidP="005620B0">
            <w:pPr>
              <w:rPr>
                <w:rFonts w:ascii="Times New Roman" w:hAnsi="Times New Roman" w:cs="Times New Roman"/>
                <w:b/>
                <w:bCs/>
              </w:rPr>
            </w:pPr>
            <w:r w:rsidRPr="00490815">
              <w:rPr>
                <w:rFonts w:ascii="Times New Roman" w:hAnsi="Times New Roman" w:cs="Times New Roman"/>
                <w:b/>
                <w:bCs/>
              </w:rPr>
              <w:t>Mid Pelagic</w:t>
            </w:r>
          </w:p>
        </w:tc>
        <w:tc>
          <w:tcPr>
            <w:tcW w:w="2337" w:type="dxa"/>
          </w:tcPr>
          <w:p w14:paraId="71E51B36" w14:textId="77777777" w:rsidR="00751867" w:rsidRDefault="00751867" w:rsidP="005620B0">
            <w:pPr>
              <w:rPr>
                <w:rFonts w:ascii="Times New Roman" w:hAnsi="Times New Roman" w:cs="Times New Roman"/>
              </w:rPr>
            </w:pPr>
            <w:r>
              <w:rPr>
                <w:rFonts w:ascii="Times New Roman" w:hAnsi="Times New Roman" w:cs="Times New Roman"/>
              </w:rPr>
              <w:t>3.0 m</w:t>
            </w:r>
          </w:p>
        </w:tc>
        <w:tc>
          <w:tcPr>
            <w:tcW w:w="2338" w:type="dxa"/>
          </w:tcPr>
          <w:p w14:paraId="7D51D5A8" w14:textId="77777777" w:rsidR="00751867" w:rsidRDefault="00751867" w:rsidP="005620B0">
            <w:pPr>
              <w:rPr>
                <w:rFonts w:ascii="Times New Roman" w:hAnsi="Times New Roman" w:cs="Times New Roman"/>
              </w:rPr>
            </w:pPr>
            <w:r>
              <w:rPr>
                <w:rFonts w:ascii="Times New Roman" w:hAnsi="Times New Roman" w:cs="Times New Roman"/>
              </w:rPr>
              <w:t>2.85 m</w:t>
            </w:r>
          </w:p>
        </w:tc>
        <w:tc>
          <w:tcPr>
            <w:tcW w:w="2338" w:type="dxa"/>
          </w:tcPr>
          <w:p w14:paraId="477E95BA" w14:textId="77777777" w:rsidR="00751867" w:rsidRDefault="00751867" w:rsidP="005620B0">
            <w:pPr>
              <w:rPr>
                <w:rFonts w:ascii="Times New Roman" w:hAnsi="Times New Roman" w:cs="Times New Roman"/>
              </w:rPr>
            </w:pPr>
            <w:r>
              <w:rPr>
                <w:rFonts w:ascii="Times New Roman" w:hAnsi="Times New Roman" w:cs="Times New Roman"/>
              </w:rPr>
              <w:t>2.8 m</w:t>
            </w:r>
          </w:p>
        </w:tc>
      </w:tr>
      <w:tr w:rsidR="00751867" w14:paraId="0C6CFE76" w14:textId="77777777" w:rsidTr="005620B0">
        <w:tc>
          <w:tcPr>
            <w:tcW w:w="2337" w:type="dxa"/>
          </w:tcPr>
          <w:p w14:paraId="457CC2EC" w14:textId="77777777" w:rsidR="00751867" w:rsidRPr="00490815" w:rsidRDefault="00751867" w:rsidP="005620B0">
            <w:pPr>
              <w:rPr>
                <w:rFonts w:ascii="Times New Roman" w:hAnsi="Times New Roman" w:cs="Times New Roman"/>
                <w:b/>
                <w:bCs/>
              </w:rPr>
            </w:pPr>
            <w:r w:rsidRPr="00490815">
              <w:rPr>
                <w:rFonts w:ascii="Times New Roman" w:hAnsi="Times New Roman" w:cs="Times New Roman"/>
                <w:b/>
                <w:bCs/>
              </w:rPr>
              <w:t>Shallow Littoral</w:t>
            </w:r>
          </w:p>
        </w:tc>
        <w:tc>
          <w:tcPr>
            <w:tcW w:w="2337" w:type="dxa"/>
          </w:tcPr>
          <w:p w14:paraId="5E4EA0F0" w14:textId="77777777" w:rsidR="00751867" w:rsidRDefault="00751867" w:rsidP="005620B0">
            <w:pPr>
              <w:rPr>
                <w:rFonts w:ascii="Times New Roman" w:hAnsi="Times New Roman" w:cs="Times New Roman"/>
              </w:rPr>
            </w:pPr>
            <w:r>
              <w:rPr>
                <w:rFonts w:ascii="Times New Roman" w:hAnsi="Times New Roman" w:cs="Times New Roman"/>
              </w:rPr>
              <w:t>3.1 m</w:t>
            </w:r>
          </w:p>
        </w:tc>
        <w:tc>
          <w:tcPr>
            <w:tcW w:w="2338" w:type="dxa"/>
          </w:tcPr>
          <w:p w14:paraId="098102CA" w14:textId="77777777" w:rsidR="00751867" w:rsidRDefault="00751867" w:rsidP="005620B0">
            <w:pPr>
              <w:rPr>
                <w:rFonts w:ascii="Times New Roman" w:hAnsi="Times New Roman" w:cs="Times New Roman"/>
              </w:rPr>
            </w:pPr>
            <w:r>
              <w:rPr>
                <w:rFonts w:ascii="Times New Roman" w:hAnsi="Times New Roman" w:cs="Times New Roman"/>
              </w:rPr>
              <w:t>2.9 m</w:t>
            </w:r>
          </w:p>
        </w:tc>
        <w:tc>
          <w:tcPr>
            <w:tcW w:w="2338" w:type="dxa"/>
          </w:tcPr>
          <w:p w14:paraId="3554AC91" w14:textId="77777777" w:rsidR="00751867" w:rsidRDefault="00751867" w:rsidP="005620B0">
            <w:pPr>
              <w:rPr>
                <w:rFonts w:ascii="Times New Roman" w:hAnsi="Times New Roman" w:cs="Times New Roman"/>
              </w:rPr>
            </w:pPr>
            <w:r>
              <w:rPr>
                <w:rFonts w:ascii="Times New Roman" w:hAnsi="Times New Roman" w:cs="Times New Roman"/>
              </w:rPr>
              <w:t>2.9 m</w:t>
            </w:r>
          </w:p>
        </w:tc>
      </w:tr>
    </w:tbl>
    <w:p w14:paraId="4C6AA8CB" w14:textId="77777777" w:rsidR="00751867" w:rsidRPr="00185201" w:rsidRDefault="00751867" w:rsidP="00751867">
      <w:pPr>
        <w:rPr>
          <w:rFonts w:ascii="Times New Roman" w:hAnsi="Times New Roman" w:cs="Times New Roman"/>
          <w:sz w:val="24"/>
          <w:szCs w:val="24"/>
        </w:rPr>
      </w:pPr>
    </w:p>
    <w:p w14:paraId="01EE774A" w14:textId="77777777" w:rsidR="00751867" w:rsidRPr="00751867" w:rsidRDefault="00751867">
      <w:pPr>
        <w:rPr>
          <w:rFonts w:ascii="Times New Roman" w:hAnsi="Times New Roman" w:cs="Times New Roman"/>
          <w:sz w:val="24"/>
          <w:szCs w:val="24"/>
        </w:rPr>
      </w:pPr>
    </w:p>
    <w:sectPr w:rsidR="00751867" w:rsidRPr="00751867" w:rsidSect="00961B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1A99D" w14:textId="77777777" w:rsidR="00952FA9" w:rsidRDefault="00952FA9" w:rsidP="00C84C35">
      <w:pPr>
        <w:spacing w:after="0" w:line="240" w:lineRule="auto"/>
      </w:pPr>
      <w:r>
        <w:separator/>
      </w:r>
    </w:p>
  </w:endnote>
  <w:endnote w:type="continuationSeparator" w:id="0">
    <w:p w14:paraId="72D85FDF" w14:textId="77777777" w:rsidR="00952FA9" w:rsidRDefault="00952FA9" w:rsidP="00C84C35">
      <w:pPr>
        <w:spacing w:after="0" w:line="240" w:lineRule="auto"/>
      </w:pPr>
      <w:r>
        <w:continuationSeparator/>
      </w:r>
    </w:p>
  </w:endnote>
  <w:endnote w:type="continuationNotice" w:id="1">
    <w:p w14:paraId="256CF8AF" w14:textId="77777777" w:rsidR="00952FA9" w:rsidRDefault="00952F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9990088"/>
      <w:docPartObj>
        <w:docPartGallery w:val="Page Numbers (Bottom of Page)"/>
        <w:docPartUnique/>
      </w:docPartObj>
    </w:sdtPr>
    <w:sdtContent>
      <w:p w14:paraId="663672B6" w14:textId="240FC3F2" w:rsidR="008F0082" w:rsidRDefault="008F0082" w:rsidP="008720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p w14:paraId="11B01DE0" w14:textId="77777777" w:rsidR="008F0082" w:rsidRDefault="008F00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82E4" w14:textId="77777777" w:rsidR="001F4761" w:rsidRDefault="001F47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7644" w14:textId="77777777" w:rsidR="001F4761" w:rsidRDefault="001F47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060116"/>
      <w:docPartObj>
        <w:docPartGallery w:val="Page Numbers (Bottom of Page)"/>
        <w:docPartUnique/>
      </w:docPartObj>
    </w:sdtPr>
    <w:sdtEndPr>
      <w:rPr>
        <w:noProof/>
      </w:rPr>
    </w:sdtEndPr>
    <w:sdtContent>
      <w:p w14:paraId="17175B1E" w14:textId="102FFF0D" w:rsidR="001F4761" w:rsidRDefault="001F47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938330" w14:textId="77777777" w:rsidR="001F4761" w:rsidRDefault="001F476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190790"/>
      <w:docPartObj>
        <w:docPartGallery w:val="Page Numbers (Bottom of Page)"/>
        <w:docPartUnique/>
      </w:docPartObj>
    </w:sdtPr>
    <w:sdtEndPr>
      <w:rPr>
        <w:noProof/>
      </w:rPr>
    </w:sdtEndPr>
    <w:sdtContent>
      <w:p w14:paraId="3C3EB579" w14:textId="77777777" w:rsidR="00D617DF" w:rsidRDefault="00D617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C4A545" w14:textId="77777777" w:rsidR="00D617DF" w:rsidRDefault="00D61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A5432" w14:textId="77777777" w:rsidR="00952FA9" w:rsidRDefault="00952FA9" w:rsidP="00C84C35">
      <w:pPr>
        <w:spacing w:after="0" w:line="240" w:lineRule="auto"/>
      </w:pPr>
      <w:r>
        <w:separator/>
      </w:r>
    </w:p>
  </w:footnote>
  <w:footnote w:type="continuationSeparator" w:id="0">
    <w:p w14:paraId="243D265D" w14:textId="77777777" w:rsidR="00952FA9" w:rsidRDefault="00952FA9" w:rsidP="00C84C35">
      <w:pPr>
        <w:spacing w:after="0" w:line="240" w:lineRule="auto"/>
      </w:pPr>
      <w:r>
        <w:continuationSeparator/>
      </w:r>
    </w:p>
  </w:footnote>
  <w:footnote w:type="continuationNotice" w:id="1">
    <w:p w14:paraId="6053ABF8" w14:textId="77777777" w:rsidR="00952FA9" w:rsidRDefault="00952F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66296" w14:textId="77777777" w:rsidR="001F4761" w:rsidRDefault="001F47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109B9" w14:textId="77777777" w:rsidR="001F4761" w:rsidRDefault="001F47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331D9" w14:textId="77777777" w:rsidR="001F4761" w:rsidRDefault="001F47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58360" w14:textId="77777777" w:rsidR="00D617DF" w:rsidRDefault="00D617DF">
    <w:pPr>
      <w:pStyle w:val="Header"/>
    </w:pPr>
    <w:r>
      <w:rPr>
        <w:noProof/>
      </w:rPr>
      <w:drawing>
        <wp:inline distT="0" distB="0" distL="0" distR="0" wp14:anchorId="73205B87" wp14:editId="3B643CFC">
          <wp:extent cx="5334635" cy="810895"/>
          <wp:effectExtent l="0" t="0" r="0"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635" cy="810895"/>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B61CE"/>
    <w:multiLevelType w:val="multilevel"/>
    <w:tmpl w:val="AF109D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A92786D"/>
    <w:multiLevelType w:val="hybridMultilevel"/>
    <w:tmpl w:val="70F85ED0"/>
    <w:lvl w:ilvl="0" w:tplc="54F46A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C5390"/>
    <w:multiLevelType w:val="multilevel"/>
    <w:tmpl w:val="E0FCC2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E2717A"/>
    <w:multiLevelType w:val="hybridMultilevel"/>
    <w:tmpl w:val="7D42CEA0"/>
    <w:lvl w:ilvl="0" w:tplc="9920E7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6972332">
    <w:abstractNumId w:val="0"/>
  </w:num>
  <w:num w:numId="2" w16cid:durableId="1754890083">
    <w:abstractNumId w:val="2"/>
  </w:num>
  <w:num w:numId="3" w16cid:durableId="1090271128">
    <w:abstractNumId w:val="3"/>
  </w:num>
  <w:num w:numId="4" w16cid:durableId="32386755">
    <w:abstractNumId w:val="1"/>
  </w:num>
  <w:num w:numId="5" w16cid:durableId="701394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F3"/>
    <w:rsid w:val="00004F6C"/>
    <w:rsid w:val="00007985"/>
    <w:rsid w:val="00011D90"/>
    <w:rsid w:val="00015280"/>
    <w:rsid w:val="000154A6"/>
    <w:rsid w:val="00015C32"/>
    <w:rsid w:val="00016B60"/>
    <w:rsid w:val="00016C5F"/>
    <w:rsid w:val="00026DDE"/>
    <w:rsid w:val="00030564"/>
    <w:rsid w:val="00030A68"/>
    <w:rsid w:val="00032834"/>
    <w:rsid w:val="0003302E"/>
    <w:rsid w:val="0003439D"/>
    <w:rsid w:val="000374F7"/>
    <w:rsid w:val="00042E68"/>
    <w:rsid w:val="00043766"/>
    <w:rsid w:val="000544F0"/>
    <w:rsid w:val="00064989"/>
    <w:rsid w:val="0006657A"/>
    <w:rsid w:val="00080130"/>
    <w:rsid w:val="000850C3"/>
    <w:rsid w:val="000908D0"/>
    <w:rsid w:val="000A4ED7"/>
    <w:rsid w:val="000B51AF"/>
    <w:rsid w:val="000B6D74"/>
    <w:rsid w:val="000B7D79"/>
    <w:rsid w:val="000C57B3"/>
    <w:rsid w:val="000D00F8"/>
    <w:rsid w:val="000D7B1E"/>
    <w:rsid w:val="000D7EEE"/>
    <w:rsid w:val="000E0113"/>
    <w:rsid w:val="000E3A40"/>
    <w:rsid w:val="000E5FDA"/>
    <w:rsid w:val="000F0448"/>
    <w:rsid w:val="000F2B6C"/>
    <w:rsid w:val="000F4C69"/>
    <w:rsid w:val="000F6935"/>
    <w:rsid w:val="00105121"/>
    <w:rsid w:val="00110716"/>
    <w:rsid w:val="00113F4A"/>
    <w:rsid w:val="00123AF8"/>
    <w:rsid w:val="00132D66"/>
    <w:rsid w:val="00135C0D"/>
    <w:rsid w:val="00147B2F"/>
    <w:rsid w:val="0015127E"/>
    <w:rsid w:val="001534A5"/>
    <w:rsid w:val="00160E6D"/>
    <w:rsid w:val="00163723"/>
    <w:rsid w:val="00165F2A"/>
    <w:rsid w:val="001717DD"/>
    <w:rsid w:val="001815C3"/>
    <w:rsid w:val="00182496"/>
    <w:rsid w:val="00183DA2"/>
    <w:rsid w:val="00192FFF"/>
    <w:rsid w:val="00195576"/>
    <w:rsid w:val="00197065"/>
    <w:rsid w:val="001A6A23"/>
    <w:rsid w:val="001A7BBC"/>
    <w:rsid w:val="001B57FC"/>
    <w:rsid w:val="001B7550"/>
    <w:rsid w:val="001B7D70"/>
    <w:rsid w:val="001C0D2D"/>
    <w:rsid w:val="001C4A84"/>
    <w:rsid w:val="001C6B59"/>
    <w:rsid w:val="001D4A72"/>
    <w:rsid w:val="001D57FE"/>
    <w:rsid w:val="001E0CF9"/>
    <w:rsid w:val="001E212D"/>
    <w:rsid w:val="001E2C6C"/>
    <w:rsid w:val="001E4E17"/>
    <w:rsid w:val="001E4F5C"/>
    <w:rsid w:val="001E5045"/>
    <w:rsid w:val="001E7535"/>
    <w:rsid w:val="001E77B8"/>
    <w:rsid w:val="001F0BD0"/>
    <w:rsid w:val="001F4761"/>
    <w:rsid w:val="001F6393"/>
    <w:rsid w:val="001F7006"/>
    <w:rsid w:val="0020542F"/>
    <w:rsid w:val="00215DAE"/>
    <w:rsid w:val="0021711C"/>
    <w:rsid w:val="00217B57"/>
    <w:rsid w:val="0022578D"/>
    <w:rsid w:val="002262C2"/>
    <w:rsid w:val="002264DD"/>
    <w:rsid w:val="00230877"/>
    <w:rsid w:val="00235804"/>
    <w:rsid w:val="00236E46"/>
    <w:rsid w:val="00251321"/>
    <w:rsid w:val="00255E59"/>
    <w:rsid w:val="002619E7"/>
    <w:rsid w:val="0027386B"/>
    <w:rsid w:val="002768FD"/>
    <w:rsid w:val="00280790"/>
    <w:rsid w:val="00280CD1"/>
    <w:rsid w:val="00285F29"/>
    <w:rsid w:val="00291CE9"/>
    <w:rsid w:val="002957EF"/>
    <w:rsid w:val="002A0D3D"/>
    <w:rsid w:val="002A1A8C"/>
    <w:rsid w:val="002A290B"/>
    <w:rsid w:val="002A3520"/>
    <w:rsid w:val="002A5A71"/>
    <w:rsid w:val="002A6FBB"/>
    <w:rsid w:val="002A70B6"/>
    <w:rsid w:val="002B08BC"/>
    <w:rsid w:val="002B428C"/>
    <w:rsid w:val="002C12B6"/>
    <w:rsid w:val="002C1D64"/>
    <w:rsid w:val="002C2425"/>
    <w:rsid w:val="002C2931"/>
    <w:rsid w:val="002C50DB"/>
    <w:rsid w:val="002C6B85"/>
    <w:rsid w:val="002C7D39"/>
    <w:rsid w:val="002D0D32"/>
    <w:rsid w:val="002D5AFB"/>
    <w:rsid w:val="002E4818"/>
    <w:rsid w:val="002F3350"/>
    <w:rsid w:val="002F489B"/>
    <w:rsid w:val="002F77D0"/>
    <w:rsid w:val="0030584E"/>
    <w:rsid w:val="00305EE1"/>
    <w:rsid w:val="00316DAD"/>
    <w:rsid w:val="003216DA"/>
    <w:rsid w:val="00322B33"/>
    <w:rsid w:val="003275BA"/>
    <w:rsid w:val="0033192A"/>
    <w:rsid w:val="00332E1D"/>
    <w:rsid w:val="00334D34"/>
    <w:rsid w:val="00337113"/>
    <w:rsid w:val="003406F0"/>
    <w:rsid w:val="00345F7C"/>
    <w:rsid w:val="003465B2"/>
    <w:rsid w:val="003537C2"/>
    <w:rsid w:val="003656A5"/>
    <w:rsid w:val="00366D49"/>
    <w:rsid w:val="003706BF"/>
    <w:rsid w:val="00373B03"/>
    <w:rsid w:val="00374A77"/>
    <w:rsid w:val="00385FEF"/>
    <w:rsid w:val="00391FEA"/>
    <w:rsid w:val="003929F1"/>
    <w:rsid w:val="00396B9F"/>
    <w:rsid w:val="0039771F"/>
    <w:rsid w:val="003A5B5B"/>
    <w:rsid w:val="003A7A25"/>
    <w:rsid w:val="003B3AA7"/>
    <w:rsid w:val="003B5334"/>
    <w:rsid w:val="003B6D62"/>
    <w:rsid w:val="003C2FB4"/>
    <w:rsid w:val="003C68AD"/>
    <w:rsid w:val="003C68C4"/>
    <w:rsid w:val="003D0211"/>
    <w:rsid w:val="003E1360"/>
    <w:rsid w:val="003F08C6"/>
    <w:rsid w:val="003F12EA"/>
    <w:rsid w:val="003F498C"/>
    <w:rsid w:val="003F4A7C"/>
    <w:rsid w:val="004036CF"/>
    <w:rsid w:val="00405526"/>
    <w:rsid w:val="00410696"/>
    <w:rsid w:val="00410D1B"/>
    <w:rsid w:val="00411303"/>
    <w:rsid w:val="004119A4"/>
    <w:rsid w:val="00411AC7"/>
    <w:rsid w:val="0042023C"/>
    <w:rsid w:val="00423057"/>
    <w:rsid w:val="00424AC9"/>
    <w:rsid w:val="00425A26"/>
    <w:rsid w:val="00426628"/>
    <w:rsid w:val="004276EB"/>
    <w:rsid w:val="00427A68"/>
    <w:rsid w:val="004307ED"/>
    <w:rsid w:val="004311D3"/>
    <w:rsid w:val="0043391F"/>
    <w:rsid w:val="00435E53"/>
    <w:rsid w:val="00441D69"/>
    <w:rsid w:val="004431B2"/>
    <w:rsid w:val="00452D67"/>
    <w:rsid w:val="00453B59"/>
    <w:rsid w:val="00460FB1"/>
    <w:rsid w:val="00472C92"/>
    <w:rsid w:val="0049027F"/>
    <w:rsid w:val="00492352"/>
    <w:rsid w:val="00493BE1"/>
    <w:rsid w:val="004940DF"/>
    <w:rsid w:val="0049511C"/>
    <w:rsid w:val="004A2536"/>
    <w:rsid w:val="004A2975"/>
    <w:rsid w:val="004A66F4"/>
    <w:rsid w:val="004A6A53"/>
    <w:rsid w:val="004A6E75"/>
    <w:rsid w:val="004B20AC"/>
    <w:rsid w:val="004B5846"/>
    <w:rsid w:val="004B5AE7"/>
    <w:rsid w:val="004B5CDB"/>
    <w:rsid w:val="004B7CA0"/>
    <w:rsid w:val="004C0CC8"/>
    <w:rsid w:val="004C20EB"/>
    <w:rsid w:val="004C6B18"/>
    <w:rsid w:val="004C75F3"/>
    <w:rsid w:val="004C7934"/>
    <w:rsid w:val="004D2B64"/>
    <w:rsid w:val="004D5AE2"/>
    <w:rsid w:val="004E5D8A"/>
    <w:rsid w:val="0050004D"/>
    <w:rsid w:val="00505372"/>
    <w:rsid w:val="005060C2"/>
    <w:rsid w:val="00511BA9"/>
    <w:rsid w:val="00512DA6"/>
    <w:rsid w:val="0052042A"/>
    <w:rsid w:val="00525212"/>
    <w:rsid w:val="00527EC4"/>
    <w:rsid w:val="00531AF9"/>
    <w:rsid w:val="00533492"/>
    <w:rsid w:val="005353CB"/>
    <w:rsid w:val="0054760E"/>
    <w:rsid w:val="00550773"/>
    <w:rsid w:val="00551944"/>
    <w:rsid w:val="005525E6"/>
    <w:rsid w:val="005541C0"/>
    <w:rsid w:val="00561338"/>
    <w:rsid w:val="005708C7"/>
    <w:rsid w:val="005709F0"/>
    <w:rsid w:val="0057759C"/>
    <w:rsid w:val="00585115"/>
    <w:rsid w:val="0058563A"/>
    <w:rsid w:val="00590CAE"/>
    <w:rsid w:val="00591093"/>
    <w:rsid w:val="00593E0A"/>
    <w:rsid w:val="00595EDE"/>
    <w:rsid w:val="005A2464"/>
    <w:rsid w:val="005A5EC2"/>
    <w:rsid w:val="005B01DF"/>
    <w:rsid w:val="005B0533"/>
    <w:rsid w:val="005B63F4"/>
    <w:rsid w:val="005C125C"/>
    <w:rsid w:val="005C2CAB"/>
    <w:rsid w:val="005C3395"/>
    <w:rsid w:val="005C3DE5"/>
    <w:rsid w:val="005C4836"/>
    <w:rsid w:val="005C4F3D"/>
    <w:rsid w:val="005C579B"/>
    <w:rsid w:val="005D268A"/>
    <w:rsid w:val="005D7E36"/>
    <w:rsid w:val="005E46FA"/>
    <w:rsid w:val="005E4709"/>
    <w:rsid w:val="005E4F1B"/>
    <w:rsid w:val="005E57A7"/>
    <w:rsid w:val="005F1539"/>
    <w:rsid w:val="005F4AB9"/>
    <w:rsid w:val="00605B79"/>
    <w:rsid w:val="00607F04"/>
    <w:rsid w:val="006107A6"/>
    <w:rsid w:val="006172CA"/>
    <w:rsid w:val="00624463"/>
    <w:rsid w:val="006250F8"/>
    <w:rsid w:val="0063043A"/>
    <w:rsid w:val="00630C3D"/>
    <w:rsid w:val="00631FA6"/>
    <w:rsid w:val="00640C98"/>
    <w:rsid w:val="006424F6"/>
    <w:rsid w:val="00643CC7"/>
    <w:rsid w:val="00646884"/>
    <w:rsid w:val="00646EFB"/>
    <w:rsid w:val="0065198A"/>
    <w:rsid w:val="006524B6"/>
    <w:rsid w:val="006620A8"/>
    <w:rsid w:val="00671D30"/>
    <w:rsid w:val="00677BD6"/>
    <w:rsid w:val="0068059C"/>
    <w:rsid w:val="0068468B"/>
    <w:rsid w:val="00685D97"/>
    <w:rsid w:val="006A4105"/>
    <w:rsid w:val="006B2949"/>
    <w:rsid w:val="006B36FA"/>
    <w:rsid w:val="006B373F"/>
    <w:rsid w:val="006B3F72"/>
    <w:rsid w:val="006B403D"/>
    <w:rsid w:val="006B6A19"/>
    <w:rsid w:val="006B6CB0"/>
    <w:rsid w:val="006D23AF"/>
    <w:rsid w:val="006D6D7E"/>
    <w:rsid w:val="006E06F6"/>
    <w:rsid w:val="006E37D1"/>
    <w:rsid w:val="006F409B"/>
    <w:rsid w:val="00703D60"/>
    <w:rsid w:val="00707BBB"/>
    <w:rsid w:val="00715BCA"/>
    <w:rsid w:val="007201A5"/>
    <w:rsid w:val="00720AA2"/>
    <w:rsid w:val="007247B7"/>
    <w:rsid w:val="00731984"/>
    <w:rsid w:val="007339DA"/>
    <w:rsid w:val="00733F5E"/>
    <w:rsid w:val="007365E2"/>
    <w:rsid w:val="007424A7"/>
    <w:rsid w:val="007425ED"/>
    <w:rsid w:val="007454A6"/>
    <w:rsid w:val="00751867"/>
    <w:rsid w:val="00761BC4"/>
    <w:rsid w:val="00762462"/>
    <w:rsid w:val="007625BB"/>
    <w:rsid w:val="0076660D"/>
    <w:rsid w:val="00771E2E"/>
    <w:rsid w:val="007724EF"/>
    <w:rsid w:val="00780B06"/>
    <w:rsid w:val="0078213E"/>
    <w:rsid w:val="00784974"/>
    <w:rsid w:val="00790A86"/>
    <w:rsid w:val="007A23F3"/>
    <w:rsid w:val="007A70DF"/>
    <w:rsid w:val="007A7C4A"/>
    <w:rsid w:val="007C74AB"/>
    <w:rsid w:val="007D1E72"/>
    <w:rsid w:val="007D58FE"/>
    <w:rsid w:val="007E06C0"/>
    <w:rsid w:val="007E4BA6"/>
    <w:rsid w:val="007F3FCC"/>
    <w:rsid w:val="007F43EB"/>
    <w:rsid w:val="007F615E"/>
    <w:rsid w:val="0080489E"/>
    <w:rsid w:val="00813D5C"/>
    <w:rsid w:val="008145AC"/>
    <w:rsid w:val="00823C3C"/>
    <w:rsid w:val="008353A2"/>
    <w:rsid w:val="00844375"/>
    <w:rsid w:val="00851366"/>
    <w:rsid w:val="008515A8"/>
    <w:rsid w:val="00853845"/>
    <w:rsid w:val="00860861"/>
    <w:rsid w:val="00872308"/>
    <w:rsid w:val="00873828"/>
    <w:rsid w:val="00875224"/>
    <w:rsid w:val="00875728"/>
    <w:rsid w:val="00877A89"/>
    <w:rsid w:val="00877EE8"/>
    <w:rsid w:val="00880ED3"/>
    <w:rsid w:val="0088481D"/>
    <w:rsid w:val="00886756"/>
    <w:rsid w:val="00887EFF"/>
    <w:rsid w:val="008946A1"/>
    <w:rsid w:val="00895221"/>
    <w:rsid w:val="008972ED"/>
    <w:rsid w:val="008B0B49"/>
    <w:rsid w:val="008B106B"/>
    <w:rsid w:val="008B553D"/>
    <w:rsid w:val="008C58DC"/>
    <w:rsid w:val="008C7EEA"/>
    <w:rsid w:val="008E300E"/>
    <w:rsid w:val="008E3769"/>
    <w:rsid w:val="008E7699"/>
    <w:rsid w:val="008F0082"/>
    <w:rsid w:val="008F082C"/>
    <w:rsid w:val="008F08A6"/>
    <w:rsid w:val="008F4C7B"/>
    <w:rsid w:val="008F5F14"/>
    <w:rsid w:val="008F73E2"/>
    <w:rsid w:val="00900DE6"/>
    <w:rsid w:val="00906917"/>
    <w:rsid w:val="00910C1F"/>
    <w:rsid w:val="00911F0B"/>
    <w:rsid w:val="009173BA"/>
    <w:rsid w:val="00923E1C"/>
    <w:rsid w:val="00924B48"/>
    <w:rsid w:val="009275F3"/>
    <w:rsid w:val="00931043"/>
    <w:rsid w:val="00931258"/>
    <w:rsid w:val="00931EE4"/>
    <w:rsid w:val="00934E9C"/>
    <w:rsid w:val="009422A2"/>
    <w:rsid w:val="00943080"/>
    <w:rsid w:val="00944453"/>
    <w:rsid w:val="00952FA9"/>
    <w:rsid w:val="009562BD"/>
    <w:rsid w:val="00961BEE"/>
    <w:rsid w:val="00962029"/>
    <w:rsid w:val="009623EA"/>
    <w:rsid w:val="00965169"/>
    <w:rsid w:val="00974116"/>
    <w:rsid w:val="00976828"/>
    <w:rsid w:val="00977862"/>
    <w:rsid w:val="00993E79"/>
    <w:rsid w:val="009A286F"/>
    <w:rsid w:val="009A5AB2"/>
    <w:rsid w:val="009B1520"/>
    <w:rsid w:val="009C6B6F"/>
    <w:rsid w:val="009D145E"/>
    <w:rsid w:val="009D76A7"/>
    <w:rsid w:val="009E10FD"/>
    <w:rsid w:val="009E1A16"/>
    <w:rsid w:val="009E4344"/>
    <w:rsid w:val="009E5432"/>
    <w:rsid w:val="009F6499"/>
    <w:rsid w:val="00A0579C"/>
    <w:rsid w:val="00A05BB2"/>
    <w:rsid w:val="00A240A3"/>
    <w:rsid w:val="00A27F3A"/>
    <w:rsid w:val="00A31863"/>
    <w:rsid w:val="00A340A7"/>
    <w:rsid w:val="00A373CF"/>
    <w:rsid w:val="00A422A7"/>
    <w:rsid w:val="00A42E79"/>
    <w:rsid w:val="00A43637"/>
    <w:rsid w:val="00A43E89"/>
    <w:rsid w:val="00A45707"/>
    <w:rsid w:val="00A50111"/>
    <w:rsid w:val="00A514AF"/>
    <w:rsid w:val="00A57F66"/>
    <w:rsid w:val="00A71923"/>
    <w:rsid w:val="00A8339C"/>
    <w:rsid w:val="00A8505D"/>
    <w:rsid w:val="00A86E62"/>
    <w:rsid w:val="00A87BB9"/>
    <w:rsid w:val="00A90687"/>
    <w:rsid w:val="00A97B3E"/>
    <w:rsid w:val="00AA43A3"/>
    <w:rsid w:val="00AB1A06"/>
    <w:rsid w:val="00AB1DBC"/>
    <w:rsid w:val="00AB3810"/>
    <w:rsid w:val="00AB5743"/>
    <w:rsid w:val="00AD23F6"/>
    <w:rsid w:val="00AD5D38"/>
    <w:rsid w:val="00AD7418"/>
    <w:rsid w:val="00AF17A7"/>
    <w:rsid w:val="00AF6133"/>
    <w:rsid w:val="00B062AB"/>
    <w:rsid w:val="00B07DDA"/>
    <w:rsid w:val="00B10EBC"/>
    <w:rsid w:val="00B11B5A"/>
    <w:rsid w:val="00B12F88"/>
    <w:rsid w:val="00B1362F"/>
    <w:rsid w:val="00B14D90"/>
    <w:rsid w:val="00B15556"/>
    <w:rsid w:val="00B165B6"/>
    <w:rsid w:val="00B22DA4"/>
    <w:rsid w:val="00B22DB1"/>
    <w:rsid w:val="00B23CF0"/>
    <w:rsid w:val="00B240EF"/>
    <w:rsid w:val="00B25A0E"/>
    <w:rsid w:val="00B26C3C"/>
    <w:rsid w:val="00B27F5A"/>
    <w:rsid w:val="00B32246"/>
    <w:rsid w:val="00B33BC4"/>
    <w:rsid w:val="00B33E39"/>
    <w:rsid w:val="00B35C87"/>
    <w:rsid w:val="00B41E17"/>
    <w:rsid w:val="00B43D39"/>
    <w:rsid w:val="00B61BB8"/>
    <w:rsid w:val="00B716D1"/>
    <w:rsid w:val="00B762BD"/>
    <w:rsid w:val="00B773AD"/>
    <w:rsid w:val="00B8198B"/>
    <w:rsid w:val="00B828E8"/>
    <w:rsid w:val="00B87C68"/>
    <w:rsid w:val="00B87F5D"/>
    <w:rsid w:val="00B934B7"/>
    <w:rsid w:val="00BA389F"/>
    <w:rsid w:val="00BA3AFA"/>
    <w:rsid w:val="00BA7093"/>
    <w:rsid w:val="00BB349B"/>
    <w:rsid w:val="00BC6C73"/>
    <w:rsid w:val="00BC6F4E"/>
    <w:rsid w:val="00BC74BC"/>
    <w:rsid w:val="00BD1AB7"/>
    <w:rsid w:val="00BD6374"/>
    <w:rsid w:val="00BD6958"/>
    <w:rsid w:val="00BD7689"/>
    <w:rsid w:val="00BF13CF"/>
    <w:rsid w:val="00BF17B2"/>
    <w:rsid w:val="00BF33D9"/>
    <w:rsid w:val="00BF5562"/>
    <w:rsid w:val="00BF6D28"/>
    <w:rsid w:val="00BF7807"/>
    <w:rsid w:val="00C01DA2"/>
    <w:rsid w:val="00C02CDA"/>
    <w:rsid w:val="00C054FB"/>
    <w:rsid w:val="00C1256E"/>
    <w:rsid w:val="00C13DC1"/>
    <w:rsid w:val="00C1739E"/>
    <w:rsid w:val="00C275DC"/>
    <w:rsid w:val="00C33143"/>
    <w:rsid w:val="00C35351"/>
    <w:rsid w:val="00C4131C"/>
    <w:rsid w:val="00C46F9F"/>
    <w:rsid w:val="00C51B76"/>
    <w:rsid w:val="00C55584"/>
    <w:rsid w:val="00C64BC4"/>
    <w:rsid w:val="00C64F72"/>
    <w:rsid w:val="00C65E8E"/>
    <w:rsid w:val="00C72FFA"/>
    <w:rsid w:val="00C767B8"/>
    <w:rsid w:val="00C80F83"/>
    <w:rsid w:val="00C8463A"/>
    <w:rsid w:val="00C84C35"/>
    <w:rsid w:val="00C8533A"/>
    <w:rsid w:val="00C92CCF"/>
    <w:rsid w:val="00C956AE"/>
    <w:rsid w:val="00C962EC"/>
    <w:rsid w:val="00CA0C64"/>
    <w:rsid w:val="00CA2A16"/>
    <w:rsid w:val="00CA2E62"/>
    <w:rsid w:val="00CA5F30"/>
    <w:rsid w:val="00CA65A0"/>
    <w:rsid w:val="00CB6A92"/>
    <w:rsid w:val="00CC4027"/>
    <w:rsid w:val="00CC4839"/>
    <w:rsid w:val="00CC7920"/>
    <w:rsid w:val="00CD1C75"/>
    <w:rsid w:val="00CD25F8"/>
    <w:rsid w:val="00CD2F0B"/>
    <w:rsid w:val="00CD55D6"/>
    <w:rsid w:val="00CE322A"/>
    <w:rsid w:val="00CE336B"/>
    <w:rsid w:val="00CE7F77"/>
    <w:rsid w:val="00CF43F9"/>
    <w:rsid w:val="00CF4C86"/>
    <w:rsid w:val="00D001DA"/>
    <w:rsid w:val="00D00B74"/>
    <w:rsid w:val="00D052AE"/>
    <w:rsid w:val="00D10B5E"/>
    <w:rsid w:val="00D124BF"/>
    <w:rsid w:val="00D12A48"/>
    <w:rsid w:val="00D1583D"/>
    <w:rsid w:val="00D40D14"/>
    <w:rsid w:val="00D40FA4"/>
    <w:rsid w:val="00D43E7C"/>
    <w:rsid w:val="00D45F49"/>
    <w:rsid w:val="00D46292"/>
    <w:rsid w:val="00D60CC8"/>
    <w:rsid w:val="00D61497"/>
    <w:rsid w:val="00D617DF"/>
    <w:rsid w:val="00D629AA"/>
    <w:rsid w:val="00D71A08"/>
    <w:rsid w:val="00D72F90"/>
    <w:rsid w:val="00D74F84"/>
    <w:rsid w:val="00D930C0"/>
    <w:rsid w:val="00D958E6"/>
    <w:rsid w:val="00D963BE"/>
    <w:rsid w:val="00D96B0A"/>
    <w:rsid w:val="00DA0236"/>
    <w:rsid w:val="00DA2218"/>
    <w:rsid w:val="00DA40EE"/>
    <w:rsid w:val="00DA60AE"/>
    <w:rsid w:val="00DB19FB"/>
    <w:rsid w:val="00DB2193"/>
    <w:rsid w:val="00DB3F3A"/>
    <w:rsid w:val="00DB4904"/>
    <w:rsid w:val="00DB4F50"/>
    <w:rsid w:val="00DB5EE8"/>
    <w:rsid w:val="00DB62F5"/>
    <w:rsid w:val="00DC4CC6"/>
    <w:rsid w:val="00DC5456"/>
    <w:rsid w:val="00DD0771"/>
    <w:rsid w:val="00DD5390"/>
    <w:rsid w:val="00DD76E8"/>
    <w:rsid w:val="00DE1DBA"/>
    <w:rsid w:val="00DE2791"/>
    <w:rsid w:val="00DE3713"/>
    <w:rsid w:val="00DE3825"/>
    <w:rsid w:val="00DF19AD"/>
    <w:rsid w:val="00DF2627"/>
    <w:rsid w:val="00E05F0C"/>
    <w:rsid w:val="00E11585"/>
    <w:rsid w:val="00E13152"/>
    <w:rsid w:val="00E15143"/>
    <w:rsid w:val="00E206E9"/>
    <w:rsid w:val="00E2093B"/>
    <w:rsid w:val="00E23913"/>
    <w:rsid w:val="00E24D09"/>
    <w:rsid w:val="00E25F74"/>
    <w:rsid w:val="00E3299E"/>
    <w:rsid w:val="00E433F9"/>
    <w:rsid w:val="00E47619"/>
    <w:rsid w:val="00E53471"/>
    <w:rsid w:val="00E534BB"/>
    <w:rsid w:val="00E535A7"/>
    <w:rsid w:val="00E545D1"/>
    <w:rsid w:val="00E563EE"/>
    <w:rsid w:val="00E6055B"/>
    <w:rsid w:val="00E61E7D"/>
    <w:rsid w:val="00E72F32"/>
    <w:rsid w:val="00E80525"/>
    <w:rsid w:val="00E80716"/>
    <w:rsid w:val="00E90576"/>
    <w:rsid w:val="00E909BF"/>
    <w:rsid w:val="00E933E4"/>
    <w:rsid w:val="00EB0938"/>
    <w:rsid w:val="00EB599B"/>
    <w:rsid w:val="00EB60CE"/>
    <w:rsid w:val="00EB65D9"/>
    <w:rsid w:val="00EB729D"/>
    <w:rsid w:val="00EB7B1C"/>
    <w:rsid w:val="00ED3EB8"/>
    <w:rsid w:val="00ED44B4"/>
    <w:rsid w:val="00ED5A11"/>
    <w:rsid w:val="00EE176D"/>
    <w:rsid w:val="00EF07D7"/>
    <w:rsid w:val="00EF0FFC"/>
    <w:rsid w:val="00F024E1"/>
    <w:rsid w:val="00F03D1F"/>
    <w:rsid w:val="00F04906"/>
    <w:rsid w:val="00F06840"/>
    <w:rsid w:val="00F07476"/>
    <w:rsid w:val="00F14F55"/>
    <w:rsid w:val="00F16F65"/>
    <w:rsid w:val="00F21178"/>
    <w:rsid w:val="00F23877"/>
    <w:rsid w:val="00F30403"/>
    <w:rsid w:val="00F35527"/>
    <w:rsid w:val="00F35643"/>
    <w:rsid w:val="00F37338"/>
    <w:rsid w:val="00F457A9"/>
    <w:rsid w:val="00F45A3E"/>
    <w:rsid w:val="00F56143"/>
    <w:rsid w:val="00F56C7D"/>
    <w:rsid w:val="00F723E2"/>
    <w:rsid w:val="00F72E7D"/>
    <w:rsid w:val="00F73D6A"/>
    <w:rsid w:val="00F84E82"/>
    <w:rsid w:val="00F86CB1"/>
    <w:rsid w:val="00F87A6B"/>
    <w:rsid w:val="00FA1882"/>
    <w:rsid w:val="00FA1F5C"/>
    <w:rsid w:val="00FA4ACC"/>
    <w:rsid w:val="00FB6A91"/>
    <w:rsid w:val="00FC38B2"/>
    <w:rsid w:val="00FC5318"/>
    <w:rsid w:val="00FC7F17"/>
    <w:rsid w:val="00FD1608"/>
    <w:rsid w:val="00FD51B5"/>
    <w:rsid w:val="00FD6847"/>
    <w:rsid w:val="00FD7234"/>
    <w:rsid w:val="00FE36EF"/>
    <w:rsid w:val="00FE43BE"/>
    <w:rsid w:val="00FE6D0B"/>
    <w:rsid w:val="04039871"/>
    <w:rsid w:val="0B088401"/>
    <w:rsid w:val="0D8B2C08"/>
    <w:rsid w:val="18B25F06"/>
    <w:rsid w:val="1CD0D76E"/>
    <w:rsid w:val="258FC699"/>
    <w:rsid w:val="26514E8B"/>
    <w:rsid w:val="37319B62"/>
    <w:rsid w:val="3F586C5E"/>
    <w:rsid w:val="436A6848"/>
    <w:rsid w:val="76FDD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83EA0"/>
  <w15:chartTrackingRefBased/>
  <w15:docId w15:val="{2453A4A5-A8C0-4974-8460-F8020C8F5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B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4C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C35"/>
  </w:style>
  <w:style w:type="paragraph" w:styleId="Footer">
    <w:name w:val="footer"/>
    <w:basedOn w:val="Normal"/>
    <w:link w:val="FooterChar"/>
    <w:uiPriority w:val="99"/>
    <w:unhideWhenUsed/>
    <w:rsid w:val="00C84C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C35"/>
  </w:style>
  <w:style w:type="character" w:styleId="Hyperlink">
    <w:name w:val="Hyperlink"/>
    <w:basedOn w:val="DefaultParagraphFont"/>
    <w:uiPriority w:val="99"/>
    <w:unhideWhenUsed/>
    <w:rsid w:val="00C84C35"/>
    <w:rPr>
      <w:color w:val="0563C1" w:themeColor="hyperlink"/>
      <w:u w:val="single"/>
    </w:rPr>
  </w:style>
  <w:style w:type="character" w:styleId="UnresolvedMention">
    <w:name w:val="Unresolved Mention"/>
    <w:basedOn w:val="DefaultParagraphFont"/>
    <w:uiPriority w:val="99"/>
    <w:semiHidden/>
    <w:unhideWhenUsed/>
    <w:rsid w:val="00C84C35"/>
    <w:rPr>
      <w:color w:val="605E5C"/>
      <w:shd w:val="clear" w:color="auto" w:fill="E1DFDD"/>
    </w:rPr>
  </w:style>
  <w:style w:type="character" w:styleId="FollowedHyperlink">
    <w:name w:val="FollowedHyperlink"/>
    <w:basedOn w:val="DefaultParagraphFont"/>
    <w:uiPriority w:val="99"/>
    <w:semiHidden/>
    <w:unhideWhenUsed/>
    <w:rsid w:val="00A0579C"/>
    <w:rPr>
      <w:color w:val="954F72" w:themeColor="followedHyperlink"/>
      <w:u w:val="single"/>
    </w:rPr>
  </w:style>
  <w:style w:type="table" w:styleId="TableGrid">
    <w:name w:val="Table Grid"/>
    <w:basedOn w:val="TableNormal"/>
    <w:uiPriority w:val="39"/>
    <w:rsid w:val="00D617D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617D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D617DF"/>
    <w:rPr>
      <w:rFonts w:ascii="Consolas" w:hAnsi="Consolas"/>
      <w:sz w:val="20"/>
      <w:szCs w:val="20"/>
    </w:rPr>
  </w:style>
  <w:style w:type="character" w:styleId="LineNumber">
    <w:name w:val="line number"/>
    <w:basedOn w:val="DefaultParagraphFont"/>
    <w:uiPriority w:val="99"/>
    <w:semiHidden/>
    <w:unhideWhenUsed/>
    <w:rsid w:val="00D617DF"/>
  </w:style>
  <w:style w:type="paragraph" w:styleId="ListParagraph">
    <w:name w:val="List Paragraph"/>
    <w:basedOn w:val="Normal"/>
    <w:uiPriority w:val="34"/>
    <w:qFormat/>
    <w:rsid w:val="00FB6A91"/>
    <w:pPr>
      <w:suppressAutoHyphens/>
      <w:ind w:left="720"/>
      <w:contextualSpacing/>
    </w:pPr>
  </w:style>
  <w:style w:type="character" w:customStyle="1" w:styleId="Heading1Char">
    <w:name w:val="Heading 1 Char"/>
    <w:basedOn w:val="DefaultParagraphFont"/>
    <w:link w:val="Heading1"/>
    <w:uiPriority w:val="9"/>
    <w:rsid w:val="00A97B3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97B3E"/>
    <w:pPr>
      <w:outlineLvl w:val="9"/>
    </w:pPr>
  </w:style>
  <w:style w:type="paragraph" w:styleId="TOC2">
    <w:name w:val="toc 2"/>
    <w:basedOn w:val="Normal"/>
    <w:next w:val="Normal"/>
    <w:autoRedefine/>
    <w:uiPriority w:val="39"/>
    <w:unhideWhenUsed/>
    <w:rsid w:val="00A97B3E"/>
    <w:pPr>
      <w:spacing w:after="100"/>
      <w:ind w:left="220"/>
    </w:pPr>
    <w:rPr>
      <w:rFonts w:eastAsiaTheme="minorEastAsia" w:cs="Times New Roman"/>
    </w:rPr>
  </w:style>
  <w:style w:type="paragraph" w:styleId="TOC1">
    <w:name w:val="toc 1"/>
    <w:basedOn w:val="Normal"/>
    <w:next w:val="Normal"/>
    <w:autoRedefine/>
    <w:uiPriority w:val="39"/>
    <w:unhideWhenUsed/>
    <w:rsid w:val="00A97B3E"/>
    <w:pPr>
      <w:spacing w:after="100"/>
    </w:pPr>
    <w:rPr>
      <w:rFonts w:eastAsiaTheme="minorEastAsia" w:cs="Times New Roman"/>
    </w:rPr>
  </w:style>
  <w:style w:type="paragraph" w:styleId="TOC3">
    <w:name w:val="toc 3"/>
    <w:basedOn w:val="Normal"/>
    <w:next w:val="Normal"/>
    <w:autoRedefine/>
    <w:uiPriority w:val="39"/>
    <w:unhideWhenUsed/>
    <w:rsid w:val="00A97B3E"/>
    <w:pPr>
      <w:spacing w:after="100"/>
      <w:ind w:left="440"/>
    </w:pPr>
    <w:rPr>
      <w:rFonts w:eastAsiaTheme="minorEastAsia" w:cs="Times New Roman"/>
    </w:rPr>
  </w:style>
  <w:style w:type="paragraph" w:styleId="Revision">
    <w:name w:val="Revision"/>
    <w:hidden/>
    <w:uiPriority w:val="99"/>
    <w:semiHidden/>
    <w:rsid w:val="00D71A08"/>
    <w:pPr>
      <w:spacing w:after="0" w:line="240" w:lineRule="auto"/>
    </w:pPr>
  </w:style>
  <w:style w:type="character" w:styleId="CommentReference">
    <w:name w:val="annotation reference"/>
    <w:basedOn w:val="DefaultParagraphFont"/>
    <w:uiPriority w:val="99"/>
    <w:semiHidden/>
    <w:unhideWhenUsed/>
    <w:rsid w:val="006F409B"/>
    <w:rPr>
      <w:sz w:val="16"/>
      <w:szCs w:val="16"/>
    </w:rPr>
  </w:style>
  <w:style w:type="paragraph" w:styleId="CommentText">
    <w:name w:val="annotation text"/>
    <w:basedOn w:val="Normal"/>
    <w:link w:val="CommentTextChar"/>
    <w:uiPriority w:val="99"/>
    <w:unhideWhenUsed/>
    <w:rsid w:val="006F409B"/>
    <w:pPr>
      <w:spacing w:line="240" w:lineRule="auto"/>
    </w:pPr>
    <w:rPr>
      <w:sz w:val="20"/>
      <w:szCs w:val="20"/>
    </w:rPr>
  </w:style>
  <w:style w:type="character" w:customStyle="1" w:styleId="CommentTextChar">
    <w:name w:val="Comment Text Char"/>
    <w:basedOn w:val="DefaultParagraphFont"/>
    <w:link w:val="CommentText"/>
    <w:uiPriority w:val="99"/>
    <w:rsid w:val="006F409B"/>
    <w:rPr>
      <w:sz w:val="20"/>
      <w:szCs w:val="20"/>
    </w:rPr>
  </w:style>
  <w:style w:type="paragraph" w:styleId="CommentSubject">
    <w:name w:val="annotation subject"/>
    <w:basedOn w:val="CommentText"/>
    <w:next w:val="CommentText"/>
    <w:link w:val="CommentSubjectChar"/>
    <w:uiPriority w:val="99"/>
    <w:semiHidden/>
    <w:unhideWhenUsed/>
    <w:rsid w:val="006F409B"/>
    <w:rPr>
      <w:b/>
      <w:bCs/>
    </w:rPr>
  </w:style>
  <w:style w:type="character" w:customStyle="1" w:styleId="CommentSubjectChar">
    <w:name w:val="Comment Subject Char"/>
    <w:basedOn w:val="CommentTextChar"/>
    <w:link w:val="CommentSubject"/>
    <w:uiPriority w:val="99"/>
    <w:semiHidden/>
    <w:rsid w:val="006F409B"/>
    <w:rPr>
      <w:b/>
      <w:bCs/>
      <w:sz w:val="20"/>
      <w:szCs w:val="20"/>
    </w:rPr>
  </w:style>
  <w:style w:type="paragraph" w:styleId="BalloonText">
    <w:name w:val="Balloon Text"/>
    <w:basedOn w:val="Normal"/>
    <w:link w:val="BalloonTextChar"/>
    <w:uiPriority w:val="99"/>
    <w:semiHidden/>
    <w:unhideWhenUsed/>
    <w:rsid w:val="00631F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FA6"/>
    <w:rPr>
      <w:rFonts w:ascii="Segoe UI" w:hAnsi="Segoe UI" w:cs="Segoe UI"/>
      <w:sz w:val="18"/>
      <w:szCs w:val="18"/>
    </w:rPr>
  </w:style>
  <w:style w:type="paragraph" w:customStyle="1" w:styleId="SMcaption">
    <w:name w:val="SM caption"/>
    <w:basedOn w:val="Normal"/>
    <w:qFormat/>
    <w:rsid w:val="00631FA6"/>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semiHidden/>
    <w:rsid w:val="00631FA6"/>
    <w:pPr>
      <w:spacing w:after="0"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631FA6"/>
    <w:pPr>
      <w:tabs>
        <w:tab w:val="left" w:pos="500"/>
      </w:tabs>
      <w:spacing w:after="240" w:line="240" w:lineRule="auto"/>
      <w:ind w:left="504" w:hanging="504"/>
    </w:pPr>
  </w:style>
  <w:style w:type="character" w:styleId="Emphasis">
    <w:name w:val="Emphasis"/>
    <w:basedOn w:val="DefaultParagraphFont"/>
    <w:uiPriority w:val="20"/>
    <w:qFormat/>
    <w:rsid w:val="00631FA6"/>
    <w:rPr>
      <w:i/>
      <w:iCs/>
    </w:rPr>
  </w:style>
  <w:style w:type="character" w:customStyle="1" w:styleId="apple-converted-space">
    <w:name w:val="apple-converted-space"/>
    <w:basedOn w:val="DefaultParagraphFont"/>
    <w:rsid w:val="00631FA6"/>
  </w:style>
  <w:style w:type="table" w:styleId="PlainTable5">
    <w:name w:val="Plain Table 5"/>
    <w:basedOn w:val="TableNormal"/>
    <w:uiPriority w:val="45"/>
    <w:rsid w:val="00CA2E6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it-name-given-names">
    <w:name w:val="cit-name-given-names"/>
    <w:basedOn w:val="DefaultParagraphFont"/>
    <w:rsid w:val="006B373F"/>
  </w:style>
  <w:style w:type="character" w:customStyle="1" w:styleId="cit-name-surname">
    <w:name w:val="cit-name-surname"/>
    <w:basedOn w:val="DefaultParagraphFont"/>
    <w:rsid w:val="006B373F"/>
  </w:style>
  <w:style w:type="character" w:customStyle="1" w:styleId="cit-article-title">
    <w:name w:val="cit-article-title"/>
    <w:basedOn w:val="DefaultParagraphFont"/>
    <w:rsid w:val="006B373F"/>
  </w:style>
  <w:style w:type="character" w:customStyle="1" w:styleId="cit-vol">
    <w:name w:val="cit-vol"/>
    <w:basedOn w:val="DefaultParagraphFont"/>
    <w:rsid w:val="006B373F"/>
  </w:style>
  <w:style w:type="character" w:customStyle="1" w:styleId="cit-fpage">
    <w:name w:val="cit-fpage"/>
    <w:basedOn w:val="DefaultParagraphFont"/>
    <w:rsid w:val="006B373F"/>
  </w:style>
  <w:style w:type="character" w:customStyle="1" w:styleId="cit-lpage">
    <w:name w:val="cit-lpage"/>
    <w:basedOn w:val="DefaultParagraphFont"/>
    <w:rsid w:val="006B373F"/>
  </w:style>
  <w:style w:type="character" w:customStyle="1" w:styleId="cit-pub-date">
    <w:name w:val="cit-pub-date"/>
    <w:basedOn w:val="DefaultParagraphFont"/>
    <w:rsid w:val="006B373F"/>
  </w:style>
  <w:style w:type="character" w:customStyle="1" w:styleId="cit-etal">
    <w:name w:val="cit-etal"/>
    <w:basedOn w:val="DefaultParagraphFont"/>
    <w:rsid w:val="006B373F"/>
  </w:style>
  <w:style w:type="character" w:customStyle="1" w:styleId="vol">
    <w:name w:val="vol"/>
    <w:basedOn w:val="DefaultParagraphFont"/>
    <w:rsid w:val="006B373F"/>
  </w:style>
  <w:style w:type="character" w:styleId="PageNumber">
    <w:name w:val="page number"/>
    <w:basedOn w:val="DefaultParagraphFont"/>
    <w:uiPriority w:val="99"/>
    <w:semiHidden/>
    <w:unhideWhenUsed/>
    <w:rsid w:val="008F0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541546">
      <w:bodyDiv w:val="1"/>
      <w:marLeft w:val="0"/>
      <w:marRight w:val="0"/>
      <w:marTop w:val="0"/>
      <w:marBottom w:val="0"/>
      <w:divBdr>
        <w:top w:val="none" w:sz="0" w:space="0" w:color="auto"/>
        <w:left w:val="none" w:sz="0" w:space="0" w:color="auto"/>
        <w:bottom w:val="none" w:sz="0" w:space="0" w:color="auto"/>
        <w:right w:val="none" w:sz="0" w:space="0" w:color="auto"/>
      </w:divBdr>
    </w:div>
    <w:div w:id="829710240">
      <w:bodyDiv w:val="1"/>
      <w:marLeft w:val="0"/>
      <w:marRight w:val="0"/>
      <w:marTop w:val="0"/>
      <w:marBottom w:val="0"/>
      <w:divBdr>
        <w:top w:val="none" w:sz="0" w:space="0" w:color="auto"/>
        <w:left w:val="none" w:sz="0" w:space="0" w:color="auto"/>
        <w:bottom w:val="none" w:sz="0" w:space="0" w:color="auto"/>
        <w:right w:val="none" w:sz="0" w:space="0" w:color="auto"/>
      </w:divBdr>
    </w:div>
    <w:div w:id="1677271973">
      <w:bodyDiv w:val="1"/>
      <w:marLeft w:val="0"/>
      <w:marRight w:val="0"/>
      <w:marTop w:val="0"/>
      <w:marBottom w:val="0"/>
      <w:divBdr>
        <w:top w:val="none" w:sz="0" w:space="0" w:color="auto"/>
        <w:left w:val="none" w:sz="0" w:space="0" w:color="auto"/>
        <w:bottom w:val="none" w:sz="0" w:space="0" w:color="auto"/>
        <w:right w:val="none" w:sz="0" w:space="0" w:color="auto"/>
      </w:divBdr>
    </w:div>
    <w:div w:id="1690135328">
      <w:bodyDiv w:val="1"/>
      <w:marLeft w:val="0"/>
      <w:marRight w:val="0"/>
      <w:marTop w:val="0"/>
      <w:marBottom w:val="0"/>
      <w:divBdr>
        <w:top w:val="none" w:sz="0" w:space="0" w:color="auto"/>
        <w:left w:val="none" w:sz="0" w:space="0" w:color="auto"/>
        <w:bottom w:val="none" w:sz="0" w:space="0" w:color="auto"/>
        <w:right w:val="none" w:sz="0" w:space="0" w:color="auto"/>
      </w:divBdr>
    </w:div>
    <w:div w:id="189323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38/293396a0" TargetMode="External"/><Relationship Id="rId21" Type="http://schemas.openxmlformats.org/officeDocument/2006/relationships/hyperlink" Target="https://doi.org/10.1186/s13059-019-1829-6" TargetMode="External"/><Relationship Id="rId42" Type="http://schemas.openxmlformats.org/officeDocument/2006/relationships/hyperlink" Target="https://doi.org/10.1111/mec.12796" TargetMode="External"/><Relationship Id="rId63" Type="http://schemas.openxmlformats.org/officeDocument/2006/relationships/hyperlink" Target="https://doi.org/10.1073/pnas.2015987117" TargetMode="External"/><Relationship Id="rId84" Type="http://schemas.openxmlformats.org/officeDocument/2006/relationships/hyperlink" Target="https://doi.org/10.1093/nar/gkaa1106" TargetMode="External"/><Relationship Id="rId138" Type="http://schemas.openxmlformats.org/officeDocument/2006/relationships/hyperlink" Target="https://doi.org/10.1093/molbev/msv190" TargetMode="External"/><Relationship Id="rId159" Type="http://schemas.openxmlformats.org/officeDocument/2006/relationships/hyperlink" Target="https://doi.org/10.7910/DVN/IGSXBN" TargetMode="External"/><Relationship Id="rId170" Type="http://schemas.openxmlformats.org/officeDocument/2006/relationships/image" Target="media/image20.png"/><Relationship Id="rId191" Type="http://schemas.openxmlformats.org/officeDocument/2006/relationships/image" Target="media/image41.png"/><Relationship Id="rId205" Type="http://schemas.openxmlformats.org/officeDocument/2006/relationships/image" Target="media/image54.png"/><Relationship Id="rId107" Type="http://schemas.openxmlformats.org/officeDocument/2006/relationships/hyperlink" Target="https://doi.org/10.1186/s13104-016-1900-2" TargetMode="External"/><Relationship Id="rId11" Type="http://schemas.openxmlformats.org/officeDocument/2006/relationships/header" Target="header1.xml"/><Relationship Id="rId32" Type="http://schemas.openxmlformats.org/officeDocument/2006/relationships/hyperlink" Target="https://doi.org/10.1038/s41592-020-01056-5" TargetMode="External"/><Relationship Id="rId53" Type="http://schemas.openxmlformats.org/officeDocument/2006/relationships/hyperlink" Target="https://doi.org/10.1111/j.1558-5646.2009.00943.x" TargetMode="External"/><Relationship Id="rId74" Type="http://schemas.openxmlformats.org/officeDocument/2006/relationships/hyperlink" Target="https://doi.org/10.2307/3545010" TargetMode="External"/><Relationship Id="rId128" Type="http://schemas.openxmlformats.org/officeDocument/2006/relationships/hyperlink" Target="https://doi.org/10.1111/j.1095-8312.2008.01185.x" TargetMode="External"/><Relationship Id="rId149" Type="http://schemas.openxmlformats.org/officeDocument/2006/relationships/image" Target="media/image8.png"/><Relationship Id="rId5" Type="http://schemas.openxmlformats.org/officeDocument/2006/relationships/numbering" Target="numbering.xml"/><Relationship Id="rId95" Type="http://schemas.openxmlformats.org/officeDocument/2006/relationships/hyperlink" Target="https://doi.org/10.1046/j.1365-294X.2000.01062.x" TargetMode="External"/><Relationship Id="rId160" Type="http://schemas.openxmlformats.org/officeDocument/2006/relationships/hyperlink" Target="https://github.com/mwersebe/Tanner_lake_genomics" TargetMode="External"/><Relationship Id="rId181" Type="http://schemas.openxmlformats.org/officeDocument/2006/relationships/image" Target="media/image31.jpeg"/><Relationship Id="rId216" Type="http://schemas.openxmlformats.org/officeDocument/2006/relationships/image" Target="media/image64.png"/><Relationship Id="rId22" Type="http://schemas.openxmlformats.org/officeDocument/2006/relationships/hyperlink" Target="https://doi.org/10.7717/peerj.2004" TargetMode="External"/><Relationship Id="rId43" Type="http://schemas.openxmlformats.org/officeDocument/2006/relationships/hyperlink" Target="https://doi.org/10.1093/bioinforma%20tics/btr330" TargetMode="External"/><Relationship Id="rId64" Type="http://schemas.openxmlformats.org/officeDocument/2006/relationships/hyperlink" Target="https://doi.org/10.1002/cpbi.57" TargetMode="External"/><Relationship Id="rId118" Type="http://schemas.openxmlformats.org/officeDocument/2006/relationships/hyperlink" Target="https://doi.org/10.1371/journal.pone.0021800" TargetMode="External"/><Relationship Id="rId139" Type="http://schemas.openxmlformats.org/officeDocument/2006/relationships/hyperlink" Target="https://doi.org/10.1073/pnas.1903553116" TargetMode="External"/><Relationship Id="rId85" Type="http://schemas.openxmlformats.org/officeDocument/2006/relationships/hyperlink" Target="https://doi.org/10.1016/j.pbi.2019.12.009" TargetMode="External"/><Relationship Id="rId150" Type="http://schemas.openxmlformats.org/officeDocument/2006/relationships/hyperlink" Target="https://doi.org/10.1002/lol2.10217" TargetMode="External"/><Relationship Id="rId171" Type="http://schemas.openxmlformats.org/officeDocument/2006/relationships/image" Target="media/image21.png"/><Relationship Id="rId192" Type="http://schemas.openxmlformats.org/officeDocument/2006/relationships/image" Target="media/image42.png"/><Relationship Id="rId206" Type="http://schemas.openxmlformats.org/officeDocument/2006/relationships/image" Target="media/image55.png"/><Relationship Id="rId12" Type="http://schemas.openxmlformats.org/officeDocument/2006/relationships/header" Target="header2.xml"/><Relationship Id="rId33" Type="http://schemas.openxmlformats.org/officeDocument/2006/relationships/hyperlink" Target="https://doi.org/10.1186/s12862-019-1542-9" TargetMode="External"/><Relationship Id="rId108" Type="http://schemas.openxmlformats.org/officeDocument/2006/relationships/hyperlink" Target="https://doi.org/10.4081/JLIMNOL.2011.337" TargetMode="External"/><Relationship Id="rId129" Type="http://schemas.openxmlformats.org/officeDocument/2006/relationships/hyperlink" Target="https://doi.org/10.1073/pnas.0901397106" TargetMode="External"/><Relationship Id="rId54" Type="http://schemas.openxmlformats.org/officeDocument/2006/relationships/hyperlink" Target="https://doi.org/10.2307/2407946" TargetMode="External"/><Relationship Id="rId75" Type="http://schemas.openxmlformats.org/officeDocument/2006/relationships/hyperlink" Target="https://doi.org/10.1093/nar/gky1053" TargetMode="External"/><Relationship Id="rId96" Type="http://schemas.openxmlformats.org/officeDocument/2006/relationships/hyperlink" Target="https://doi.org/10.1093/bioinformatics/bti1018" TargetMode="External"/><Relationship Id="rId140" Type="http://schemas.openxmlformats.org/officeDocument/2006/relationships/hyperlink" Target="https://doi.org/10.1002/lno.11780" TargetMode="External"/><Relationship Id="rId161" Type="http://schemas.openxmlformats.org/officeDocument/2006/relationships/hyperlink" Target="https://www.R-project.org/" TargetMode="External"/><Relationship Id="rId182" Type="http://schemas.openxmlformats.org/officeDocument/2006/relationships/image" Target="media/image32.jpeg"/><Relationship Id="rId217" Type="http://schemas.openxmlformats.org/officeDocument/2006/relationships/image" Target="media/image65.png"/><Relationship Id="rId6" Type="http://schemas.openxmlformats.org/officeDocument/2006/relationships/styles" Target="styles.xml"/><Relationship Id="rId23" Type="http://schemas.openxmlformats.org/officeDocument/2006/relationships/hyperlink" Target="https://doi.org/10.1101/gr.88502" TargetMode="External"/><Relationship Id="rId119" Type="http://schemas.openxmlformats.org/officeDocument/2006/relationships/hyperlink" Target="https://doi.org/10.1093/genetics/123.3.585" TargetMode="External"/><Relationship Id="rId44" Type="http://schemas.openxmlformats.org/officeDocument/2006/relationships/hyperlink" Target="https://doi.org/10.1016/S1146-609X(02)01145-1" TargetMode="External"/><Relationship Id="rId65" Type="http://schemas.openxmlformats.org/officeDocument/2006/relationships/hyperlink" Target="https://doi.org/10.1093/JHERED/ESL035" TargetMode="External"/><Relationship Id="rId86" Type="http://schemas.openxmlformats.org/officeDocument/2006/relationships/hyperlink" Target="https://doi.org/10.1186/1471-2164-10-339" TargetMode="External"/><Relationship Id="rId130" Type="http://schemas.openxmlformats.org/officeDocument/2006/relationships/hyperlink" Target="https://doi.org/10.1073/pnas.1600366113" TargetMode="External"/><Relationship Id="rId151" Type="http://schemas.openxmlformats.org/officeDocument/2006/relationships/hyperlink" Target="http://water.usgs.gov/osw/streamstats/minnesota.html" TargetMode="External"/><Relationship Id="rId172" Type="http://schemas.openxmlformats.org/officeDocument/2006/relationships/image" Target="media/image22.png"/><Relationship Id="rId193" Type="http://schemas.openxmlformats.org/officeDocument/2006/relationships/image" Target="media/image43.png"/><Relationship Id="rId207" Type="http://schemas.openxmlformats.org/officeDocument/2006/relationships/image" Target="media/image56.png"/><Relationship Id="rId13" Type="http://schemas.openxmlformats.org/officeDocument/2006/relationships/footer" Target="footer1.xml"/><Relationship Id="rId109" Type="http://schemas.openxmlformats.org/officeDocument/2006/relationships/hyperlink" Target="https://doi.org/10.1111/1365-2656.13419" TargetMode="External"/><Relationship Id="rId34" Type="http://schemas.openxmlformats.org/officeDocument/2006/relationships/hyperlink" Target="https://doi.org/10.1111/mec.15824" TargetMode="External"/><Relationship Id="rId55" Type="http://schemas.openxmlformats.org/officeDocument/2006/relationships/hyperlink" Target="https://doi.org/10.1073/pnas.1921046117" TargetMode="External"/><Relationship Id="rId76" Type="http://schemas.openxmlformats.org/officeDocument/2006/relationships/hyperlink" Target="https://doi.org/10.1038/nmeth.1923" TargetMode="External"/><Relationship Id="rId97" Type="http://schemas.openxmlformats.org/officeDocument/2006/relationships/hyperlink" Target="https://doi.org/10.1093/molbev/msaa053" TargetMode="External"/><Relationship Id="rId120" Type="http://schemas.openxmlformats.org/officeDocument/2006/relationships/hyperlink" Target="https://doi.org/10.1111/j.1461-0248.2004.00627.x" TargetMode="External"/><Relationship Id="rId141" Type="http://schemas.openxmlformats.org/officeDocument/2006/relationships/hyperlink" Target="https://doi.org/10.1534/g3.116.038638" TargetMode="External"/><Relationship Id="rId7" Type="http://schemas.openxmlformats.org/officeDocument/2006/relationships/settings" Target="settings.xml"/><Relationship Id="rId162" Type="http://schemas.openxmlformats.org/officeDocument/2006/relationships/hyperlink" Target="https://doi.org/10.7910/DVN/IGSXBN" TargetMode="External"/><Relationship Id="rId183" Type="http://schemas.openxmlformats.org/officeDocument/2006/relationships/image" Target="media/image33.jpeg"/><Relationship Id="rId218" Type="http://schemas.openxmlformats.org/officeDocument/2006/relationships/fontTable" Target="fontTable.xml"/><Relationship Id="rId24" Type="http://schemas.openxmlformats.org/officeDocument/2006/relationships/hyperlink" Target="https://doi.org/10.1126/science.150.3692.28" TargetMode="External"/><Relationship Id="rId45" Type="http://schemas.openxmlformats.org/officeDocument/2006/relationships/hyperlink" Target="https://doi.org/10.1127/0003-9136/2006/0167-0217" TargetMode="External"/><Relationship Id="rId66" Type="http://schemas.openxmlformats.org/officeDocument/2006/relationships/hyperlink" Target="https://doi.org/10.1101/2021.08.20.457158" TargetMode="External"/><Relationship Id="rId87" Type="http://schemas.openxmlformats.org/officeDocument/2006/relationships/hyperlink" Target="https://doi.org/10.1098/rspb.2011.2404" TargetMode="External"/><Relationship Id="rId110" Type="http://schemas.openxmlformats.org/officeDocument/2006/relationships/hyperlink" Target="https://doi.org/10.1371/journal.pbio.1000327" TargetMode="External"/><Relationship Id="rId131" Type="http://schemas.openxmlformats.org/officeDocument/2006/relationships/hyperlink" Target="https://doi.org/10.1186/GB-2009-10-11-R126/FIGURES/5" TargetMode="External"/><Relationship Id="rId152" Type="http://schemas.openxmlformats.org/officeDocument/2006/relationships/image" Target="media/image9.png"/><Relationship Id="rId173" Type="http://schemas.openxmlformats.org/officeDocument/2006/relationships/image" Target="media/image23.png"/><Relationship Id="rId194" Type="http://schemas.openxmlformats.org/officeDocument/2006/relationships/image" Target="media/image44.png"/><Relationship Id="rId208" Type="http://schemas.openxmlformats.org/officeDocument/2006/relationships/hyperlink" Target="mailto:matthew.wersebe@ou.edu" TargetMode="External"/><Relationship Id="rId14" Type="http://schemas.openxmlformats.org/officeDocument/2006/relationships/footer" Target="footer2.xml"/><Relationship Id="rId30" Type="http://schemas.openxmlformats.org/officeDocument/2006/relationships/hyperlink" Target="https://doi.org/10.1111/mec.12354" TargetMode="External"/><Relationship Id="rId35" Type="http://schemas.openxmlformats.org/officeDocument/2006/relationships/hyperlink" Target="https://curate.nd.edu/show/t722h70577s" TargetMode="External"/><Relationship Id="rId56" Type="http://schemas.openxmlformats.org/officeDocument/2006/relationships/hyperlink" Target="https://doi.org/10.1111/ele.12237" TargetMode="External"/><Relationship Id="rId77" Type="http://schemas.openxmlformats.org/officeDocument/2006/relationships/hyperlink" Target="https://doi.org/10.1093/bioinformatics/btp324" TargetMode="External"/><Relationship Id="rId100" Type="http://schemas.openxmlformats.org/officeDocument/2006/relationships/hyperlink" Target="https://doi.org/10.1093/bioinformatics/btx494" TargetMode="External"/><Relationship Id="rId105" Type="http://schemas.openxmlformats.org/officeDocument/2006/relationships/hyperlink" Target="https://doi.org/10.1111/MEC.14226" TargetMode="External"/><Relationship Id="rId126" Type="http://schemas.openxmlformats.org/officeDocument/2006/relationships/hyperlink" Target="https://doi.org/10.1371/journal.pbio.0030285" TargetMode="External"/><Relationship Id="rId147" Type="http://schemas.openxmlformats.org/officeDocument/2006/relationships/image" Target="media/image6.png"/><Relationship Id="rId168" Type="http://schemas.openxmlformats.org/officeDocument/2006/relationships/hyperlink" Target="mailto:matthew.wersebe@ou.edu" TargetMode="External"/><Relationship Id="rId8" Type="http://schemas.openxmlformats.org/officeDocument/2006/relationships/webSettings" Target="webSettings.xml"/><Relationship Id="rId51" Type="http://schemas.openxmlformats.org/officeDocument/2006/relationships/hyperlink" Target="https://doi.org/10.1371/journal.pgen.1003905" TargetMode="External"/><Relationship Id="rId72" Type="http://schemas.openxmlformats.org/officeDocument/2006/relationships/hyperlink" Target="https://doi.org/10.1098/rstb.2016.0458" TargetMode="External"/><Relationship Id="rId93" Type="http://schemas.openxmlformats.org/officeDocument/2006/relationships/hyperlink" Target="https://doi.org/10.1111/j.0014-3820.2005.tb01754.x" TargetMode="External"/><Relationship Id="rId98" Type="http://schemas.openxmlformats.org/officeDocument/2006/relationships/hyperlink" Target="https://doi.org/10.1093/bioinformatics/btq033" TargetMode="External"/><Relationship Id="rId121" Type="http://schemas.openxmlformats.org/officeDocument/2006/relationships/hyperlink" Target="https://doi.org/10.1111/j.1365-2427.1991.tb00475.x" TargetMode="External"/><Relationship Id="rId142" Type="http://schemas.openxmlformats.org/officeDocument/2006/relationships/image" Target="media/image1.png"/><Relationship Id="rId163" Type="http://schemas.openxmlformats.org/officeDocument/2006/relationships/image" Target="media/image14.png"/><Relationship Id="rId184" Type="http://schemas.openxmlformats.org/officeDocument/2006/relationships/image" Target="media/image34.jpeg"/><Relationship Id="rId189" Type="http://schemas.openxmlformats.org/officeDocument/2006/relationships/image" Target="media/image39.png"/><Relationship Id="rId219" Type="http://schemas.openxmlformats.org/officeDocument/2006/relationships/theme" Target="theme/theme1.xml"/><Relationship Id="rId3" Type="http://schemas.openxmlformats.org/officeDocument/2006/relationships/customXml" Target="../customXml/item3.xml"/><Relationship Id="rId214" Type="http://schemas.openxmlformats.org/officeDocument/2006/relationships/image" Target="media/image62.png"/><Relationship Id="rId25" Type="http://schemas.openxmlformats.org/officeDocument/2006/relationships/hyperlink" Target="https://doi.org/10.1007/s00442-004-16575" TargetMode="External"/><Relationship Id="rId46" Type="http://schemas.openxmlformats.org/officeDocument/2006/relationships/hyperlink" Target="https://doi.org/10.1111/j.1365-2427.2004.01201.x" TargetMode="External"/><Relationship Id="rId67" Type="http://schemas.openxmlformats.org/officeDocument/2006/relationships/hyperlink" Target="https://doi.org/10.1016/j.pbi.2017.02.002" TargetMode="External"/><Relationship Id="rId116" Type="http://schemas.openxmlformats.org/officeDocument/2006/relationships/hyperlink" Target="https://doi.org/10.1098/rstb.2016.0455" TargetMode="External"/><Relationship Id="rId137" Type="http://schemas.openxmlformats.org/officeDocument/2006/relationships/hyperlink" Target="https://doi.org/10.1534/genetics.115.179028" TargetMode="External"/><Relationship Id="rId158" Type="http://schemas.openxmlformats.org/officeDocument/2006/relationships/hyperlink" Target="https://doi.org/10.1073/pnas.2217276120" TargetMode="External"/><Relationship Id="rId20" Type="http://schemas.openxmlformats.org/officeDocument/2006/relationships/hyperlink" Target="https://doi.org/10.1111/j.1558-5646.2011.01488.x" TargetMode="External"/><Relationship Id="rId41" Type="http://schemas.openxmlformats.org/officeDocument/2006/relationships/hyperlink" Target="https://doi.org/10.1111/j.1365-294X.2011.05465.x" TargetMode="External"/><Relationship Id="rId62" Type="http://schemas.openxmlformats.org/officeDocument/2006/relationships/hyperlink" Target="https://doi.org/10.4319/lo.2009.54.2.0492" TargetMode="External"/><Relationship Id="rId83" Type="http://schemas.openxmlformats.org/officeDocument/2006/relationships/hyperlink" Target="https://doi.org/10.1101/gr.159426.113" TargetMode="External"/><Relationship Id="rId88" Type="http://schemas.openxmlformats.org/officeDocument/2006/relationships/hyperlink" Target="https://doi.org/10.1098/rstb.2011.0249" TargetMode="External"/><Relationship Id="rId111" Type="http://schemas.openxmlformats.org/officeDocument/2006/relationships/hyperlink" Target="https://doi.org/10.1093/bioinformatics/btv351" TargetMode="External"/><Relationship Id="rId132" Type="http://schemas.openxmlformats.org/officeDocument/2006/relationships/hyperlink" Target="https://doi.org/10.2307/2640718" TargetMode="External"/><Relationship Id="rId153" Type="http://schemas.openxmlformats.org/officeDocument/2006/relationships/image" Target="media/image10.png"/><Relationship Id="rId174" Type="http://schemas.openxmlformats.org/officeDocument/2006/relationships/image" Target="media/image24.jpeg"/><Relationship Id="rId179" Type="http://schemas.openxmlformats.org/officeDocument/2006/relationships/image" Target="media/image29.jpeg"/><Relationship Id="rId195" Type="http://schemas.openxmlformats.org/officeDocument/2006/relationships/image" Target="media/image45.png"/><Relationship Id="rId209" Type="http://schemas.openxmlformats.org/officeDocument/2006/relationships/image" Target="media/image57.png"/><Relationship Id="rId190" Type="http://schemas.openxmlformats.org/officeDocument/2006/relationships/image" Target="media/image40.png"/><Relationship Id="rId204" Type="http://schemas.openxmlformats.org/officeDocument/2006/relationships/image" Target="media/image53.png"/><Relationship Id="rId220" Type="http://schemas.microsoft.com/office/2020/10/relationships/intelligence" Target="intelligence2.xml"/><Relationship Id="rId15" Type="http://schemas.openxmlformats.org/officeDocument/2006/relationships/header" Target="header3.xml"/><Relationship Id="rId36" Type="http://schemas.openxmlformats.org/officeDocument/2006/relationships/hyperlink" Target="https://doi.org/10.1111/j.1095-8312.1998.tb01146.x" TargetMode="External"/><Relationship Id="rId57" Type="http://schemas.openxmlformats.org/officeDocument/2006/relationships/hyperlink" Target="https://doi.org/10.1111/gcb.13445" TargetMode="External"/><Relationship Id="rId106" Type="http://schemas.openxmlformats.org/officeDocument/2006/relationships/hyperlink" Target="https://doi.org/10.1126/science.1160006" TargetMode="External"/><Relationship Id="rId127" Type="http://schemas.openxmlformats.org/officeDocument/2006/relationships/hyperlink" Target="https://doi.org/10.1038/sj.hdy.6800992" TargetMode="External"/><Relationship Id="rId10" Type="http://schemas.openxmlformats.org/officeDocument/2006/relationships/endnotes" Target="endnotes.xml"/><Relationship Id="rId31" Type="http://schemas.openxmlformats.org/officeDocument/2006/relationships/hyperlink" Target="https://doi.org/10.1016/0888-7543(91)90123-V" TargetMode="External"/><Relationship Id="rId52" Type="http://schemas.openxmlformats.org/officeDocument/2006/relationships/hyperlink" Target="https://doi.org/10.1016/j.tig.2012.03.009" TargetMode="External"/><Relationship Id="rId73" Type="http://schemas.openxmlformats.org/officeDocument/2006/relationships/hyperlink" Target="https://doi.org/10.1007/BF01731581" TargetMode="External"/><Relationship Id="rId78" Type="http://schemas.openxmlformats.org/officeDocument/2006/relationships/hyperlink" Target="https://doi.org/10.1093/bioinformatics/btp352" TargetMode="External"/><Relationship Id="rId94" Type="http://schemas.openxmlformats.org/officeDocument/2006/relationships/hyperlink" Target="https://doi.org/10.1371/journal.pone.003713" TargetMode="External"/><Relationship Id="rId99" Type="http://schemas.openxmlformats.org/officeDocument/2006/relationships/hyperlink" Target="https://doi.org/10.1534/genetics.114.164350" TargetMode="External"/><Relationship Id="rId101" Type="http://schemas.openxmlformats.org/officeDocument/2006/relationships/hyperlink" Target="https://doi.org/10.1093/bioinformatics/btz978" TargetMode="External"/><Relationship Id="rId122" Type="http://schemas.openxmlformats.org/officeDocument/2006/relationships/hyperlink" Target="https://doi.org/10.1016/J.SCITOTENV.2020.143038" TargetMode="External"/><Relationship Id="rId143" Type="http://schemas.openxmlformats.org/officeDocument/2006/relationships/image" Target="media/image2.png"/><Relationship Id="rId148" Type="http://schemas.openxmlformats.org/officeDocument/2006/relationships/image" Target="media/image7.png"/><Relationship Id="rId164" Type="http://schemas.openxmlformats.org/officeDocument/2006/relationships/image" Target="media/image15.svg"/><Relationship Id="rId169" Type="http://schemas.openxmlformats.org/officeDocument/2006/relationships/image" Target="media/image19.png"/><Relationship Id="rId185"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30.jpeg"/><Relationship Id="rId210" Type="http://schemas.openxmlformats.org/officeDocument/2006/relationships/image" Target="media/image58.svg"/><Relationship Id="rId215" Type="http://schemas.openxmlformats.org/officeDocument/2006/relationships/image" Target="media/image63.png"/><Relationship Id="rId26" Type="http://schemas.openxmlformats.org/officeDocument/2006/relationships/hyperlink" Target="https://doi.org/10.1186/1471-2105-10-421" TargetMode="External"/><Relationship Id="rId47" Type="http://schemas.openxmlformats.org/officeDocument/2006/relationships/hyperlink" Target="https://doi.org/10.1111/j.1558-5646.1999.tb04559.x" TargetMode="External"/><Relationship Id="rId68" Type="http://schemas.openxmlformats.org/officeDocument/2006/relationships/hyperlink" Target="https://doi.org/10.1093/bioinformatics/btn129" TargetMode="External"/><Relationship Id="rId89" Type="http://schemas.openxmlformats.org/officeDocument/2006/relationships/hyperlink" Target="https://doi.org/10.1093/gbe/evaa182" TargetMode="External"/><Relationship Id="rId112" Type="http://schemas.openxmlformats.org/officeDocument/2006/relationships/hyperlink" Target="https://doi.org/10.1127/0003-9136/2005/0162-0143" TargetMode="External"/><Relationship Id="rId133" Type="http://schemas.openxmlformats.org/officeDocument/2006/relationships/hyperlink" Target="https://doi.org/10.2307/2408641" TargetMode="External"/><Relationship Id="rId154" Type="http://schemas.openxmlformats.org/officeDocument/2006/relationships/image" Target="media/image11.png"/><Relationship Id="rId175" Type="http://schemas.openxmlformats.org/officeDocument/2006/relationships/image" Target="media/image25.jpeg"/><Relationship Id="rId196" Type="http://schemas.openxmlformats.org/officeDocument/2006/relationships/image" Target="media/image46.png"/><Relationship Id="rId200" Type="http://schemas.openxmlformats.org/officeDocument/2006/relationships/header" Target="header4.xml"/><Relationship Id="rId16" Type="http://schemas.openxmlformats.org/officeDocument/2006/relationships/footer" Target="footer3.xml"/><Relationship Id="rId37" Type="http://schemas.openxmlformats.org/officeDocument/2006/relationships/hyperlink" Target="https://doi.org/10.1126/science.1197761" TargetMode="External"/><Relationship Id="rId58" Type="http://schemas.openxmlformats.org/officeDocument/2006/relationships/hyperlink" Target="https://doi.org/10.1073/pnas.141221898" TargetMode="External"/><Relationship Id="rId79" Type="http://schemas.openxmlformats.org/officeDocument/2006/relationships/hyperlink" Target="https://doi.org/10.1101/2020.03.03.974485" TargetMode="External"/><Relationship Id="rId102" Type="http://schemas.openxmlformats.org/officeDocument/2006/relationships/hyperlink" Target="https://doi.org/10.1111/jeb.13047" TargetMode="External"/><Relationship Id="rId123" Type="http://schemas.openxmlformats.org/officeDocument/2006/relationships/hyperlink" Target="https://doi.org/10.1038/s41586-020-2467-6" TargetMode="External"/><Relationship Id="rId144" Type="http://schemas.openxmlformats.org/officeDocument/2006/relationships/image" Target="media/image3.png"/><Relationship Id="rId90" Type="http://schemas.openxmlformats.org/officeDocument/2006/relationships/hyperlink" Target="https://doi.org/10.1111/j.1365-294X.2008.03946.x" TargetMode="External"/><Relationship Id="rId165" Type="http://schemas.openxmlformats.org/officeDocument/2006/relationships/image" Target="media/image16.png"/><Relationship Id="rId186" Type="http://schemas.openxmlformats.org/officeDocument/2006/relationships/image" Target="media/image36.png"/><Relationship Id="rId211" Type="http://schemas.openxmlformats.org/officeDocument/2006/relationships/image" Target="media/image59.emf"/><Relationship Id="rId27" Type="http://schemas.openxmlformats.org/officeDocument/2006/relationships/hyperlink" Target="https://doi.org/10.1093/biolinnean/bly063" TargetMode="External"/><Relationship Id="rId48" Type="http://schemas.openxmlformats.org/officeDocument/2006/relationships/hyperlink" Target="https://doi.org/10.1098/rspb.1997.0028" TargetMode="External"/><Relationship Id="rId69" Type="http://schemas.openxmlformats.org/officeDocument/2006/relationships/hyperlink" Target="https://doi.org/10.1093/bioinformatics/btu031" TargetMode="External"/><Relationship Id="rId113" Type="http://schemas.openxmlformats.org/officeDocument/2006/relationships/hyperlink" Target="https://doi.org/10.1007/BF00341348" TargetMode="External"/><Relationship Id="rId134" Type="http://schemas.openxmlformats.org/officeDocument/2006/relationships/hyperlink" Target="https://doi.org/10.4319/lo.1997.42.3.0609" TargetMode="External"/><Relationship Id="rId80" Type="http://schemas.openxmlformats.org/officeDocument/2006/relationships/hyperlink" Target="https://doi.org/10.1016/J.CELL.2009.08.036" TargetMode="External"/><Relationship Id="rId155" Type="http://schemas.openxmlformats.org/officeDocument/2006/relationships/hyperlink" Target="https://aslopubs.onlinelibrary.wiley.com/doi/10.1002/lol2.10217" TargetMode="External"/><Relationship Id="rId176" Type="http://schemas.openxmlformats.org/officeDocument/2006/relationships/image" Target="media/image26.jpeg"/><Relationship Id="rId197" Type="http://schemas.openxmlformats.org/officeDocument/2006/relationships/image" Target="media/image47.png"/><Relationship Id="rId201" Type="http://schemas.openxmlformats.org/officeDocument/2006/relationships/image" Target="media/image50.png"/><Relationship Id="rId17" Type="http://schemas.openxmlformats.org/officeDocument/2006/relationships/footer" Target="footer4.xml"/><Relationship Id="rId38" Type="http://schemas.openxmlformats.org/officeDocument/2006/relationships/hyperlink" Target="https://doi.org/10.1016/S0378-1119(99)00151-1" TargetMode="External"/><Relationship Id="rId59" Type="http://schemas.openxmlformats.org/officeDocument/2006/relationships/hyperlink" Target="http://arxiv.org/abs/1207.3907" TargetMode="External"/><Relationship Id="rId103" Type="http://schemas.openxmlformats.org/officeDocument/2006/relationships/hyperlink" Target="https://doi.org/10.1016/0277-3791(86)90184-8" TargetMode="External"/><Relationship Id="rId124" Type="http://schemas.openxmlformats.org/officeDocument/2006/relationships/hyperlink" Target="https://doi.org/10.1073/pnas.1313388110" TargetMode="External"/><Relationship Id="rId70" Type="http://schemas.openxmlformats.org/officeDocument/2006/relationships/hyperlink" Target="https://doi.org/10.1038/s41586-020-2845-0" TargetMode="External"/><Relationship Id="rId91" Type="http://schemas.openxmlformats.org/officeDocument/2006/relationships/hyperlink" Target="https://doi.org/10.1534/genetics.108.099549" TargetMode="External"/><Relationship Id="rId145" Type="http://schemas.openxmlformats.org/officeDocument/2006/relationships/image" Target="media/image4.png"/><Relationship Id="rId166" Type="http://schemas.openxmlformats.org/officeDocument/2006/relationships/image" Target="media/image17.png"/><Relationship Id="rId187" Type="http://schemas.openxmlformats.org/officeDocument/2006/relationships/image" Target="media/image37.png"/><Relationship Id="rId1" Type="http://schemas.openxmlformats.org/officeDocument/2006/relationships/customXml" Target="../customXml/item1.xml"/><Relationship Id="rId212" Type="http://schemas.openxmlformats.org/officeDocument/2006/relationships/image" Target="media/image60.emf"/><Relationship Id="rId28" Type="http://schemas.openxmlformats.org/officeDocument/2006/relationships/hyperlink" Target="https://doi.org/10.1534/genetics.108.096826" TargetMode="External"/><Relationship Id="rId49" Type="http://schemas.openxmlformats.org/officeDocument/2006/relationships/hyperlink" Target="https://doi.org/10.1186/s12863-016-0445-7" TargetMode="External"/><Relationship Id="rId114" Type="http://schemas.openxmlformats.org/officeDocument/2006/relationships/hyperlink" Target="https://doi.org/10.1111/j.1558-5646.1991.tb05268.x" TargetMode="External"/><Relationship Id="rId60" Type="http://schemas.openxmlformats.org/officeDocument/2006/relationships/hyperlink" Target="https://doi.org/10.1098/rspb.2017.2176" TargetMode="External"/><Relationship Id="rId81" Type="http://schemas.openxmlformats.org/officeDocument/2006/relationships/hyperlink" Target="https://doi.org/10.1371/journal.pcbi.1005944" TargetMode="External"/><Relationship Id="rId135" Type="http://schemas.openxmlformats.org/officeDocument/2006/relationships/hyperlink" Target="https://doi.org/10.5061/dryad.xksn02vhs" TargetMode="External"/><Relationship Id="rId156" Type="http://schemas.openxmlformats.org/officeDocument/2006/relationships/image" Target="media/image12.png"/><Relationship Id="rId177" Type="http://schemas.openxmlformats.org/officeDocument/2006/relationships/image" Target="media/image27.jpeg"/><Relationship Id="rId198" Type="http://schemas.openxmlformats.org/officeDocument/2006/relationships/image" Target="media/image48.png"/><Relationship Id="rId202" Type="http://schemas.openxmlformats.org/officeDocument/2006/relationships/image" Target="media/image51.png"/><Relationship Id="rId18" Type="http://schemas.openxmlformats.org/officeDocument/2006/relationships/hyperlink" Target="https://doi.org/10.1111/mec.16383" TargetMode="External"/><Relationship Id="rId39" Type="http://schemas.openxmlformats.org/officeDocument/2006/relationships/hyperlink" Target="https://doi.org/10.1186/1471-2148-11-212" TargetMode="External"/><Relationship Id="rId50" Type="http://schemas.openxmlformats.org/officeDocument/2006/relationships/hyperlink" Target="https://doi.org/10.1086/419073" TargetMode="External"/><Relationship Id="rId104" Type="http://schemas.openxmlformats.org/officeDocument/2006/relationships/hyperlink" Target="https://doi.org/10.1111/j.1461-0248.2004.00715.x" TargetMode="External"/><Relationship Id="rId125" Type="http://schemas.openxmlformats.org/officeDocument/2006/relationships/hyperlink" Target="https://doi.org/10.1016/S0169-5347(01)02177-2" TargetMode="External"/><Relationship Id="rId146" Type="http://schemas.openxmlformats.org/officeDocument/2006/relationships/image" Target="media/image5.png"/><Relationship Id="rId167" Type="http://schemas.openxmlformats.org/officeDocument/2006/relationships/image" Target="media/image18.png"/><Relationship Id="rId188" Type="http://schemas.openxmlformats.org/officeDocument/2006/relationships/image" Target="media/image38.png"/><Relationship Id="rId71" Type="http://schemas.openxmlformats.org/officeDocument/2006/relationships/hyperlink" Target="https://doi.org/10.1101/gr.191338.115" TargetMode="External"/><Relationship Id="rId92" Type="http://schemas.openxmlformats.org/officeDocument/2006/relationships/hyperlink" Target="https://doi.org/10.1111/mec.12177" TargetMode="External"/><Relationship Id="rId213"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hyperlink" Target="https://doi.org/10.2307/1939878" TargetMode="External"/><Relationship Id="rId40" Type="http://schemas.openxmlformats.org/officeDocument/2006/relationships/hyperlink" Target="https://doi.org/10.1371/journal.pone.0046620" TargetMode="External"/><Relationship Id="rId115" Type="http://schemas.openxmlformats.org/officeDocument/2006/relationships/hyperlink" Target="https://doi.org/10.1093/nar/gkl200" TargetMode="External"/><Relationship Id="rId136" Type="http://schemas.openxmlformats.org/officeDocument/2006/relationships/hyperlink" Target="https://doi.org/10.1038/nrg.2016.133" TargetMode="External"/><Relationship Id="rId157" Type="http://schemas.openxmlformats.org/officeDocument/2006/relationships/image" Target="media/image13.png"/><Relationship Id="rId178" Type="http://schemas.openxmlformats.org/officeDocument/2006/relationships/image" Target="media/image28.jpeg"/><Relationship Id="rId61" Type="http://schemas.openxmlformats.org/officeDocument/2006/relationships/hyperlink" Target="https://doi.org/10.1016/j.infsof.2005.09.005" TargetMode="External"/><Relationship Id="rId82" Type="http://schemas.openxmlformats.org/officeDocument/2006/relationships/hyperlink" Target="https://doi.org/10.1371/journal.pone.0069497" TargetMode="External"/><Relationship Id="rId199" Type="http://schemas.openxmlformats.org/officeDocument/2006/relationships/footer" Target="footer5.xml"/><Relationship Id="rId203" Type="http://schemas.openxmlformats.org/officeDocument/2006/relationships/image" Target="media/image52.png"/><Relationship Id="rId19" Type="http://schemas.openxmlformats.org/officeDocument/2006/relationships/hyperlink" Target="https://github.com/lh3/gfatools"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9D45F7D014DA4B8FECAACD0AF3DAA4" ma:contentTypeVersion="9" ma:contentTypeDescription="Create a new document." ma:contentTypeScope="" ma:versionID="ab084939e1db7f43ea0794e21a4198aa">
  <xsd:schema xmlns:xsd="http://www.w3.org/2001/XMLSchema" xmlns:xs="http://www.w3.org/2001/XMLSchema" xmlns:p="http://schemas.microsoft.com/office/2006/metadata/properties" xmlns:ns3="de9110c9-e009-45aa-89f2-b4fa574a014b" xmlns:ns4="7f7e2795-1da7-4490-bace-86b26c0d260c" targetNamespace="http://schemas.microsoft.com/office/2006/metadata/properties" ma:root="true" ma:fieldsID="a32c1146b89b3c27f7d3f98907e23926" ns3:_="" ns4:_="">
    <xsd:import namespace="de9110c9-e009-45aa-89f2-b4fa574a014b"/>
    <xsd:import namespace="7f7e2795-1da7-4490-bace-86b26c0d26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110c9-e009-45aa-89f2-b4fa574a0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7e2795-1da7-4490-bace-86b26c0d260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F0729B-75CD-4689-ABF2-E1E13A846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110c9-e009-45aa-89f2-b4fa574a014b"/>
    <ds:schemaRef ds:uri="7f7e2795-1da7-4490-bace-86b26c0d26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17C1CE-5D61-4376-A58F-1665759BBEF0}">
  <ds:schemaRefs>
    <ds:schemaRef ds:uri="http://schemas.openxmlformats.org/officeDocument/2006/bibliography"/>
  </ds:schemaRefs>
</ds:datastoreItem>
</file>

<file path=customXml/itemProps3.xml><?xml version="1.0" encoding="utf-8"?>
<ds:datastoreItem xmlns:ds="http://schemas.openxmlformats.org/officeDocument/2006/customXml" ds:itemID="{53F950A2-AE8D-4645-8D4E-274FAEAFCC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980DD7-B8D0-4167-8E26-3A5D2281C4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200</Pages>
  <Words>67122</Words>
  <Characters>382600</Characters>
  <Application>Microsoft Office Word</Application>
  <DocSecurity>0</DocSecurity>
  <Lines>3188</Lines>
  <Paragraphs>897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Wersebe, Matt J.</dc:creator>
  <cp:keywords/>
  <dc:description/>
  <cp:lastModifiedBy>Wersebe, Matthew (CDC/DDID/NCIRD/ID) (CTR)</cp:lastModifiedBy>
  <cp:revision>6</cp:revision>
  <dcterms:created xsi:type="dcterms:W3CDTF">2023-03-27T19:07:00Z</dcterms:created>
  <dcterms:modified xsi:type="dcterms:W3CDTF">2023-03-30T14:38:00Z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0x0101002A9D45F7D014DA4B8FECAACD0AF3DAA4</vt:lpwstr>
  </property>
  <property fmtid="{D5CDD505-2E9C-101B-9397-08002B2CF9AE}" pid="3" name="MSIP_Label_8af03ff0-41c5-4c41-b55e-fabb8fae94be_Enabled">
    <vt:lpwstr>true</vt:lpwstr>
  </property>
  <property fmtid="{D5CDD505-2E9C-101B-9397-08002B2CF9AE}" pid="4" name="MSIP_Label_8af03ff0-41c5-4c41-b55e-fabb8fae94be_SetDate">
    <vt:lpwstr>2023-03-30T14:38:29Z</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iteId">
    <vt:lpwstr>9ce70869-60db-44fd-abe8-d2767077fc8f</vt:lpwstr>
  </property>
  <property fmtid="{D5CDD505-2E9C-101B-9397-08002B2CF9AE}" pid="8" name="MSIP_Label_8af03ff0-41c5-4c41-b55e-fabb8fae94be_ActionId">
    <vt:lpwstr>f5420485-d28a-4876-b7d9-80d616d2d25e</vt:lpwstr>
  </property>
  <property fmtid="{D5CDD505-2E9C-101B-9397-08002B2CF9AE}" pid="9" name="MSIP_Label_8af03ff0-41c5-4c41-b55e-fabb8fae94be_ContentBits">
    <vt:lpwstr>0</vt:lpwstr>
  </property>
</Properties>
</file>